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951BF">
      <w:pPr>
        <w:spacing w:line="240" w:lineRule="auto"/>
        <w:ind w:firstLine="0" w:firstLineChars="0"/>
        <w:jc w:val="right"/>
        <w:rPr>
          <w:rFonts w:hint="default" w:ascii="Times New Roman" w:hAnsi="Times New Roman" w:eastAsia="宋体" w:cs="Times New Roman"/>
          <w:color w:val="auto"/>
          <w:kern w:val="0"/>
          <w:sz w:val="21"/>
          <w:szCs w:val="21"/>
          <w:shd w:val="clear" w:color="FFFFFF" w:fill="D9D9D9"/>
          <w:lang w:eastAsia="zh-CN"/>
        </w:rPr>
      </w:pPr>
      <w:r>
        <w:rPr>
          <w:rFonts w:asciiTheme="majorEastAsia" w:hAnsiTheme="majorEastAsia" w:eastAsiaTheme="majorEastAsia"/>
          <w:b/>
          <w:color w:val="auto"/>
          <w:sz w:val="44"/>
          <w:szCs w:val="44"/>
        </w:rPr>
        <w:drawing>
          <wp:anchor distT="0" distB="0" distL="0" distR="0" simplePos="0" relativeHeight="251660288" behindDoc="0" locked="0" layoutInCell="1" allowOverlap="1">
            <wp:simplePos x="0" y="0"/>
            <wp:positionH relativeFrom="column">
              <wp:posOffset>5182870</wp:posOffset>
            </wp:positionH>
            <wp:positionV relativeFrom="paragraph">
              <wp:posOffset>0</wp:posOffset>
            </wp:positionV>
            <wp:extent cx="1000125" cy="1000125"/>
            <wp:effectExtent l="0" t="0" r="571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00125" cy="1000125"/>
                    </a:xfrm>
                    <a:prstGeom prst="rect">
                      <a:avLst/>
                    </a:prstGeom>
                  </pic:spPr>
                </pic:pic>
              </a:graphicData>
            </a:graphic>
          </wp:anchor>
        </w:drawing>
      </w:r>
    </w:p>
    <w:p w14:paraId="2501FD76">
      <w:pPr>
        <w:spacing w:line="240" w:lineRule="auto"/>
        <w:ind w:firstLine="0" w:firstLineChars="0"/>
        <w:jc w:val="both"/>
        <w:rPr>
          <w:rFonts w:hint="default" w:ascii="Times New Roman" w:hAnsi="Times New Roman" w:cs="Times New Roman"/>
          <w:color w:val="auto"/>
          <w:kern w:val="0"/>
          <w:sz w:val="21"/>
          <w:szCs w:val="21"/>
          <w:shd w:val="clear" w:color="FFFFFF" w:fill="D9D9D9"/>
        </w:rPr>
      </w:pPr>
    </w:p>
    <w:p w14:paraId="4EEA366B">
      <w:pPr>
        <w:spacing w:line="240" w:lineRule="auto"/>
        <w:ind w:firstLine="0" w:firstLineChars="0"/>
        <w:jc w:val="both"/>
        <w:rPr>
          <w:rFonts w:hint="default" w:ascii="Times New Roman" w:hAnsi="Times New Roman" w:cs="Times New Roman"/>
          <w:color w:val="auto"/>
          <w:kern w:val="0"/>
          <w:sz w:val="21"/>
          <w:szCs w:val="21"/>
          <w:shd w:val="clear" w:color="FFFFFF" w:fill="D9D9D9"/>
        </w:rPr>
      </w:pPr>
    </w:p>
    <w:p w14:paraId="3629F917">
      <w:pPr>
        <w:snapToGrid w:val="0"/>
        <w:spacing w:line="360" w:lineRule="auto"/>
        <w:ind w:firstLine="0" w:firstLineChars="0"/>
        <w:jc w:val="center"/>
        <w:rPr>
          <w:rFonts w:hint="default" w:ascii="Times New Roman" w:hAnsi="Times New Roman" w:cs="Times New Roman"/>
          <w:b/>
          <w:color w:val="auto"/>
          <w:sz w:val="44"/>
          <w:szCs w:val="44"/>
        </w:rPr>
      </w:pPr>
      <w:bookmarkStart w:id="0" w:name="_Hlk509666633"/>
      <w:r>
        <w:rPr>
          <w:rFonts w:hint="default" w:ascii="Times New Roman" w:hAnsi="Times New Roman" w:cs="Times New Roman"/>
          <w:b/>
          <w:color w:val="auto"/>
          <w:sz w:val="44"/>
          <w:szCs w:val="44"/>
        </w:rPr>
        <w:t>中国石油化工股份有限公司</w:t>
      </w:r>
    </w:p>
    <w:p w14:paraId="406EC9D7">
      <w:pPr>
        <w:snapToGrid w:val="0"/>
        <w:spacing w:line="360" w:lineRule="auto"/>
        <w:ind w:firstLine="0" w:firstLineChars="0"/>
        <w:jc w:val="center"/>
        <w:rPr>
          <w:rFonts w:hint="default" w:ascii="Times New Roman" w:hAnsi="Times New Roman" w:cs="Times New Roman"/>
          <w:color w:val="auto"/>
          <w:sz w:val="44"/>
          <w:szCs w:val="44"/>
        </w:rPr>
      </w:pPr>
      <w:r>
        <w:rPr>
          <w:rFonts w:hint="default" w:ascii="Times New Roman" w:hAnsi="Times New Roman" w:cs="Times New Roman"/>
          <w:b/>
          <w:color w:val="auto"/>
          <w:sz w:val="44"/>
          <w:szCs w:val="44"/>
        </w:rPr>
        <w:t>胜利油田分公司石油化工总厂</w:t>
      </w:r>
    </w:p>
    <w:bookmarkEnd w:id="0"/>
    <w:p w14:paraId="3D385CB7">
      <w:pPr>
        <w:snapToGrid w:val="0"/>
        <w:spacing w:line="360" w:lineRule="auto"/>
        <w:ind w:firstLine="0" w:firstLineChars="0"/>
        <w:jc w:val="center"/>
        <w:rPr>
          <w:rFonts w:hint="default" w:ascii="Times New Roman" w:hAnsi="Times New Roman" w:eastAsia="宋体" w:cs="Times New Roman"/>
          <w:color w:val="auto"/>
          <w:sz w:val="21"/>
          <w:lang w:eastAsia="zh-CN"/>
        </w:rPr>
      </w:pPr>
      <w:r>
        <w:rPr>
          <w:rFonts w:hint="default" w:ascii="Times New Roman" w:hAnsi="Times New Roman" w:cs="Times New Roman"/>
          <w:b/>
          <w:bCs/>
          <w:color w:val="auto"/>
          <w:kern w:val="0"/>
          <w:sz w:val="44"/>
          <w:szCs w:val="44"/>
          <w:lang w:eastAsia="zh-CN" w:bidi="ar"/>
        </w:rPr>
        <w:t>储运二部装卸车</w:t>
      </w:r>
      <w:r>
        <w:rPr>
          <w:rFonts w:hint="eastAsia" w:ascii="Times New Roman" w:hAnsi="Times New Roman" w:cs="Times New Roman"/>
          <w:b/>
          <w:bCs/>
          <w:color w:val="auto"/>
          <w:kern w:val="0"/>
          <w:sz w:val="44"/>
          <w:szCs w:val="44"/>
          <w:lang w:val="en-US" w:eastAsia="zh-CN" w:bidi="ar"/>
        </w:rPr>
        <w:t>废气</w:t>
      </w:r>
      <w:r>
        <w:rPr>
          <w:rFonts w:hint="default" w:ascii="Times New Roman" w:hAnsi="Times New Roman" w:cs="Times New Roman"/>
          <w:b/>
          <w:bCs/>
          <w:color w:val="auto"/>
          <w:kern w:val="0"/>
          <w:sz w:val="44"/>
          <w:szCs w:val="44"/>
          <w:lang w:eastAsia="zh-CN" w:bidi="ar"/>
        </w:rPr>
        <w:t>治理项目</w:t>
      </w:r>
    </w:p>
    <w:p w14:paraId="4550D400">
      <w:pPr>
        <w:snapToGrid w:val="0"/>
        <w:spacing w:line="360" w:lineRule="auto"/>
        <w:ind w:firstLine="0" w:firstLineChars="0"/>
        <w:jc w:val="center"/>
        <w:rPr>
          <w:rFonts w:hint="default" w:ascii="Times New Roman" w:hAnsi="Times New Roman" w:cs="Times New Roman"/>
          <w:color w:val="auto"/>
          <w:sz w:val="21"/>
        </w:rPr>
      </w:pPr>
    </w:p>
    <w:p w14:paraId="24705862">
      <w:pPr>
        <w:adjustRightInd w:val="0"/>
        <w:snapToGrid w:val="0"/>
        <w:spacing w:line="240" w:lineRule="auto"/>
        <w:ind w:firstLine="0" w:firstLineChars="0"/>
        <w:jc w:val="center"/>
        <w:rPr>
          <w:rFonts w:hint="default" w:ascii="Times New Roman" w:hAnsi="Times New Roman" w:cs="Times New Roman"/>
          <w:b/>
          <w:color w:val="auto"/>
          <w:kern w:val="0"/>
          <w:sz w:val="36"/>
          <w:szCs w:val="36"/>
        </w:rPr>
      </w:pPr>
    </w:p>
    <w:p w14:paraId="4CCC9D65">
      <w:pPr>
        <w:snapToGrid w:val="0"/>
        <w:spacing w:line="360" w:lineRule="auto"/>
        <w:ind w:firstLine="0" w:firstLineChars="0"/>
        <w:jc w:val="center"/>
        <w:rPr>
          <w:rFonts w:hint="default" w:ascii="Times New Roman" w:hAnsi="Times New Roman" w:cs="Times New Roman"/>
          <w:b/>
          <w:bCs/>
          <w:color w:val="auto"/>
          <w:kern w:val="0"/>
          <w:sz w:val="52"/>
          <w:szCs w:val="52"/>
        </w:rPr>
      </w:pPr>
      <w:bookmarkStart w:id="1" w:name="_Toc309889243"/>
      <w:bookmarkEnd w:id="1"/>
      <w:bookmarkStart w:id="2" w:name="_Toc309889174"/>
      <w:r>
        <w:rPr>
          <w:rFonts w:hint="default" w:ascii="Times New Roman" w:hAnsi="Times New Roman" w:cs="Times New Roman"/>
          <w:b/>
          <w:bCs/>
          <w:color w:val="auto"/>
          <w:kern w:val="0"/>
          <w:sz w:val="52"/>
          <w:szCs w:val="52"/>
        </w:rPr>
        <w:t>安全</w:t>
      </w:r>
      <w:r>
        <w:rPr>
          <w:rFonts w:hint="eastAsia" w:ascii="Times New Roman" w:hAnsi="Times New Roman" w:cs="Times New Roman"/>
          <w:b/>
          <w:bCs/>
          <w:color w:val="auto"/>
          <w:kern w:val="0"/>
          <w:sz w:val="52"/>
          <w:szCs w:val="52"/>
          <w:lang w:val="en-US" w:eastAsia="zh-CN"/>
        </w:rPr>
        <w:t>预评价</w:t>
      </w:r>
      <w:r>
        <w:rPr>
          <w:rFonts w:hint="default" w:ascii="Times New Roman" w:hAnsi="Times New Roman" w:cs="Times New Roman"/>
          <w:b/>
          <w:bCs/>
          <w:color w:val="auto"/>
          <w:kern w:val="0"/>
          <w:sz w:val="52"/>
          <w:szCs w:val="52"/>
        </w:rPr>
        <w:t>报告</w:t>
      </w:r>
      <w:bookmarkEnd w:id="2"/>
    </w:p>
    <w:p w14:paraId="64133421">
      <w:pPr>
        <w:snapToGrid w:val="0"/>
        <w:spacing w:line="360" w:lineRule="auto"/>
        <w:ind w:firstLine="0" w:firstLineChars="0"/>
        <w:jc w:val="center"/>
        <w:rPr>
          <w:rFonts w:hint="default" w:ascii="Times New Roman" w:hAnsi="Times New Roman" w:cs="Times New Roman"/>
          <w:b/>
          <w:bCs/>
          <w:color w:val="auto"/>
          <w:kern w:val="0"/>
          <w:sz w:val="28"/>
          <w:szCs w:val="28"/>
        </w:rPr>
      </w:pPr>
    </w:p>
    <w:p w14:paraId="1EF8BFBB">
      <w:pPr>
        <w:widowControl w:val="0"/>
        <w:spacing w:after="0"/>
        <w:ind w:left="560" w:leftChars="200" w:firstLine="562" w:firstLineChars="200"/>
        <w:jc w:val="both"/>
        <w:textAlignment w:val="baseline"/>
        <w:rPr>
          <w:rFonts w:hint="default" w:ascii="Times New Roman" w:hAnsi="Times New Roman" w:eastAsia="宋体" w:cs="Times New Roman"/>
          <w:b/>
          <w:bCs/>
          <w:color w:val="auto"/>
          <w:kern w:val="0"/>
          <w:sz w:val="28"/>
          <w:szCs w:val="28"/>
          <w:lang w:val="en-US" w:eastAsia="zh-CN" w:bidi="ar-SA"/>
        </w:rPr>
      </w:pPr>
    </w:p>
    <w:p w14:paraId="4998AD6A">
      <w:pPr>
        <w:widowControl w:val="0"/>
        <w:spacing w:after="0"/>
        <w:ind w:left="560" w:leftChars="200" w:firstLine="562" w:firstLineChars="200"/>
        <w:jc w:val="both"/>
        <w:textAlignment w:val="baseline"/>
        <w:rPr>
          <w:rFonts w:hint="default" w:ascii="Times New Roman" w:hAnsi="Times New Roman" w:eastAsia="宋体" w:cs="Times New Roman"/>
          <w:b/>
          <w:bCs/>
          <w:color w:val="auto"/>
          <w:kern w:val="0"/>
          <w:sz w:val="28"/>
          <w:szCs w:val="28"/>
          <w:lang w:val="en-US" w:eastAsia="zh-CN" w:bidi="ar-SA"/>
        </w:rPr>
      </w:pPr>
    </w:p>
    <w:p w14:paraId="3E5180B9">
      <w:pPr>
        <w:widowControl w:val="0"/>
        <w:spacing w:after="0"/>
        <w:ind w:left="560" w:leftChars="200" w:firstLine="562" w:firstLineChars="200"/>
        <w:jc w:val="both"/>
        <w:textAlignment w:val="baseline"/>
        <w:rPr>
          <w:rFonts w:hint="default" w:ascii="Times New Roman" w:hAnsi="Times New Roman" w:eastAsia="宋体" w:cs="Times New Roman"/>
          <w:b/>
          <w:bCs/>
          <w:color w:val="auto"/>
          <w:kern w:val="0"/>
          <w:sz w:val="28"/>
          <w:szCs w:val="28"/>
          <w:lang w:val="en-US" w:eastAsia="zh-CN" w:bidi="ar-SA"/>
        </w:rPr>
      </w:pPr>
    </w:p>
    <w:p w14:paraId="4E5149AB">
      <w:pPr>
        <w:spacing w:line="360" w:lineRule="auto"/>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建设单位：中国石油化工股份有限公司胜利油田分公司石油化工总厂</w:t>
      </w:r>
    </w:p>
    <w:p w14:paraId="36CB41E3">
      <w:pPr>
        <w:spacing w:line="360" w:lineRule="auto"/>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建设单位主要负责人：谷月刚</w:t>
      </w:r>
    </w:p>
    <w:p w14:paraId="7AF9BF4E">
      <w:pPr>
        <w:spacing w:line="360" w:lineRule="auto"/>
        <w:ind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建设项目单位：中国石油化工股份有限公司胜利油田分公司石油化工总厂</w:t>
      </w:r>
    </w:p>
    <w:p w14:paraId="4BE42627">
      <w:pPr>
        <w:spacing w:line="360" w:lineRule="auto"/>
        <w:ind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建设项目单位主要负责人：谷月刚</w:t>
      </w:r>
    </w:p>
    <w:p w14:paraId="243D53BC">
      <w:pPr>
        <w:spacing w:line="360" w:lineRule="auto"/>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建设</w:t>
      </w:r>
      <w:r>
        <w:rPr>
          <w:rFonts w:hint="eastAsia"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单位联系人：王晖</w:t>
      </w:r>
    </w:p>
    <w:p w14:paraId="4B027523">
      <w:pPr>
        <w:spacing w:line="360" w:lineRule="auto"/>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建设</w:t>
      </w:r>
      <w:r>
        <w:rPr>
          <w:rFonts w:hint="eastAsia"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单位联系电话：13054659412</w:t>
      </w:r>
    </w:p>
    <w:p w14:paraId="179DEF12">
      <w:pPr>
        <w:spacing w:line="360" w:lineRule="auto"/>
        <w:ind w:firstLine="562" w:firstLineChars="0"/>
        <w:jc w:val="center"/>
        <w:rPr>
          <w:rFonts w:hint="default" w:ascii="Times New Roman" w:hAnsi="Times New Roman" w:cs="Times New Roman"/>
          <w:color w:val="auto"/>
          <w:sz w:val="28"/>
        </w:rPr>
      </w:pPr>
    </w:p>
    <w:p w14:paraId="49F0BBBE">
      <w:pPr>
        <w:widowControl w:val="0"/>
        <w:spacing w:after="0"/>
        <w:ind w:left="560" w:leftChars="200" w:firstLine="560" w:firstLineChars="200"/>
        <w:jc w:val="both"/>
        <w:textAlignment w:val="baseline"/>
        <w:rPr>
          <w:rFonts w:hint="default" w:ascii="Times New Roman" w:hAnsi="Times New Roman" w:eastAsia="宋体" w:cs="Times New Roman"/>
          <w:color w:val="auto"/>
          <w:kern w:val="2"/>
          <w:sz w:val="28"/>
          <w:szCs w:val="24"/>
          <w:lang w:val="en-US" w:eastAsia="zh-CN" w:bidi="ar-SA"/>
        </w:rPr>
      </w:pPr>
    </w:p>
    <w:p w14:paraId="64C0DD93">
      <w:pPr>
        <w:widowControl w:val="0"/>
        <w:spacing w:after="0"/>
        <w:ind w:left="560" w:leftChars="200" w:firstLine="560" w:firstLineChars="200"/>
        <w:jc w:val="both"/>
        <w:textAlignment w:val="baseline"/>
        <w:rPr>
          <w:rFonts w:hint="default" w:ascii="Times New Roman" w:hAnsi="Times New Roman" w:eastAsia="宋体" w:cs="Times New Roman"/>
          <w:color w:val="auto"/>
          <w:kern w:val="2"/>
          <w:sz w:val="28"/>
          <w:szCs w:val="24"/>
          <w:lang w:val="en-US" w:eastAsia="zh-CN" w:bidi="ar-SA"/>
        </w:rPr>
      </w:pPr>
    </w:p>
    <w:p w14:paraId="1845FB40">
      <w:pPr>
        <w:widowControl w:val="0"/>
        <w:spacing w:after="0"/>
        <w:ind w:left="560" w:leftChars="200" w:firstLine="560" w:firstLineChars="200"/>
        <w:jc w:val="both"/>
        <w:textAlignment w:val="baseline"/>
        <w:rPr>
          <w:rFonts w:hint="default" w:ascii="Times New Roman" w:hAnsi="Times New Roman" w:eastAsia="宋体" w:cs="Times New Roman"/>
          <w:color w:val="auto"/>
          <w:kern w:val="2"/>
          <w:sz w:val="28"/>
          <w:szCs w:val="24"/>
          <w:lang w:val="en-US" w:eastAsia="zh-CN" w:bidi="ar-SA"/>
        </w:rPr>
      </w:pPr>
    </w:p>
    <w:p w14:paraId="79C651C9">
      <w:pPr>
        <w:spacing w:line="360" w:lineRule="auto"/>
        <w:ind w:firstLine="562" w:firstLineChars="0"/>
        <w:jc w:val="center"/>
        <w:rPr>
          <w:rFonts w:hint="default" w:ascii="Times New Roman" w:hAnsi="Times New Roman" w:cs="Times New Roman"/>
          <w:color w:val="auto"/>
          <w:sz w:val="28"/>
        </w:rPr>
      </w:pPr>
    </w:p>
    <w:p w14:paraId="08250251">
      <w:pPr>
        <w:keepNext w:val="0"/>
        <w:keepLines w:val="0"/>
        <w:pageBreakBefore w:val="0"/>
        <w:widowControl w:val="0"/>
        <w:kinsoku/>
        <w:wordWrap/>
        <w:overflowPunct/>
        <w:topLinePunct w:val="0"/>
        <w:autoSpaceDE/>
        <w:autoSpaceDN/>
        <w:bidi w:val="0"/>
        <w:adjustRightInd w:val="0"/>
        <w:snapToGrid w:val="0"/>
        <w:spacing w:line="240" w:lineRule="auto"/>
        <w:ind w:firstLine="561" w:firstLineChars="0"/>
        <w:jc w:val="center"/>
        <w:textAlignment w:val="auto"/>
        <w:rPr>
          <w:rFonts w:hint="default" w:ascii="Times New Roman" w:hAnsi="Times New Roman" w:cs="Times New Roman"/>
          <w:bCs/>
          <w:color w:val="auto"/>
          <w:sz w:val="28"/>
        </w:rPr>
      </w:pPr>
      <w:r>
        <w:rPr>
          <w:rFonts w:hint="default" w:ascii="Times New Roman" w:hAnsi="Times New Roman" w:cs="Times New Roman"/>
          <w:bCs/>
          <w:color w:val="auto"/>
          <w:sz w:val="28"/>
        </w:rPr>
        <w:t>中国石油化工股份有限公司胜利油田分公司石油化工总厂</w:t>
      </w:r>
    </w:p>
    <w:p w14:paraId="0E86DF97">
      <w:pPr>
        <w:spacing w:line="240" w:lineRule="auto"/>
        <w:ind w:firstLine="560" w:firstLineChars="0"/>
        <w:jc w:val="center"/>
        <w:rPr>
          <w:rFonts w:hint="default" w:ascii="Times New Roman" w:hAnsi="Times New Roman" w:cs="Times New Roman"/>
          <w:bCs/>
          <w:color w:val="auto"/>
          <w:sz w:val="28"/>
        </w:rPr>
      </w:pPr>
    </w:p>
    <w:p w14:paraId="6071F63B">
      <w:pPr>
        <w:spacing w:line="240" w:lineRule="auto"/>
        <w:ind w:firstLine="560" w:firstLineChars="0"/>
        <w:jc w:val="center"/>
        <w:rPr>
          <w:rFonts w:hint="default" w:ascii="Times New Roman" w:hAnsi="Times New Roman" w:cs="Times New Roman"/>
          <w:bCs/>
          <w:color w:val="auto"/>
          <w:sz w:val="28"/>
        </w:rPr>
      </w:pPr>
      <w:r>
        <w:rPr>
          <w:rFonts w:hint="default" w:ascii="Times New Roman" w:hAnsi="Times New Roman" w:cs="Times New Roman"/>
          <w:bCs/>
          <w:color w:val="auto"/>
          <w:sz w:val="28"/>
        </w:rPr>
        <w:t>202</w:t>
      </w:r>
      <w:r>
        <w:rPr>
          <w:rFonts w:hint="default" w:ascii="Times New Roman" w:hAnsi="Times New Roman" w:cs="Times New Roman"/>
          <w:bCs/>
          <w:color w:val="auto"/>
          <w:sz w:val="28"/>
          <w:lang w:val="en-US" w:eastAsia="zh-CN"/>
        </w:rPr>
        <w:t>4</w:t>
      </w:r>
      <w:r>
        <w:rPr>
          <w:rFonts w:hint="default" w:ascii="Times New Roman" w:hAnsi="Times New Roman" w:cs="Times New Roman"/>
          <w:bCs/>
          <w:color w:val="auto"/>
          <w:sz w:val="28"/>
        </w:rPr>
        <w:t>年</w:t>
      </w:r>
      <w:r>
        <w:rPr>
          <w:rFonts w:hint="eastAsia" w:ascii="Times New Roman" w:hAnsi="Times New Roman" w:cs="Times New Roman"/>
          <w:bCs/>
          <w:color w:val="auto"/>
          <w:sz w:val="28"/>
          <w:lang w:val="en-US" w:eastAsia="zh-CN"/>
        </w:rPr>
        <w:t>7</w:t>
      </w:r>
      <w:r>
        <w:rPr>
          <w:rFonts w:hint="default" w:ascii="Times New Roman" w:hAnsi="Times New Roman" w:cs="Times New Roman"/>
          <w:bCs/>
          <w:color w:val="auto"/>
          <w:sz w:val="28"/>
        </w:rPr>
        <w:t>月</w:t>
      </w:r>
    </w:p>
    <w:p w14:paraId="72BBB368">
      <w:pPr>
        <w:snapToGrid w:val="0"/>
        <w:spacing w:line="360" w:lineRule="auto"/>
        <w:ind w:firstLine="560"/>
        <w:jc w:val="center"/>
        <w:rPr>
          <w:rFonts w:hint="default" w:ascii="Times New Roman" w:hAnsi="Times New Roman" w:cs="Times New Roman"/>
          <w:b/>
          <w:color w:val="auto"/>
          <w:sz w:val="28"/>
        </w:rPr>
      </w:pPr>
      <w:r>
        <w:rPr>
          <w:rFonts w:hint="default" w:ascii="Times New Roman" w:hAnsi="Times New Roman" w:cs="Times New Roman"/>
          <w:b/>
          <w:color w:val="auto"/>
          <w:sz w:val="28"/>
        </w:rPr>
        <w:br w:type="page"/>
      </w:r>
    </w:p>
    <w:p w14:paraId="719A258E">
      <w:pPr>
        <w:pStyle w:val="19"/>
        <w:rPr>
          <w:rFonts w:hint="default" w:ascii="Times New Roman" w:hAnsi="Times New Roman" w:cs="Times New Roman"/>
          <w:b/>
          <w:color w:val="auto"/>
          <w:sz w:val="28"/>
        </w:rPr>
      </w:pPr>
    </w:p>
    <w:p w14:paraId="64E27BF6">
      <w:pPr>
        <w:rPr>
          <w:rFonts w:hint="default"/>
          <w:color w:val="auto"/>
        </w:rPr>
        <w:sectPr>
          <w:headerReference r:id="rId5" w:type="default"/>
          <w:pgSz w:w="11906" w:h="16838"/>
          <w:pgMar w:top="1440" w:right="1080" w:bottom="1440" w:left="1080" w:header="851" w:footer="992" w:gutter="0"/>
          <w:pgBorders>
            <w:top w:val="none" w:sz="0" w:space="0"/>
            <w:left w:val="none" w:sz="0" w:space="0"/>
            <w:bottom w:val="none" w:sz="0" w:space="0"/>
            <w:right w:val="none" w:sz="0" w:space="0"/>
          </w:pgBorders>
          <w:cols w:space="720" w:num="1"/>
          <w:docGrid w:linePitch="312" w:charSpace="0"/>
        </w:sectPr>
      </w:pPr>
    </w:p>
    <w:p w14:paraId="26EEAC6F">
      <w:pPr>
        <w:snapToGrid w:val="0"/>
        <w:spacing w:line="360" w:lineRule="auto"/>
        <w:ind w:firstLine="640" w:firstLineChars="0"/>
        <w:jc w:val="center"/>
        <w:rPr>
          <w:rFonts w:hint="default" w:ascii="Times New Roman" w:hAnsi="Times New Roman" w:cs="Times New Roman"/>
          <w:b/>
          <w:bCs/>
          <w:color w:val="auto"/>
          <w:kern w:val="0"/>
          <w:sz w:val="32"/>
          <w:szCs w:val="32"/>
        </w:rPr>
      </w:pPr>
    </w:p>
    <w:p w14:paraId="738F65BD">
      <w:pPr>
        <w:spacing w:line="240" w:lineRule="auto"/>
        <w:ind w:firstLine="0" w:firstLineChars="0"/>
        <w:jc w:val="both"/>
        <w:rPr>
          <w:rFonts w:hint="default" w:ascii="Times New Roman" w:hAnsi="Times New Roman" w:cs="Times New Roman"/>
          <w:color w:val="auto"/>
          <w:kern w:val="0"/>
          <w:sz w:val="21"/>
          <w:szCs w:val="21"/>
        </w:rPr>
      </w:pPr>
    </w:p>
    <w:p w14:paraId="6B7A6EB6">
      <w:pPr>
        <w:snapToGrid w:val="0"/>
        <w:spacing w:line="360" w:lineRule="auto"/>
        <w:ind w:firstLine="0" w:firstLineChars="0"/>
        <w:jc w:val="center"/>
        <w:rPr>
          <w:rFonts w:hint="default" w:ascii="Times New Roman" w:hAnsi="Times New Roman" w:cs="Times New Roman"/>
          <w:b/>
          <w:color w:val="auto"/>
          <w:sz w:val="44"/>
          <w:szCs w:val="44"/>
        </w:rPr>
      </w:pPr>
      <w:r>
        <w:rPr>
          <w:rFonts w:hint="default" w:ascii="Times New Roman" w:hAnsi="Times New Roman" w:cs="Times New Roman"/>
          <w:b/>
          <w:color w:val="auto"/>
          <w:sz w:val="44"/>
          <w:szCs w:val="44"/>
        </w:rPr>
        <w:t>中国石油化工股份有限公司</w:t>
      </w:r>
    </w:p>
    <w:p w14:paraId="6E664D52">
      <w:pPr>
        <w:snapToGrid w:val="0"/>
        <w:spacing w:line="360" w:lineRule="auto"/>
        <w:ind w:firstLine="0" w:firstLineChars="0"/>
        <w:jc w:val="center"/>
        <w:rPr>
          <w:rFonts w:hint="default" w:ascii="Times New Roman" w:hAnsi="Times New Roman" w:cs="Times New Roman"/>
          <w:color w:val="auto"/>
          <w:sz w:val="44"/>
          <w:szCs w:val="44"/>
        </w:rPr>
      </w:pPr>
      <w:r>
        <w:rPr>
          <w:rFonts w:hint="default" w:ascii="Times New Roman" w:hAnsi="Times New Roman" w:cs="Times New Roman"/>
          <w:b/>
          <w:color w:val="auto"/>
          <w:sz w:val="44"/>
          <w:szCs w:val="44"/>
        </w:rPr>
        <w:t>胜利油田分公司石油化工总厂</w:t>
      </w:r>
    </w:p>
    <w:p w14:paraId="0679E5C3">
      <w:pPr>
        <w:snapToGrid w:val="0"/>
        <w:spacing w:line="360" w:lineRule="auto"/>
        <w:ind w:firstLine="0" w:firstLineChars="0"/>
        <w:jc w:val="center"/>
        <w:rPr>
          <w:rFonts w:hint="default" w:ascii="Times New Roman" w:hAnsi="Times New Roman" w:eastAsia="宋体" w:cs="Times New Roman"/>
          <w:color w:val="auto"/>
          <w:sz w:val="21"/>
          <w:lang w:eastAsia="zh-CN"/>
        </w:rPr>
      </w:pPr>
      <w:r>
        <w:rPr>
          <w:rFonts w:hint="default" w:ascii="Times New Roman" w:hAnsi="Times New Roman" w:cs="Times New Roman"/>
          <w:b/>
          <w:bCs/>
          <w:color w:val="auto"/>
          <w:kern w:val="0"/>
          <w:sz w:val="44"/>
          <w:szCs w:val="44"/>
          <w:lang w:eastAsia="zh-CN" w:bidi="ar"/>
        </w:rPr>
        <w:t>储运二部装卸车</w:t>
      </w:r>
      <w:r>
        <w:rPr>
          <w:rFonts w:hint="eastAsia" w:ascii="Times New Roman" w:hAnsi="Times New Roman" w:cs="Times New Roman"/>
          <w:b/>
          <w:bCs/>
          <w:color w:val="auto"/>
          <w:kern w:val="0"/>
          <w:sz w:val="44"/>
          <w:szCs w:val="44"/>
          <w:lang w:val="en-US" w:eastAsia="zh-CN" w:bidi="ar"/>
        </w:rPr>
        <w:t>废气</w:t>
      </w:r>
      <w:r>
        <w:rPr>
          <w:rFonts w:hint="default" w:ascii="Times New Roman" w:hAnsi="Times New Roman" w:cs="Times New Roman"/>
          <w:b/>
          <w:bCs/>
          <w:color w:val="auto"/>
          <w:kern w:val="0"/>
          <w:sz w:val="44"/>
          <w:szCs w:val="44"/>
          <w:lang w:eastAsia="zh-CN" w:bidi="ar"/>
        </w:rPr>
        <w:t>治理项目</w:t>
      </w:r>
    </w:p>
    <w:p w14:paraId="08389AA2">
      <w:pPr>
        <w:snapToGrid w:val="0"/>
        <w:spacing w:line="360" w:lineRule="auto"/>
        <w:ind w:firstLine="640" w:firstLineChars="0"/>
        <w:jc w:val="center"/>
        <w:rPr>
          <w:rFonts w:hint="default" w:ascii="Times New Roman" w:hAnsi="Times New Roman" w:cs="Times New Roman"/>
          <w:b/>
          <w:bCs/>
          <w:color w:val="auto"/>
          <w:kern w:val="0"/>
          <w:sz w:val="32"/>
          <w:szCs w:val="32"/>
        </w:rPr>
      </w:pPr>
    </w:p>
    <w:p w14:paraId="666D48BC">
      <w:pPr>
        <w:snapToGrid w:val="0"/>
        <w:spacing w:line="360" w:lineRule="auto"/>
        <w:ind w:firstLine="0" w:firstLineChars="0"/>
        <w:jc w:val="center"/>
        <w:rPr>
          <w:rFonts w:hint="default" w:ascii="Times New Roman" w:hAnsi="Times New Roman" w:cs="Times New Roman"/>
          <w:b/>
          <w:bCs/>
          <w:color w:val="auto"/>
          <w:spacing w:val="60"/>
          <w:kern w:val="0"/>
          <w:sz w:val="44"/>
          <w:szCs w:val="44"/>
          <w:lang w:val="en-US"/>
        </w:rPr>
      </w:pPr>
      <w:r>
        <w:rPr>
          <w:rFonts w:hint="default" w:ascii="Times New Roman" w:hAnsi="Times New Roman" w:cs="Times New Roman"/>
          <w:b/>
          <w:bCs/>
          <w:color w:val="auto"/>
          <w:spacing w:val="60"/>
          <w:kern w:val="0"/>
          <w:sz w:val="44"/>
          <w:szCs w:val="44"/>
        </w:rPr>
        <w:t>安全</w:t>
      </w:r>
      <w:r>
        <w:rPr>
          <w:rFonts w:hint="eastAsia" w:ascii="Times New Roman" w:hAnsi="Times New Roman" w:cs="Times New Roman"/>
          <w:b/>
          <w:bCs/>
          <w:color w:val="auto"/>
          <w:spacing w:val="60"/>
          <w:kern w:val="0"/>
          <w:sz w:val="44"/>
          <w:szCs w:val="44"/>
          <w:lang w:val="en-US" w:eastAsia="zh-CN"/>
        </w:rPr>
        <w:t>预评价</w:t>
      </w:r>
      <w:r>
        <w:rPr>
          <w:rFonts w:hint="default" w:ascii="Times New Roman" w:hAnsi="Times New Roman" w:cs="Times New Roman"/>
          <w:b/>
          <w:bCs/>
          <w:color w:val="auto"/>
          <w:spacing w:val="60"/>
          <w:kern w:val="0"/>
          <w:sz w:val="44"/>
          <w:szCs w:val="44"/>
          <w:lang w:val="en-US" w:eastAsia="zh-CN"/>
        </w:rPr>
        <w:t>报告</w:t>
      </w:r>
    </w:p>
    <w:p w14:paraId="1075DBB0">
      <w:pPr>
        <w:snapToGrid w:val="0"/>
        <w:spacing w:line="360" w:lineRule="auto"/>
        <w:ind w:firstLine="0" w:firstLineChars="0"/>
        <w:jc w:val="center"/>
        <w:rPr>
          <w:rFonts w:hint="default" w:ascii="Times New Roman" w:hAnsi="Times New Roman" w:cs="Times New Roman"/>
          <w:b/>
          <w:bCs/>
          <w:color w:val="auto"/>
          <w:kern w:val="0"/>
          <w:sz w:val="32"/>
          <w:szCs w:val="32"/>
        </w:rPr>
      </w:pPr>
    </w:p>
    <w:p w14:paraId="4BAC0C77">
      <w:pPr>
        <w:snapToGrid w:val="0"/>
        <w:spacing w:line="360" w:lineRule="auto"/>
        <w:ind w:firstLine="640" w:firstLineChars="0"/>
        <w:jc w:val="both"/>
        <w:rPr>
          <w:rFonts w:hint="default" w:ascii="Times New Roman" w:hAnsi="Times New Roman" w:cs="Times New Roman"/>
          <w:b/>
          <w:bCs/>
          <w:color w:val="auto"/>
          <w:kern w:val="0"/>
          <w:sz w:val="32"/>
          <w:szCs w:val="32"/>
        </w:rPr>
      </w:pPr>
    </w:p>
    <w:p w14:paraId="3E94EA36">
      <w:pPr>
        <w:snapToGrid w:val="0"/>
        <w:spacing w:line="360" w:lineRule="auto"/>
        <w:ind w:firstLine="640" w:firstLineChars="0"/>
        <w:jc w:val="both"/>
        <w:rPr>
          <w:rFonts w:hint="default" w:ascii="Times New Roman" w:hAnsi="Times New Roman" w:cs="Times New Roman"/>
          <w:b/>
          <w:bCs/>
          <w:color w:val="auto"/>
          <w:kern w:val="0"/>
          <w:sz w:val="32"/>
          <w:szCs w:val="32"/>
        </w:rPr>
      </w:pPr>
    </w:p>
    <w:p w14:paraId="4780D992">
      <w:pPr>
        <w:snapToGrid w:val="0"/>
        <w:spacing w:line="360" w:lineRule="auto"/>
        <w:ind w:firstLine="640" w:firstLineChars="0"/>
        <w:jc w:val="both"/>
        <w:rPr>
          <w:rFonts w:hint="default" w:ascii="Times New Roman" w:hAnsi="Times New Roman" w:cs="Times New Roman"/>
          <w:b/>
          <w:bCs/>
          <w:color w:val="auto"/>
          <w:kern w:val="0"/>
          <w:sz w:val="32"/>
          <w:szCs w:val="32"/>
        </w:rPr>
      </w:pPr>
    </w:p>
    <w:p w14:paraId="2FEF8EA1">
      <w:pPr>
        <w:adjustRightInd w:val="0"/>
        <w:snapToGrid w:val="0"/>
        <w:spacing w:line="360" w:lineRule="auto"/>
        <w:ind w:firstLine="640" w:firstLineChars="0"/>
        <w:jc w:val="both"/>
        <w:rPr>
          <w:rFonts w:hint="default" w:ascii="Times New Roman" w:hAnsi="Times New Roman" w:cs="Times New Roman"/>
          <w:b/>
          <w:bCs/>
          <w:color w:val="auto"/>
          <w:kern w:val="0"/>
          <w:sz w:val="32"/>
          <w:szCs w:val="32"/>
        </w:rPr>
      </w:pPr>
    </w:p>
    <w:p w14:paraId="1AB96E35">
      <w:pPr>
        <w:adjustRightInd w:val="0"/>
        <w:snapToGrid w:val="0"/>
        <w:spacing w:line="360" w:lineRule="auto"/>
        <w:ind w:left="1820" w:leftChars="650" w:right="-454" w:rightChars="-162" w:firstLine="0" w:firstLineChars="0"/>
        <w:jc w:val="both"/>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评价机构名称：山东实华安全技术有限公司</w:t>
      </w:r>
    </w:p>
    <w:p w14:paraId="3983A1DD">
      <w:pPr>
        <w:adjustRightInd w:val="0"/>
        <w:snapToGrid w:val="0"/>
        <w:spacing w:line="360" w:lineRule="auto"/>
        <w:ind w:left="1820" w:leftChars="650" w:firstLine="0" w:firstLineChars="0"/>
        <w:jc w:val="both"/>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资质证书编号：APJ-（鲁）-013</w:t>
      </w:r>
    </w:p>
    <w:p w14:paraId="68F2E939">
      <w:pPr>
        <w:adjustRightInd w:val="0"/>
        <w:snapToGrid w:val="0"/>
        <w:spacing w:line="360" w:lineRule="auto"/>
        <w:ind w:left="1820" w:leftChars="650" w:firstLine="0" w:firstLineChars="0"/>
        <w:jc w:val="both"/>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法定代表人：任红艳</w:t>
      </w:r>
    </w:p>
    <w:p w14:paraId="380DCE2A">
      <w:pPr>
        <w:adjustRightInd w:val="0"/>
        <w:snapToGrid w:val="0"/>
        <w:spacing w:line="360" w:lineRule="auto"/>
        <w:ind w:left="1820" w:leftChars="650" w:firstLine="0" w:firstLineChars="0"/>
        <w:jc w:val="both"/>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技术负责人：吴佳东</w:t>
      </w:r>
    </w:p>
    <w:p w14:paraId="2D47CEBA">
      <w:pPr>
        <w:adjustRightInd w:val="0"/>
        <w:snapToGrid w:val="0"/>
        <w:spacing w:line="360" w:lineRule="auto"/>
        <w:ind w:left="1820" w:leftChars="650" w:firstLine="0" w:firstLineChars="0"/>
        <w:jc w:val="both"/>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项目负责人：林更鹏</w:t>
      </w:r>
    </w:p>
    <w:p w14:paraId="75F7DC3A">
      <w:pPr>
        <w:adjustRightInd w:val="0"/>
        <w:snapToGrid w:val="0"/>
        <w:spacing w:line="360" w:lineRule="auto"/>
        <w:ind w:left="1820" w:leftChars="650" w:firstLine="0" w:firstLineChars="0"/>
        <w:jc w:val="both"/>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评价机构联系电话：0546-8176702</w:t>
      </w:r>
    </w:p>
    <w:p w14:paraId="41E7ADAE">
      <w:pPr>
        <w:adjustRightInd w:val="0"/>
        <w:snapToGrid w:val="0"/>
        <w:spacing w:line="360" w:lineRule="auto"/>
        <w:ind w:left="1820" w:leftChars="650" w:firstLine="562" w:firstLineChars="0"/>
        <w:jc w:val="both"/>
        <w:rPr>
          <w:rFonts w:hint="default" w:ascii="Times New Roman" w:hAnsi="Times New Roman" w:cs="Times New Roman"/>
          <w:color w:val="auto"/>
          <w:kern w:val="0"/>
          <w:sz w:val="28"/>
          <w:szCs w:val="28"/>
        </w:rPr>
      </w:pPr>
    </w:p>
    <w:p w14:paraId="73D91DE4">
      <w:pPr>
        <w:snapToGrid w:val="0"/>
        <w:spacing w:line="360" w:lineRule="auto"/>
        <w:ind w:firstLine="643" w:firstLineChars="0"/>
        <w:jc w:val="both"/>
        <w:rPr>
          <w:rFonts w:hint="default" w:ascii="Times New Roman" w:hAnsi="Times New Roman" w:cs="Times New Roman"/>
          <w:color w:val="auto"/>
          <w:kern w:val="0"/>
          <w:sz w:val="32"/>
          <w:szCs w:val="32"/>
        </w:rPr>
      </w:pPr>
    </w:p>
    <w:p w14:paraId="1551A05A">
      <w:pPr>
        <w:snapToGrid w:val="0"/>
        <w:spacing w:line="360" w:lineRule="auto"/>
        <w:ind w:firstLine="0" w:firstLineChars="0"/>
        <w:jc w:val="center"/>
        <w:rPr>
          <w:rFonts w:hint="default" w:ascii="Times New Roman" w:hAnsi="Times New Roman" w:cs="Times New Roman"/>
          <w:bCs/>
          <w:color w:val="auto"/>
          <w:kern w:val="0"/>
          <w:sz w:val="28"/>
          <w:szCs w:val="28"/>
        </w:rPr>
      </w:pPr>
      <w:r>
        <w:rPr>
          <w:rFonts w:hint="default" w:ascii="Times New Roman" w:hAnsi="Times New Roman" w:cs="Times New Roman"/>
          <w:bCs/>
          <w:color w:val="auto"/>
          <w:kern w:val="0"/>
          <w:sz w:val="28"/>
          <w:szCs w:val="28"/>
        </w:rPr>
        <w:t>（安全评价机构公章）</w:t>
      </w:r>
    </w:p>
    <w:p w14:paraId="7552690B">
      <w:pPr>
        <w:snapToGrid w:val="0"/>
        <w:spacing w:line="360" w:lineRule="auto"/>
        <w:ind w:firstLine="0" w:firstLineChars="0"/>
        <w:jc w:val="center"/>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202</w:t>
      </w:r>
      <w:r>
        <w:rPr>
          <w:rFonts w:hint="default" w:ascii="Times New Roman" w:hAnsi="Times New Roman" w:cs="Times New Roman"/>
          <w:color w:val="auto"/>
          <w:kern w:val="0"/>
          <w:sz w:val="28"/>
          <w:szCs w:val="28"/>
          <w:lang w:val="en-US" w:eastAsia="zh-CN"/>
        </w:rPr>
        <w:t>4</w:t>
      </w:r>
      <w:r>
        <w:rPr>
          <w:rFonts w:hint="default" w:ascii="Times New Roman" w:hAnsi="Times New Roman" w:cs="Times New Roman"/>
          <w:color w:val="auto"/>
          <w:kern w:val="0"/>
          <w:sz w:val="28"/>
          <w:szCs w:val="28"/>
        </w:rPr>
        <w:t>年</w:t>
      </w:r>
      <w:r>
        <w:rPr>
          <w:rFonts w:hint="eastAsia" w:ascii="Times New Roman" w:hAnsi="Times New Roman" w:cs="Times New Roman"/>
          <w:color w:val="auto"/>
          <w:kern w:val="0"/>
          <w:sz w:val="28"/>
          <w:szCs w:val="28"/>
          <w:lang w:val="en-US" w:eastAsia="zh-CN"/>
        </w:rPr>
        <w:t>7</w:t>
      </w:r>
      <w:r>
        <w:rPr>
          <w:rFonts w:hint="default" w:ascii="Times New Roman" w:hAnsi="Times New Roman" w:cs="Times New Roman"/>
          <w:color w:val="auto"/>
          <w:kern w:val="0"/>
          <w:sz w:val="28"/>
          <w:szCs w:val="28"/>
        </w:rPr>
        <w:t>月</w:t>
      </w:r>
    </w:p>
    <w:p w14:paraId="5B778234">
      <w:pPr>
        <w:snapToGrid w:val="0"/>
        <w:spacing w:line="360" w:lineRule="auto"/>
        <w:ind w:firstLine="0" w:firstLineChars="0"/>
        <w:jc w:val="center"/>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br w:type="page"/>
      </w:r>
    </w:p>
    <w:p w14:paraId="698DAD2D">
      <w:pPr>
        <w:snapToGrid w:val="0"/>
        <w:spacing w:line="360" w:lineRule="auto"/>
        <w:ind w:firstLine="0" w:firstLineChars="0"/>
        <w:jc w:val="center"/>
        <w:rPr>
          <w:rFonts w:hint="default" w:ascii="Times New Roman" w:hAnsi="Times New Roman" w:cs="Times New Roman"/>
          <w:color w:val="auto"/>
          <w:kern w:val="0"/>
          <w:sz w:val="28"/>
          <w:szCs w:val="28"/>
        </w:rPr>
      </w:pPr>
    </w:p>
    <w:p w14:paraId="2F71CA05">
      <w:pPr>
        <w:snapToGrid w:val="0"/>
        <w:spacing w:line="360" w:lineRule="auto"/>
        <w:ind w:firstLine="0" w:firstLineChars="0"/>
        <w:jc w:val="center"/>
        <w:rPr>
          <w:rFonts w:hint="default" w:ascii="Times New Roman" w:hAnsi="Times New Roman" w:cs="Times New Roman"/>
          <w:color w:val="auto"/>
          <w:kern w:val="0"/>
          <w:sz w:val="28"/>
          <w:szCs w:val="28"/>
          <w:shd w:val="clear" w:color="FFFFFF" w:fill="D9D9D9"/>
        </w:rPr>
      </w:pPr>
    </w:p>
    <w:p w14:paraId="35C95741">
      <w:pPr>
        <w:snapToGrid w:val="0"/>
        <w:spacing w:line="360" w:lineRule="auto"/>
        <w:ind w:firstLine="0" w:firstLineChars="0"/>
        <w:jc w:val="center"/>
        <w:rPr>
          <w:rFonts w:hint="default" w:ascii="Times New Roman" w:hAnsi="Times New Roman" w:eastAsia="黑体" w:cs="Times New Roman"/>
          <w:color w:val="auto"/>
          <w:sz w:val="32"/>
          <w:szCs w:val="32"/>
        </w:rPr>
      </w:pPr>
      <w:r>
        <w:rPr>
          <w:rFonts w:hint="default" w:ascii="Times New Roman" w:hAnsi="Times New Roman" w:cs="Times New Roman"/>
          <w:color w:val="auto"/>
          <w:kern w:val="0"/>
          <w:sz w:val="28"/>
          <w:szCs w:val="28"/>
          <w:shd w:val="clear" w:color="FFFFFF" w:fill="D9D9D9"/>
        </w:rPr>
        <w:br w:type="page"/>
      </w:r>
      <w:r>
        <w:rPr>
          <w:rFonts w:hint="default" w:ascii="Times New Roman" w:hAnsi="Times New Roman" w:eastAsia="黑体" w:cs="Times New Roman"/>
          <w:color w:val="auto"/>
          <w:sz w:val="32"/>
          <w:szCs w:val="32"/>
        </w:rPr>
        <w:t>前言</w:t>
      </w:r>
    </w:p>
    <w:p w14:paraId="2D73A56A">
      <w:pPr>
        <w:pStyle w:val="6"/>
        <w:bidi w:val="0"/>
        <w:rPr>
          <w:rFonts w:hint="default" w:ascii="Times New Roman" w:hAnsi="Times New Roman" w:cs="Times New Roman"/>
          <w:color w:val="auto"/>
        </w:rPr>
      </w:pPr>
      <w:r>
        <w:rPr>
          <w:rFonts w:hint="default" w:ascii="Times New Roman" w:hAnsi="Times New Roman" w:cs="Times New Roman"/>
          <w:color w:val="auto"/>
        </w:rPr>
        <w:t>中国石油化工股份有限公司胜利油田分公司石油化工总厂（以下简称石油化工总厂），位于东营市东营区郝纯路，全厂占地面积2.3平方公里。其前身为稠油处理厂，于1996年6月，公司更名为石油化工总厂。经营范围：许可项目：危险化学品生产。</w:t>
      </w:r>
      <w:r>
        <w:rPr>
          <w:rFonts w:hint="eastAsia" w:cs="Times New Roman"/>
          <w:color w:val="auto"/>
          <w:lang w:eastAsia="zh-CN"/>
        </w:rPr>
        <w:t>（</w:t>
      </w:r>
      <w:r>
        <w:rPr>
          <w:rFonts w:hint="default" w:ascii="Times New Roman" w:hAnsi="Times New Roman" w:cs="Times New Roman"/>
          <w:color w:val="auto"/>
        </w:rPr>
        <w:t>依法须经批准的项目，经相关部门批准后方可开展经营活动，具体经营项目以相关部门批准文件或许可证件为准）一般项目：石油制品制造（不含危险化学品）；石油制品销售（不含危险化学品）；化工产品生产（不含许可类化工产品）；化工产品销售（不含许可类化工产品）；机械零件、零部件加工；仪器仪表修理；电气设备修理；货物进出口；计量技术服务。</w:t>
      </w:r>
      <w:r>
        <w:rPr>
          <w:rFonts w:hint="eastAsia" w:cs="Times New Roman"/>
          <w:color w:val="auto"/>
          <w:lang w:eastAsia="zh-CN"/>
        </w:rPr>
        <w:t>（</w:t>
      </w:r>
      <w:r>
        <w:rPr>
          <w:rFonts w:hint="default" w:ascii="Times New Roman" w:hAnsi="Times New Roman" w:cs="Times New Roman"/>
          <w:color w:val="auto"/>
        </w:rPr>
        <w:t>除依法须经批准的项目外，凭营业执照依法自主开展经营活动）。</w:t>
      </w:r>
    </w:p>
    <w:p w14:paraId="3728F78D">
      <w:pPr>
        <w:pStyle w:val="6"/>
        <w:bidi w:val="0"/>
        <w:rPr>
          <w:rFonts w:hint="default" w:ascii="Times New Roman" w:hAnsi="Times New Roman" w:cs="Times New Roman"/>
          <w:color w:val="auto"/>
        </w:rPr>
      </w:pPr>
      <w:r>
        <w:rPr>
          <w:rFonts w:hint="default" w:ascii="Times New Roman" w:hAnsi="Times New Roman" w:cs="Times New Roman"/>
          <w:color w:val="auto"/>
        </w:rPr>
        <w:t>石油化工总厂获得山东省应急管理厅颁发的《安全生产许可证》（鲁）WH安许证字[2023]000060号，有效期为2023年7月8日至2026年7月7日，许可范围：汽油70.07万吨/年、轻柴油149万吨/年、液化石油气16.12万吨/年、硫磺1万吨/年、丙烯7.22万吨/年、碳五碳六轻石脑油（正戊烷75.04%）6万吨/年、MTBE4万吨/年、液氨0.234万吨/年、氢气0.1万吨/年、石脑油17.34万吨/年。中间产品：汽油55.87万吨/年、柴油144.13万吨/年、液化石油气36.84万吨/年、氢气2.97万吨/年、干气1.83万吨/年、石脑油16.48万吨/年。</w:t>
      </w:r>
    </w:p>
    <w:p w14:paraId="0CE4348C">
      <w:pPr>
        <w:pStyle w:val="6"/>
        <w:bidi w:val="0"/>
        <w:rPr>
          <w:rFonts w:hint="default" w:ascii="Times New Roman" w:hAnsi="Times New Roman" w:cs="Times New Roman"/>
          <w:color w:val="auto"/>
        </w:rPr>
      </w:pPr>
      <w:r>
        <w:rPr>
          <w:rFonts w:hint="default" w:ascii="Times New Roman" w:hAnsi="Times New Roman" w:cs="Times New Roman"/>
          <w:color w:val="auto"/>
        </w:rPr>
        <w:t>石油化工总厂于2020年6月5日取得危险化学品登记证，证书编号37052300118，有效期为2023年06月07日至2026年06月06日。</w:t>
      </w:r>
    </w:p>
    <w:p w14:paraId="70463172">
      <w:pPr>
        <w:pStyle w:val="6"/>
        <w:bidi w:val="0"/>
        <w:jc w:val="both"/>
        <w:rPr>
          <w:rFonts w:hint="default" w:ascii="Times New Roman" w:hAnsi="Times New Roman" w:cs="Times New Roman"/>
          <w:color w:val="auto"/>
          <w:lang w:val="en-US" w:eastAsia="zh-CN"/>
        </w:rPr>
      </w:pPr>
      <w:r>
        <w:rPr>
          <w:rFonts w:hint="eastAsia"/>
          <w:b/>
          <w:bCs/>
        </w:rPr>
        <w:t>涉及企业机密，不予公开。</w:t>
      </w:r>
      <w:r>
        <w:rPr>
          <w:rFonts w:hint="eastAsia" w:cs="Times New Roman"/>
          <w:color w:val="auto"/>
          <w:lang w:val="en-US" w:eastAsia="zh-CN"/>
        </w:rPr>
        <w:t>本项目属于</w:t>
      </w:r>
      <w:r>
        <w:rPr>
          <w:color w:val="auto"/>
        </w:rPr>
        <w:t>新建</w:t>
      </w:r>
      <w:r>
        <w:rPr>
          <w:rFonts w:hint="eastAsia"/>
          <w:color w:val="auto"/>
          <w:lang w:val="en-US" w:eastAsia="zh-CN"/>
        </w:rPr>
        <w:t>非</w:t>
      </w:r>
      <w:r>
        <w:rPr>
          <w:color w:val="auto"/>
        </w:rPr>
        <w:t>危险化学品</w:t>
      </w:r>
      <w:r>
        <w:rPr>
          <w:rFonts w:hint="eastAsia"/>
          <w:color w:val="auto"/>
          <w:lang w:val="en-US" w:eastAsia="zh-CN"/>
        </w:rPr>
        <w:t>建设</w:t>
      </w:r>
      <w:r>
        <w:rPr>
          <w:color w:val="auto"/>
        </w:rPr>
        <w:t>项目。</w:t>
      </w:r>
    </w:p>
    <w:p w14:paraId="0332A4C5">
      <w:pPr>
        <w:pStyle w:val="6"/>
        <w:bidi w:val="0"/>
        <w:rPr>
          <w:rFonts w:hint="default" w:ascii="Times New Roman" w:hAnsi="Times New Roman" w:cs="Times New Roman"/>
          <w:color w:val="auto"/>
        </w:rPr>
      </w:pPr>
      <w:r>
        <w:rPr>
          <w:rFonts w:hint="default" w:ascii="Times New Roman" w:hAnsi="Times New Roman" w:cs="Times New Roman"/>
          <w:color w:val="auto"/>
        </w:rPr>
        <w:t>为贯彻</w:t>
      </w:r>
      <w:r>
        <w:rPr>
          <w:rFonts w:hint="default" w:ascii="Times New Roman" w:hAnsi="Times New Roman" w:cs="Times New Roman"/>
          <w:color w:val="auto"/>
          <w:lang w:eastAsia="zh-CN"/>
        </w:rPr>
        <w:t>“</w:t>
      </w:r>
      <w:r>
        <w:rPr>
          <w:rFonts w:hint="default" w:ascii="Times New Roman" w:hAnsi="Times New Roman" w:cs="Times New Roman"/>
          <w:color w:val="auto"/>
        </w:rPr>
        <w:t>安全第一、预防为主、综合治理</w:t>
      </w:r>
      <w:r>
        <w:rPr>
          <w:rFonts w:hint="eastAsia" w:cs="Times New Roman"/>
          <w:color w:val="auto"/>
          <w:lang w:eastAsia="zh-CN"/>
        </w:rPr>
        <w:t>”</w:t>
      </w:r>
      <w:r>
        <w:rPr>
          <w:rFonts w:hint="default" w:ascii="Times New Roman" w:hAnsi="Times New Roman" w:cs="Times New Roman"/>
          <w:color w:val="auto"/>
        </w:rPr>
        <w:t>的方针，确保建设项目在安全方面符合国家的有关法律、法规、标准和规定，根据《中华人民共和国安全生产法》（中华人民共和国主席令[2002]第70号发布，中华人民共和国主席令[2009]第18号修正，中华人民共和国主席令[2014]第13号修正，中华人民共和国主席令[2021]第88号修正）、</w:t>
      </w:r>
      <w:r>
        <w:rPr>
          <w:rFonts w:hint="default" w:ascii="Times New Roman" w:hAnsi="Times New Roman" w:eastAsia="宋体" w:cs="Times New Roman"/>
          <w:color w:val="auto"/>
          <w:kern w:val="0"/>
          <w:sz w:val="28"/>
          <w:szCs w:val="28"/>
        </w:rPr>
        <w:t>《建设项目安全设施</w:t>
      </w:r>
      <w:r>
        <w:rPr>
          <w:rFonts w:hint="default" w:ascii="Times New Roman" w:hAnsi="Times New Roman" w:cs="Times New Roman"/>
          <w:color w:val="auto"/>
          <w:kern w:val="0"/>
          <w:sz w:val="28"/>
          <w:szCs w:val="28"/>
          <w:lang w:eastAsia="zh-CN"/>
        </w:rPr>
        <w:t>“</w:t>
      </w:r>
      <w:r>
        <w:rPr>
          <w:rFonts w:hint="default" w:ascii="Times New Roman" w:hAnsi="Times New Roman" w:eastAsia="宋体" w:cs="Times New Roman"/>
          <w:color w:val="auto"/>
          <w:kern w:val="0"/>
          <w:sz w:val="28"/>
          <w:szCs w:val="28"/>
        </w:rPr>
        <w:t>三同时</w:t>
      </w:r>
      <w:r>
        <w:rPr>
          <w:rFonts w:hint="default" w:ascii="Times New Roman" w:hAnsi="Times New Roman" w:cs="Times New Roman"/>
          <w:color w:val="auto"/>
          <w:kern w:val="0"/>
          <w:sz w:val="28"/>
          <w:szCs w:val="28"/>
          <w:lang w:eastAsia="zh-CN"/>
        </w:rPr>
        <w:t>“</w:t>
      </w:r>
      <w:r>
        <w:rPr>
          <w:rFonts w:hint="default" w:ascii="Times New Roman" w:hAnsi="Times New Roman" w:eastAsia="宋体" w:cs="Times New Roman"/>
          <w:color w:val="auto"/>
          <w:kern w:val="0"/>
          <w:sz w:val="28"/>
          <w:szCs w:val="28"/>
        </w:rPr>
        <w:t>监督管理办法》（</w:t>
      </w:r>
      <w:r>
        <w:rPr>
          <w:rFonts w:hint="default" w:ascii="Times New Roman" w:hAnsi="Times New Roman" w:eastAsia="宋体" w:cs="Times New Roman"/>
          <w:color w:val="auto"/>
          <w:sz w:val="28"/>
          <w:szCs w:val="28"/>
        </w:rPr>
        <w:t>国家安全生产监督管理总局令</w:t>
      </w:r>
      <w:r>
        <w:rPr>
          <w:rFonts w:hint="default" w:ascii="Times New Roman" w:hAnsi="Times New Roman" w:eastAsia="宋体" w:cs="Times New Roman"/>
          <w:iCs/>
          <w:color w:val="auto"/>
          <w:kern w:val="0"/>
          <w:sz w:val="28"/>
          <w:szCs w:val="28"/>
        </w:rPr>
        <w:t>第</w:t>
      </w:r>
      <w:r>
        <w:rPr>
          <w:rFonts w:hint="default" w:ascii="Times New Roman" w:hAnsi="Times New Roman" w:eastAsia="宋体" w:cs="Times New Roman"/>
          <w:color w:val="auto"/>
          <w:sz w:val="28"/>
          <w:szCs w:val="28"/>
        </w:rPr>
        <w:t>36</w:t>
      </w:r>
      <w:r>
        <w:rPr>
          <w:rFonts w:hint="default" w:ascii="Times New Roman" w:hAnsi="Times New Roman" w:eastAsia="宋体" w:cs="Times New Roman"/>
          <w:color w:val="auto"/>
          <w:kern w:val="0"/>
          <w:sz w:val="28"/>
          <w:szCs w:val="28"/>
        </w:rPr>
        <w:t>号，总局令</w:t>
      </w:r>
      <w:r>
        <w:rPr>
          <w:rFonts w:hint="default" w:ascii="Times New Roman" w:hAnsi="Times New Roman" w:eastAsia="宋体" w:cs="Times New Roman"/>
          <w:color w:val="auto"/>
          <w:sz w:val="28"/>
          <w:szCs w:val="28"/>
        </w:rPr>
        <w:t>77</w:t>
      </w:r>
      <w:r>
        <w:rPr>
          <w:rFonts w:hint="default" w:ascii="Times New Roman" w:hAnsi="Times New Roman" w:eastAsia="宋体" w:cs="Times New Roman"/>
          <w:color w:val="auto"/>
          <w:kern w:val="0"/>
          <w:sz w:val="28"/>
          <w:szCs w:val="28"/>
        </w:rPr>
        <w:t>号</w:t>
      </w:r>
      <w:r>
        <w:rPr>
          <w:rFonts w:hint="eastAsia" w:ascii="Times New Roman" w:hAnsi="Times New Roman" w:cs="Times New Roman"/>
          <w:color w:val="auto"/>
          <w:kern w:val="0"/>
          <w:sz w:val="28"/>
          <w:szCs w:val="28"/>
          <w:lang w:val="en-US" w:eastAsia="zh-CN"/>
        </w:rPr>
        <w:t>修正</w:t>
      </w:r>
      <w:r>
        <w:rPr>
          <w:rFonts w:hint="default" w:ascii="Times New Roman" w:hAnsi="Times New Roman" w:eastAsia="宋体" w:cs="Times New Roman"/>
          <w:color w:val="auto"/>
          <w:kern w:val="0"/>
          <w:sz w:val="28"/>
          <w:szCs w:val="28"/>
        </w:rPr>
        <w:t>）</w:t>
      </w:r>
      <w:r>
        <w:rPr>
          <w:rFonts w:hint="default" w:ascii="Times New Roman" w:hAnsi="Times New Roman" w:cs="Times New Roman"/>
          <w:color w:val="auto"/>
        </w:rPr>
        <w:t>规定，</w:t>
      </w:r>
      <w:r>
        <w:rPr>
          <w:rFonts w:hint="default" w:ascii="Times New Roman" w:hAnsi="Times New Roman" w:cs="Times New Roman"/>
          <w:color w:val="auto"/>
          <w:lang w:val="en-US" w:eastAsia="zh-CN"/>
        </w:rPr>
        <w:t>石油化工总厂</w:t>
      </w:r>
      <w:r>
        <w:rPr>
          <w:rFonts w:hint="default" w:ascii="Times New Roman" w:hAnsi="Times New Roman" w:cs="Times New Roman"/>
          <w:color w:val="auto"/>
        </w:rPr>
        <w:t>应对其</w:t>
      </w:r>
      <w:r>
        <w:rPr>
          <w:rFonts w:hint="default" w:ascii="Times New Roman" w:hAnsi="Times New Roman" w:cs="Times New Roman"/>
          <w:color w:val="auto"/>
          <w:lang w:eastAsia="zh-CN"/>
        </w:rPr>
        <w:t>储运二部装卸车</w:t>
      </w:r>
      <w:r>
        <w:rPr>
          <w:rFonts w:hint="eastAsia" w:cs="Times New Roman"/>
          <w:color w:val="auto"/>
          <w:lang w:val="en-US" w:eastAsia="zh-CN"/>
        </w:rPr>
        <w:t>废气</w:t>
      </w:r>
      <w:r>
        <w:rPr>
          <w:rFonts w:hint="default" w:ascii="Times New Roman" w:hAnsi="Times New Roman" w:cs="Times New Roman"/>
          <w:color w:val="auto"/>
          <w:lang w:eastAsia="zh-CN"/>
        </w:rPr>
        <w:t>治理项目</w:t>
      </w:r>
      <w:r>
        <w:rPr>
          <w:rFonts w:hint="default" w:ascii="Times New Roman" w:hAnsi="Times New Roman" w:cs="Times New Roman"/>
          <w:color w:val="auto"/>
        </w:rPr>
        <w:t>进行安全条件评价。为此，该单位委托我公司承担该项目的安全</w:t>
      </w:r>
      <w:r>
        <w:rPr>
          <w:rFonts w:hint="eastAsia" w:cs="Times New Roman"/>
          <w:color w:val="auto"/>
          <w:lang w:val="en-US" w:eastAsia="zh-CN"/>
        </w:rPr>
        <w:t>预</w:t>
      </w:r>
      <w:r>
        <w:rPr>
          <w:rFonts w:hint="default" w:ascii="Times New Roman" w:hAnsi="Times New Roman" w:cs="Times New Roman"/>
          <w:color w:val="auto"/>
        </w:rPr>
        <w:t>评价工作。</w:t>
      </w:r>
    </w:p>
    <w:p w14:paraId="127B4408">
      <w:pPr>
        <w:pStyle w:val="6"/>
        <w:bidi w:val="0"/>
        <w:rPr>
          <w:rFonts w:hint="default" w:ascii="Times New Roman" w:hAnsi="Times New Roman" w:cs="Times New Roman"/>
          <w:color w:val="auto"/>
        </w:rPr>
      </w:pPr>
      <w:r>
        <w:rPr>
          <w:rFonts w:hint="default" w:ascii="Times New Roman" w:hAnsi="Times New Roman" w:cs="Times New Roman"/>
          <w:color w:val="auto"/>
        </w:rPr>
        <w:t>接受委托后，我公司成立了该项目评价组，进行资料与标准收集、类比工程调研及现场检查，依据国家有关安全生产法律、法规、标准、规范、规程，进行危险及有害因素辨识，通过科学分析并采用安全检查表法、危险度法等方法进行评价，找出该项目潜在的事故隐患，并在此基础上提出了消除、预防或降低装置危险性和提高装置安全运行等级的安全对策与措施，最后编制完成了本次安全预评价报告。</w:t>
      </w:r>
    </w:p>
    <w:p w14:paraId="54FE7362">
      <w:pPr>
        <w:pStyle w:val="6"/>
        <w:bidi w:val="0"/>
        <w:rPr>
          <w:rFonts w:hint="default" w:ascii="Times New Roman" w:hAnsi="Times New Roman" w:cs="Times New Roman"/>
          <w:color w:val="auto"/>
        </w:rPr>
      </w:pPr>
      <w:r>
        <w:rPr>
          <w:rFonts w:hint="default" w:ascii="Times New Roman" w:hAnsi="Times New Roman" w:cs="Times New Roman"/>
          <w:color w:val="auto"/>
        </w:rPr>
        <w:t>此次安全评价工作，自始至终都得到了</w:t>
      </w:r>
      <w:r>
        <w:rPr>
          <w:rFonts w:hint="default" w:ascii="Times New Roman" w:hAnsi="Times New Roman" w:cs="Times New Roman"/>
          <w:color w:val="auto"/>
          <w:lang w:val="en-US" w:eastAsia="zh-CN"/>
        </w:rPr>
        <w:t>石油化工总厂</w:t>
      </w:r>
      <w:r>
        <w:rPr>
          <w:rFonts w:hint="default" w:ascii="Times New Roman" w:hAnsi="Times New Roman" w:cs="Times New Roman"/>
          <w:color w:val="auto"/>
        </w:rPr>
        <w:t>领导和员工的大力支持和配合，在此表示衷心的感谢！</w:t>
      </w:r>
    </w:p>
    <w:p w14:paraId="2867D13F">
      <w:pPr>
        <w:pStyle w:val="6"/>
        <w:bidi w:val="0"/>
        <w:jc w:val="right"/>
        <w:rPr>
          <w:rFonts w:hint="default" w:ascii="Times New Roman" w:hAnsi="Times New Roman" w:cs="Times New Roman"/>
          <w:color w:val="auto"/>
        </w:rPr>
      </w:pPr>
      <w:r>
        <w:rPr>
          <w:rFonts w:hint="default" w:ascii="Times New Roman" w:hAnsi="Times New Roman" w:cs="Times New Roman"/>
          <w:color w:val="auto"/>
        </w:rPr>
        <w:t>安全评价组</w:t>
      </w:r>
    </w:p>
    <w:p w14:paraId="7AA6BBFB">
      <w:pPr>
        <w:pStyle w:val="6"/>
        <w:bidi w:val="0"/>
        <w:jc w:val="right"/>
        <w:rPr>
          <w:rFonts w:hint="default" w:ascii="Times New Roman" w:hAnsi="Times New Roman" w:cs="Times New Roman"/>
          <w:color w:val="auto"/>
          <w:lang w:val="en-US" w:eastAsia="zh-CN"/>
        </w:rPr>
      </w:pPr>
      <w:r>
        <w:rPr>
          <w:rFonts w:hint="default" w:ascii="Times New Roman" w:hAnsi="Times New Roman" w:cs="Times New Roman"/>
          <w:color w:val="auto"/>
        </w:rPr>
        <w:t>202</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0</w:t>
      </w:r>
      <w:r>
        <w:rPr>
          <w:rFonts w:hint="eastAsia" w:cs="Times New Roman"/>
          <w:color w:val="auto"/>
          <w:lang w:val="en-US" w:eastAsia="zh-CN"/>
        </w:rPr>
        <w:t>7</w:t>
      </w:r>
    </w:p>
    <w:p w14:paraId="5E0D57BE">
      <w:pPr>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br w:type="page"/>
      </w:r>
    </w:p>
    <w:p w14:paraId="11F77D5E">
      <w:pPr>
        <w:spacing w:line="360" w:lineRule="auto"/>
        <w:ind w:firstLine="0" w:firstLineChars="0"/>
        <w:jc w:val="center"/>
        <w:rPr>
          <w:rFonts w:hint="default" w:ascii="Times New Roman" w:hAnsi="Times New Roman" w:eastAsia="宋体" w:cs="Times New Roman"/>
          <w:color w:val="auto"/>
          <w:kern w:val="2"/>
          <w:sz w:val="24"/>
          <w:szCs w:val="24"/>
          <w:shd w:val="clear" w:color="FFFFFF" w:fill="D9D9D9"/>
          <w:lang w:val="en-US" w:eastAsia="zh-CN" w:bidi="ar-SA"/>
        </w:rPr>
      </w:pPr>
      <w:bookmarkStart w:id="3" w:name="_Toc490032193"/>
      <w:bookmarkStart w:id="4" w:name="_Toc510779069"/>
      <w:bookmarkStart w:id="5" w:name="_Toc511827208"/>
      <w:bookmarkStart w:id="6" w:name="_Toc482027357"/>
      <w:bookmarkStart w:id="7" w:name="_Toc488931607"/>
      <w:bookmarkStart w:id="8" w:name="_Toc510618933"/>
      <w:bookmarkStart w:id="9" w:name="_Toc496101423"/>
      <w:r>
        <w:rPr>
          <w:rFonts w:hint="default" w:ascii="Times New Roman" w:hAnsi="Times New Roman" w:eastAsia="黑体" w:cs="Times New Roman"/>
          <w:color w:val="auto"/>
          <w:sz w:val="36"/>
          <w:szCs w:val="36"/>
        </w:rPr>
        <w:t>目  录</w:t>
      </w:r>
      <w:bookmarkEnd w:id="3"/>
      <w:bookmarkEnd w:id="4"/>
      <w:bookmarkEnd w:id="5"/>
      <w:bookmarkEnd w:id="6"/>
      <w:bookmarkEnd w:id="7"/>
      <w:bookmarkEnd w:id="8"/>
      <w:bookmarkEnd w:id="9"/>
      <w:r>
        <w:rPr>
          <w:rFonts w:hint="default" w:ascii="Times New Roman" w:hAnsi="Times New Roman" w:eastAsia="黑体" w:cs="Times New Roman"/>
          <w:color w:val="auto"/>
          <w:sz w:val="36"/>
          <w:szCs w:val="36"/>
          <w:shd w:val="clear" w:color="FFFFFF" w:fill="D9D9D9"/>
        </w:rPr>
        <w:fldChar w:fldCharType="begin"/>
      </w:r>
      <w:r>
        <w:rPr>
          <w:rFonts w:hint="default" w:ascii="Times New Roman" w:hAnsi="Times New Roman" w:eastAsia="黑体" w:cs="Times New Roman"/>
          <w:color w:val="auto"/>
          <w:sz w:val="36"/>
          <w:szCs w:val="36"/>
          <w:shd w:val="clear" w:color="FFFFFF" w:fill="D9D9D9"/>
        </w:rPr>
        <w:instrText xml:space="preserve"> TOC \o "1-2" \h \z \u </w:instrText>
      </w:r>
      <w:r>
        <w:rPr>
          <w:rFonts w:hint="default" w:ascii="Times New Roman" w:hAnsi="Times New Roman" w:eastAsia="黑体" w:cs="Times New Roman"/>
          <w:color w:val="auto"/>
          <w:sz w:val="36"/>
          <w:szCs w:val="36"/>
          <w:shd w:val="clear" w:color="FFFFFF" w:fill="D9D9D9"/>
        </w:rPr>
        <w:fldChar w:fldCharType="separate"/>
      </w:r>
    </w:p>
    <w:p w14:paraId="7DA6DCAF">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_Toc27824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lang w:val="en-US" w:eastAsia="zh-CN"/>
        </w:rPr>
        <w:t xml:space="preserve">1 </w:t>
      </w:r>
      <w:r>
        <w:rPr>
          <w:rFonts w:hint="default" w:ascii="Times New Roman" w:hAnsi="Times New Roman" w:cs="Times New Roman"/>
          <w:color w:val="auto"/>
          <w:lang w:val="en-US" w:eastAsia="zh-CN"/>
        </w:rPr>
        <w:t>安全评价工作经过</w:t>
      </w:r>
      <w:r>
        <w:rPr>
          <w:color w:val="auto"/>
        </w:rPr>
        <w:tab/>
      </w:r>
      <w:r>
        <w:rPr>
          <w:color w:val="auto"/>
        </w:rPr>
        <w:fldChar w:fldCharType="begin"/>
      </w:r>
      <w:r>
        <w:rPr>
          <w:color w:val="auto"/>
        </w:rPr>
        <w:instrText xml:space="preserve"> PAGEREF _Toc27824 \h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24"/>
          <w:shd w:val="clear" w:color="FFFFFF" w:fill="D9D9D9"/>
        </w:rPr>
        <w:fldChar w:fldCharType="end"/>
      </w:r>
    </w:p>
    <w:p w14:paraId="351B1804">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_Toc29844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1.1 评价目的</w:t>
      </w:r>
      <w:r>
        <w:rPr>
          <w:color w:val="auto"/>
        </w:rPr>
        <w:tab/>
      </w:r>
      <w:r>
        <w:rPr>
          <w:color w:val="auto"/>
        </w:rPr>
        <w:fldChar w:fldCharType="begin"/>
      </w:r>
      <w:r>
        <w:rPr>
          <w:color w:val="auto"/>
        </w:rPr>
        <w:instrText xml:space="preserve"> PAGEREF _Toc29844 \h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24"/>
          <w:shd w:val="clear" w:color="FFFFFF" w:fill="D9D9D9"/>
        </w:rPr>
        <w:fldChar w:fldCharType="end"/>
      </w:r>
    </w:p>
    <w:p w14:paraId="7C8AB118">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_Toc3759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1.2 评价依据</w:t>
      </w:r>
      <w:r>
        <w:rPr>
          <w:color w:val="auto"/>
        </w:rPr>
        <w:tab/>
      </w:r>
      <w:r>
        <w:rPr>
          <w:color w:val="auto"/>
        </w:rPr>
        <w:fldChar w:fldCharType="begin"/>
      </w:r>
      <w:r>
        <w:rPr>
          <w:color w:val="auto"/>
        </w:rPr>
        <w:instrText xml:space="preserve"> PAGEREF _Toc3759 \h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24"/>
          <w:shd w:val="clear" w:color="FFFFFF" w:fill="D9D9D9"/>
        </w:rPr>
        <w:fldChar w:fldCharType="end"/>
      </w:r>
    </w:p>
    <w:p w14:paraId="43AAEC33">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_Toc24565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1.3 评价对象及范围</w:t>
      </w:r>
      <w:r>
        <w:rPr>
          <w:color w:val="auto"/>
        </w:rPr>
        <w:tab/>
      </w:r>
      <w:r>
        <w:rPr>
          <w:color w:val="auto"/>
        </w:rPr>
        <w:fldChar w:fldCharType="begin"/>
      </w:r>
      <w:r>
        <w:rPr>
          <w:color w:val="auto"/>
        </w:rPr>
        <w:instrText xml:space="preserve"> PAGEREF _Toc24565 \h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24"/>
          <w:shd w:val="clear" w:color="FFFFFF" w:fill="D9D9D9"/>
        </w:rPr>
        <w:fldChar w:fldCharType="end"/>
      </w:r>
    </w:p>
    <w:p w14:paraId="2462B05A">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_Toc11920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1.4 工作经过和程序</w:t>
      </w:r>
      <w:r>
        <w:rPr>
          <w:color w:val="auto"/>
        </w:rPr>
        <w:tab/>
      </w:r>
      <w:r>
        <w:rPr>
          <w:color w:val="auto"/>
        </w:rPr>
        <w:fldChar w:fldCharType="begin"/>
      </w:r>
      <w:r>
        <w:rPr>
          <w:color w:val="auto"/>
        </w:rPr>
        <w:instrText xml:space="preserve"> PAGEREF _Toc11920 \h </w:instrText>
      </w:r>
      <w:r>
        <w:rPr>
          <w:color w:val="auto"/>
        </w:rPr>
        <w:fldChar w:fldCharType="separate"/>
      </w:r>
      <w:r>
        <w:rPr>
          <w:color w:val="auto"/>
        </w:rPr>
        <w:t>2</w:t>
      </w:r>
      <w:r>
        <w:rPr>
          <w:color w:val="auto"/>
        </w:rPr>
        <w:fldChar w:fldCharType="end"/>
      </w:r>
      <w:r>
        <w:rPr>
          <w:rFonts w:hint="default" w:ascii="Times New Roman" w:hAnsi="Times New Roman" w:cs="Times New Roman"/>
          <w:color w:val="auto"/>
          <w:szCs w:val="24"/>
          <w:shd w:val="clear" w:color="FFFFFF" w:fill="D9D9D9"/>
        </w:rPr>
        <w:fldChar w:fldCharType="end"/>
      </w:r>
    </w:p>
    <w:p w14:paraId="1FE711F7">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_Toc22505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rPr>
        <w:t xml:space="preserve">2 </w:t>
      </w:r>
      <w:r>
        <w:rPr>
          <w:rFonts w:hint="default" w:ascii="Times New Roman" w:hAnsi="Times New Roman" w:cs="Times New Roman"/>
          <w:color w:val="auto"/>
        </w:rPr>
        <w:t>建设项目概述</w:t>
      </w:r>
      <w:r>
        <w:rPr>
          <w:color w:val="auto"/>
        </w:rPr>
        <w:tab/>
      </w:r>
      <w:r>
        <w:rPr>
          <w:color w:val="auto"/>
        </w:rPr>
        <w:fldChar w:fldCharType="begin"/>
      </w:r>
      <w:r>
        <w:rPr>
          <w:color w:val="auto"/>
        </w:rPr>
        <w:instrText xml:space="preserve"> PAGEREF _Toc22505 \h </w:instrText>
      </w:r>
      <w:r>
        <w:rPr>
          <w:color w:val="auto"/>
        </w:rPr>
        <w:fldChar w:fldCharType="separate"/>
      </w:r>
      <w:r>
        <w:rPr>
          <w:color w:val="auto"/>
        </w:rPr>
        <w:t>5</w:t>
      </w:r>
      <w:r>
        <w:rPr>
          <w:color w:val="auto"/>
        </w:rPr>
        <w:fldChar w:fldCharType="end"/>
      </w:r>
      <w:r>
        <w:rPr>
          <w:rFonts w:hint="default" w:ascii="Times New Roman" w:hAnsi="Times New Roman" w:cs="Times New Roman"/>
          <w:color w:val="auto"/>
          <w:szCs w:val="24"/>
          <w:shd w:val="clear" w:color="FFFFFF" w:fill="D9D9D9"/>
        </w:rPr>
        <w:fldChar w:fldCharType="end"/>
      </w:r>
    </w:p>
    <w:p w14:paraId="2269204F">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_Toc18191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2.1 建设单位概况</w:t>
      </w:r>
      <w:r>
        <w:rPr>
          <w:color w:val="auto"/>
        </w:rPr>
        <w:tab/>
      </w:r>
      <w:r>
        <w:rPr>
          <w:color w:val="auto"/>
        </w:rPr>
        <w:fldChar w:fldCharType="begin"/>
      </w:r>
      <w:r>
        <w:rPr>
          <w:color w:val="auto"/>
        </w:rPr>
        <w:instrText xml:space="preserve"> PAGEREF _Toc18191 \h </w:instrText>
      </w:r>
      <w:r>
        <w:rPr>
          <w:color w:val="auto"/>
        </w:rPr>
        <w:fldChar w:fldCharType="separate"/>
      </w:r>
      <w:r>
        <w:rPr>
          <w:color w:val="auto"/>
        </w:rPr>
        <w:t>5</w:t>
      </w:r>
      <w:r>
        <w:rPr>
          <w:color w:val="auto"/>
        </w:rPr>
        <w:fldChar w:fldCharType="end"/>
      </w:r>
      <w:r>
        <w:rPr>
          <w:rFonts w:hint="default" w:ascii="Times New Roman" w:hAnsi="Times New Roman" w:cs="Times New Roman"/>
          <w:color w:val="auto"/>
          <w:szCs w:val="24"/>
          <w:shd w:val="clear" w:color="FFFFFF" w:fill="D9D9D9"/>
        </w:rPr>
        <w:fldChar w:fldCharType="end"/>
      </w:r>
    </w:p>
    <w:p w14:paraId="26A12D6B">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_Toc30717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2.2 建设项目概况</w:t>
      </w:r>
      <w:r>
        <w:rPr>
          <w:color w:val="auto"/>
        </w:rPr>
        <w:tab/>
      </w:r>
      <w:r>
        <w:rPr>
          <w:color w:val="auto"/>
        </w:rPr>
        <w:fldChar w:fldCharType="begin"/>
      </w:r>
      <w:r>
        <w:rPr>
          <w:color w:val="auto"/>
        </w:rPr>
        <w:instrText xml:space="preserve"> PAGEREF _Toc30717 \h </w:instrText>
      </w:r>
      <w:r>
        <w:rPr>
          <w:color w:val="auto"/>
        </w:rPr>
        <w:fldChar w:fldCharType="separate"/>
      </w:r>
      <w:r>
        <w:rPr>
          <w:color w:val="auto"/>
        </w:rPr>
        <w:t>7</w:t>
      </w:r>
      <w:r>
        <w:rPr>
          <w:color w:val="auto"/>
        </w:rPr>
        <w:fldChar w:fldCharType="end"/>
      </w:r>
      <w:r>
        <w:rPr>
          <w:rFonts w:hint="default" w:ascii="Times New Roman" w:hAnsi="Times New Roman" w:cs="Times New Roman"/>
          <w:color w:val="auto"/>
          <w:szCs w:val="24"/>
          <w:shd w:val="clear" w:color="FFFFFF" w:fill="D9D9D9"/>
        </w:rPr>
        <w:fldChar w:fldCharType="end"/>
      </w:r>
    </w:p>
    <w:p w14:paraId="64D194BA">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_Toc27196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2.3 建设项目的地理位置、周边环境</w:t>
      </w:r>
      <w:r>
        <w:rPr>
          <w:color w:val="auto"/>
        </w:rPr>
        <w:tab/>
      </w:r>
      <w:r>
        <w:rPr>
          <w:color w:val="auto"/>
        </w:rPr>
        <w:fldChar w:fldCharType="begin"/>
      </w:r>
      <w:r>
        <w:rPr>
          <w:color w:val="auto"/>
        </w:rPr>
        <w:instrText xml:space="preserve"> PAGEREF _Toc27196 \h </w:instrText>
      </w:r>
      <w:r>
        <w:rPr>
          <w:color w:val="auto"/>
        </w:rPr>
        <w:fldChar w:fldCharType="separate"/>
      </w:r>
      <w:r>
        <w:rPr>
          <w:color w:val="auto"/>
        </w:rPr>
        <w:t>13</w:t>
      </w:r>
      <w:r>
        <w:rPr>
          <w:color w:val="auto"/>
        </w:rPr>
        <w:fldChar w:fldCharType="end"/>
      </w:r>
      <w:r>
        <w:rPr>
          <w:rFonts w:hint="default" w:ascii="Times New Roman" w:hAnsi="Times New Roman" w:cs="Times New Roman"/>
          <w:color w:val="auto"/>
          <w:szCs w:val="24"/>
          <w:shd w:val="clear" w:color="FFFFFF" w:fill="D9D9D9"/>
        </w:rPr>
        <w:fldChar w:fldCharType="end"/>
      </w:r>
    </w:p>
    <w:p w14:paraId="7325BF61">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_Toc17364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2.4 项目涉及的主要物料品种名称、数量和</w:t>
      </w:r>
      <w:r>
        <w:rPr>
          <w:rFonts w:hint="default" w:ascii="Times New Roman" w:hAnsi="Times New Roman" w:cs="Times New Roman"/>
          <w:color w:val="auto"/>
          <w:lang w:val="en-US" w:eastAsia="zh-CN"/>
        </w:rPr>
        <w:t>浓度情况</w:t>
      </w:r>
      <w:r>
        <w:rPr>
          <w:color w:val="auto"/>
        </w:rPr>
        <w:tab/>
      </w:r>
      <w:r>
        <w:rPr>
          <w:color w:val="auto"/>
        </w:rPr>
        <w:fldChar w:fldCharType="begin"/>
      </w:r>
      <w:r>
        <w:rPr>
          <w:color w:val="auto"/>
        </w:rPr>
        <w:instrText xml:space="preserve"> PAGEREF _Toc17364 \h </w:instrText>
      </w:r>
      <w:r>
        <w:rPr>
          <w:color w:val="auto"/>
        </w:rPr>
        <w:fldChar w:fldCharType="separate"/>
      </w:r>
      <w:r>
        <w:rPr>
          <w:color w:val="auto"/>
        </w:rPr>
        <w:t>23</w:t>
      </w:r>
      <w:r>
        <w:rPr>
          <w:color w:val="auto"/>
        </w:rPr>
        <w:fldChar w:fldCharType="end"/>
      </w:r>
      <w:r>
        <w:rPr>
          <w:rFonts w:hint="default" w:ascii="Times New Roman" w:hAnsi="Times New Roman" w:cs="Times New Roman"/>
          <w:color w:val="auto"/>
          <w:szCs w:val="24"/>
          <w:shd w:val="clear" w:color="FFFFFF" w:fill="D9D9D9"/>
        </w:rPr>
        <w:fldChar w:fldCharType="end"/>
      </w:r>
    </w:p>
    <w:p w14:paraId="04144405">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_Toc10174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2.5 项目工艺流程和主要装置和设施的布局及其上下游生产装置关系</w:t>
      </w:r>
      <w:r>
        <w:rPr>
          <w:color w:val="auto"/>
        </w:rPr>
        <w:tab/>
      </w:r>
      <w:r>
        <w:rPr>
          <w:color w:val="auto"/>
        </w:rPr>
        <w:fldChar w:fldCharType="begin"/>
      </w:r>
      <w:r>
        <w:rPr>
          <w:color w:val="auto"/>
        </w:rPr>
        <w:instrText xml:space="preserve"> PAGEREF _Toc10174 \h </w:instrText>
      </w:r>
      <w:r>
        <w:rPr>
          <w:color w:val="auto"/>
        </w:rPr>
        <w:fldChar w:fldCharType="separate"/>
      </w:r>
      <w:r>
        <w:rPr>
          <w:color w:val="auto"/>
        </w:rPr>
        <w:t>24</w:t>
      </w:r>
      <w:r>
        <w:rPr>
          <w:color w:val="auto"/>
        </w:rPr>
        <w:fldChar w:fldCharType="end"/>
      </w:r>
      <w:r>
        <w:rPr>
          <w:rFonts w:hint="default" w:ascii="Times New Roman" w:hAnsi="Times New Roman" w:cs="Times New Roman"/>
          <w:color w:val="auto"/>
          <w:szCs w:val="24"/>
          <w:shd w:val="clear" w:color="FFFFFF" w:fill="D9D9D9"/>
        </w:rPr>
        <w:fldChar w:fldCharType="end"/>
      </w:r>
    </w:p>
    <w:p w14:paraId="13EE66B2">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_Toc25820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2.6 建设项目公用工程及辅助设施</w:t>
      </w:r>
      <w:r>
        <w:rPr>
          <w:color w:val="auto"/>
        </w:rPr>
        <w:tab/>
      </w:r>
      <w:r>
        <w:rPr>
          <w:color w:val="auto"/>
        </w:rPr>
        <w:fldChar w:fldCharType="begin"/>
      </w:r>
      <w:r>
        <w:rPr>
          <w:color w:val="auto"/>
        </w:rPr>
        <w:instrText xml:space="preserve"> PAGEREF _Toc25820 \h </w:instrText>
      </w:r>
      <w:r>
        <w:rPr>
          <w:color w:val="auto"/>
        </w:rPr>
        <w:fldChar w:fldCharType="separate"/>
      </w:r>
      <w:r>
        <w:rPr>
          <w:color w:val="auto"/>
        </w:rPr>
        <w:t>35</w:t>
      </w:r>
      <w:r>
        <w:rPr>
          <w:color w:val="auto"/>
        </w:rPr>
        <w:fldChar w:fldCharType="end"/>
      </w:r>
      <w:r>
        <w:rPr>
          <w:rFonts w:hint="default" w:ascii="Times New Roman" w:hAnsi="Times New Roman" w:cs="Times New Roman"/>
          <w:color w:val="auto"/>
          <w:szCs w:val="24"/>
          <w:shd w:val="clear" w:color="FFFFFF" w:fill="D9D9D9"/>
        </w:rPr>
        <w:fldChar w:fldCharType="end"/>
      </w:r>
    </w:p>
    <w:p w14:paraId="6D700389">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_Toc548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2.7 安全投入</w:t>
      </w:r>
      <w:r>
        <w:rPr>
          <w:color w:val="auto"/>
        </w:rPr>
        <w:tab/>
      </w:r>
      <w:r>
        <w:rPr>
          <w:color w:val="auto"/>
        </w:rPr>
        <w:fldChar w:fldCharType="begin"/>
      </w:r>
      <w:r>
        <w:rPr>
          <w:color w:val="auto"/>
        </w:rPr>
        <w:instrText xml:space="preserve"> PAGEREF _Toc548 \h </w:instrText>
      </w:r>
      <w:r>
        <w:rPr>
          <w:color w:val="auto"/>
        </w:rPr>
        <w:fldChar w:fldCharType="separate"/>
      </w:r>
      <w:r>
        <w:rPr>
          <w:color w:val="auto"/>
        </w:rPr>
        <w:t>47</w:t>
      </w:r>
      <w:r>
        <w:rPr>
          <w:color w:val="auto"/>
        </w:rPr>
        <w:fldChar w:fldCharType="end"/>
      </w:r>
      <w:r>
        <w:rPr>
          <w:rFonts w:hint="default" w:ascii="Times New Roman" w:hAnsi="Times New Roman" w:cs="Times New Roman"/>
          <w:color w:val="auto"/>
          <w:szCs w:val="24"/>
          <w:shd w:val="clear" w:color="FFFFFF" w:fill="D9D9D9"/>
        </w:rPr>
        <w:fldChar w:fldCharType="end"/>
      </w:r>
    </w:p>
    <w:p w14:paraId="1DA89C86">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_Toc16084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 xml:space="preserve">2.8 </w:t>
      </w:r>
      <w:r>
        <w:rPr>
          <w:rFonts w:hint="default" w:ascii="Times New Roman" w:hAnsi="Times New Roman" w:cs="Times New Roman"/>
          <w:color w:val="auto"/>
          <w:lang w:eastAsia="zh-CN"/>
        </w:rPr>
        <w:t>该项目</w:t>
      </w:r>
      <w:r>
        <w:rPr>
          <w:rFonts w:hint="default" w:ascii="Times New Roman" w:hAnsi="Times New Roman" w:cs="Times New Roman"/>
          <w:color w:val="auto"/>
        </w:rPr>
        <w:t>劳动定员及安全管理</w:t>
      </w:r>
      <w:r>
        <w:rPr>
          <w:color w:val="auto"/>
        </w:rPr>
        <w:tab/>
      </w:r>
      <w:r>
        <w:rPr>
          <w:color w:val="auto"/>
        </w:rPr>
        <w:fldChar w:fldCharType="begin"/>
      </w:r>
      <w:r>
        <w:rPr>
          <w:color w:val="auto"/>
        </w:rPr>
        <w:instrText xml:space="preserve"> PAGEREF _Toc16084 \h </w:instrText>
      </w:r>
      <w:r>
        <w:rPr>
          <w:color w:val="auto"/>
        </w:rPr>
        <w:fldChar w:fldCharType="separate"/>
      </w:r>
      <w:r>
        <w:rPr>
          <w:color w:val="auto"/>
        </w:rPr>
        <w:t>47</w:t>
      </w:r>
      <w:r>
        <w:rPr>
          <w:color w:val="auto"/>
        </w:rPr>
        <w:fldChar w:fldCharType="end"/>
      </w:r>
      <w:r>
        <w:rPr>
          <w:rFonts w:hint="default" w:ascii="Times New Roman" w:hAnsi="Times New Roman" w:cs="Times New Roman"/>
          <w:color w:val="auto"/>
          <w:szCs w:val="24"/>
          <w:shd w:val="clear" w:color="FFFFFF" w:fill="D9D9D9"/>
        </w:rPr>
        <w:fldChar w:fldCharType="end"/>
      </w:r>
    </w:p>
    <w:p w14:paraId="4BD4E54C">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_Toc21462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rPr>
        <w:t xml:space="preserve">3 </w:t>
      </w:r>
      <w:r>
        <w:rPr>
          <w:rFonts w:hint="default" w:ascii="Times New Roman" w:hAnsi="Times New Roman" w:cs="Times New Roman"/>
          <w:color w:val="auto"/>
        </w:rPr>
        <w:t>危险、有害因素辨识结果</w:t>
      </w:r>
      <w:r>
        <w:rPr>
          <w:color w:val="auto"/>
        </w:rPr>
        <w:tab/>
      </w:r>
      <w:r>
        <w:rPr>
          <w:color w:val="auto"/>
        </w:rPr>
        <w:fldChar w:fldCharType="begin"/>
      </w:r>
      <w:r>
        <w:rPr>
          <w:color w:val="auto"/>
        </w:rPr>
        <w:instrText xml:space="preserve"> PAGEREF _Toc21462 \h </w:instrText>
      </w:r>
      <w:r>
        <w:rPr>
          <w:color w:val="auto"/>
        </w:rPr>
        <w:fldChar w:fldCharType="separate"/>
      </w:r>
      <w:r>
        <w:rPr>
          <w:color w:val="auto"/>
        </w:rPr>
        <w:t>48</w:t>
      </w:r>
      <w:r>
        <w:rPr>
          <w:color w:val="auto"/>
        </w:rPr>
        <w:fldChar w:fldCharType="end"/>
      </w:r>
      <w:r>
        <w:rPr>
          <w:rFonts w:hint="default" w:ascii="Times New Roman" w:hAnsi="Times New Roman" w:cs="Times New Roman"/>
          <w:color w:val="auto"/>
          <w:szCs w:val="24"/>
          <w:shd w:val="clear" w:color="FFFFFF" w:fill="D9D9D9"/>
        </w:rPr>
        <w:fldChar w:fldCharType="end"/>
      </w:r>
    </w:p>
    <w:p w14:paraId="0DFD52C8">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_Toc22927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3.1 物质的危险、有害特性</w:t>
      </w:r>
      <w:r>
        <w:rPr>
          <w:color w:val="auto"/>
        </w:rPr>
        <w:tab/>
      </w:r>
      <w:r>
        <w:rPr>
          <w:color w:val="auto"/>
        </w:rPr>
        <w:fldChar w:fldCharType="begin"/>
      </w:r>
      <w:r>
        <w:rPr>
          <w:color w:val="auto"/>
        </w:rPr>
        <w:instrText xml:space="preserve"> PAGEREF _Toc22927 \h </w:instrText>
      </w:r>
      <w:r>
        <w:rPr>
          <w:color w:val="auto"/>
        </w:rPr>
        <w:fldChar w:fldCharType="separate"/>
      </w:r>
      <w:r>
        <w:rPr>
          <w:color w:val="auto"/>
        </w:rPr>
        <w:t>48</w:t>
      </w:r>
      <w:r>
        <w:rPr>
          <w:color w:val="auto"/>
        </w:rPr>
        <w:fldChar w:fldCharType="end"/>
      </w:r>
      <w:r>
        <w:rPr>
          <w:rFonts w:hint="default" w:ascii="Times New Roman" w:hAnsi="Times New Roman" w:cs="Times New Roman"/>
          <w:color w:val="auto"/>
          <w:szCs w:val="24"/>
          <w:shd w:val="clear" w:color="FFFFFF" w:fill="D9D9D9"/>
        </w:rPr>
        <w:fldChar w:fldCharType="end"/>
      </w:r>
    </w:p>
    <w:p w14:paraId="7C1ACF1C">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_Toc18522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3.2 项目存在的危险、有害因素及其分布范围</w:t>
      </w:r>
      <w:r>
        <w:rPr>
          <w:color w:val="auto"/>
        </w:rPr>
        <w:tab/>
      </w:r>
      <w:r>
        <w:rPr>
          <w:color w:val="auto"/>
        </w:rPr>
        <w:fldChar w:fldCharType="begin"/>
      </w:r>
      <w:r>
        <w:rPr>
          <w:color w:val="auto"/>
        </w:rPr>
        <w:instrText xml:space="preserve"> PAGEREF _Toc18522 \h </w:instrText>
      </w:r>
      <w:r>
        <w:rPr>
          <w:color w:val="auto"/>
        </w:rPr>
        <w:fldChar w:fldCharType="separate"/>
      </w:r>
      <w:r>
        <w:rPr>
          <w:color w:val="auto"/>
        </w:rPr>
        <w:t>50</w:t>
      </w:r>
      <w:r>
        <w:rPr>
          <w:color w:val="auto"/>
        </w:rPr>
        <w:fldChar w:fldCharType="end"/>
      </w:r>
      <w:r>
        <w:rPr>
          <w:rFonts w:hint="default" w:ascii="Times New Roman" w:hAnsi="Times New Roman" w:cs="Times New Roman"/>
          <w:color w:val="auto"/>
          <w:szCs w:val="24"/>
          <w:shd w:val="clear" w:color="FFFFFF" w:fill="D9D9D9"/>
        </w:rPr>
        <w:fldChar w:fldCharType="end"/>
      </w:r>
    </w:p>
    <w:p w14:paraId="09F92539">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_Toc20867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3.3 重大危险源辨识结果</w:t>
      </w:r>
      <w:r>
        <w:rPr>
          <w:color w:val="auto"/>
        </w:rPr>
        <w:tab/>
      </w:r>
      <w:r>
        <w:rPr>
          <w:color w:val="auto"/>
        </w:rPr>
        <w:fldChar w:fldCharType="begin"/>
      </w:r>
      <w:r>
        <w:rPr>
          <w:color w:val="auto"/>
        </w:rPr>
        <w:instrText xml:space="preserve"> PAGEREF _Toc20867 \h </w:instrText>
      </w:r>
      <w:r>
        <w:rPr>
          <w:color w:val="auto"/>
        </w:rPr>
        <w:fldChar w:fldCharType="separate"/>
      </w:r>
      <w:r>
        <w:rPr>
          <w:color w:val="auto"/>
        </w:rPr>
        <w:t>51</w:t>
      </w:r>
      <w:r>
        <w:rPr>
          <w:color w:val="auto"/>
        </w:rPr>
        <w:fldChar w:fldCharType="end"/>
      </w:r>
      <w:r>
        <w:rPr>
          <w:rFonts w:hint="default" w:ascii="Times New Roman" w:hAnsi="Times New Roman" w:cs="Times New Roman"/>
          <w:color w:val="auto"/>
          <w:szCs w:val="24"/>
          <w:shd w:val="clear" w:color="FFFFFF" w:fill="D9D9D9"/>
        </w:rPr>
        <w:fldChar w:fldCharType="end"/>
      </w:r>
    </w:p>
    <w:p w14:paraId="711CFFEC">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_Toc29972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rPr>
        <w:t xml:space="preserve">4 </w:t>
      </w:r>
      <w:r>
        <w:rPr>
          <w:rFonts w:hint="default" w:ascii="Times New Roman" w:hAnsi="Times New Roman" w:cs="Times New Roman"/>
          <w:color w:val="auto"/>
        </w:rPr>
        <w:t>评价单元划分、安全评价方法选择</w:t>
      </w:r>
      <w:r>
        <w:rPr>
          <w:color w:val="auto"/>
        </w:rPr>
        <w:tab/>
      </w:r>
      <w:r>
        <w:rPr>
          <w:color w:val="auto"/>
        </w:rPr>
        <w:fldChar w:fldCharType="begin"/>
      </w:r>
      <w:r>
        <w:rPr>
          <w:color w:val="auto"/>
        </w:rPr>
        <w:instrText xml:space="preserve"> PAGEREF _Toc29972 \h </w:instrText>
      </w:r>
      <w:r>
        <w:rPr>
          <w:color w:val="auto"/>
        </w:rPr>
        <w:fldChar w:fldCharType="separate"/>
      </w:r>
      <w:r>
        <w:rPr>
          <w:color w:val="auto"/>
        </w:rPr>
        <w:t>52</w:t>
      </w:r>
      <w:r>
        <w:rPr>
          <w:color w:val="auto"/>
        </w:rPr>
        <w:fldChar w:fldCharType="end"/>
      </w:r>
      <w:r>
        <w:rPr>
          <w:rFonts w:hint="default" w:ascii="Times New Roman" w:hAnsi="Times New Roman" w:cs="Times New Roman"/>
          <w:color w:val="auto"/>
          <w:szCs w:val="24"/>
          <w:shd w:val="clear" w:color="FFFFFF" w:fill="D9D9D9"/>
        </w:rPr>
        <w:fldChar w:fldCharType="end"/>
      </w:r>
    </w:p>
    <w:p w14:paraId="0F213C23">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_Toc20016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szCs w:val="32"/>
        </w:rPr>
        <w:t>4.1 评价单元的确定</w:t>
      </w:r>
      <w:r>
        <w:rPr>
          <w:color w:val="auto"/>
        </w:rPr>
        <w:tab/>
      </w:r>
      <w:r>
        <w:rPr>
          <w:color w:val="auto"/>
        </w:rPr>
        <w:fldChar w:fldCharType="begin"/>
      </w:r>
      <w:r>
        <w:rPr>
          <w:color w:val="auto"/>
        </w:rPr>
        <w:instrText xml:space="preserve"> PAGEREF _Toc20016 \h </w:instrText>
      </w:r>
      <w:r>
        <w:rPr>
          <w:color w:val="auto"/>
        </w:rPr>
        <w:fldChar w:fldCharType="separate"/>
      </w:r>
      <w:r>
        <w:rPr>
          <w:color w:val="auto"/>
        </w:rPr>
        <w:t>52</w:t>
      </w:r>
      <w:r>
        <w:rPr>
          <w:color w:val="auto"/>
        </w:rPr>
        <w:fldChar w:fldCharType="end"/>
      </w:r>
      <w:r>
        <w:rPr>
          <w:rFonts w:hint="default" w:ascii="Times New Roman" w:hAnsi="Times New Roman" w:cs="Times New Roman"/>
          <w:color w:val="auto"/>
          <w:szCs w:val="24"/>
          <w:shd w:val="clear" w:color="FFFFFF" w:fill="D9D9D9"/>
        </w:rPr>
        <w:fldChar w:fldCharType="end"/>
      </w:r>
    </w:p>
    <w:p w14:paraId="1B7FA3A0">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_Toc13476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szCs w:val="32"/>
        </w:rPr>
        <w:t>4.2 评价方法的选择</w:t>
      </w:r>
      <w:r>
        <w:rPr>
          <w:color w:val="auto"/>
        </w:rPr>
        <w:tab/>
      </w:r>
      <w:r>
        <w:rPr>
          <w:color w:val="auto"/>
        </w:rPr>
        <w:fldChar w:fldCharType="begin"/>
      </w:r>
      <w:r>
        <w:rPr>
          <w:color w:val="auto"/>
        </w:rPr>
        <w:instrText xml:space="preserve"> PAGEREF _Toc13476 \h </w:instrText>
      </w:r>
      <w:r>
        <w:rPr>
          <w:color w:val="auto"/>
        </w:rPr>
        <w:fldChar w:fldCharType="separate"/>
      </w:r>
      <w:r>
        <w:rPr>
          <w:color w:val="auto"/>
        </w:rPr>
        <w:t>53</w:t>
      </w:r>
      <w:r>
        <w:rPr>
          <w:color w:val="auto"/>
        </w:rPr>
        <w:fldChar w:fldCharType="end"/>
      </w:r>
      <w:r>
        <w:rPr>
          <w:rFonts w:hint="default" w:ascii="Times New Roman" w:hAnsi="Times New Roman" w:cs="Times New Roman"/>
          <w:color w:val="auto"/>
          <w:szCs w:val="24"/>
          <w:shd w:val="clear" w:color="FFFFFF" w:fill="D9D9D9"/>
        </w:rPr>
        <w:fldChar w:fldCharType="end"/>
      </w:r>
    </w:p>
    <w:p w14:paraId="0F391113">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_Toc13409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rPr>
        <w:t xml:space="preserve">5 </w:t>
      </w:r>
      <w:r>
        <w:rPr>
          <w:rFonts w:hint="default" w:ascii="Times New Roman" w:hAnsi="Times New Roman" w:cs="Times New Roman"/>
          <w:color w:val="auto"/>
        </w:rPr>
        <w:t>定性、定量分析评价</w:t>
      </w:r>
      <w:r>
        <w:rPr>
          <w:color w:val="auto"/>
        </w:rPr>
        <w:tab/>
      </w:r>
      <w:r>
        <w:rPr>
          <w:color w:val="auto"/>
        </w:rPr>
        <w:fldChar w:fldCharType="begin"/>
      </w:r>
      <w:r>
        <w:rPr>
          <w:color w:val="auto"/>
        </w:rPr>
        <w:instrText xml:space="preserve"> PAGEREF _Toc13409 \h </w:instrText>
      </w:r>
      <w:r>
        <w:rPr>
          <w:color w:val="auto"/>
        </w:rPr>
        <w:fldChar w:fldCharType="separate"/>
      </w:r>
      <w:r>
        <w:rPr>
          <w:color w:val="auto"/>
        </w:rPr>
        <w:t>54</w:t>
      </w:r>
      <w:r>
        <w:rPr>
          <w:color w:val="auto"/>
        </w:rPr>
        <w:fldChar w:fldCharType="end"/>
      </w:r>
      <w:r>
        <w:rPr>
          <w:rFonts w:hint="default" w:ascii="Times New Roman" w:hAnsi="Times New Roman" w:cs="Times New Roman"/>
          <w:color w:val="auto"/>
          <w:szCs w:val="24"/>
          <w:shd w:val="clear" w:color="FFFFFF" w:fill="D9D9D9"/>
        </w:rPr>
        <w:fldChar w:fldCharType="end"/>
      </w:r>
    </w:p>
    <w:p w14:paraId="21D4E46D">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_Toc17036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5.1 固有危险程度分析</w:t>
      </w:r>
      <w:r>
        <w:rPr>
          <w:color w:val="auto"/>
        </w:rPr>
        <w:tab/>
      </w:r>
      <w:r>
        <w:rPr>
          <w:color w:val="auto"/>
        </w:rPr>
        <w:fldChar w:fldCharType="begin"/>
      </w:r>
      <w:r>
        <w:rPr>
          <w:color w:val="auto"/>
        </w:rPr>
        <w:instrText xml:space="preserve"> PAGEREF _Toc17036 \h </w:instrText>
      </w:r>
      <w:r>
        <w:rPr>
          <w:color w:val="auto"/>
        </w:rPr>
        <w:fldChar w:fldCharType="separate"/>
      </w:r>
      <w:r>
        <w:rPr>
          <w:color w:val="auto"/>
        </w:rPr>
        <w:t>54</w:t>
      </w:r>
      <w:r>
        <w:rPr>
          <w:color w:val="auto"/>
        </w:rPr>
        <w:fldChar w:fldCharType="end"/>
      </w:r>
      <w:r>
        <w:rPr>
          <w:rFonts w:hint="default" w:ascii="Times New Roman" w:hAnsi="Times New Roman" w:cs="Times New Roman"/>
          <w:color w:val="auto"/>
          <w:szCs w:val="24"/>
          <w:shd w:val="clear" w:color="FFFFFF" w:fill="D9D9D9"/>
        </w:rPr>
        <w:fldChar w:fldCharType="end"/>
      </w:r>
    </w:p>
    <w:p w14:paraId="20AF88BC">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_Toc15317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5.2 风险程度分析</w:t>
      </w:r>
      <w:r>
        <w:rPr>
          <w:color w:val="auto"/>
        </w:rPr>
        <w:tab/>
      </w:r>
      <w:r>
        <w:rPr>
          <w:color w:val="auto"/>
        </w:rPr>
        <w:fldChar w:fldCharType="begin"/>
      </w:r>
      <w:r>
        <w:rPr>
          <w:color w:val="auto"/>
        </w:rPr>
        <w:instrText xml:space="preserve"> PAGEREF _Toc15317 \h </w:instrText>
      </w:r>
      <w:r>
        <w:rPr>
          <w:color w:val="auto"/>
        </w:rPr>
        <w:fldChar w:fldCharType="separate"/>
      </w:r>
      <w:r>
        <w:rPr>
          <w:color w:val="auto"/>
        </w:rPr>
        <w:t>55</w:t>
      </w:r>
      <w:r>
        <w:rPr>
          <w:color w:val="auto"/>
        </w:rPr>
        <w:fldChar w:fldCharType="end"/>
      </w:r>
      <w:r>
        <w:rPr>
          <w:rFonts w:hint="default" w:ascii="Times New Roman" w:hAnsi="Times New Roman" w:cs="Times New Roman"/>
          <w:color w:val="auto"/>
          <w:szCs w:val="24"/>
          <w:shd w:val="clear" w:color="FFFFFF" w:fill="D9D9D9"/>
        </w:rPr>
        <w:fldChar w:fldCharType="end"/>
      </w:r>
    </w:p>
    <w:p w14:paraId="3843324C">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_Toc16591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5.3 定性、定量评价结果</w:t>
      </w:r>
      <w:r>
        <w:rPr>
          <w:color w:val="auto"/>
        </w:rPr>
        <w:tab/>
      </w:r>
      <w:r>
        <w:rPr>
          <w:color w:val="auto"/>
        </w:rPr>
        <w:fldChar w:fldCharType="begin"/>
      </w:r>
      <w:r>
        <w:rPr>
          <w:color w:val="auto"/>
        </w:rPr>
        <w:instrText xml:space="preserve"> PAGEREF _Toc16591 \h </w:instrText>
      </w:r>
      <w:r>
        <w:rPr>
          <w:color w:val="auto"/>
        </w:rPr>
        <w:fldChar w:fldCharType="separate"/>
      </w:r>
      <w:r>
        <w:rPr>
          <w:color w:val="auto"/>
        </w:rPr>
        <w:t>57</w:t>
      </w:r>
      <w:r>
        <w:rPr>
          <w:color w:val="auto"/>
        </w:rPr>
        <w:fldChar w:fldCharType="end"/>
      </w:r>
      <w:r>
        <w:rPr>
          <w:rFonts w:hint="default" w:ascii="Times New Roman" w:hAnsi="Times New Roman" w:cs="Times New Roman"/>
          <w:color w:val="auto"/>
          <w:szCs w:val="24"/>
          <w:shd w:val="clear" w:color="FFFFFF" w:fill="D9D9D9"/>
        </w:rPr>
        <w:fldChar w:fldCharType="end"/>
      </w:r>
    </w:p>
    <w:p w14:paraId="2D96F5EB">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_Toc2771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5.4 事故案例分析</w:t>
      </w:r>
      <w:r>
        <w:rPr>
          <w:color w:val="auto"/>
        </w:rPr>
        <w:tab/>
      </w:r>
      <w:r>
        <w:rPr>
          <w:color w:val="auto"/>
        </w:rPr>
        <w:fldChar w:fldCharType="begin"/>
      </w:r>
      <w:r>
        <w:rPr>
          <w:color w:val="auto"/>
        </w:rPr>
        <w:instrText xml:space="preserve"> PAGEREF _Toc2771 \h </w:instrText>
      </w:r>
      <w:r>
        <w:rPr>
          <w:color w:val="auto"/>
        </w:rPr>
        <w:fldChar w:fldCharType="separate"/>
      </w:r>
      <w:r>
        <w:rPr>
          <w:color w:val="auto"/>
        </w:rPr>
        <w:t>58</w:t>
      </w:r>
      <w:r>
        <w:rPr>
          <w:color w:val="auto"/>
        </w:rPr>
        <w:fldChar w:fldCharType="end"/>
      </w:r>
      <w:r>
        <w:rPr>
          <w:rFonts w:hint="default" w:ascii="Times New Roman" w:hAnsi="Times New Roman" w:cs="Times New Roman"/>
          <w:color w:val="auto"/>
          <w:szCs w:val="24"/>
          <w:shd w:val="clear" w:color="FFFFFF" w:fill="D9D9D9"/>
        </w:rPr>
        <w:fldChar w:fldCharType="end"/>
      </w:r>
    </w:p>
    <w:p w14:paraId="5B0269E7">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_Toc24475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rPr>
        <w:t xml:space="preserve">6 </w:t>
      </w:r>
      <w:r>
        <w:rPr>
          <w:rFonts w:hint="default" w:ascii="Times New Roman" w:hAnsi="Times New Roman" w:cs="Times New Roman"/>
          <w:color w:val="auto"/>
          <w:lang w:val="en-US" w:eastAsia="zh-CN"/>
        </w:rPr>
        <w:t>安全条件分析</w:t>
      </w:r>
      <w:r>
        <w:rPr>
          <w:color w:val="auto"/>
        </w:rPr>
        <w:tab/>
      </w:r>
      <w:r>
        <w:rPr>
          <w:color w:val="auto"/>
        </w:rPr>
        <w:fldChar w:fldCharType="begin"/>
      </w:r>
      <w:r>
        <w:rPr>
          <w:color w:val="auto"/>
        </w:rPr>
        <w:instrText xml:space="preserve"> PAGEREF _Toc24475 \h </w:instrText>
      </w:r>
      <w:r>
        <w:rPr>
          <w:color w:val="auto"/>
        </w:rPr>
        <w:fldChar w:fldCharType="separate"/>
      </w:r>
      <w:r>
        <w:rPr>
          <w:color w:val="auto"/>
        </w:rPr>
        <w:t>60</w:t>
      </w:r>
      <w:r>
        <w:rPr>
          <w:color w:val="auto"/>
        </w:rPr>
        <w:fldChar w:fldCharType="end"/>
      </w:r>
      <w:r>
        <w:rPr>
          <w:rFonts w:hint="default" w:ascii="Times New Roman" w:hAnsi="Times New Roman" w:cs="Times New Roman"/>
          <w:color w:val="auto"/>
          <w:szCs w:val="24"/>
          <w:shd w:val="clear" w:color="FFFFFF" w:fill="D9D9D9"/>
        </w:rPr>
        <w:fldChar w:fldCharType="end"/>
      </w:r>
    </w:p>
    <w:p w14:paraId="4F5C3989">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_Toc20405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6.1 建设项目外部安全条件分析</w:t>
      </w:r>
      <w:r>
        <w:rPr>
          <w:color w:val="auto"/>
        </w:rPr>
        <w:tab/>
      </w:r>
      <w:r>
        <w:rPr>
          <w:color w:val="auto"/>
        </w:rPr>
        <w:fldChar w:fldCharType="begin"/>
      </w:r>
      <w:r>
        <w:rPr>
          <w:color w:val="auto"/>
        </w:rPr>
        <w:instrText xml:space="preserve"> PAGEREF _Toc20405 \h </w:instrText>
      </w:r>
      <w:r>
        <w:rPr>
          <w:color w:val="auto"/>
        </w:rPr>
        <w:fldChar w:fldCharType="separate"/>
      </w:r>
      <w:r>
        <w:rPr>
          <w:color w:val="auto"/>
        </w:rPr>
        <w:t>60</w:t>
      </w:r>
      <w:r>
        <w:rPr>
          <w:color w:val="auto"/>
        </w:rPr>
        <w:fldChar w:fldCharType="end"/>
      </w:r>
      <w:r>
        <w:rPr>
          <w:rFonts w:hint="default" w:ascii="Times New Roman" w:hAnsi="Times New Roman" w:cs="Times New Roman"/>
          <w:color w:val="auto"/>
          <w:szCs w:val="24"/>
          <w:shd w:val="clear" w:color="FFFFFF" w:fill="D9D9D9"/>
        </w:rPr>
        <w:fldChar w:fldCharType="end"/>
      </w:r>
    </w:p>
    <w:p w14:paraId="04340435">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_Toc24390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6.2 安全可靠性分析</w:t>
      </w:r>
      <w:r>
        <w:rPr>
          <w:color w:val="auto"/>
        </w:rPr>
        <w:tab/>
      </w:r>
      <w:r>
        <w:rPr>
          <w:color w:val="auto"/>
        </w:rPr>
        <w:fldChar w:fldCharType="begin"/>
      </w:r>
      <w:r>
        <w:rPr>
          <w:color w:val="auto"/>
        </w:rPr>
        <w:instrText xml:space="preserve"> PAGEREF _Toc24390 \h </w:instrText>
      </w:r>
      <w:r>
        <w:rPr>
          <w:color w:val="auto"/>
        </w:rPr>
        <w:fldChar w:fldCharType="separate"/>
      </w:r>
      <w:r>
        <w:rPr>
          <w:color w:val="auto"/>
        </w:rPr>
        <w:t>65</w:t>
      </w:r>
      <w:r>
        <w:rPr>
          <w:color w:val="auto"/>
        </w:rPr>
        <w:fldChar w:fldCharType="end"/>
      </w:r>
      <w:r>
        <w:rPr>
          <w:rFonts w:hint="default" w:ascii="Times New Roman" w:hAnsi="Times New Roman" w:cs="Times New Roman"/>
          <w:color w:val="auto"/>
          <w:szCs w:val="24"/>
          <w:shd w:val="clear" w:color="FFFFFF" w:fill="D9D9D9"/>
        </w:rPr>
        <w:fldChar w:fldCharType="end"/>
      </w:r>
    </w:p>
    <w:p w14:paraId="5B9FDE3B">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_Toc20332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6.3 生产工艺装置自动化控制分析评价</w:t>
      </w:r>
      <w:r>
        <w:rPr>
          <w:color w:val="auto"/>
        </w:rPr>
        <w:tab/>
      </w:r>
      <w:r>
        <w:rPr>
          <w:color w:val="auto"/>
        </w:rPr>
        <w:fldChar w:fldCharType="begin"/>
      </w:r>
      <w:r>
        <w:rPr>
          <w:color w:val="auto"/>
        </w:rPr>
        <w:instrText xml:space="preserve"> PAGEREF _Toc20332 \h </w:instrText>
      </w:r>
      <w:r>
        <w:rPr>
          <w:color w:val="auto"/>
        </w:rPr>
        <w:fldChar w:fldCharType="separate"/>
      </w:r>
      <w:r>
        <w:rPr>
          <w:color w:val="auto"/>
        </w:rPr>
        <w:t>66</w:t>
      </w:r>
      <w:r>
        <w:rPr>
          <w:color w:val="auto"/>
        </w:rPr>
        <w:fldChar w:fldCharType="end"/>
      </w:r>
      <w:r>
        <w:rPr>
          <w:rFonts w:hint="default" w:ascii="Times New Roman" w:hAnsi="Times New Roman" w:cs="Times New Roman"/>
          <w:color w:val="auto"/>
          <w:szCs w:val="24"/>
          <w:shd w:val="clear" w:color="FFFFFF" w:fill="D9D9D9"/>
        </w:rPr>
        <w:fldChar w:fldCharType="end"/>
      </w:r>
    </w:p>
    <w:p w14:paraId="470A130A">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_Toc10014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6.4 安全管理可靠性分析评价</w:t>
      </w:r>
      <w:r>
        <w:rPr>
          <w:color w:val="auto"/>
        </w:rPr>
        <w:tab/>
      </w:r>
      <w:r>
        <w:rPr>
          <w:color w:val="auto"/>
        </w:rPr>
        <w:fldChar w:fldCharType="begin"/>
      </w:r>
      <w:r>
        <w:rPr>
          <w:color w:val="auto"/>
        </w:rPr>
        <w:instrText xml:space="preserve"> PAGEREF _Toc10014 \h </w:instrText>
      </w:r>
      <w:r>
        <w:rPr>
          <w:color w:val="auto"/>
        </w:rPr>
        <w:fldChar w:fldCharType="separate"/>
      </w:r>
      <w:r>
        <w:rPr>
          <w:color w:val="auto"/>
        </w:rPr>
        <w:t>68</w:t>
      </w:r>
      <w:r>
        <w:rPr>
          <w:color w:val="auto"/>
        </w:rPr>
        <w:fldChar w:fldCharType="end"/>
      </w:r>
      <w:r>
        <w:rPr>
          <w:rFonts w:hint="default" w:ascii="Times New Roman" w:hAnsi="Times New Roman" w:cs="Times New Roman"/>
          <w:color w:val="auto"/>
          <w:szCs w:val="24"/>
          <w:shd w:val="clear" w:color="FFFFFF" w:fill="D9D9D9"/>
        </w:rPr>
        <w:fldChar w:fldCharType="end"/>
      </w:r>
    </w:p>
    <w:p w14:paraId="149F4BC0">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_Toc22924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cs="Times New Roman"/>
          <w:color w:val="auto"/>
          <w:lang w:val="en-US" w:eastAsia="zh-CN"/>
        </w:rPr>
        <w:t xml:space="preserve">7 </w:t>
      </w:r>
      <w:r>
        <w:rPr>
          <w:rFonts w:hint="default" w:ascii="Times New Roman" w:hAnsi="Times New Roman" w:cs="Times New Roman"/>
          <w:color w:val="auto"/>
          <w:lang w:val="en-US" w:eastAsia="zh-CN"/>
        </w:rPr>
        <w:t>安全对策措施、建议和结论</w:t>
      </w:r>
      <w:r>
        <w:rPr>
          <w:color w:val="auto"/>
        </w:rPr>
        <w:tab/>
      </w:r>
      <w:r>
        <w:rPr>
          <w:color w:val="auto"/>
        </w:rPr>
        <w:fldChar w:fldCharType="begin"/>
      </w:r>
      <w:r>
        <w:rPr>
          <w:color w:val="auto"/>
        </w:rPr>
        <w:instrText xml:space="preserve"> PAGEREF _Toc22924 \h </w:instrText>
      </w:r>
      <w:r>
        <w:rPr>
          <w:color w:val="auto"/>
        </w:rPr>
        <w:fldChar w:fldCharType="separate"/>
      </w:r>
      <w:r>
        <w:rPr>
          <w:color w:val="auto"/>
        </w:rPr>
        <w:t>71</w:t>
      </w:r>
      <w:r>
        <w:rPr>
          <w:color w:val="auto"/>
        </w:rPr>
        <w:fldChar w:fldCharType="end"/>
      </w:r>
      <w:r>
        <w:rPr>
          <w:rFonts w:hint="default" w:ascii="Times New Roman" w:hAnsi="Times New Roman" w:cs="Times New Roman"/>
          <w:color w:val="auto"/>
          <w:szCs w:val="24"/>
          <w:shd w:val="clear" w:color="FFFFFF" w:fill="D9D9D9"/>
        </w:rPr>
        <w:fldChar w:fldCharType="end"/>
      </w:r>
    </w:p>
    <w:p w14:paraId="0322D12B">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_Toc16355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7.1 可研提出的对策措施</w:t>
      </w:r>
      <w:r>
        <w:rPr>
          <w:color w:val="auto"/>
        </w:rPr>
        <w:tab/>
      </w:r>
      <w:r>
        <w:rPr>
          <w:color w:val="auto"/>
        </w:rPr>
        <w:fldChar w:fldCharType="begin"/>
      </w:r>
      <w:r>
        <w:rPr>
          <w:color w:val="auto"/>
        </w:rPr>
        <w:instrText xml:space="preserve"> PAGEREF _Toc16355 \h </w:instrText>
      </w:r>
      <w:r>
        <w:rPr>
          <w:color w:val="auto"/>
        </w:rPr>
        <w:fldChar w:fldCharType="separate"/>
      </w:r>
      <w:r>
        <w:rPr>
          <w:color w:val="auto"/>
        </w:rPr>
        <w:t>71</w:t>
      </w:r>
      <w:r>
        <w:rPr>
          <w:color w:val="auto"/>
        </w:rPr>
        <w:fldChar w:fldCharType="end"/>
      </w:r>
      <w:r>
        <w:rPr>
          <w:rFonts w:hint="default" w:ascii="Times New Roman" w:hAnsi="Times New Roman" w:cs="Times New Roman"/>
          <w:color w:val="auto"/>
          <w:szCs w:val="24"/>
          <w:shd w:val="clear" w:color="FFFFFF" w:fill="D9D9D9"/>
        </w:rPr>
        <w:fldChar w:fldCharType="end"/>
      </w:r>
    </w:p>
    <w:p w14:paraId="126F79E1">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_Toc21866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7.2 补充的对策措施与建议</w:t>
      </w:r>
      <w:r>
        <w:rPr>
          <w:color w:val="auto"/>
        </w:rPr>
        <w:tab/>
      </w:r>
      <w:r>
        <w:rPr>
          <w:color w:val="auto"/>
        </w:rPr>
        <w:fldChar w:fldCharType="begin"/>
      </w:r>
      <w:r>
        <w:rPr>
          <w:color w:val="auto"/>
        </w:rPr>
        <w:instrText xml:space="preserve"> PAGEREF _Toc21866 \h </w:instrText>
      </w:r>
      <w:r>
        <w:rPr>
          <w:color w:val="auto"/>
        </w:rPr>
        <w:fldChar w:fldCharType="separate"/>
      </w:r>
      <w:r>
        <w:rPr>
          <w:color w:val="auto"/>
        </w:rPr>
        <w:t>74</w:t>
      </w:r>
      <w:r>
        <w:rPr>
          <w:color w:val="auto"/>
        </w:rPr>
        <w:fldChar w:fldCharType="end"/>
      </w:r>
      <w:r>
        <w:rPr>
          <w:rFonts w:hint="default" w:ascii="Times New Roman" w:hAnsi="Times New Roman" w:cs="Times New Roman"/>
          <w:color w:val="auto"/>
          <w:szCs w:val="24"/>
          <w:shd w:val="clear" w:color="FFFFFF" w:fill="D9D9D9"/>
        </w:rPr>
        <w:fldChar w:fldCharType="end"/>
      </w:r>
    </w:p>
    <w:p w14:paraId="612BB356">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_Toc14049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7.3 结论</w:t>
      </w:r>
      <w:r>
        <w:rPr>
          <w:color w:val="auto"/>
        </w:rPr>
        <w:tab/>
      </w:r>
      <w:r>
        <w:rPr>
          <w:color w:val="auto"/>
        </w:rPr>
        <w:fldChar w:fldCharType="begin"/>
      </w:r>
      <w:r>
        <w:rPr>
          <w:color w:val="auto"/>
        </w:rPr>
        <w:instrText xml:space="preserve"> PAGEREF _Toc14049 \h </w:instrText>
      </w:r>
      <w:r>
        <w:rPr>
          <w:color w:val="auto"/>
        </w:rPr>
        <w:fldChar w:fldCharType="separate"/>
      </w:r>
      <w:r>
        <w:rPr>
          <w:color w:val="auto"/>
        </w:rPr>
        <w:t>86</w:t>
      </w:r>
      <w:r>
        <w:rPr>
          <w:color w:val="auto"/>
        </w:rPr>
        <w:fldChar w:fldCharType="end"/>
      </w:r>
      <w:r>
        <w:rPr>
          <w:rFonts w:hint="default" w:ascii="Times New Roman" w:hAnsi="Times New Roman" w:cs="Times New Roman"/>
          <w:color w:val="auto"/>
          <w:szCs w:val="24"/>
          <w:shd w:val="clear" w:color="FFFFFF" w:fill="D9D9D9"/>
        </w:rPr>
        <w:fldChar w:fldCharType="end"/>
      </w:r>
    </w:p>
    <w:p w14:paraId="6F0B430C">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_Toc31041 </w:instrText>
      </w:r>
      <w:r>
        <w:rPr>
          <w:rFonts w:hint="default" w:ascii="Times New Roman" w:hAnsi="Times New Roman" w:cs="Times New Roman"/>
          <w:color w:val="auto"/>
          <w:szCs w:val="24"/>
          <w:shd w:val="clear" w:color="FFFFFF" w:fill="D9D9D9"/>
        </w:rPr>
        <w:fldChar w:fldCharType="separate"/>
      </w:r>
      <w:r>
        <w:rPr>
          <w:rFonts w:hint="eastAsia" w:ascii="Times New Roman" w:hAnsi="Times New Roman" w:eastAsia="黑体" w:cs="Times New Roman"/>
          <w:color w:val="auto"/>
          <w:kern w:val="2"/>
          <w:szCs w:val="32"/>
          <w:lang w:val="en-US" w:eastAsia="zh-CN" w:bidi="ar-SA"/>
        </w:rPr>
        <w:t xml:space="preserve">8 </w:t>
      </w:r>
      <w:r>
        <w:rPr>
          <w:rFonts w:hint="default" w:ascii="Times New Roman" w:hAnsi="Times New Roman" w:cs="Times New Roman"/>
          <w:color w:val="auto"/>
          <w:lang w:val="en-US" w:eastAsia="zh-CN"/>
        </w:rPr>
        <w:t>评价单位与建设单位交换意见</w:t>
      </w:r>
      <w:r>
        <w:rPr>
          <w:color w:val="auto"/>
        </w:rPr>
        <w:tab/>
      </w:r>
      <w:r>
        <w:rPr>
          <w:color w:val="auto"/>
        </w:rPr>
        <w:fldChar w:fldCharType="begin"/>
      </w:r>
      <w:r>
        <w:rPr>
          <w:color w:val="auto"/>
        </w:rPr>
        <w:instrText xml:space="preserve"> PAGEREF _Toc31041 \h </w:instrText>
      </w:r>
      <w:r>
        <w:rPr>
          <w:color w:val="auto"/>
        </w:rPr>
        <w:fldChar w:fldCharType="separate"/>
      </w:r>
      <w:r>
        <w:rPr>
          <w:color w:val="auto"/>
        </w:rPr>
        <w:t>88</w:t>
      </w:r>
      <w:r>
        <w:rPr>
          <w:color w:val="auto"/>
        </w:rPr>
        <w:fldChar w:fldCharType="end"/>
      </w:r>
      <w:r>
        <w:rPr>
          <w:rFonts w:hint="default" w:ascii="Times New Roman" w:hAnsi="Times New Roman" w:cs="Times New Roman"/>
          <w:color w:val="auto"/>
          <w:szCs w:val="24"/>
          <w:shd w:val="clear" w:color="FFFFFF" w:fill="D9D9D9"/>
        </w:rPr>
        <w:fldChar w:fldCharType="end"/>
      </w:r>
    </w:p>
    <w:p w14:paraId="7C8E3197">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_Toc22276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附件1 危险有害因素分析过程</w:t>
      </w:r>
      <w:r>
        <w:rPr>
          <w:color w:val="auto"/>
        </w:rPr>
        <w:tab/>
      </w:r>
      <w:r>
        <w:rPr>
          <w:color w:val="auto"/>
        </w:rPr>
        <w:fldChar w:fldCharType="begin"/>
      </w:r>
      <w:r>
        <w:rPr>
          <w:color w:val="auto"/>
        </w:rPr>
        <w:instrText xml:space="preserve"> PAGEREF _Toc22276 \h </w:instrText>
      </w:r>
      <w:r>
        <w:rPr>
          <w:color w:val="auto"/>
        </w:rPr>
        <w:fldChar w:fldCharType="separate"/>
      </w:r>
      <w:r>
        <w:rPr>
          <w:color w:val="auto"/>
        </w:rPr>
        <w:t>90</w:t>
      </w:r>
      <w:r>
        <w:rPr>
          <w:color w:val="auto"/>
        </w:rPr>
        <w:fldChar w:fldCharType="end"/>
      </w:r>
      <w:r>
        <w:rPr>
          <w:rFonts w:hint="default" w:ascii="Times New Roman" w:hAnsi="Times New Roman" w:cs="Times New Roman"/>
          <w:color w:val="auto"/>
          <w:szCs w:val="24"/>
          <w:shd w:val="clear" w:color="FFFFFF" w:fill="D9D9D9"/>
        </w:rPr>
        <w:fldChar w:fldCharType="end"/>
      </w:r>
    </w:p>
    <w:p w14:paraId="6C163D55">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_Toc900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F1.1 主要危险、有害物质及其危险、危害特性</w:t>
      </w:r>
      <w:r>
        <w:rPr>
          <w:color w:val="auto"/>
        </w:rPr>
        <w:tab/>
      </w:r>
      <w:r>
        <w:rPr>
          <w:color w:val="auto"/>
        </w:rPr>
        <w:fldChar w:fldCharType="begin"/>
      </w:r>
      <w:r>
        <w:rPr>
          <w:color w:val="auto"/>
        </w:rPr>
        <w:instrText xml:space="preserve"> PAGEREF _Toc900 \h </w:instrText>
      </w:r>
      <w:r>
        <w:rPr>
          <w:color w:val="auto"/>
        </w:rPr>
        <w:fldChar w:fldCharType="separate"/>
      </w:r>
      <w:r>
        <w:rPr>
          <w:color w:val="auto"/>
        </w:rPr>
        <w:t>90</w:t>
      </w:r>
      <w:r>
        <w:rPr>
          <w:color w:val="auto"/>
        </w:rPr>
        <w:fldChar w:fldCharType="end"/>
      </w:r>
      <w:r>
        <w:rPr>
          <w:rFonts w:hint="default" w:ascii="Times New Roman" w:hAnsi="Times New Roman" w:cs="Times New Roman"/>
          <w:color w:val="auto"/>
          <w:szCs w:val="24"/>
          <w:shd w:val="clear" w:color="FFFFFF" w:fill="D9D9D9"/>
        </w:rPr>
        <w:fldChar w:fldCharType="end"/>
      </w:r>
    </w:p>
    <w:p w14:paraId="1C274ED4">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_Toc20315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F1.2 建设项目危险有害因素分析</w:t>
      </w:r>
      <w:r>
        <w:rPr>
          <w:color w:val="auto"/>
        </w:rPr>
        <w:tab/>
      </w:r>
      <w:r>
        <w:rPr>
          <w:color w:val="auto"/>
        </w:rPr>
        <w:fldChar w:fldCharType="begin"/>
      </w:r>
      <w:r>
        <w:rPr>
          <w:color w:val="auto"/>
        </w:rPr>
        <w:instrText xml:space="preserve"> PAGEREF _Toc20315 \h </w:instrText>
      </w:r>
      <w:r>
        <w:rPr>
          <w:color w:val="auto"/>
        </w:rPr>
        <w:fldChar w:fldCharType="separate"/>
      </w:r>
      <w:r>
        <w:rPr>
          <w:color w:val="auto"/>
        </w:rPr>
        <w:t>101</w:t>
      </w:r>
      <w:r>
        <w:rPr>
          <w:color w:val="auto"/>
        </w:rPr>
        <w:fldChar w:fldCharType="end"/>
      </w:r>
      <w:r>
        <w:rPr>
          <w:rFonts w:hint="default" w:ascii="Times New Roman" w:hAnsi="Times New Roman" w:cs="Times New Roman"/>
          <w:color w:val="auto"/>
          <w:szCs w:val="24"/>
          <w:shd w:val="clear" w:color="FFFFFF" w:fill="D9D9D9"/>
        </w:rPr>
        <w:fldChar w:fldCharType="end"/>
      </w:r>
    </w:p>
    <w:p w14:paraId="145CF777">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_Toc20422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F1.3 安全管理缺陷危险性分析</w:t>
      </w:r>
      <w:r>
        <w:rPr>
          <w:color w:val="auto"/>
        </w:rPr>
        <w:tab/>
      </w:r>
      <w:r>
        <w:rPr>
          <w:color w:val="auto"/>
        </w:rPr>
        <w:fldChar w:fldCharType="begin"/>
      </w:r>
      <w:r>
        <w:rPr>
          <w:color w:val="auto"/>
        </w:rPr>
        <w:instrText xml:space="preserve"> PAGEREF _Toc20422 \h </w:instrText>
      </w:r>
      <w:r>
        <w:rPr>
          <w:color w:val="auto"/>
        </w:rPr>
        <w:fldChar w:fldCharType="separate"/>
      </w:r>
      <w:r>
        <w:rPr>
          <w:color w:val="auto"/>
        </w:rPr>
        <w:t>112</w:t>
      </w:r>
      <w:r>
        <w:rPr>
          <w:color w:val="auto"/>
        </w:rPr>
        <w:fldChar w:fldCharType="end"/>
      </w:r>
      <w:r>
        <w:rPr>
          <w:rFonts w:hint="default" w:ascii="Times New Roman" w:hAnsi="Times New Roman" w:cs="Times New Roman"/>
          <w:color w:val="auto"/>
          <w:szCs w:val="24"/>
          <w:shd w:val="clear" w:color="FFFFFF" w:fill="D9D9D9"/>
        </w:rPr>
        <w:fldChar w:fldCharType="end"/>
      </w:r>
    </w:p>
    <w:p w14:paraId="14DCA3D3">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_Toc23266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F1.4 环境因素分析</w:t>
      </w:r>
      <w:r>
        <w:rPr>
          <w:color w:val="auto"/>
        </w:rPr>
        <w:tab/>
      </w:r>
      <w:r>
        <w:rPr>
          <w:color w:val="auto"/>
        </w:rPr>
        <w:fldChar w:fldCharType="begin"/>
      </w:r>
      <w:r>
        <w:rPr>
          <w:color w:val="auto"/>
        </w:rPr>
        <w:instrText xml:space="preserve"> PAGEREF _Toc23266 \h </w:instrText>
      </w:r>
      <w:r>
        <w:rPr>
          <w:color w:val="auto"/>
        </w:rPr>
        <w:fldChar w:fldCharType="separate"/>
      </w:r>
      <w:r>
        <w:rPr>
          <w:color w:val="auto"/>
        </w:rPr>
        <w:t>113</w:t>
      </w:r>
      <w:r>
        <w:rPr>
          <w:color w:val="auto"/>
        </w:rPr>
        <w:fldChar w:fldCharType="end"/>
      </w:r>
      <w:r>
        <w:rPr>
          <w:rFonts w:hint="default" w:ascii="Times New Roman" w:hAnsi="Times New Roman" w:cs="Times New Roman"/>
          <w:color w:val="auto"/>
          <w:szCs w:val="24"/>
          <w:shd w:val="clear" w:color="FFFFFF" w:fill="D9D9D9"/>
        </w:rPr>
        <w:fldChar w:fldCharType="end"/>
      </w:r>
    </w:p>
    <w:p w14:paraId="563E78BE">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_Toc11235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F1.5 重大危险源辨识过程</w:t>
      </w:r>
      <w:r>
        <w:rPr>
          <w:color w:val="auto"/>
        </w:rPr>
        <w:tab/>
      </w:r>
      <w:r>
        <w:rPr>
          <w:color w:val="auto"/>
        </w:rPr>
        <w:fldChar w:fldCharType="begin"/>
      </w:r>
      <w:r>
        <w:rPr>
          <w:color w:val="auto"/>
        </w:rPr>
        <w:instrText xml:space="preserve"> PAGEREF _Toc11235 \h </w:instrText>
      </w:r>
      <w:r>
        <w:rPr>
          <w:color w:val="auto"/>
        </w:rPr>
        <w:fldChar w:fldCharType="separate"/>
      </w:r>
      <w:r>
        <w:rPr>
          <w:color w:val="auto"/>
        </w:rPr>
        <w:t>114</w:t>
      </w:r>
      <w:r>
        <w:rPr>
          <w:color w:val="auto"/>
        </w:rPr>
        <w:fldChar w:fldCharType="end"/>
      </w:r>
      <w:r>
        <w:rPr>
          <w:rFonts w:hint="default" w:ascii="Times New Roman" w:hAnsi="Times New Roman" w:cs="Times New Roman"/>
          <w:color w:val="auto"/>
          <w:szCs w:val="24"/>
          <w:shd w:val="clear" w:color="FFFFFF" w:fill="D9D9D9"/>
        </w:rPr>
        <w:fldChar w:fldCharType="end"/>
      </w:r>
    </w:p>
    <w:p w14:paraId="686D955A">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_Toc23448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附件2 选用的安全评价方法简介</w:t>
      </w:r>
      <w:r>
        <w:rPr>
          <w:color w:val="auto"/>
        </w:rPr>
        <w:tab/>
      </w:r>
      <w:r>
        <w:rPr>
          <w:color w:val="auto"/>
        </w:rPr>
        <w:fldChar w:fldCharType="begin"/>
      </w:r>
      <w:r>
        <w:rPr>
          <w:color w:val="auto"/>
        </w:rPr>
        <w:instrText xml:space="preserve"> PAGEREF _Toc23448 \h </w:instrText>
      </w:r>
      <w:r>
        <w:rPr>
          <w:color w:val="auto"/>
        </w:rPr>
        <w:fldChar w:fldCharType="separate"/>
      </w:r>
      <w:r>
        <w:rPr>
          <w:color w:val="auto"/>
        </w:rPr>
        <w:t>118</w:t>
      </w:r>
      <w:r>
        <w:rPr>
          <w:color w:val="auto"/>
        </w:rPr>
        <w:fldChar w:fldCharType="end"/>
      </w:r>
      <w:r>
        <w:rPr>
          <w:rFonts w:hint="default" w:ascii="Times New Roman" w:hAnsi="Times New Roman" w:cs="Times New Roman"/>
          <w:color w:val="auto"/>
          <w:szCs w:val="24"/>
          <w:shd w:val="clear" w:color="FFFFFF" w:fill="D9D9D9"/>
        </w:rPr>
        <w:fldChar w:fldCharType="end"/>
      </w:r>
    </w:p>
    <w:p w14:paraId="5A5AB42E">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_Toc14145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F2.1 安全检查表法（SCL）</w:t>
      </w:r>
      <w:r>
        <w:rPr>
          <w:color w:val="auto"/>
        </w:rPr>
        <w:tab/>
      </w:r>
      <w:r>
        <w:rPr>
          <w:color w:val="auto"/>
        </w:rPr>
        <w:fldChar w:fldCharType="begin"/>
      </w:r>
      <w:r>
        <w:rPr>
          <w:color w:val="auto"/>
        </w:rPr>
        <w:instrText xml:space="preserve"> PAGEREF _Toc14145 \h </w:instrText>
      </w:r>
      <w:r>
        <w:rPr>
          <w:color w:val="auto"/>
        </w:rPr>
        <w:fldChar w:fldCharType="separate"/>
      </w:r>
      <w:r>
        <w:rPr>
          <w:color w:val="auto"/>
        </w:rPr>
        <w:t>118</w:t>
      </w:r>
      <w:r>
        <w:rPr>
          <w:color w:val="auto"/>
        </w:rPr>
        <w:fldChar w:fldCharType="end"/>
      </w:r>
      <w:r>
        <w:rPr>
          <w:rFonts w:hint="default" w:ascii="Times New Roman" w:hAnsi="Times New Roman" w:cs="Times New Roman"/>
          <w:color w:val="auto"/>
          <w:szCs w:val="24"/>
          <w:shd w:val="clear" w:color="FFFFFF" w:fill="D9D9D9"/>
        </w:rPr>
        <w:fldChar w:fldCharType="end"/>
      </w:r>
    </w:p>
    <w:p w14:paraId="6B3AD23B">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_Toc11038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F2.2 危险度评价法</w:t>
      </w:r>
      <w:r>
        <w:rPr>
          <w:color w:val="auto"/>
        </w:rPr>
        <w:tab/>
      </w:r>
      <w:r>
        <w:rPr>
          <w:color w:val="auto"/>
        </w:rPr>
        <w:fldChar w:fldCharType="begin"/>
      </w:r>
      <w:r>
        <w:rPr>
          <w:color w:val="auto"/>
        </w:rPr>
        <w:instrText xml:space="preserve"> PAGEREF _Toc11038 \h </w:instrText>
      </w:r>
      <w:r>
        <w:rPr>
          <w:color w:val="auto"/>
        </w:rPr>
        <w:fldChar w:fldCharType="separate"/>
      </w:r>
      <w:r>
        <w:rPr>
          <w:color w:val="auto"/>
        </w:rPr>
        <w:t>118</w:t>
      </w:r>
      <w:r>
        <w:rPr>
          <w:color w:val="auto"/>
        </w:rPr>
        <w:fldChar w:fldCharType="end"/>
      </w:r>
      <w:r>
        <w:rPr>
          <w:rFonts w:hint="default" w:ascii="Times New Roman" w:hAnsi="Times New Roman" w:cs="Times New Roman"/>
          <w:color w:val="auto"/>
          <w:szCs w:val="24"/>
          <w:shd w:val="clear" w:color="FFFFFF" w:fill="D9D9D9"/>
        </w:rPr>
        <w:fldChar w:fldCharType="end"/>
      </w:r>
    </w:p>
    <w:p w14:paraId="20197C58">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_Toc9582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附件3 定性、定量分析过程</w:t>
      </w:r>
      <w:r>
        <w:rPr>
          <w:color w:val="auto"/>
        </w:rPr>
        <w:tab/>
      </w:r>
      <w:r>
        <w:rPr>
          <w:color w:val="auto"/>
        </w:rPr>
        <w:fldChar w:fldCharType="begin"/>
      </w:r>
      <w:r>
        <w:rPr>
          <w:color w:val="auto"/>
        </w:rPr>
        <w:instrText xml:space="preserve"> PAGEREF _Toc9582 \h </w:instrText>
      </w:r>
      <w:r>
        <w:rPr>
          <w:color w:val="auto"/>
        </w:rPr>
        <w:fldChar w:fldCharType="separate"/>
      </w:r>
      <w:r>
        <w:rPr>
          <w:color w:val="auto"/>
        </w:rPr>
        <w:t>120</w:t>
      </w:r>
      <w:r>
        <w:rPr>
          <w:color w:val="auto"/>
        </w:rPr>
        <w:fldChar w:fldCharType="end"/>
      </w:r>
      <w:r>
        <w:rPr>
          <w:rFonts w:hint="default" w:ascii="Times New Roman" w:hAnsi="Times New Roman" w:cs="Times New Roman"/>
          <w:color w:val="auto"/>
          <w:szCs w:val="24"/>
          <w:shd w:val="clear" w:color="FFFFFF" w:fill="D9D9D9"/>
        </w:rPr>
        <w:fldChar w:fldCharType="end"/>
      </w:r>
    </w:p>
    <w:p w14:paraId="22480B07">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_Toc13686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rPr>
        <w:t>F</w:t>
      </w:r>
      <w:r>
        <w:rPr>
          <w:rFonts w:hint="default" w:ascii="Times New Roman" w:hAnsi="Times New Roman" w:cs="Times New Roman"/>
          <w:color w:val="auto"/>
          <w:lang w:val="en-US" w:eastAsia="zh-CN"/>
        </w:rPr>
        <w:t>3</w:t>
      </w:r>
      <w:r>
        <w:rPr>
          <w:rFonts w:hint="default" w:ascii="Times New Roman" w:hAnsi="Times New Roman" w:cs="Times New Roman"/>
          <w:color w:val="auto"/>
        </w:rPr>
        <w:t>.1 安全检查表法</w:t>
      </w:r>
      <w:r>
        <w:rPr>
          <w:color w:val="auto"/>
        </w:rPr>
        <w:tab/>
      </w:r>
      <w:r>
        <w:rPr>
          <w:color w:val="auto"/>
        </w:rPr>
        <w:fldChar w:fldCharType="begin"/>
      </w:r>
      <w:r>
        <w:rPr>
          <w:color w:val="auto"/>
        </w:rPr>
        <w:instrText xml:space="preserve"> PAGEREF _Toc13686 \h </w:instrText>
      </w:r>
      <w:r>
        <w:rPr>
          <w:color w:val="auto"/>
        </w:rPr>
        <w:fldChar w:fldCharType="separate"/>
      </w:r>
      <w:r>
        <w:rPr>
          <w:color w:val="auto"/>
        </w:rPr>
        <w:t>120</w:t>
      </w:r>
      <w:r>
        <w:rPr>
          <w:color w:val="auto"/>
        </w:rPr>
        <w:fldChar w:fldCharType="end"/>
      </w:r>
      <w:r>
        <w:rPr>
          <w:rFonts w:hint="default" w:ascii="Times New Roman" w:hAnsi="Times New Roman" w:cs="Times New Roman"/>
          <w:color w:val="auto"/>
          <w:szCs w:val="24"/>
          <w:shd w:val="clear" w:color="FFFFFF" w:fill="D9D9D9"/>
        </w:rPr>
        <w:fldChar w:fldCharType="end"/>
      </w:r>
    </w:p>
    <w:p w14:paraId="5DDC066B">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_Toc18025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F3.2 定量分析评价</w:t>
      </w:r>
      <w:r>
        <w:rPr>
          <w:color w:val="auto"/>
        </w:rPr>
        <w:tab/>
      </w:r>
      <w:r>
        <w:rPr>
          <w:color w:val="auto"/>
        </w:rPr>
        <w:fldChar w:fldCharType="begin"/>
      </w:r>
      <w:r>
        <w:rPr>
          <w:color w:val="auto"/>
        </w:rPr>
        <w:instrText xml:space="preserve"> PAGEREF _Toc18025 \h </w:instrText>
      </w:r>
      <w:r>
        <w:rPr>
          <w:color w:val="auto"/>
        </w:rPr>
        <w:fldChar w:fldCharType="separate"/>
      </w:r>
      <w:r>
        <w:rPr>
          <w:color w:val="auto"/>
        </w:rPr>
        <w:t>138</w:t>
      </w:r>
      <w:r>
        <w:rPr>
          <w:color w:val="auto"/>
        </w:rPr>
        <w:fldChar w:fldCharType="end"/>
      </w:r>
      <w:r>
        <w:rPr>
          <w:rFonts w:hint="default" w:ascii="Times New Roman" w:hAnsi="Times New Roman" w:cs="Times New Roman"/>
          <w:color w:val="auto"/>
          <w:szCs w:val="24"/>
          <w:shd w:val="clear" w:color="FFFFFF" w:fill="D9D9D9"/>
        </w:rPr>
        <w:fldChar w:fldCharType="end"/>
      </w:r>
    </w:p>
    <w:p w14:paraId="135DF3DE">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_Toc22173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附件4 评价依据</w:t>
      </w:r>
      <w:r>
        <w:rPr>
          <w:color w:val="auto"/>
        </w:rPr>
        <w:tab/>
      </w:r>
      <w:r>
        <w:rPr>
          <w:color w:val="auto"/>
        </w:rPr>
        <w:fldChar w:fldCharType="begin"/>
      </w:r>
      <w:r>
        <w:rPr>
          <w:color w:val="auto"/>
        </w:rPr>
        <w:instrText xml:space="preserve"> PAGEREF _Toc22173 \h </w:instrText>
      </w:r>
      <w:r>
        <w:rPr>
          <w:color w:val="auto"/>
        </w:rPr>
        <w:fldChar w:fldCharType="separate"/>
      </w:r>
      <w:r>
        <w:rPr>
          <w:color w:val="auto"/>
        </w:rPr>
        <w:t>140</w:t>
      </w:r>
      <w:r>
        <w:rPr>
          <w:color w:val="auto"/>
        </w:rPr>
        <w:fldChar w:fldCharType="end"/>
      </w:r>
      <w:r>
        <w:rPr>
          <w:rFonts w:hint="default" w:ascii="Times New Roman" w:hAnsi="Times New Roman" w:cs="Times New Roman"/>
          <w:color w:val="auto"/>
          <w:szCs w:val="24"/>
          <w:shd w:val="clear" w:color="FFFFFF" w:fill="D9D9D9"/>
        </w:rPr>
        <w:fldChar w:fldCharType="end"/>
      </w:r>
    </w:p>
    <w:p w14:paraId="2A9D6C0A">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_Toc2634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F4.1 法律、法规、规范</w:t>
      </w:r>
      <w:r>
        <w:rPr>
          <w:color w:val="auto"/>
        </w:rPr>
        <w:tab/>
      </w:r>
      <w:r>
        <w:rPr>
          <w:color w:val="auto"/>
        </w:rPr>
        <w:fldChar w:fldCharType="begin"/>
      </w:r>
      <w:r>
        <w:rPr>
          <w:color w:val="auto"/>
        </w:rPr>
        <w:instrText xml:space="preserve"> PAGEREF _Toc2634 \h </w:instrText>
      </w:r>
      <w:r>
        <w:rPr>
          <w:color w:val="auto"/>
        </w:rPr>
        <w:fldChar w:fldCharType="separate"/>
      </w:r>
      <w:r>
        <w:rPr>
          <w:color w:val="auto"/>
        </w:rPr>
        <w:t>140</w:t>
      </w:r>
      <w:r>
        <w:rPr>
          <w:color w:val="auto"/>
        </w:rPr>
        <w:fldChar w:fldCharType="end"/>
      </w:r>
      <w:r>
        <w:rPr>
          <w:rFonts w:hint="default" w:ascii="Times New Roman" w:hAnsi="Times New Roman" w:cs="Times New Roman"/>
          <w:color w:val="auto"/>
          <w:szCs w:val="24"/>
          <w:shd w:val="clear" w:color="FFFFFF" w:fill="D9D9D9"/>
        </w:rPr>
        <w:fldChar w:fldCharType="end"/>
      </w:r>
    </w:p>
    <w:p w14:paraId="08644F34">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_Toc31252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F3.2 国家标准、规范、规程</w:t>
      </w:r>
      <w:r>
        <w:rPr>
          <w:color w:val="auto"/>
        </w:rPr>
        <w:tab/>
      </w:r>
      <w:r>
        <w:rPr>
          <w:color w:val="auto"/>
        </w:rPr>
        <w:fldChar w:fldCharType="begin"/>
      </w:r>
      <w:r>
        <w:rPr>
          <w:color w:val="auto"/>
        </w:rPr>
        <w:instrText xml:space="preserve"> PAGEREF _Toc31252 \h </w:instrText>
      </w:r>
      <w:r>
        <w:rPr>
          <w:color w:val="auto"/>
        </w:rPr>
        <w:fldChar w:fldCharType="separate"/>
      </w:r>
      <w:r>
        <w:rPr>
          <w:color w:val="auto"/>
        </w:rPr>
        <w:t>143</w:t>
      </w:r>
      <w:r>
        <w:rPr>
          <w:color w:val="auto"/>
        </w:rPr>
        <w:fldChar w:fldCharType="end"/>
      </w:r>
      <w:r>
        <w:rPr>
          <w:rFonts w:hint="default" w:ascii="Times New Roman" w:hAnsi="Times New Roman" w:cs="Times New Roman"/>
          <w:color w:val="auto"/>
          <w:szCs w:val="24"/>
          <w:shd w:val="clear" w:color="FFFFFF" w:fill="D9D9D9"/>
        </w:rPr>
        <w:fldChar w:fldCharType="end"/>
      </w:r>
    </w:p>
    <w:p w14:paraId="04CB8B4F">
      <w:pPr>
        <w:pStyle w:val="15"/>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40"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_Toc9010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F3.3 依据的其他有关文件资料</w:t>
      </w:r>
      <w:r>
        <w:rPr>
          <w:color w:val="auto"/>
        </w:rPr>
        <w:tab/>
      </w:r>
      <w:r>
        <w:rPr>
          <w:color w:val="auto"/>
        </w:rPr>
        <w:fldChar w:fldCharType="begin"/>
      </w:r>
      <w:r>
        <w:rPr>
          <w:color w:val="auto"/>
        </w:rPr>
        <w:instrText xml:space="preserve"> PAGEREF _Toc9010 \h </w:instrText>
      </w:r>
      <w:r>
        <w:rPr>
          <w:color w:val="auto"/>
        </w:rPr>
        <w:fldChar w:fldCharType="separate"/>
      </w:r>
      <w:r>
        <w:rPr>
          <w:color w:val="auto"/>
        </w:rPr>
        <w:t>145</w:t>
      </w:r>
      <w:r>
        <w:rPr>
          <w:color w:val="auto"/>
        </w:rPr>
        <w:fldChar w:fldCharType="end"/>
      </w:r>
      <w:r>
        <w:rPr>
          <w:rFonts w:hint="default" w:ascii="Times New Roman" w:hAnsi="Times New Roman" w:cs="Times New Roman"/>
          <w:color w:val="auto"/>
          <w:szCs w:val="24"/>
          <w:shd w:val="clear" w:color="FFFFFF" w:fill="D9D9D9"/>
        </w:rPr>
        <w:fldChar w:fldCharType="end"/>
      </w:r>
    </w:p>
    <w:p w14:paraId="22C76FC9">
      <w:pPr>
        <w:pStyle w:val="14"/>
        <w:keepNext w:val="0"/>
        <w:keepLines w:val="0"/>
        <w:pageBreakBefore w:val="0"/>
        <w:widowControl w:val="0"/>
        <w:tabs>
          <w:tab w:val="right" w:leader="dot" w:pos="9185"/>
          <w:tab w:val="clear" w:pos="315"/>
        </w:tabs>
        <w:kinsoku/>
        <w:wordWrap/>
        <w:overflowPunct/>
        <w:topLinePunct w:val="0"/>
        <w:autoSpaceDE/>
        <w:autoSpaceDN/>
        <w:bidi w:val="0"/>
        <w:adjustRightInd/>
        <w:snapToGrid/>
        <w:ind w:firstLine="281" w:firstLineChars="100"/>
        <w:textAlignment w:val="auto"/>
        <w:rPr>
          <w:color w:val="auto"/>
        </w:rPr>
      </w:pPr>
      <w:r>
        <w:rPr>
          <w:rFonts w:hint="default" w:ascii="Times New Roman" w:hAnsi="Times New Roman" w:cs="Times New Roman"/>
          <w:color w:val="auto"/>
          <w:szCs w:val="24"/>
          <w:shd w:val="clear" w:color="FFFFFF" w:fill="D9D9D9"/>
        </w:rPr>
        <w:fldChar w:fldCharType="begin"/>
      </w:r>
      <w:r>
        <w:rPr>
          <w:rFonts w:hint="default" w:ascii="Times New Roman" w:hAnsi="Times New Roman" w:cs="Times New Roman"/>
          <w:color w:val="auto"/>
          <w:szCs w:val="24"/>
          <w:shd w:val="clear" w:color="FFFFFF" w:fill="D9D9D9"/>
        </w:rPr>
        <w:instrText xml:space="preserve"> HYPERLINK \l _Toc13206 </w:instrText>
      </w:r>
      <w:r>
        <w:rPr>
          <w:rFonts w:hint="default" w:ascii="Times New Roman" w:hAnsi="Times New Roman" w:cs="Times New Roman"/>
          <w:color w:val="auto"/>
          <w:szCs w:val="24"/>
          <w:shd w:val="clear" w:color="FFFFFF" w:fill="D9D9D9"/>
        </w:rPr>
        <w:fldChar w:fldCharType="separate"/>
      </w:r>
      <w:r>
        <w:rPr>
          <w:rFonts w:hint="default" w:ascii="Times New Roman" w:hAnsi="Times New Roman" w:cs="Times New Roman"/>
          <w:color w:val="auto"/>
          <w:lang w:val="en-US" w:eastAsia="zh-CN"/>
        </w:rPr>
        <w:t>附件5 报告附件目录</w:t>
      </w:r>
      <w:r>
        <w:rPr>
          <w:color w:val="auto"/>
        </w:rPr>
        <w:tab/>
      </w:r>
      <w:r>
        <w:rPr>
          <w:color w:val="auto"/>
        </w:rPr>
        <w:fldChar w:fldCharType="begin"/>
      </w:r>
      <w:r>
        <w:rPr>
          <w:color w:val="auto"/>
        </w:rPr>
        <w:instrText xml:space="preserve"> PAGEREF _Toc13206 \h </w:instrText>
      </w:r>
      <w:r>
        <w:rPr>
          <w:color w:val="auto"/>
        </w:rPr>
        <w:fldChar w:fldCharType="separate"/>
      </w:r>
      <w:r>
        <w:rPr>
          <w:color w:val="auto"/>
        </w:rPr>
        <w:t>146</w:t>
      </w:r>
      <w:r>
        <w:rPr>
          <w:color w:val="auto"/>
        </w:rPr>
        <w:fldChar w:fldCharType="end"/>
      </w:r>
      <w:r>
        <w:rPr>
          <w:rFonts w:hint="default" w:ascii="Times New Roman" w:hAnsi="Times New Roman" w:cs="Times New Roman"/>
          <w:color w:val="auto"/>
          <w:szCs w:val="24"/>
          <w:shd w:val="clear" w:color="FFFFFF" w:fill="D9D9D9"/>
        </w:rPr>
        <w:fldChar w:fldCharType="end"/>
      </w:r>
    </w:p>
    <w:p w14:paraId="06B54AF1">
      <w:pPr>
        <w:spacing w:line="360" w:lineRule="auto"/>
        <w:ind w:firstLine="0" w:firstLineChars="0"/>
        <w:jc w:val="center"/>
        <w:rPr>
          <w:rFonts w:hint="default" w:ascii="Times New Roman" w:hAnsi="Times New Roman" w:cs="Times New Roman"/>
          <w:snapToGrid w:val="0"/>
          <w:color w:val="auto"/>
          <w:sz w:val="24"/>
          <w:szCs w:val="21"/>
          <w:shd w:val="clear" w:color="FFFFFF" w:fill="D9D9D9"/>
        </w:rPr>
        <w:sectPr>
          <w:headerReference r:id="rId6" w:type="default"/>
          <w:footerReference r:id="rId7" w:type="default"/>
          <w:pgSz w:w="11906" w:h="16838"/>
          <w:pgMar w:top="1417" w:right="1134" w:bottom="1134" w:left="1587" w:header="851" w:footer="992" w:gutter="0"/>
          <w:pgBorders>
            <w:top w:val="none" w:sz="0" w:space="0"/>
            <w:left w:val="none" w:sz="0" w:space="0"/>
            <w:bottom w:val="none" w:sz="0" w:space="0"/>
            <w:right w:val="none" w:sz="0" w:space="0"/>
          </w:pgBorders>
          <w:pgNumType w:fmt="upperRoman" w:start="1"/>
          <w:cols w:space="720" w:num="1"/>
          <w:docGrid w:linePitch="312" w:charSpace="0"/>
        </w:sectPr>
      </w:pPr>
      <w:r>
        <w:rPr>
          <w:rFonts w:hint="default" w:ascii="Times New Roman" w:hAnsi="Times New Roman" w:cs="Times New Roman"/>
          <w:color w:val="auto"/>
          <w:sz w:val="24"/>
          <w:szCs w:val="24"/>
          <w:shd w:val="clear" w:color="FFFFFF" w:fill="D9D9D9"/>
        </w:rPr>
        <w:fldChar w:fldCharType="end"/>
      </w:r>
    </w:p>
    <w:p w14:paraId="154864A2">
      <w:pPr>
        <w:pStyle w:val="17"/>
        <w:bidi w:val="0"/>
        <w:rPr>
          <w:rFonts w:hint="default" w:ascii="Times New Roman" w:hAnsi="Times New Roman" w:cs="Times New Roman"/>
          <w:color w:val="auto"/>
          <w:lang w:val="en-US" w:eastAsia="zh-CN"/>
        </w:rPr>
      </w:pPr>
      <w:bookmarkStart w:id="10" w:name="_Toc27824"/>
      <w:r>
        <w:rPr>
          <w:rFonts w:hint="default" w:ascii="Times New Roman" w:hAnsi="Times New Roman" w:cs="Times New Roman"/>
          <w:color w:val="auto"/>
          <w:lang w:val="en-US" w:eastAsia="zh-CN"/>
        </w:rPr>
        <w:t>安全评价工作经过</w:t>
      </w:r>
      <w:bookmarkEnd w:id="10"/>
    </w:p>
    <w:p w14:paraId="5E41812C">
      <w:pPr>
        <w:pStyle w:val="3"/>
        <w:bidi w:val="0"/>
        <w:rPr>
          <w:rFonts w:hint="default" w:ascii="Times New Roman" w:hAnsi="Times New Roman" w:cs="Times New Roman"/>
          <w:color w:val="auto"/>
          <w:lang w:val="en-US" w:eastAsia="zh-CN"/>
        </w:rPr>
      </w:pPr>
      <w:bookmarkStart w:id="11" w:name="_Toc29844"/>
      <w:r>
        <w:rPr>
          <w:rFonts w:hint="default" w:ascii="Times New Roman" w:hAnsi="Times New Roman" w:cs="Times New Roman"/>
          <w:color w:val="auto"/>
          <w:lang w:val="en-US" w:eastAsia="zh-CN"/>
        </w:rPr>
        <w:t>评价目的</w:t>
      </w:r>
      <w:bookmarkEnd w:id="11"/>
    </w:p>
    <w:p w14:paraId="2C55EEE6">
      <w:pPr>
        <w:pStyle w:val="6"/>
        <w:numPr>
          <w:ilvl w:val="0"/>
          <w:numId w:val="3"/>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贯彻“安全第一、预防为主、综合治理</w:t>
      </w:r>
      <w:r>
        <w:rPr>
          <w:rFonts w:hint="eastAsia" w:cs="Times New Roman"/>
          <w:color w:val="auto"/>
          <w:lang w:val="en-US" w:eastAsia="zh-CN"/>
        </w:rPr>
        <w:t>”</w:t>
      </w:r>
      <w:r>
        <w:rPr>
          <w:rFonts w:hint="default" w:ascii="Times New Roman" w:hAnsi="Times New Roman" w:cs="Times New Roman"/>
          <w:color w:val="auto"/>
          <w:lang w:val="en-US" w:eastAsia="zh-CN"/>
        </w:rPr>
        <w:t>的安全生产方针，确保石油化工总厂储运二部装卸车</w:t>
      </w:r>
      <w:r>
        <w:rPr>
          <w:rFonts w:hint="eastAsia" w:cs="Times New Roman"/>
          <w:color w:val="auto"/>
          <w:lang w:val="en-US" w:eastAsia="zh-CN"/>
        </w:rPr>
        <w:t>废气</w:t>
      </w:r>
      <w:r>
        <w:rPr>
          <w:rFonts w:hint="default" w:ascii="Times New Roman" w:hAnsi="Times New Roman" w:cs="Times New Roman"/>
          <w:color w:val="auto"/>
          <w:lang w:val="en-US" w:eastAsia="zh-CN"/>
        </w:rPr>
        <w:t>治理项目的安全设施与主体工程同时设计、同时施工、同时投入生产和使用，保证项目建成后在安全方面符合国家有关法律、法规和标准、规范的要求。</w:t>
      </w:r>
    </w:p>
    <w:p w14:paraId="7295BB1E">
      <w:pPr>
        <w:pStyle w:val="6"/>
        <w:numPr>
          <w:ilvl w:val="0"/>
          <w:numId w:val="3"/>
        </w:numPr>
        <w:bidi w:val="0"/>
        <w:rPr>
          <w:rFonts w:hint="default" w:ascii="Times New Roman" w:hAnsi="Times New Roman" w:cs="Times New Roman"/>
          <w:color w:val="auto"/>
          <w:lang w:val="en-US" w:eastAsia="zh-CN"/>
        </w:rPr>
      </w:pPr>
      <w:bookmarkStart w:id="12" w:name="_Toc112572894"/>
      <w:r>
        <w:rPr>
          <w:rFonts w:hint="default" w:ascii="Times New Roman" w:hAnsi="Times New Roman" w:cs="Times New Roman"/>
          <w:color w:val="auto"/>
          <w:lang w:val="en-US" w:eastAsia="zh-CN"/>
        </w:rPr>
        <w:t>通过对石油化工总厂储运二部装卸车</w:t>
      </w:r>
      <w:r>
        <w:rPr>
          <w:rFonts w:hint="eastAsia" w:cs="Times New Roman"/>
          <w:color w:val="auto"/>
          <w:lang w:val="en-US" w:eastAsia="zh-CN"/>
        </w:rPr>
        <w:t>废气</w:t>
      </w:r>
      <w:r>
        <w:rPr>
          <w:rFonts w:hint="default" w:ascii="Times New Roman" w:hAnsi="Times New Roman" w:cs="Times New Roman"/>
          <w:color w:val="auto"/>
          <w:lang w:val="en-US" w:eastAsia="zh-CN"/>
        </w:rPr>
        <w:t>治理项目的环境条件、地理位置、工艺过程、物料介质、主要设备设施、作业场所和操作条件等进行调研、分析，辨识生产过程中可能存在的危险、有害因素的种类、分布及危险、危害程度。</w:t>
      </w:r>
    </w:p>
    <w:p w14:paraId="0B74A192">
      <w:pPr>
        <w:pStyle w:val="6"/>
        <w:numPr>
          <w:ilvl w:val="0"/>
          <w:numId w:val="3"/>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通过对石油化工总厂储运二部装卸车</w:t>
      </w:r>
      <w:r>
        <w:rPr>
          <w:rFonts w:hint="eastAsia" w:cs="Times New Roman"/>
          <w:color w:val="auto"/>
          <w:lang w:val="en-US" w:eastAsia="zh-CN"/>
        </w:rPr>
        <w:t>废气</w:t>
      </w:r>
      <w:r>
        <w:rPr>
          <w:rFonts w:hint="default" w:ascii="Times New Roman" w:hAnsi="Times New Roman" w:cs="Times New Roman"/>
          <w:color w:val="auto"/>
          <w:lang w:val="en-US" w:eastAsia="zh-CN"/>
        </w:rPr>
        <w:t>治理项目的评价，预测发生事故的可能性及其严重程度，提出科学、合理、可行的安全对策措施建议，做出安全评价结论。</w:t>
      </w:r>
    </w:p>
    <w:p w14:paraId="2D6A32AB">
      <w:pPr>
        <w:pStyle w:val="6"/>
        <w:numPr>
          <w:ilvl w:val="0"/>
          <w:numId w:val="3"/>
        </w:numPr>
        <w:bidi w:val="0"/>
        <w:rPr>
          <w:rFonts w:hint="default" w:ascii="Times New Roman" w:hAnsi="Times New Roman" w:eastAsia="宋体" w:cs="Times New Roman"/>
          <w:color w:val="auto"/>
          <w:kern w:val="2"/>
          <w:szCs w:val="28"/>
          <w:lang w:val="en-US" w:eastAsia="zh-CN" w:bidi="ar-SA"/>
        </w:rPr>
      </w:pPr>
      <w:r>
        <w:rPr>
          <w:rFonts w:hint="default" w:ascii="Times New Roman" w:hAnsi="Times New Roman" w:cs="Times New Roman"/>
          <w:color w:val="auto"/>
          <w:lang w:val="en-US" w:eastAsia="zh-CN"/>
        </w:rPr>
        <w:t>为建设单位安全生产管理系统化、标准化和科学化提供依据和条件，为应急管理部门实施监督提供参考依据，为建设项目初步设计提供依据。</w:t>
      </w:r>
    </w:p>
    <w:bookmarkEnd w:id="12"/>
    <w:p w14:paraId="65FB40DE">
      <w:pPr>
        <w:pStyle w:val="3"/>
        <w:bidi w:val="0"/>
        <w:rPr>
          <w:rFonts w:hint="default" w:ascii="Times New Roman" w:hAnsi="Times New Roman" w:cs="Times New Roman"/>
          <w:color w:val="auto"/>
          <w:lang w:val="en-US" w:eastAsia="zh-CN"/>
        </w:rPr>
      </w:pPr>
      <w:bookmarkStart w:id="13" w:name="_Toc509842587"/>
      <w:bookmarkStart w:id="14" w:name="_Toc3759"/>
      <w:r>
        <w:rPr>
          <w:rFonts w:hint="default" w:ascii="Times New Roman" w:hAnsi="Times New Roman" w:cs="Times New Roman"/>
          <w:color w:val="auto"/>
          <w:lang w:val="en-US" w:eastAsia="zh-CN"/>
        </w:rPr>
        <w:t>评价依据</w:t>
      </w:r>
      <w:bookmarkEnd w:id="13"/>
      <w:bookmarkEnd w:id="14"/>
    </w:p>
    <w:p w14:paraId="41D2D5C3">
      <w:pPr>
        <w:pStyle w:val="6"/>
        <w:bidi w:val="0"/>
        <w:rPr>
          <w:rFonts w:hint="default" w:ascii="Times New Roman" w:hAnsi="Times New Roman" w:cs="Times New Roman"/>
          <w:color w:val="auto"/>
        </w:rPr>
      </w:pPr>
      <w:r>
        <w:rPr>
          <w:rFonts w:hint="default" w:ascii="Times New Roman" w:hAnsi="Times New Roman" w:cs="Times New Roman"/>
          <w:color w:val="auto"/>
        </w:rPr>
        <w:t>（1）有关法律、法规、规定。</w:t>
      </w:r>
    </w:p>
    <w:p w14:paraId="2C21094D">
      <w:pPr>
        <w:pStyle w:val="6"/>
        <w:bidi w:val="0"/>
        <w:rPr>
          <w:rFonts w:hint="default" w:ascii="Times New Roman" w:hAnsi="Times New Roman" w:cs="Times New Roman"/>
          <w:color w:val="auto"/>
        </w:rPr>
      </w:pPr>
      <w:r>
        <w:rPr>
          <w:rFonts w:hint="default" w:ascii="Times New Roman" w:hAnsi="Times New Roman" w:cs="Times New Roman"/>
          <w:color w:val="auto"/>
        </w:rPr>
        <w:t>（2）技术标准、规范。</w:t>
      </w:r>
    </w:p>
    <w:p w14:paraId="1B5196B8">
      <w:pPr>
        <w:pStyle w:val="6"/>
        <w:bidi w:val="0"/>
        <w:rPr>
          <w:rFonts w:hint="default" w:ascii="Times New Roman" w:hAnsi="Times New Roman" w:cs="Times New Roman"/>
          <w:color w:val="auto"/>
        </w:rPr>
      </w:pPr>
      <w:r>
        <w:rPr>
          <w:rFonts w:hint="default" w:ascii="Times New Roman" w:hAnsi="Times New Roman" w:cs="Times New Roman"/>
          <w:color w:val="auto"/>
        </w:rPr>
        <w:t>（3）建设项目的有关技术文件、资料。</w:t>
      </w:r>
    </w:p>
    <w:p w14:paraId="5AF4A635">
      <w:pPr>
        <w:pStyle w:val="6"/>
        <w:bidi w:val="0"/>
        <w:rPr>
          <w:rFonts w:hint="default" w:ascii="Times New Roman" w:hAnsi="Times New Roman" w:cs="Times New Roman"/>
          <w:color w:val="auto"/>
        </w:rPr>
      </w:pPr>
      <w:r>
        <w:rPr>
          <w:rFonts w:hint="default" w:ascii="Times New Roman" w:hAnsi="Times New Roman" w:cs="Times New Roman"/>
          <w:color w:val="auto"/>
        </w:rPr>
        <w:t>评价依据的详细目录参见附件4-评价依据。</w:t>
      </w:r>
    </w:p>
    <w:p w14:paraId="58944DBE">
      <w:pPr>
        <w:pStyle w:val="3"/>
        <w:bidi w:val="0"/>
        <w:rPr>
          <w:rFonts w:hint="default" w:ascii="Times New Roman" w:hAnsi="Times New Roman" w:cs="Times New Roman"/>
          <w:color w:val="auto"/>
          <w:lang w:val="en-US" w:eastAsia="zh-CN"/>
        </w:rPr>
      </w:pPr>
      <w:bookmarkStart w:id="15" w:name="_Toc24565"/>
      <w:r>
        <w:rPr>
          <w:rFonts w:hint="default" w:ascii="Times New Roman" w:hAnsi="Times New Roman" w:cs="Times New Roman"/>
          <w:color w:val="auto"/>
          <w:lang w:val="en-US" w:eastAsia="zh-CN"/>
        </w:rPr>
        <w:t>评价对象及范围</w:t>
      </w:r>
      <w:bookmarkEnd w:id="15"/>
    </w:p>
    <w:p w14:paraId="1FD24D2C">
      <w:pPr>
        <w:pStyle w:val="6"/>
        <w:bidi w:val="0"/>
        <w:rPr>
          <w:rFonts w:hint="default" w:ascii="Times New Roman" w:hAnsi="Times New Roman" w:cs="Times New Roman"/>
          <w:color w:val="auto"/>
        </w:rPr>
      </w:pPr>
      <w:bookmarkStart w:id="16" w:name="_Toc99770416"/>
      <w:bookmarkStart w:id="17" w:name="_Toc98850072"/>
      <w:r>
        <w:rPr>
          <w:rFonts w:hint="default" w:ascii="Times New Roman" w:hAnsi="Times New Roman" w:cs="Times New Roman"/>
          <w:color w:val="auto"/>
        </w:rPr>
        <w:t>根据该项目的实际情况，经与建设单位共同协商，本次评价对象为石油化工总厂</w:t>
      </w:r>
      <w:r>
        <w:rPr>
          <w:rFonts w:hint="default" w:ascii="Times New Roman" w:hAnsi="Times New Roman" w:cs="Times New Roman"/>
          <w:color w:val="auto"/>
          <w:lang w:eastAsia="zh-CN"/>
        </w:rPr>
        <w:t>储运二部装卸车</w:t>
      </w:r>
      <w:r>
        <w:rPr>
          <w:rFonts w:hint="eastAsia" w:cs="Times New Roman"/>
          <w:color w:val="auto"/>
          <w:lang w:val="en-US" w:eastAsia="zh-CN"/>
        </w:rPr>
        <w:t>废气</w:t>
      </w:r>
      <w:r>
        <w:rPr>
          <w:rFonts w:hint="default" w:ascii="Times New Roman" w:hAnsi="Times New Roman" w:cs="Times New Roman"/>
          <w:color w:val="auto"/>
          <w:lang w:eastAsia="zh-CN"/>
        </w:rPr>
        <w:t>治理项目</w:t>
      </w:r>
      <w:r>
        <w:rPr>
          <w:rFonts w:hint="default" w:ascii="Times New Roman" w:hAnsi="Times New Roman" w:cs="Times New Roman"/>
          <w:color w:val="auto"/>
        </w:rPr>
        <w:t>，评价范围为新增油气处理单元</w:t>
      </w:r>
      <w:r>
        <w:rPr>
          <w:rFonts w:hint="default" w:ascii="Times New Roman" w:hAnsi="Times New Roman" w:cs="Times New Roman"/>
          <w:color w:val="auto"/>
          <w:lang w:eastAsia="zh-CN"/>
        </w:rPr>
        <w:t>，</w:t>
      </w:r>
      <w:r>
        <w:rPr>
          <w:rFonts w:hint="default" w:ascii="Times New Roman" w:hAnsi="Times New Roman" w:cs="Times New Roman"/>
          <w:color w:val="auto"/>
        </w:rPr>
        <w:t>包括一套1500Nm</w:t>
      </w:r>
      <w:r>
        <w:rPr>
          <w:rFonts w:hint="default" w:ascii="Times New Roman" w:hAnsi="Times New Roman" w:cs="Times New Roman"/>
          <w:color w:val="auto"/>
          <w:vertAlign w:val="superscript"/>
        </w:rPr>
        <w:t>3</w:t>
      </w:r>
      <w:r>
        <w:rPr>
          <w:rFonts w:hint="default" w:ascii="Times New Roman" w:hAnsi="Times New Roman" w:cs="Times New Roman"/>
          <w:color w:val="auto"/>
        </w:rPr>
        <w:t>/h“低温柴油吸收”单元</w:t>
      </w:r>
      <w:r>
        <w:rPr>
          <w:rFonts w:hint="default" w:ascii="Times New Roman" w:hAnsi="Times New Roman" w:cs="Times New Roman"/>
          <w:color w:val="auto"/>
          <w:lang w:eastAsia="zh-CN"/>
        </w:rPr>
        <w:t>、</w:t>
      </w:r>
      <w:r>
        <w:rPr>
          <w:rFonts w:hint="eastAsia" w:cs="Times New Roman"/>
          <w:color w:val="auto"/>
          <w:lang w:val="en-US" w:eastAsia="zh-CN"/>
        </w:rPr>
        <w:t>一套10</w:t>
      </w:r>
      <w:r>
        <w:rPr>
          <w:rFonts w:hint="default" w:ascii="Times New Roman" w:hAnsi="Times New Roman" w:cs="Times New Roman"/>
          <w:color w:val="auto"/>
        </w:rPr>
        <w:t>00Nm</w:t>
      </w:r>
      <w:r>
        <w:rPr>
          <w:rFonts w:hint="default" w:ascii="Times New Roman" w:hAnsi="Times New Roman" w:cs="Times New Roman"/>
          <w:color w:val="auto"/>
          <w:vertAlign w:val="superscript"/>
        </w:rPr>
        <w:t>3</w:t>
      </w:r>
      <w:r>
        <w:rPr>
          <w:rFonts w:hint="default" w:ascii="Times New Roman" w:hAnsi="Times New Roman" w:cs="Times New Roman"/>
          <w:color w:val="auto"/>
        </w:rPr>
        <w:t>/h“冷却</w:t>
      </w:r>
      <w:r>
        <w:rPr>
          <w:rFonts w:hint="eastAsia" w:cs="Times New Roman"/>
          <w:color w:val="auto"/>
          <w:lang w:val="en-US" w:eastAsia="zh-CN"/>
        </w:rPr>
        <w:t>-</w:t>
      </w:r>
      <w:r>
        <w:rPr>
          <w:rFonts w:hint="default" w:ascii="Times New Roman" w:hAnsi="Times New Roman" w:cs="Times New Roman"/>
          <w:color w:val="auto"/>
        </w:rPr>
        <w:t>除雾”单元</w:t>
      </w:r>
      <w:r>
        <w:rPr>
          <w:rFonts w:hint="default" w:ascii="Times New Roman" w:hAnsi="Times New Roman" w:cs="Times New Roman"/>
          <w:color w:val="auto"/>
          <w:lang w:eastAsia="zh-CN"/>
        </w:rPr>
        <w:t>、</w:t>
      </w:r>
      <w:r>
        <w:rPr>
          <w:rFonts w:hint="default" w:ascii="Times New Roman" w:hAnsi="Times New Roman" w:cs="Times New Roman"/>
          <w:color w:val="auto"/>
        </w:rPr>
        <w:t>一套</w:t>
      </w:r>
      <w:r>
        <w:rPr>
          <w:rFonts w:hint="eastAsia" w:cs="Times New Roman"/>
          <w:color w:val="auto"/>
          <w:lang w:val="en-US" w:eastAsia="zh-CN"/>
        </w:rPr>
        <w:t>2</w:t>
      </w:r>
      <w:r>
        <w:rPr>
          <w:rFonts w:hint="default" w:ascii="Times New Roman" w:hAnsi="Times New Roman" w:cs="Times New Roman"/>
          <w:color w:val="auto"/>
        </w:rPr>
        <w:t>0000Nm</w:t>
      </w:r>
      <w:r>
        <w:rPr>
          <w:rFonts w:hint="default" w:ascii="Times New Roman" w:hAnsi="Times New Roman" w:cs="Times New Roman"/>
          <w:color w:val="auto"/>
          <w:vertAlign w:val="superscript"/>
        </w:rPr>
        <w:t>3</w:t>
      </w:r>
      <w:r>
        <w:rPr>
          <w:rFonts w:hint="default" w:ascii="Times New Roman" w:hAnsi="Times New Roman" w:cs="Times New Roman"/>
          <w:color w:val="auto"/>
        </w:rPr>
        <w:t>/h“脱硫及总烃浓度均化-蓄热氧化”单元</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具体</w:t>
      </w:r>
      <w:r>
        <w:rPr>
          <w:rFonts w:hint="default" w:ascii="Times New Roman" w:hAnsi="Times New Roman" w:cs="Times New Roman"/>
          <w:color w:val="auto"/>
        </w:rPr>
        <w:t>评价范围见下表：</w:t>
      </w:r>
    </w:p>
    <w:p w14:paraId="12065F04">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表1-1  储运二部装卸车</w:t>
      </w:r>
      <w:r>
        <w:rPr>
          <w:rFonts w:hint="eastAsia" w:ascii="Times New Roman" w:hAnsi="Times New Roman" w:cs="Times New Roman"/>
          <w:color w:val="auto"/>
          <w:lang w:val="en-US" w:eastAsia="zh-CN"/>
        </w:rPr>
        <w:t>废气</w:t>
      </w:r>
      <w:r>
        <w:rPr>
          <w:rFonts w:hint="default" w:ascii="Times New Roman" w:hAnsi="Times New Roman" w:cs="Times New Roman"/>
          <w:color w:val="auto"/>
          <w:lang w:val="zh-CN"/>
        </w:rPr>
        <w:t>治理项目工程内容一览表</w:t>
      </w:r>
    </w:p>
    <w:tbl>
      <w:tblPr>
        <w:tblStyle w:val="20"/>
        <w:tblW w:w="520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156"/>
        <w:gridCol w:w="2246"/>
        <w:gridCol w:w="4198"/>
        <w:gridCol w:w="999"/>
        <w:gridCol w:w="1001"/>
      </w:tblGrid>
      <w:tr w14:paraId="0828E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noWrap w:val="0"/>
            <w:vAlign w:val="center"/>
          </w:tcPr>
          <w:p w14:paraId="579E9128">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类别</w:t>
            </w:r>
          </w:p>
        </w:tc>
        <w:tc>
          <w:tcPr>
            <w:tcW w:w="1169" w:type="pct"/>
            <w:noWrap w:val="0"/>
            <w:vAlign w:val="center"/>
          </w:tcPr>
          <w:p w14:paraId="6B529C2A">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系统单元</w:t>
            </w:r>
          </w:p>
        </w:tc>
        <w:tc>
          <w:tcPr>
            <w:tcW w:w="2185" w:type="pct"/>
            <w:noWrap w:val="0"/>
            <w:vAlign w:val="center"/>
          </w:tcPr>
          <w:p w14:paraId="470AD24B">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说 明</w:t>
            </w:r>
          </w:p>
        </w:tc>
        <w:tc>
          <w:tcPr>
            <w:tcW w:w="520" w:type="pct"/>
            <w:noWrap w:val="0"/>
            <w:vAlign w:val="center"/>
          </w:tcPr>
          <w:p w14:paraId="53A7376D">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备注</w:t>
            </w:r>
          </w:p>
        </w:tc>
        <w:tc>
          <w:tcPr>
            <w:tcW w:w="521" w:type="pct"/>
            <w:noWrap w:val="0"/>
            <w:vAlign w:val="center"/>
          </w:tcPr>
          <w:p w14:paraId="6D129887">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是否属于评价范围</w:t>
            </w:r>
          </w:p>
        </w:tc>
      </w:tr>
      <w:tr w14:paraId="61DEC8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restart"/>
            <w:noWrap w:val="0"/>
            <w:vAlign w:val="center"/>
          </w:tcPr>
          <w:p w14:paraId="204D0350">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主体工程</w:t>
            </w:r>
          </w:p>
        </w:tc>
        <w:tc>
          <w:tcPr>
            <w:tcW w:w="1169" w:type="pct"/>
            <w:vMerge w:val="restart"/>
            <w:noWrap w:val="0"/>
            <w:vAlign w:val="center"/>
          </w:tcPr>
          <w:p w14:paraId="4989A81A">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油气处理单元</w:t>
            </w:r>
          </w:p>
        </w:tc>
        <w:tc>
          <w:tcPr>
            <w:tcW w:w="2185" w:type="pct"/>
            <w:noWrap w:val="0"/>
            <w:vAlign w:val="center"/>
          </w:tcPr>
          <w:p w14:paraId="0D73BED0">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一套1500Nm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/h“低温柴油吸收”单元</w:t>
            </w:r>
          </w:p>
        </w:tc>
        <w:tc>
          <w:tcPr>
            <w:tcW w:w="520" w:type="pct"/>
            <w:noWrap w:val="0"/>
            <w:vAlign w:val="center"/>
          </w:tcPr>
          <w:p w14:paraId="4132D663">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新建</w:t>
            </w:r>
          </w:p>
        </w:tc>
        <w:tc>
          <w:tcPr>
            <w:tcW w:w="521" w:type="pct"/>
            <w:noWrap w:val="0"/>
            <w:vAlign w:val="center"/>
          </w:tcPr>
          <w:p w14:paraId="7D5DC38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是</w:t>
            </w:r>
          </w:p>
        </w:tc>
      </w:tr>
      <w:tr w14:paraId="07DB1D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66E1E6F0">
            <w:pPr>
              <w:pStyle w:val="31"/>
              <w:bidi w:val="0"/>
              <w:rPr>
                <w:rFonts w:hint="default" w:ascii="Times New Roman" w:hAnsi="Times New Roman" w:cs="Times New Roman"/>
                <w:color w:val="auto"/>
                <w:lang w:val="en-US" w:eastAsia="zh-CN"/>
              </w:rPr>
            </w:pPr>
          </w:p>
        </w:tc>
        <w:tc>
          <w:tcPr>
            <w:tcW w:w="1169" w:type="pct"/>
            <w:vMerge w:val="continue"/>
            <w:noWrap w:val="0"/>
            <w:vAlign w:val="center"/>
          </w:tcPr>
          <w:p w14:paraId="1BA5E8F4">
            <w:pPr>
              <w:pStyle w:val="31"/>
              <w:bidi w:val="0"/>
              <w:rPr>
                <w:rFonts w:hint="default" w:ascii="Times New Roman" w:hAnsi="Times New Roman" w:cs="Times New Roman"/>
                <w:color w:val="auto"/>
                <w:lang w:val="en-US" w:eastAsia="zh-CN"/>
              </w:rPr>
            </w:pPr>
          </w:p>
        </w:tc>
        <w:tc>
          <w:tcPr>
            <w:tcW w:w="2185" w:type="pct"/>
            <w:noWrap w:val="0"/>
            <w:vAlign w:val="center"/>
          </w:tcPr>
          <w:p w14:paraId="6CF3AE4D">
            <w:pPr>
              <w:pStyle w:val="31"/>
              <w:bidi w:val="0"/>
              <w:rPr>
                <w:rFonts w:hint="default" w:ascii="Times New Roman" w:hAnsi="Times New Roman" w:cs="Times New Roman"/>
                <w:color w:val="auto"/>
                <w:lang w:val="en-US" w:eastAsia="zh-CN"/>
              </w:rPr>
            </w:pPr>
            <w:r>
              <w:rPr>
                <w:rFonts w:hint="eastAsia" w:cs="Times New Roman"/>
                <w:color w:val="auto"/>
                <w:lang w:val="en-US" w:eastAsia="zh-CN"/>
              </w:rPr>
              <w:t>一套10</w:t>
            </w:r>
            <w:r>
              <w:rPr>
                <w:rFonts w:hint="default" w:ascii="Times New Roman" w:hAnsi="Times New Roman" w:cs="Times New Roman"/>
                <w:color w:val="auto"/>
                <w:lang w:val="en-US" w:eastAsia="zh-CN"/>
              </w:rPr>
              <w:t>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/h“冷却</w:t>
            </w:r>
            <w:r>
              <w:rPr>
                <w:rFonts w:hint="eastAsia" w:cs="Times New Roman"/>
                <w:color w:val="auto"/>
                <w:lang w:val="en-US" w:eastAsia="zh-CN"/>
              </w:rPr>
              <w:t>-</w:t>
            </w:r>
            <w:r>
              <w:rPr>
                <w:rFonts w:hint="default" w:ascii="Times New Roman" w:hAnsi="Times New Roman" w:cs="Times New Roman"/>
                <w:color w:val="auto"/>
                <w:lang w:val="en-US" w:eastAsia="zh-CN"/>
              </w:rPr>
              <w:t>除雾”单元</w:t>
            </w:r>
          </w:p>
        </w:tc>
        <w:tc>
          <w:tcPr>
            <w:tcW w:w="520" w:type="pct"/>
            <w:noWrap w:val="0"/>
            <w:vAlign w:val="center"/>
          </w:tcPr>
          <w:p w14:paraId="6BDF89D2">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新建</w:t>
            </w:r>
          </w:p>
        </w:tc>
        <w:tc>
          <w:tcPr>
            <w:tcW w:w="521" w:type="pct"/>
            <w:noWrap w:val="0"/>
            <w:vAlign w:val="center"/>
          </w:tcPr>
          <w:p w14:paraId="0C1FE81B">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是</w:t>
            </w:r>
          </w:p>
        </w:tc>
      </w:tr>
      <w:tr w14:paraId="3320D5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5A5547E5">
            <w:pPr>
              <w:pStyle w:val="31"/>
              <w:bidi w:val="0"/>
              <w:rPr>
                <w:rFonts w:hint="default" w:ascii="Times New Roman" w:hAnsi="Times New Roman" w:cs="Times New Roman"/>
                <w:color w:val="auto"/>
                <w:lang w:val="en-US" w:eastAsia="zh-CN"/>
              </w:rPr>
            </w:pPr>
          </w:p>
        </w:tc>
        <w:tc>
          <w:tcPr>
            <w:tcW w:w="1169" w:type="pct"/>
            <w:vMerge w:val="continue"/>
            <w:noWrap w:val="0"/>
            <w:vAlign w:val="center"/>
          </w:tcPr>
          <w:p w14:paraId="62F34C07">
            <w:pPr>
              <w:pStyle w:val="31"/>
              <w:bidi w:val="0"/>
              <w:rPr>
                <w:rFonts w:hint="default" w:ascii="Times New Roman" w:hAnsi="Times New Roman" w:cs="Times New Roman"/>
                <w:color w:val="auto"/>
                <w:lang w:val="en-US" w:eastAsia="zh-CN"/>
              </w:rPr>
            </w:pPr>
          </w:p>
        </w:tc>
        <w:tc>
          <w:tcPr>
            <w:tcW w:w="2185" w:type="pct"/>
            <w:noWrap w:val="0"/>
            <w:vAlign w:val="center"/>
          </w:tcPr>
          <w:p w14:paraId="774CA540">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一套20000Nm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/h“脱硫及总烃浓度均化-蓄热氧化”单元</w:t>
            </w:r>
          </w:p>
        </w:tc>
        <w:tc>
          <w:tcPr>
            <w:tcW w:w="520" w:type="pct"/>
            <w:noWrap w:val="0"/>
            <w:vAlign w:val="center"/>
          </w:tcPr>
          <w:p w14:paraId="774D36B1">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新建</w:t>
            </w:r>
          </w:p>
        </w:tc>
        <w:tc>
          <w:tcPr>
            <w:tcW w:w="521" w:type="pct"/>
            <w:noWrap w:val="0"/>
            <w:vAlign w:val="center"/>
          </w:tcPr>
          <w:p w14:paraId="4DA289F0">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是</w:t>
            </w:r>
          </w:p>
        </w:tc>
      </w:tr>
      <w:tr w14:paraId="3C5914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4A4E8447">
            <w:pPr>
              <w:pStyle w:val="31"/>
              <w:bidi w:val="0"/>
              <w:rPr>
                <w:rFonts w:hint="default" w:ascii="Times New Roman" w:hAnsi="Times New Roman" w:cs="Times New Roman"/>
                <w:color w:val="auto"/>
                <w:lang w:val="en-US" w:eastAsia="zh-CN"/>
              </w:rPr>
            </w:pPr>
          </w:p>
        </w:tc>
        <w:tc>
          <w:tcPr>
            <w:tcW w:w="1169" w:type="pct"/>
            <w:noWrap w:val="0"/>
            <w:vAlign w:val="center"/>
          </w:tcPr>
          <w:p w14:paraId="6DD5D57D">
            <w:pPr>
              <w:pStyle w:val="31"/>
              <w:bidi w:val="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管线</w:t>
            </w:r>
          </w:p>
        </w:tc>
        <w:tc>
          <w:tcPr>
            <w:tcW w:w="2185" w:type="pct"/>
            <w:noWrap w:val="0"/>
            <w:vAlign w:val="center"/>
          </w:tcPr>
          <w:p w14:paraId="54B74847">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本次涉及改造的工艺管线详见表2.5-6</w:t>
            </w:r>
          </w:p>
        </w:tc>
        <w:tc>
          <w:tcPr>
            <w:tcW w:w="520" w:type="pct"/>
            <w:noWrap w:val="0"/>
            <w:vAlign w:val="center"/>
          </w:tcPr>
          <w:p w14:paraId="772E4FAC">
            <w:pPr>
              <w:pStyle w:val="31"/>
              <w:bidi w:val="0"/>
              <w:ind w:firstLine="0" w:firstLineChars="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新建</w:t>
            </w:r>
          </w:p>
        </w:tc>
        <w:tc>
          <w:tcPr>
            <w:tcW w:w="521" w:type="pct"/>
            <w:noWrap w:val="0"/>
            <w:vAlign w:val="center"/>
          </w:tcPr>
          <w:p w14:paraId="1B849B4F">
            <w:pPr>
              <w:pStyle w:val="31"/>
              <w:bidi w:val="0"/>
              <w:ind w:firstLine="0" w:firstLineChars="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是</w:t>
            </w:r>
          </w:p>
        </w:tc>
      </w:tr>
      <w:tr w14:paraId="27624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2" w:type="pct"/>
            <w:vMerge w:val="restart"/>
            <w:noWrap w:val="0"/>
            <w:vAlign w:val="center"/>
          </w:tcPr>
          <w:p w14:paraId="0AD282E8">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公辅设施</w:t>
            </w:r>
          </w:p>
        </w:tc>
        <w:tc>
          <w:tcPr>
            <w:tcW w:w="1169" w:type="pct"/>
            <w:vMerge w:val="restart"/>
            <w:noWrap w:val="0"/>
            <w:vAlign w:val="center"/>
          </w:tcPr>
          <w:p w14:paraId="3F19BEEB">
            <w:pPr>
              <w:pStyle w:val="31"/>
              <w:bidi w:val="0"/>
              <w:rPr>
                <w:rFonts w:hint="default" w:ascii="Times New Roman" w:hAnsi="Times New Roman" w:cs="Times New Roman"/>
                <w:color w:val="auto"/>
              </w:rPr>
            </w:pPr>
            <w:r>
              <w:rPr>
                <w:rFonts w:hint="default" w:ascii="Times New Roman" w:hAnsi="Times New Roman" w:cs="Times New Roman"/>
                <w:color w:val="auto"/>
              </w:rPr>
              <w:t>供配电</w:t>
            </w:r>
          </w:p>
        </w:tc>
        <w:tc>
          <w:tcPr>
            <w:tcW w:w="2185" w:type="pct"/>
            <w:noWrap w:val="0"/>
            <w:vAlign w:val="center"/>
          </w:tcPr>
          <w:p w14:paraId="5099786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厂区设有16#罐区配电室</w:t>
            </w:r>
          </w:p>
        </w:tc>
        <w:tc>
          <w:tcPr>
            <w:tcW w:w="520" w:type="pct"/>
            <w:noWrap w:val="0"/>
            <w:vAlign w:val="center"/>
          </w:tcPr>
          <w:p w14:paraId="4A022D77">
            <w:pPr>
              <w:pStyle w:val="31"/>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w:t>
            </w:r>
          </w:p>
        </w:tc>
        <w:tc>
          <w:tcPr>
            <w:tcW w:w="521" w:type="pct"/>
            <w:noWrap w:val="0"/>
            <w:vAlign w:val="center"/>
          </w:tcPr>
          <w:p w14:paraId="73C72472">
            <w:pPr>
              <w:pStyle w:val="31"/>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否</w:t>
            </w:r>
          </w:p>
        </w:tc>
      </w:tr>
      <w:tr w14:paraId="6F800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43896113">
            <w:pPr>
              <w:pStyle w:val="31"/>
              <w:bidi w:val="0"/>
              <w:rPr>
                <w:rFonts w:hint="default" w:ascii="Times New Roman" w:hAnsi="Times New Roman" w:cs="Times New Roman"/>
                <w:color w:val="auto"/>
                <w:lang w:val="en-US" w:eastAsia="zh-CN"/>
              </w:rPr>
            </w:pPr>
          </w:p>
        </w:tc>
        <w:tc>
          <w:tcPr>
            <w:tcW w:w="1169" w:type="pct"/>
            <w:vMerge w:val="continue"/>
            <w:noWrap w:val="0"/>
            <w:vAlign w:val="center"/>
          </w:tcPr>
          <w:p w14:paraId="412B2F92">
            <w:pPr>
              <w:pStyle w:val="31"/>
              <w:bidi w:val="0"/>
              <w:rPr>
                <w:rFonts w:hint="default" w:ascii="Times New Roman" w:hAnsi="Times New Roman" w:cs="Times New Roman"/>
                <w:color w:val="auto"/>
              </w:rPr>
            </w:pPr>
          </w:p>
        </w:tc>
        <w:tc>
          <w:tcPr>
            <w:tcW w:w="2185" w:type="pct"/>
            <w:noWrap w:val="0"/>
            <w:vAlign w:val="center"/>
          </w:tcPr>
          <w:p w14:paraId="10554BD9">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新增低压配电柜</w:t>
            </w:r>
          </w:p>
        </w:tc>
        <w:tc>
          <w:tcPr>
            <w:tcW w:w="520" w:type="pct"/>
            <w:noWrap w:val="0"/>
            <w:vAlign w:val="center"/>
          </w:tcPr>
          <w:p w14:paraId="227FC387">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新建</w:t>
            </w:r>
          </w:p>
        </w:tc>
        <w:tc>
          <w:tcPr>
            <w:tcW w:w="521" w:type="pct"/>
            <w:noWrap w:val="0"/>
            <w:vAlign w:val="center"/>
          </w:tcPr>
          <w:p w14:paraId="29F3A2B5">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是</w:t>
            </w:r>
          </w:p>
        </w:tc>
      </w:tr>
      <w:tr w14:paraId="32F72D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616E7C12">
            <w:pPr>
              <w:pStyle w:val="31"/>
              <w:bidi w:val="0"/>
              <w:rPr>
                <w:rFonts w:hint="default" w:ascii="Times New Roman" w:hAnsi="Times New Roman" w:cs="Times New Roman"/>
                <w:color w:val="auto"/>
                <w:lang w:val="en-US" w:eastAsia="zh-CN"/>
              </w:rPr>
            </w:pPr>
          </w:p>
        </w:tc>
        <w:tc>
          <w:tcPr>
            <w:tcW w:w="1169" w:type="pct"/>
            <w:noWrap w:val="0"/>
            <w:vAlign w:val="center"/>
          </w:tcPr>
          <w:p w14:paraId="5185CD58">
            <w:pPr>
              <w:pStyle w:val="31"/>
              <w:bidi w:val="0"/>
              <w:rPr>
                <w:rFonts w:hint="default" w:ascii="Times New Roman" w:hAnsi="Times New Roman" w:cs="Times New Roman"/>
                <w:color w:val="auto"/>
              </w:rPr>
            </w:pPr>
            <w:r>
              <w:rPr>
                <w:rFonts w:hint="default" w:ascii="Times New Roman" w:hAnsi="Times New Roman" w:cs="Times New Roman"/>
                <w:color w:val="auto"/>
              </w:rPr>
              <w:t>给排水</w:t>
            </w:r>
          </w:p>
        </w:tc>
        <w:tc>
          <w:tcPr>
            <w:tcW w:w="2185" w:type="pct"/>
            <w:noWrap w:val="0"/>
            <w:vAlign w:val="center"/>
          </w:tcPr>
          <w:p w14:paraId="2AABA5AF">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厂区现有生产给水系统、消防给水系统、循环水系统、排水系统等</w:t>
            </w:r>
          </w:p>
        </w:tc>
        <w:tc>
          <w:tcPr>
            <w:tcW w:w="520" w:type="pct"/>
            <w:noWrap w:val="0"/>
            <w:vAlign w:val="center"/>
          </w:tcPr>
          <w:p w14:paraId="7DDC2EF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w:t>
            </w:r>
          </w:p>
        </w:tc>
        <w:tc>
          <w:tcPr>
            <w:tcW w:w="521" w:type="pct"/>
            <w:noWrap w:val="0"/>
            <w:vAlign w:val="center"/>
          </w:tcPr>
          <w:p w14:paraId="0B50AF58">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否</w:t>
            </w:r>
          </w:p>
        </w:tc>
      </w:tr>
      <w:tr w14:paraId="7B343D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2594DA24">
            <w:pPr>
              <w:pStyle w:val="31"/>
              <w:bidi w:val="0"/>
              <w:rPr>
                <w:rFonts w:hint="default" w:ascii="Times New Roman" w:hAnsi="Times New Roman" w:cs="Times New Roman"/>
                <w:color w:val="auto"/>
                <w:lang w:val="en-US" w:eastAsia="zh-CN"/>
              </w:rPr>
            </w:pPr>
          </w:p>
        </w:tc>
        <w:tc>
          <w:tcPr>
            <w:tcW w:w="1169" w:type="pct"/>
            <w:noWrap w:val="0"/>
            <w:vAlign w:val="center"/>
          </w:tcPr>
          <w:p w14:paraId="674C2B0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制氮、供风</w:t>
            </w:r>
          </w:p>
        </w:tc>
        <w:tc>
          <w:tcPr>
            <w:tcW w:w="2185" w:type="pct"/>
            <w:noWrap w:val="0"/>
            <w:vAlign w:val="center"/>
          </w:tcPr>
          <w:p w14:paraId="7847F96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厂区现有空压站、氮气站</w:t>
            </w:r>
          </w:p>
        </w:tc>
        <w:tc>
          <w:tcPr>
            <w:tcW w:w="520" w:type="pct"/>
            <w:noWrap w:val="0"/>
            <w:vAlign w:val="center"/>
          </w:tcPr>
          <w:p w14:paraId="0C62FDB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依托</w:t>
            </w:r>
          </w:p>
        </w:tc>
        <w:tc>
          <w:tcPr>
            <w:tcW w:w="521" w:type="pct"/>
            <w:noWrap w:val="0"/>
            <w:vAlign w:val="center"/>
          </w:tcPr>
          <w:p w14:paraId="04429AC4">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否</w:t>
            </w:r>
          </w:p>
        </w:tc>
      </w:tr>
      <w:tr w14:paraId="581EC0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1DAF4152">
            <w:pPr>
              <w:pStyle w:val="31"/>
              <w:bidi w:val="0"/>
              <w:rPr>
                <w:rFonts w:hint="default" w:ascii="Times New Roman" w:hAnsi="Times New Roman" w:cs="Times New Roman"/>
                <w:color w:val="auto"/>
                <w:lang w:val="en-US" w:eastAsia="zh-CN"/>
              </w:rPr>
            </w:pPr>
          </w:p>
        </w:tc>
        <w:tc>
          <w:tcPr>
            <w:tcW w:w="1169" w:type="pct"/>
            <w:noWrap w:val="0"/>
            <w:vAlign w:val="center"/>
          </w:tcPr>
          <w:p w14:paraId="2067A42D">
            <w:pPr>
              <w:pStyle w:val="31"/>
              <w:bidi w:val="0"/>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瓦斯气</w:t>
            </w:r>
          </w:p>
        </w:tc>
        <w:tc>
          <w:tcPr>
            <w:tcW w:w="2185" w:type="pct"/>
            <w:noWrap w:val="0"/>
            <w:vAlign w:val="center"/>
          </w:tcPr>
          <w:p w14:paraId="033BF692">
            <w:pPr>
              <w:pStyle w:val="31"/>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自制氢装置处瓦斯线主管接口</w:t>
            </w:r>
            <w:r>
              <w:rPr>
                <w:rFonts w:hint="eastAsia" w:ascii="Times New Roman" w:hAnsi="Times New Roman" w:cs="Times New Roman"/>
                <w:color w:val="auto"/>
                <w:lang w:val="en-US" w:eastAsia="zh-CN"/>
              </w:rPr>
              <w:t>引入</w:t>
            </w:r>
          </w:p>
        </w:tc>
        <w:tc>
          <w:tcPr>
            <w:tcW w:w="520" w:type="pct"/>
            <w:noWrap w:val="0"/>
            <w:vAlign w:val="center"/>
          </w:tcPr>
          <w:p w14:paraId="43A6CE6E">
            <w:pPr>
              <w:pStyle w:val="31"/>
              <w:bidi w:val="0"/>
              <w:rPr>
                <w:rFonts w:hint="eastAsia"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依托</w:t>
            </w:r>
          </w:p>
        </w:tc>
        <w:tc>
          <w:tcPr>
            <w:tcW w:w="521" w:type="pct"/>
            <w:noWrap w:val="0"/>
            <w:vAlign w:val="center"/>
          </w:tcPr>
          <w:p w14:paraId="7845E993">
            <w:pPr>
              <w:pStyle w:val="31"/>
              <w:bidi w:val="0"/>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是</w:t>
            </w:r>
          </w:p>
        </w:tc>
      </w:tr>
      <w:tr w14:paraId="28830B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22AB9150">
            <w:pPr>
              <w:pStyle w:val="31"/>
              <w:bidi w:val="0"/>
              <w:rPr>
                <w:rFonts w:hint="default" w:ascii="Times New Roman" w:hAnsi="Times New Roman" w:cs="Times New Roman"/>
                <w:color w:val="auto"/>
                <w:lang w:val="en-US" w:eastAsia="zh-CN"/>
              </w:rPr>
            </w:pPr>
          </w:p>
        </w:tc>
        <w:tc>
          <w:tcPr>
            <w:tcW w:w="1169" w:type="pct"/>
            <w:noWrap w:val="0"/>
            <w:vAlign w:val="center"/>
          </w:tcPr>
          <w:p w14:paraId="583C3138">
            <w:pPr>
              <w:pStyle w:val="31"/>
              <w:bidi w:val="0"/>
              <w:rPr>
                <w:rFonts w:hint="default" w:ascii="Times New Roman" w:hAnsi="Times New Roman" w:cs="Times New Roman"/>
                <w:color w:val="auto"/>
              </w:rPr>
            </w:pPr>
            <w:r>
              <w:rPr>
                <w:rFonts w:hint="default" w:ascii="Times New Roman" w:hAnsi="Times New Roman" w:cs="Times New Roman"/>
                <w:color w:val="auto"/>
              </w:rPr>
              <w:t>消防</w:t>
            </w:r>
          </w:p>
        </w:tc>
        <w:tc>
          <w:tcPr>
            <w:tcW w:w="2185" w:type="pct"/>
            <w:noWrap w:val="0"/>
            <w:vAlign w:val="center"/>
          </w:tcPr>
          <w:p w14:paraId="6AFFFEE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厂区内现有消防站、气防站、火灾报警、蒸汽灭火系统</w:t>
            </w:r>
          </w:p>
        </w:tc>
        <w:tc>
          <w:tcPr>
            <w:tcW w:w="520" w:type="pct"/>
            <w:noWrap w:val="0"/>
            <w:vAlign w:val="center"/>
          </w:tcPr>
          <w:p w14:paraId="50BE2829">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w:t>
            </w:r>
          </w:p>
        </w:tc>
        <w:tc>
          <w:tcPr>
            <w:tcW w:w="521" w:type="pct"/>
            <w:noWrap w:val="0"/>
            <w:vAlign w:val="center"/>
          </w:tcPr>
          <w:p w14:paraId="5C71C35F">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否</w:t>
            </w:r>
          </w:p>
        </w:tc>
      </w:tr>
      <w:tr w14:paraId="00A2F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1261736F">
            <w:pPr>
              <w:pStyle w:val="31"/>
              <w:bidi w:val="0"/>
              <w:rPr>
                <w:rFonts w:hint="default" w:ascii="Times New Roman" w:hAnsi="Times New Roman" w:cs="Times New Roman"/>
                <w:color w:val="auto"/>
                <w:lang w:val="en-US" w:eastAsia="zh-CN"/>
              </w:rPr>
            </w:pPr>
          </w:p>
        </w:tc>
        <w:tc>
          <w:tcPr>
            <w:tcW w:w="1169" w:type="pct"/>
            <w:noWrap w:val="0"/>
            <w:vAlign w:val="center"/>
          </w:tcPr>
          <w:p w14:paraId="2FF6C660">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分析化验</w:t>
            </w:r>
          </w:p>
        </w:tc>
        <w:tc>
          <w:tcPr>
            <w:tcW w:w="2185" w:type="pct"/>
            <w:noWrap w:val="0"/>
            <w:vAlign w:val="center"/>
          </w:tcPr>
          <w:p w14:paraId="370721C9">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厂界设有在线分析小屋</w:t>
            </w:r>
          </w:p>
        </w:tc>
        <w:tc>
          <w:tcPr>
            <w:tcW w:w="520" w:type="pct"/>
            <w:noWrap w:val="0"/>
            <w:vAlign w:val="center"/>
          </w:tcPr>
          <w:p w14:paraId="4F5995AA">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依托</w:t>
            </w:r>
          </w:p>
        </w:tc>
        <w:tc>
          <w:tcPr>
            <w:tcW w:w="521" w:type="pct"/>
            <w:noWrap w:val="0"/>
            <w:vAlign w:val="center"/>
          </w:tcPr>
          <w:p w14:paraId="4F97E44C">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否</w:t>
            </w:r>
          </w:p>
        </w:tc>
      </w:tr>
      <w:tr w14:paraId="30C80B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748A4964">
            <w:pPr>
              <w:pStyle w:val="31"/>
              <w:bidi w:val="0"/>
              <w:rPr>
                <w:rFonts w:hint="default" w:ascii="Times New Roman" w:hAnsi="Times New Roman" w:cs="Times New Roman"/>
                <w:color w:val="auto"/>
                <w:lang w:val="en-US" w:eastAsia="zh-CN"/>
              </w:rPr>
            </w:pPr>
          </w:p>
        </w:tc>
        <w:tc>
          <w:tcPr>
            <w:tcW w:w="1169" w:type="pct"/>
            <w:vMerge w:val="restart"/>
            <w:noWrap w:val="0"/>
            <w:vAlign w:val="center"/>
          </w:tcPr>
          <w:p w14:paraId="3ED9C837">
            <w:pPr>
              <w:pStyle w:val="31"/>
              <w:bidi w:val="0"/>
              <w:rPr>
                <w:rFonts w:hint="default" w:ascii="Times New Roman" w:hAnsi="Times New Roman" w:cs="Times New Roman"/>
                <w:color w:val="auto"/>
              </w:rPr>
            </w:pPr>
            <w:r>
              <w:rPr>
                <w:rFonts w:hint="default" w:ascii="Times New Roman" w:hAnsi="Times New Roman" w:cs="Times New Roman"/>
                <w:color w:val="auto"/>
              </w:rPr>
              <w:t>自控仪表</w:t>
            </w:r>
          </w:p>
        </w:tc>
        <w:tc>
          <w:tcPr>
            <w:tcW w:w="2185" w:type="pct"/>
            <w:noWrap w:val="0"/>
            <w:vAlign w:val="center"/>
          </w:tcPr>
          <w:p w14:paraId="74BDA2D6">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生产过程自动控制对原有16#罐区的DCS系统进行扩容</w:t>
            </w:r>
          </w:p>
        </w:tc>
        <w:tc>
          <w:tcPr>
            <w:tcW w:w="520" w:type="pct"/>
            <w:noWrap w:val="0"/>
            <w:vAlign w:val="center"/>
          </w:tcPr>
          <w:p w14:paraId="0AC097C8">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w:t>
            </w:r>
          </w:p>
        </w:tc>
        <w:tc>
          <w:tcPr>
            <w:tcW w:w="521" w:type="pct"/>
            <w:noWrap w:val="0"/>
            <w:vAlign w:val="center"/>
          </w:tcPr>
          <w:p w14:paraId="72EDB0A6">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否</w:t>
            </w:r>
          </w:p>
        </w:tc>
      </w:tr>
      <w:tr w14:paraId="391EAA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trPr>
        <w:tc>
          <w:tcPr>
            <w:tcW w:w="602" w:type="pct"/>
            <w:vMerge w:val="continue"/>
            <w:noWrap w:val="0"/>
            <w:vAlign w:val="center"/>
          </w:tcPr>
          <w:p w14:paraId="3BA3A32F">
            <w:pPr>
              <w:pStyle w:val="31"/>
              <w:bidi w:val="0"/>
              <w:rPr>
                <w:rFonts w:hint="default" w:ascii="Times New Roman" w:hAnsi="Times New Roman" w:cs="Times New Roman"/>
                <w:color w:val="auto"/>
                <w:lang w:val="en-US" w:eastAsia="zh-CN"/>
              </w:rPr>
            </w:pPr>
          </w:p>
        </w:tc>
        <w:tc>
          <w:tcPr>
            <w:tcW w:w="1169" w:type="pct"/>
            <w:vMerge w:val="continue"/>
            <w:noWrap w:val="0"/>
            <w:vAlign w:val="center"/>
          </w:tcPr>
          <w:p w14:paraId="78188462">
            <w:pPr>
              <w:pStyle w:val="31"/>
              <w:bidi w:val="0"/>
              <w:rPr>
                <w:rFonts w:hint="default" w:ascii="Times New Roman" w:hAnsi="Times New Roman" w:cs="Times New Roman"/>
                <w:color w:val="auto"/>
              </w:rPr>
            </w:pPr>
          </w:p>
        </w:tc>
        <w:tc>
          <w:tcPr>
            <w:tcW w:w="2185" w:type="pct"/>
            <w:noWrap w:val="0"/>
            <w:vAlign w:val="center"/>
          </w:tcPr>
          <w:p w14:paraId="244590EE">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气体报警系统对原有16#罐区的GDS系统进行扩容</w:t>
            </w:r>
          </w:p>
        </w:tc>
        <w:tc>
          <w:tcPr>
            <w:tcW w:w="520" w:type="pct"/>
            <w:noWrap w:val="0"/>
            <w:vAlign w:val="center"/>
          </w:tcPr>
          <w:p w14:paraId="3D9EE48E">
            <w:pPr>
              <w:pStyle w:val="31"/>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w:t>
            </w:r>
          </w:p>
        </w:tc>
        <w:tc>
          <w:tcPr>
            <w:tcW w:w="521" w:type="pct"/>
            <w:noWrap w:val="0"/>
            <w:vAlign w:val="center"/>
          </w:tcPr>
          <w:p w14:paraId="08DD2D2B">
            <w:pPr>
              <w:pStyle w:val="31"/>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否</w:t>
            </w:r>
          </w:p>
        </w:tc>
      </w:tr>
      <w:bookmarkEnd w:id="16"/>
      <w:bookmarkEnd w:id="17"/>
    </w:tbl>
    <w:p w14:paraId="097B8C53">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本次评价仅对依托设施的符合性和安全可靠性进行描述判定，对其匹配性进行分析，不在本次评价范围之内。</w:t>
      </w:r>
    </w:p>
    <w:p w14:paraId="69BE3AE2">
      <w:pPr>
        <w:pStyle w:val="6"/>
        <w:keepNext w:val="0"/>
        <w:keepLines w:val="0"/>
        <w:pageBreakBefore w:val="0"/>
        <w:widowControl/>
        <w:kinsoku/>
        <w:wordWrap/>
        <w:overflowPunct/>
        <w:topLinePunct w:val="0"/>
        <w:autoSpaceDE/>
        <w:autoSpaceDN/>
        <w:bidi w:val="0"/>
        <w:adjustRightInd/>
        <w:snapToGrid w:val="0"/>
        <w:textAlignment w:val="auto"/>
        <w:rPr>
          <w:rFonts w:hint="default" w:ascii="Times New Roman" w:hAnsi="Times New Roman" w:cs="Times New Roman"/>
          <w:color w:val="auto"/>
        </w:rPr>
      </w:pPr>
      <w:r>
        <w:rPr>
          <w:rFonts w:hint="default" w:ascii="Times New Roman" w:hAnsi="Times New Roman" w:cs="Times New Roman"/>
          <w:color w:val="auto"/>
          <w:lang w:val="zh-CN"/>
        </w:rPr>
        <w:t>凡涉及项目的环保问题、职业卫生评价、生活设施、项目界区外的运输及输送等，应执行国家有关规定和相关标准，不在本评价范围之内。同一厂区内的其他生产装置及配套设施不在本次评价范围。</w:t>
      </w:r>
    </w:p>
    <w:p w14:paraId="53B7BF4E">
      <w:pPr>
        <w:pStyle w:val="3"/>
        <w:bidi w:val="0"/>
        <w:rPr>
          <w:rFonts w:hint="default" w:ascii="Times New Roman" w:hAnsi="Times New Roman" w:cs="Times New Roman"/>
          <w:color w:val="auto"/>
          <w:lang w:val="en-US" w:eastAsia="zh-CN"/>
        </w:rPr>
      </w:pPr>
      <w:bookmarkStart w:id="18" w:name="_Toc11920"/>
      <w:r>
        <w:rPr>
          <w:rFonts w:hint="default" w:ascii="Times New Roman" w:hAnsi="Times New Roman" w:cs="Times New Roman"/>
          <w:color w:val="auto"/>
          <w:lang w:val="en-US" w:eastAsia="zh-CN"/>
        </w:rPr>
        <w:t>工作经过和程序</w:t>
      </w:r>
      <w:bookmarkEnd w:id="18"/>
    </w:p>
    <w:p w14:paraId="002143D1">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1.4.1 前期准备</w:t>
      </w:r>
    </w:p>
    <w:p w14:paraId="7200D0AE">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根据该项目的实际情况，与建设单位共同协商确定安全评价对象和范围。在充分调查研究安全评价对象和范围相关情况后，收集、整理安全评价所需要的各种文件、资料和数据。</w:t>
      </w:r>
    </w:p>
    <w:p w14:paraId="6EC1D4FB">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1.4.2 安全评价</w:t>
      </w:r>
    </w:p>
    <w:p w14:paraId="288CE752">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（1）辨识危险、有害因素</w:t>
      </w:r>
    </w:p>
    <w:p w14:paraId="6A717C7D">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运用危险、有害因素辨识的科学方法，辨识该项目可能造成爆炸、火灾、中毒等事故的危险、有害因素及其分布。分析该项目可能造成作业人员伤亡的其它危险、有害因素及其分布。</w:t>
      </w:r>
    </w:p>
    <w:p w14:paraId="3D8DF1B2">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（2）划分评价单元</w:t>
      </w:r>
    </w:p>
    <w:p w14:paraId="31AA5C44">
      <w:pPr>
        <w:pStyle w:val="6"/>
        <w:bidi w:val="0"/>
        <w:rPr>
          <w:rFonts w:hint="default" w:ascii="Times New Roman" w:hAnsi="Times New Roman" w:cs="Times New Roman"/>
          <w:color w:val="auto"/>
        </w:rPr>
      </w:pPr>
      <w:r>
        <w:rPr>
          <w:rFonts w:hint="default" w:ascii="Times New Roman" w:hAnsi="Times New Roman" w:cs="Times New Roman"/>
          <w:color w:val="auto"/>
        </w:rPr>
        <w:t>根据建设项目的实际情况和安全评价的需要，将建设项目外部安全条件及总平面布置、</w:t>
      </w:r>
      <w:r>
        <w:rPr>
          <w:rFonts w:hint="default" w:ascii="Times New Roman" w:hAnsi="Times New Roman" w:cs="Times New Roman"/>
          <w:color w:val="auto"/>
          <w:lang w:val="en-US" w:eastAsia="zh-CN"/>
        </w:rPr>
        <w:t>工艺及设备设施</w:t>
      </w:r>
      <w:r>
        <w:rPr>
          <w:rFonts w:hint="default" w:ascii="Times New Roman" w:hAnsi="Times New Roman" w:cs="Times New Roman"/>
          <w:color w:val="auto"/>
        </w:rPr>
        <w:t>、公用工程及辅助设施划分为评价单元。</w:t>
      </w:r>
    </w:p>
    <w:p w14:paraId="71AC301B">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（3）确定安全评价方法</w:t>
      </w:r>
    </w:p>
    <w:p w14:paraId="5B891F53">
      <w:pPr>
        <w:pStyle w:val="6"/>
        <w:bidi w:val="0"/>
        <w:rPr>
          <w:rFonts w:hint="default" w:ascii="Times New Roman" w:hAnsi="Times New Roman" w:cs="Times New Roman"/>
          <w:color w:val="auto"/>
        </w:rPr>
      </w:pPr>
      <w:r>
        <w:rPr>
          <w:rFonts w:hint="default" w:ascii="Times New Roman" w:hAnsi="Times New Roman" w:cs="Times New Roman"/>
          <w:color w:val="auto"/>
        </w:rPr>
        <w:t>选择国际、国内通行的安全评价方法。</w:t>
      </w:r>
    </w:p>
    <w:p w14:paraId="2B305F9F">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（4）定性、定量分析危险、危害程度</w:t>
      </w:r>
    </w:p>
    <w:p w14:paraId="6C5B8B2B">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（5）分析安全条件</w:t>
      </w:r>
      <w:r>
        <w:rPr>
          <w:rFonts w:hint="eastAsia" w:cs="Times New Roman"/>
          <w:color w:val="auto"/>
          <w:lang w:val="en-US" w:eastAsia="zh-CN"/>
        </w:rPr>
        <w:t>分析</w:t>
      </w:r>
    </w:p>
    <w:p w14:paraId="014F60E2">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（6）提出安全对策措施与建议</w:t>
      </w:r>
    </w:p>
    <w:p w14:paraId="05C219FC">
      <w:pPr>
        <w:pStyle w:val="6"/>
        <w:bidi w:val="0"/>
        <w:jc w:val="both"/>
        <w:rPr>
          <w:rFonts w:hint="default" w:ascii="Times New Roman" w:hAnsi="Times New Roman" w:cs="Times New Roman"/>
          <w:color w:val="auto"/>
          <w:lang w:val="zh-CN"/>
        </w:rPr>
      </w:pPr>
      <w:r>
        <w:rPr>
          <w:rFonts w:hint="default" w:ascii="Times New Roman" w:hAnsi="Times New Roman" w:cs="Times New Roman"/>
          <w:color w:val="auto"/>
          <w:lang w:val="zh-CN"/>
        </w:rPr>
        <w:t>（7）整理、归纳安全评价结论</w:t>
      </w:r>
    </w:p>
    <w:p w14:paraId="68F54810">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1.4.3 与建设单位交换意见</w:t>
      </w:r>
    </w:p>
    <w:p w14:paraId="05405818">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评价机构就该项目安全评价中各个方面的情况，与建设单位反复、充分交换意见。</w:t>
      </w:r>
    </w:p>
    <w:p w14:paraId="31D8EC1E">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1.4.4 编制安全评价报告</w:t>
      </w:r>
    </w:p>
    <w:p w14:paraId="6A5D5832">
      <w:pPr>
        <w:pStyle w:val="6"/>
        <w:bidi w:val="0"/>
        <w:rPr>
          <w:rFonts w:hint="default" w:ascii="Times New Roman" w:hAnsi="Times New Roman" w:cs="Times New Roman"/>
          <w:color w:val="auto"/>
          <w:lang w:val="zh-CN"/>
        </w:rPr>
      </w:pPr>
      <w:r>
        <w:rPr>
          <w:rFonts w:hint="default" w:ascii="Times New Roman" w:hAnsi="Times New Roman" w:cs="Times New Roman"/>
          <w:color w:val="auto"/>
          <w:lang w:val="zh-CN"/>
        </w:rPr>
        <w:t>具体评价程序见下图：</w:t>
      </w:r>
    </w:p>
    <w:p w14:paraId="1F2252EB">
      <w:pPr>
        <w:rPr>
          <w:rFonts w:hint="default" w:ascii="Times New Roman" w:hAnsi="Times New Roman" w:cs="Times New Roman"/>
          <w:color w:val="auto"/>
          <w:lang w:val="zh-CN"/>
        </w:rPr>
      </w:pPr>
      <w:r>
        <w:rPr>
          <w:rFonts w:hint="default" w:ascii="Times New Roman" w:hAnsi="Times New Roman" w:cs="Times New Roman"/>
          <w:color w:val="auto"/>
          <w:lang w:val="zh-CN"/>
        </w:rPr>
        <w:br w:type="page"/>
      </w:r>
    </w:p>
    <w:p w14:paraId="6F2145FF">
      <w:pPr>
        <w:pStyle w:val="6"/>
        <w:bidi w:val="0"/>
        <w:rPr>
          <w:rFonts w:hint="default" w:ascii="Times New Roman" w:hAnsi="Times New Roman" w:cs="Times New Roman"/>
          <w:color w:val="auto"/>
          <w:lang w:val="zh-CN"/>
        </w:rPr>
      </w:pPr>
    </w:p>
    <w:p w14:paraId="27A865C2">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r>
        <w:rPr>
          <w:rFonts w:hint="default" w:ascii="Times New Roman" w:hAnsi="Times New Roman" w:cs="Times New Roman"/>
          <w:color w:val="auto"/>
          <w:sz w:val="20"/>
        </w:rPr>
        <mc:AlternateContent>
          <mc:Choice Requires="wpg">
            <w:drawing>
              <wp:anchor distT="0" distB="0" distL="114300" distR="114300" simplePos="0" relativeHeight="251659264" behindDoc="0" locked="0" layoutInCell="1" allowOverlap="1">
                <wp:simplePos x="0" y="0"/>
                <wp:positionH relativeFrom="column">
                  <wp:posOffset>1247775</wp:posOffset>
                </wp:positionH>
                <wp:positionV relativeFrom="paragraph">
                  <wp:posOffset>37465</wp:posOffset>
                </wp:positionV>
                <wp:extent cx="2691130" cy="4380865"/>
                <wp:effectExtent l="5080" t="5080" r="16510" b="18415"/>
                <wp:wrapNone/>
                <wp:docPr id="38" name="组合 38"/>
                <wp:cNvGraphicFramePr/>
                <a:graphic xmlns:a="http://schemas.openxmlformats.org/drawingml/2006/main">
                  <a:graphicData uri="http://schemas.microsoft.com/office/word/2010/wordprocessingGroup">
                    <wpg:wgp>
                      <wpg:cNvGrpSpPr/>
                      <wpg:grpSpPr>
                        <a:xfrm>
                          <a:off x="0" y="0"/>
                          <a:ext cx="2691130" cy="4380865"/>
                          <a:chOff x="0" y="90"/>
                          <a:chExt cx="3435" cy="7843"/>
                        </a:xfrm>
                      </wpg:grpSpPr>
                      <wpg:grpSp>
                        <wpg:cNvPr id="35" name="组合 35"/>
                        <wpg:cNvGrpSpPr/>
                        <wpg:grpSpPr>
                          <a:xfrm>
                            <a:off x="0" y="90"/>
                            <a:ext cx="3435" cy="7843"/>
                            <a:chOff x="0" y="90"/>
                            <a:chExt cx="3435" cy="7843"/>
                          </a:xfrm>
                        </wpg:grpSpPr>
                        <wps:wsp>
                          <wps:cNvPr id="20" name="矩形 20"/>
                          <wps:cNvSpPr/>
                          <wps:spPr>
                            <a:xfrm>
                              <a:off x="15" y="90"/>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5CAFF5">
                                <w:pPr>
                                  <w:spacing w:line="240" w:lineRule="auto"/>
                                  <w:ind w:firstLine="0" w:firstLineChars="0"/>
                                  <w:jc w:val="center"/>
                                  <w:rPr>
                                    <w:sz w:val="21"/>
                                  </w:rPr>
                                </w:pPr>
                                <w:r>
                                  <w:rPr>
                                    <w:rFonts w:hint="eastAsia"/>
                                    <w:sz w:val="21"/>
                                  </w:rPr>
                                  <w:t>前期准备</w:t>
                                </w:r>
                              </w:p>
                            </w:txbxContent>
                          </wps:txbx>
                          <wps:bodyPr upright="1"/>
                        </wps:wsp>
                        <wps:wsp>
                          <wps:cNvPr id="21" name="直接连接符 21"/>
                          <wps:cNvCnPr/>
                          <wps:spPr>
                            <a:xfrm>
                              <a:off x="1815" y="533"/>
                              <a:ext cx="0" cy="378"/>
                            </a:xfrm>
                            <a:prstGeom prst="line">
                              <a:avLst/>
                            </a:prstGeom>
                            <a:ln w="9525" cap="flat" cmpd="sng">
                              <a:solidFill>
                                <a:srgbClr val="000000"/>
                              </a:solidFill>
                              <a:prstDash val="solid"/>
                              <a:headEnd type="none" w="med" len="med"/>
                              <a:tailEnd type="triangle" w="med" len="med"/>
                            </a:ln>
                          </wps:spPr>
                          <wps:bodyPr upright="1"/>
                        </wps:wsp>
                        <wps:wsp>
                          <wps:cNvPr id="22" name="矩形 22"/>
                          <wps:cNvSpPr/>
                          <wps:spPr>
                            <a:xfrm>
                              <a:off x="0" y="917"/>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C9F9AB">
                                <w:pPr>
                                  <w:spacing w:line="240" w:lineRule="auto"/>
                                  <w:ind w:firstLine="0" w:firstLineChars="0"/>
                                  <w:jc w:val="center"/>
                                  <w:rPr>
                                    <w:sz w:val="21"/>
                                  </w:rPr>
                                </w:pPr>
                                <w:r>
                                  <w:rPr>
                                    <w:rFonts w:hint="eastAsia"/>
                                    <w:sz w:val="21"/>
                                  </w:rPr>
                                  <w:t>辨识与分析危险、有害因素</w:t>
                                </w:r>
                              </w:p>
                            </w:txbxContent>
                          </wps:txbx>
                          <wps:bodyPr upright="1"/>
                        </wps:wsp>
                        <wps:wsp>
                          <wps:cNvPr id="23" name="矩形 23"/>
                          <wps:cNvSpPr/>
                          <wps:spPr>
                            <a:xfrm>
                              <a:off x="0" y="2789"/>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C78403">
                                <w:pPr>
                                  <w:spacing w:line="240" w:lineRule="auto"/>
                                  <w:ind w:firstLine="0" w:firstLineChars="0"/>
                                  <w:jc w:val="center"/>
                                  <w:rPr>
                                    <w:sz w:val="21"/>
                                  </w:rPr>
                                </w:pPr>
                                <w:r>
                                  <w:rPr>
                                    <w:rFonts w:hint="eastAsia"/>
                                    <w:sz w:val="21"/>
                                  </w:rPr>
                                  <w:t>确定评价方法</w:t>
                                </w:r>
                              </w:p>
                            </w:txbxContent>
                          </wps:txbx>
                          <wps:bodyPr upright="1"/>
                        </wps:wsp>
                        <wps:wsp>
                          <wps:cNvPr id="24" name="矩形 24"/>
                          <wps:cNvSpPr/>
                          <wps:spPr>
                            <a:xfrm>
                              <a:off x="0" y="3725"/>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9B0A9E">
                                <w:pPr>
                                  <w:spacing w:line="240" w:lineRule="auto"/>
                                  <w:ind w:firstLine="0" w:firstLineChars="0"/>
                                  <w:jc w:val="center"/>
                                  <w:rPr>
                                    <w:sz w:val="21"/>
                                  </w:rPr>
                                </w:pPr>
                                <w:r>
                                  <w:rPr>
                                    <w:rFonts w:hint="eastAsia"/>
                                    <w:sz w:val="21"/>
                                  </w:rPr>
                                  <w:t>定性、定量分析危险、有害程度</w:t>
                                </w:r>
                              </w:p>
                            </w:txbxContent>
                          </wps:txbx>
                          <wps:bodyPr upright="1"/>
                        </wps:wsp>
                        <wps:wsp>
                          <wps:cNvPr id="25" name="矩形 25"/>
                          <wps:cNvSpPr/>
                          <wps:spPr>
                            <a:xfrm>
                              <a:off x="0" y="4661"/>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BAA105">
                                <w:pPr>
                                  <w:spacing w:line="240" w:lineRule="auto"/>
                                  <w:ind w:firstLine="0" w:firstLineChars="0"/>
                                  <w:jc w:val="center"/>
                                  <w:rPr>
                                    <w:sz w:val="21"/>
                                  </w:rPr>
                                </w:pPr>
                                <w:r>
                                  <w:rPr>
                                    <w:rFonts w:hint="eastAsia"/>
                                    <w:sz w:val="21"/>
                                  </w:rPr>
                                  <w:t>提出安全对策措施建议</w:t>
                                </w:r>
                              </w:p>
                            </w:txbxContent>
                          </wps:txbx>
                          <wps:bodyPr upright="1"/>
                        </wps:wsp>
                        <wps:wsp>
                          <wps:cNvPr id="26" name="矩形 26"/>
                          <wps:cNvSpPr/>
                          <wps:spPr>
                            <a:xfrm>
                              <a:off x="15" y="7465"/>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31397A">
                                <w:pPr>
                                  <w:spacing w:line="240" w:lineRule="auto"/>
                                  <w:ind w:firstLine="0" w:firstLineChars="0"/>
                                  <w:jc w:val="center"/>
                                  <w:rPr>
                                    <w:sz w:val="21"/>
                                  </w:rPr>
                                </w:pPr>
                                <w:r>
                                  <w:rPr>
                                    <w:rFonts w:hint="eastAsia"/>
                                    <w:sz w:val="21"/>
                                  </w:rPr>
                                  <w:t>编制建设项目安全</w:t>
                                </w:r>
                                <w:r>
                                  <w:rPr>
                                    <w:rFonts w:hint="eastAsia"/>
                                    <w:sz w:val="21"/>
                                    <w:lang w:val="en-US" w:eastAsia="zh-CN"/>
                                  </w:rPr>
                                  <w:t>预</w:t>
                                </w:r>
                                <w:r>
                                  <w:rPr>
                                    <w:rFonts w:hint="eastAsia"/>
                                    <w:sz w:val="21"/>
                                  </w:rPr>
                                  <w:t>评价报告</w:t>
                                </w:r>
                              </w:p>
                            </w:txbxContent>
                          </wps:txbx>
                          <wps:bodyPr upright="1"/>
                        </wps:wsp>
                        <wps:wsp>
                          <wps:cNvPr id="27" name="直接连接符 27"/>
                          <wps:cNvCnPr/>
                          <wps:spPr>
                            <a:xfrm>
                              <a:off x="1800" y="1385"/>
                              <a:ext cx="0" cy="468"/>
                            </a:xfrm>
                            <a:prstGeom prst="line">
                              <a:avLst/>
                            </a:prstGeom>
                            <a:ln w="9525" cap="flat" cmpd="sng">
                              <a:solidFill>
                                <a:srgbClr val="000000"/>
                              </a:solidFill>
                              <a:prstDash val="solid"/>
                              <a:headEnd type="none" w="med" len="med"/>
                              <a:tailEnd type="triangle" w="med" len="med"/>
                            </a:ln>
                          </wps:spPr>
                          <wps:bodyPr upright="1"/>
                        </wps:wsp>
                        <wps:wsp>
                          <wps:cNvPr id="28" name="直接连接符 28"/>
                          <wps:cNvCnPr/>
                          <wps:spPr>
                            <a:xfrm>
                              <a:off x="1800" y="4193"/>
                              <a:ext cx="0" cy="468"/>
                            </a:xfrm>
                            <a:prstGeom prst="line">
                              <a:avLst/>
                            </a:prstGeom>
                            <a:ln w="9525" cap="flat" cmpd="sng">
                              <a:solidFill>
                                <a:srgbClr val="000000"/>
                              </a:solidFill>
                              <a:prstDash val="solid"/>
                              <a:headEnd type="none" w="med" len="med"/>
                              <a:tailEnd type="triangle" w="med" len="med"/>
                            </a:ln>
                          </wps:spPr>
                          <wps:bodyPr upright="1"/>
                        </wps:wsp>
                        <wps:wsp>
                          <wps:cNvPr id="29" name="直接连接符 29"/>
                          <wps:cNvCnPr/>
                          <wps:spPr>
                            <a:xfrm>
                              <a:off x="1800" y="6965"/>
                              <a:ext cx="0" cy="468"/>
                            </a:xfrm>
                            <a:prstGeom prst="line">
                              <a:avLst/>
                            </a:prstGeom>
                            <a:ln w="9525" cap="flat" cmpd="sng">
                              <a:solidFill>
                                <a:srgbClr val="000000"/>
                              </a:solidFill>
                              <a:prstDash val="solid"/>
                              <a:headEnd type="none" w="med" len="med"/>
                              <a:tailEnd type="triangle" w="med" len="med"/>
                            </a:ln>
                          </wps:spPr>
                          <wps:bodyPr upright="1"/>
                        </wps:wsp>
                        <wps:wsp>
                          <wps:cNvPr id="30" name="直接连接符 30"/>
                          <wps:cNvCnPr/>
                          <wps:spPr>
                            <a:xfrm>
                              <a:off x="1800" y="2321"/>
                              <a:ext cx="0" cy="468"/>
                            </a:xfrm>
                            <a:prstGeom prst="line">
                              <a:avLst/>
                            </a:prstGeom>
                            <a:ln w="9525" cap="flat" cmpd="sng">
                              <a:solidFill>
                                <a:srgbClr val="000000"/>
                              </a:solidFill>
                              <a:prstDash val="solid"/>
                              <a:headEnd type="none" w="med" len="med"/>
                              <a:tailEnd type="triangle" w="med" len="med"/>
                            </a:ln>
                          </wps:spPr>
                          <wps:bodyPr upright="1"/>
                        </wps:wsp>
                        <wps:wsp>
                          <wps:cNvPr id="31" name="直接连接符 31"/>
                          <wps:cNvCnPr/>
                          <wps:spPr>
                            <a:xfrm>
                              <a:off x="1800" y="3257"/>
                              <a:ext cx="0" cy="468"/>
                            </a:xfrm>
                            <a:prstGeom prst="line">
                              <a:avLst/>
                            </a:prstGeom>
                            <a:ln w="9525" cap="flat" cmpd="sng">
                              <a:solidFill>
                                <a:srgbClr val="000000"/>
                              </a:solidFill>
                              <a:prstDash val="solid"/>
                              <a:headEnd type="none" w="med" len="med"/>
                              <a:tailEnd type="triangle" w="med" len="med"/>
                            </a:ln>
                          </wps:spPr>
                          <wps:bodyPr upright="1"/>
                        </wps:wsp>
                        <wps:wsp>
                          <wps:cNvPr id="32" name="矩形 32"/>
                          <wps:cNvSpPr/>
                          <wps:spPr>
                            <a:xfrm>
                              <a:off x="0" y="1853"/>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76DDBA3">
                                <w:pPr>
                                  <w:spacing w:line="240" w:lineRule="auto"/>
                                  <w:ind w:firstLine="0" w:firstLineChars="0"/>
                                  <w:jc w:val="center"/>
                                  <w:rPr>
                                    <w:sz w:val="21"/>
                                  </w:rPr>
                                </w:pPr>
                                <w:r>
                                  <w:rPr>
                                    <w:rFonts w:hint="eastAsia"/>
                                    <w:sz w:val="21"/>
                                  </w:rPr>
                                  <w:t>划分评价单元</w:t>
                                </w:r>
                              </w:p>
                            </w:txbxContent>
                          </wps:txbx>
                          <wps:bodyPr upright="1"/>
                        </wps:wsp>
                        <wps:wsp>
                          <wps:cNvPr id="33" name="矩形 33"/>
                          <wps:cNvSpPr/>
                          <wps:spPr>
                            <a:xfrm>
                              <a:off x="0" y="5597"/>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822041">
                                <w:pPr>
                                  <w:spacing w:line="240" w:lineRule="auto"/>
                                  <w:ind w:firstLine="0" w:firstLineChars="0"/>
                                  <w:jc w:val="center"/>
                                  <w:rPr>
                                    <w:sz w:val="21"/>
                                  </w:rPr>
                                </w:pPr>
                                <w:r>
                                  <w:rPr>
                                    <w:rFonts w:hint="eastAsia"/>
                                    <w:sz w:val="21"/>
                                  </w:rPr>
                                  <w:t>整理、归纳评价结论</w:t>
                                </w:r>
                              </w:p>
                              <w:p w14:paraId="384046CB">
                                <w:pPr>
                                  <w:spacing w:line="240" w:lineRule="auto"/>
                                  <w:ind w:firstLine="0" w:firstLineChars="0"/>
                                  <w:jc w:val="center"/>
                                  <w:rPr>
                                    <w:sz w:val="21"/>
                                  </w:rPr>
                                </w:pPr>
                              </w:p>
                            </w:txbxContent>
                          </wps:txbx>
                          <wps:bodyPr upright="1"/>
                        </wps:wsp>
                        <wps:wsp>
                          <wps:cNvPr id="34" name="直接连接符 34"/>
                          <wps:cNvCnPr/>
                          <wps:spPr>
                            <a:xfrm>
                              <a:off x="1800" y="5129"/>
                              <a:ext cx="0" cy="468"/>
                            </a:xfrm>
                            <a:prstGeom prst="line">
                              <a:avLst/>
                            </a:prstGeom>
                            <a:ln w="9525" cap="flat" cmpd="sng">
                              <a:solidFill>
                                <a:srgbClr val="000000"/>
                              </a:solidFill>
                              <a:prstDash val="solid"/>
                              <a:headEnd type="none" w="med" len="med"/>
                              <a:tailEnd type="triangle" w="med" len="med"/>
                            </a:ln>
                          </wps:spPr>
                          <wps:bodyPr upright="1"/>
                        </wps:wsp>
                      </wpg:grpSp>
                      <wps:wsp>
                        <wps:cNvPr id="36" name="矩形 36"/>
                        <wps:cNvSpPr/>
                        <wps:spPr>
                          <a:xfrm>
                            <a:off x="0" y="6548"/>
                            <a:ext cx="34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89D088">
                              <w:pPr>
                                <w:spacing w:line="240" w:lineRule="auto"/>
                                <w:ind w:firstLine="0" w:firstLineChars="0"/>
                                <w:jc w:val="center"/>
                                <w:rPr>
                                  <w:sz w:val="21"/>
                                </w:rPr>
                              </w:pPr>
                              <w:r>
                                <w:rPr>
                                  <w:rFonts w:hint="eastAsia"/>
                                  <w:sz w:val="21"/>
                                </w:rPr>
                                <w:t>与建设单位交换意见</w:t>
                              </w:r>
                            </w:p>
                          </w:txbxContent>
                        </wps:txbx>
                        <wps:bodyPr upright="1"/>
                      </wps:wsp>
                      <wps:wsp>
                        <wps:cNvPr id="37" name="直接连接符 37"/>
                        <wps:cNvCnPr/>
                        <wps:spPr>
                          <a:xfrm>
                            <a:off x="1800" y="6080"/>
                            <a:ext cx="0" cy="468"/>
                          </a:xfrm>
                          <a:prstGeom prst="line">
                            <a:avLst/>
                          </a:prstGeom>
                          <a:ln w="9525" cap="flat" cmpd="sng">
                            <a:solidFill>
                              <a:srgbClr val="000000"/>
                            </a:solidFill>
                            <a:prstDash val="solid"/>
                            <a:headEnd type="none" w="med" len="med"/>
                            <a:tailEnd type="triangle" w="med" len="med"/>
                          </a:ln>
                        </wps:spPr>
                        <wps:bodyPr upright="1"/>
                      </wps:wsp>
                    </wpg:wgp>
                  </a:graphicData>
                </a:graphic>
              </wp:anchor>
            </w:drawing>
          </mc:Choice>
          <mc:Fallback>
            <w:pict>
              <v:group id="_x0000_s1026" o:spid="_x0000_s1026" o:spt="203" style="position:absolute;left:0pt;margin-left:98.25pt;margin-top:2.95pt;height:344.95pt;width:211.9pt;z-index:251659264;mso-width-relative:page;mso-height-relative:page;" coordorigin="0,90" coordsize="3435,7843" o:gfxdata="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">
                <o:lock v:ext="edit" aspectratio="f"/>
                <v:group id="_x0000_s1026" o:spid="_x0000_s1026" o:spt="203" style="position:absolute;left:0;top:90;height:7843;width:3435;" coordorigin="0,90" coordsize="3435,784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rect id="_x0000_s1026" o:spid="_x0000_s1026" o:spt="1" style="position:absolute;left:15;top:90;height:468;width:3420;" fillcolor="#FFFFFF" filled="t" stroked="t" coordsize="21600,21600" o:gfxdata="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8NQs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05CAFF5">
                          <w:pPr>
                            <w:spacing w:line="240" w:lineRule="auto"/>
                            <w:ind w:firstLine="0" w:firstLineChars="0"/>
                            <w:jc w:val="center"/>
                            <w:rPr>
                              <w:sz w:val="21"/>
                            </w:rPr>
                          </w:pPr>
                          <w:r>
                            <w:rPr>
                              <w:rFonts w:hint="eastAsia"/>
                              <w:sz w:val="21"/>
                            </w:rPr>
                            <w:t>前期准备</w:t>
                          </w:r>
                        </w:p>
                      </w:txbxContent>
                    </v:textbox>
                  </v:rect>
                  <v:line id="_x0000_s1026" o:spid="_x0000_s1026" o:spt="20" style="position:absolute;left:1815;top:533;height:378;width:0;" filled="f" stroked="t" coordsize="21600,21600" o:gfxdata="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mTj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0;top:917;height:468;width:3420;" fillcolor="#FFFFFF" filled="t" stroked="t" coordsize="21600,21600" o:gfxdata="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bu/A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1C9F9AB">
                          <w:pPr>
                            <w:spacing w:line="240" w:lineRule="auto"/>
                            <w:ind w:firstLine="0" w:firstLineChars="0"/>
                            <w:jc w:val="center"/>
                            <w:rPr>
                              <w:sz w:val="21"/>
                            </w:rPr>
                          </w:pPr>
                          <w:r>
                            <w:rPr>
                              <w:rFonts w:hint="eastAsia"/>
                              <w:sz w:val="21"/>
                            </w:rPr>
                            <w:t>辨识与分析危险、有害因素</w:t>
                          </w:r>
                        </w:p>
                      </w:txbxContent>
                    </v:textbox>
                  </v:rect>
                  <v:rect id="_x0000_s1026" o:spid="_x0000_s1026" o:spt="1" style="position:absolute;left:0;top:2789;height:468;width:3420;" fillcolor="#FFFFFF" filled="t" stroked="t" coordsize="21600,21600" o:gfxdata="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iSlu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CC78403">
                          <w:pPr>
                            <w:spacing w:line="240" w:lineRule="auto"/>
                            <w:ind w:firstLine="0" w:firstLineChars="0"/>
                            <w:jc w:val="center"/>
                            <w:rPr>
                              <w:sz w:val="21"/>
                            </w:rPr>
                          </w:pPr>
                          <w:r>
                            <w:rPr>
                              <w:rFonts w:hint="eastAsia"/>
                              <w:sz w:val="21"/>
                            </w:rPr>
                            <w:t>确定评价方法</w:t>
                          </w:r>
                        </w:p>
                      </w:txbxContent>
                    </v:textbox>
                  </v:rect>
                  <v:rect id="_x0000_s1026" o:spid="_x0000_s1026" o:spt="1" style="position:absolute;left:0;top:3725;height:468;width:3420;" fillcolor="#FFFFFF" filled="t" stroked="t" coordsize="21600,21600" o:gfxdata="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y9I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D9B0A9E">
                          <w:pPr>
                            <w:spacing w:line="240" w:lineRule="auto"/>
                            <w:ind w:firstLine="0" w:firstLineChars="0"/>
                            <w:jc w:val="center"/>
                            <w:rPr>
                              <w:sz w:val="21"/>
                            </w:rPr>
                          </w:pPr>
                          <w:r>
                            <w:rPr>
                              <w:rFonts w:hint="eastAsia"/>
                              <w:sz w:val="21"/>
                            </w:rPr>
                            <w:t>定性、定量分析危险、有害程度</w:t>
                          </w:r>
                        </w:p>
                      </w:txbxContent>
                    </v:textbox>
                  </v:rect>
                  <v:rect id="_x0000_s1026" o:spid="_x0000_s1026" o:spt="1" style="position:absolute;left:0;top:4661;height:468;width:3420;" fillcolor="#FFFFFF" filled="t" stroked="t" coordsize="21600,21600" o:gfxdata="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3e0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8BAA105">
                          <w:pPr>
                            <w:spacing w:line="240" w:lineRule="auto"/>
                            <w:ind w:firstLine="0" w:firstLineChars="0"/>
                            <w:jc w:val="center"/>
                            <w:rPr>
                              <w:sz w:val="21"/>
                            </w:rPr>
                          </w:pPr>
                          <w:r>
                            <w:rPr>
                              <w:rFonts w:hint="eastAsia"/>
                              <w:sz w:val="21"/>
                            </w:rPr>
                            <w:t>提出安全对策措施建议</w:t>
                          </w:r>
                        </w:p>
                      </w:txbxContent>
                    </v:textbox>
                  </v:rect>
                  <v:rect id="_x0000_s1026" o:spid="_x0000_s1026" o:spt="1" style="position:absolute;left:15;top:7465;height:468;width:3420;" fillcolor="#FFFFFF" filled="t" stroked="t" coordsize="21600,21600" o:gfxdata="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V6c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031397A">
                          <w:pPr>
                            <w:spacing w:line="240" w:lineRule="auto"/>
                            <w:ind w:firstLine="0" w:firstLineChars="0"/>
                            <w:jc w:val="center"/>
                            <w:rPr>
                              <w:sz w:val="21"/>
                            </w:rPr>
                          </w:pPr>
                          <w:r>
                            <w:rPr>
                              <w:rFonts w:hint="eastAsia"/>
                              <w:sz w:val="21"/>
                            </w:rPr>
                            <w:t>编制建设项目安全</w:t>
                          </w:r>
                          <w:r>
                            <w:rPr>
                              <w:rFonts w:hint="eastAsia"/>
                              <w:sz w:val="21"/>
                              <w:lang w:val="en-US" w:eastAsia="zh-CN"/>
                            </w:rPr>
                            <w:t>预</w:t>
                          </w:r>
                          <w:r>
                            <w:rPr>
                              <w:rFonts w:hint="eastAsia"/>
                              <w:sz w:val="21"/>
                            </w:rPr>
                            <w:t>评价报告</w:t>
                          </w:r>
                        </w:p>
                      </w:txbxContent>
                    </v:textbox>
                  </v:rect>
                  <v:line id="_x0000_s1026" o:spid="_x0000_s1026" o:spt="20" style="position:absolute;left:1800;top:1385;height:468;width:0;" filled="f" stroked="t" coordsize="21600,21600" o:gfxdata="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srm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800;top:4193;height:468;width:0;" filled="f" stroked="t" coordsize="21600,21600" o:gfxdata="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zOhC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1800;top:6965;height:468;width:0;" filled="f" stroked="t" coordsize="21600,21600" o:gfxdata="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n4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1800;top:2321;height:468;width:0;" filled="f" stroked="t" coordsize="21600,21600" o:gfxdata="UEsDBAoAAAAAAIdO4kAAAAAAAAAAAAAAAAAEAAAAZHJzL1BLAwQUAAAACACHTuJAIhygy7sAAADb&#10;AAAADwAAAGRycy9kb3ducmV2LnhtbEVPy4rCMBTdC/MP4Q6407QK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ygy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1800;top:3257;height:468;width:0;" filled="f" stroked="t" coordsize="21600,21600" o:gfxdata="UEsDBAoAAAAAAIdO4kAAAAAAAAAAAAAAAAAEAAAAZHJzL1BLAwQUAAAACACHTuJATVAFUL4AAADb&#10;AAAADwAAAGRycy9kb3ducmV2LnhtbEWPQWvCQBSE7wX/w/IEb3UTh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AFU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0;top:1853;height:468;width:3420;" fillcolor="#FFFFFF" filled="t" stroked="t" coordsize="21600,21600" o:gfxdata="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3eR2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76DDBA3">
                          <w:pPr>
                            <w:spacing w:line="240" w:lineRule="auto"/>
                            <w:ind w:firstLine="0" w:firstLineChars="0"/>
                            <w:jc w:val="center"/>
                            <w:rPr>
                              <w:sz w:val="21"/>
                            </w:rPr>
                          </w:pPr>
                          <w:r>
                            <w:rPr>
                              <w:rFonts w:hint="eastAsia"/>
                              <w:sz w:val="21"/>
                            </w:rPr>
                            <w:t>划分评价单元</w:t>
                          </w:r>
                        </w:p>
                      </w:txbxContent>
                    </v:textbox>
                  </v:rect>
                  <v:rect id="_x0000_s1026" o:spid="_x0000_s1026" o:spt="1" style="position:absolute;left:0;top:5597;height:468;width:3420;" fillcolor="#FFFFFF" filled="t" stroked="t" coordsize="21600,21600" o:gfxdata="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73I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0822041">
                          <w:pPr>
                            <w:spacing w:line="240" w:lineRule="auto"/>
                            <w:ind w:firstLine="0" w:firstLineChars="0"/>
                            <w:jc w:val="center"/>
                            <w:rPr>
                              <w:sz w:val="21"/>
                            </w:rPr>
                          </w:pPr>
                          <w:r>
                            <w:rPr>
                              <w:rFonts w:hint="eastAsia"/>
                              <w:sz w:val="21"/>
                            </w:rPr>
                            <w:t>整理、归纳评价结论</w:t>
                          </w:r>
                        </w:p>
                        <w:p w14:paraId="384046CB">
                          <w:pPr>
                            <w:spacing w:line="240" w:lineRule="auto"/>
                            <w:ind w:firstLine="0" w:firstLineChars="0"/>
                            <w:jc w:val="center"/>
                            <w:rPr>
                              <w:sz w:val="21"/>
                            </w:rPr>
                          </w:pPr>
                        </w:p>
                      </w:txbxContent>
                    </v:textbox>
                  </v:rect>
                  <v:line id="_x0000_s1026" o:spid="_x0000_s1026" o:spt="20" style="position:absolute;left:1800;top:5129;height:468;width:0;" filled="f" stroked="t" coordsize="21600,21600" o:gfxdata="UEsDBAoAAAAAAIdO4kAAAAAAAAAAAAAAAAAEAAAAZHJzL1BLAwQUAAAACACHTuJAXSemyL8AAADb&#10;AAAADwAAAGRycy9kb3ducmV2LnhtbEWPT2vCQBTE7wW/w/KE3uomtki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nps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rect id="_x0000_s1026" o:spid="_x0000_s1026" o:spt="1" style="position:absolute;left:0;top:6548;height:468;width:3420;" fillcolor="#FFFFFF" filled="t" stroked="t" coordsize="21600,21600" o:gfxdata="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H8e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A89D088">
                        <w:pPr>
                          <w:spacing w:line="240" w:lineRule="auto"/>
                          <w:ind w:firstLine="0" w:firstLineChars="0"/>
                          <w:jc w:val="center"/>
                          <w:rPr>
                            <w:sz w:val="21"/>
                          </w:rPr>
                        </w:pPr>
                        <w:r>
                          <w:rPr>
                            <w:rFonts w:hint="eastAsia"/>
                            <w:sz w:val="21"/>
                          </w:rPr>
                          <w:t>与建设单位交换意见</w:t>
                        </w:r>
                      </w:p>
                    </w:txbxContent>
                  </v:textbox>
                </v:rect>
                <v:line id="_x0000_s1026" o:spid="_x0000_s1026" o:spt="20" style="position:absolute;left:1800;top:6080;height:468;width:0;" filled="f" stroked="t" coordsize="21600,21600" o:gfxdata="UEsDBAoAAAAAAIdO4kAAAAAAAAAAAAAAAAAEAAAAZHJzL1BLAwQUAAAACACHTuJArfU4v78AAADb&#10;AAAADwAAAGRycy9kb3ducmV2LnhtbEWPT2vCQBTE7wW/w/KE3uomF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1OL+/&#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w:pict>
          </mc:Fallback>
        </mc:AlternateContent>
      </w:r>
    </w:p>
    <w:p w14:paraId="143E6240">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5030BA53">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3014F736">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08BD9E61">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71512E2C">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7759BC00">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304F4519">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1BC47253">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1C86D6DE">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0BF21A51">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05F58197">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0F13A107">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42678142">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154624C7">
      <w:pPr>
        <w:autoSpaceDE w:val="0"/>
        <w:autoSpaceDN w:val="0"/>
        <w:adjustRightInd w:val="0"/>
        <w:snapToGrid w:val="0"/>
        <w:spacing w:line="360" w:lineRule="auto"/>
        <w:ind w:firstLine="480" w:firstLineChars="0"/>
        <w:jc w:val="both"/>
        <w:rPr>
          <w:rFonts w:hint="default" w:ascii="Times New Roman" w:hAnsi="Times New Roman" w:cs="Times New Roman"/>
          <w:color w:val="auto"/>
          <w:kern w:val="0"/>
          <w:sz w:val="28"/>
          <w:szCs w:val="28"/>
          <w:lang w:val="zh-CN"/>
        </w:rPr>
      </w:pPr>
    </w:p>
    <w:p w14:paraId="29BD45F4">
      <w:pPr>
        <w:pStyle w:val="32"/>
        <w:bidi w:val="0"/>
        <w:rPr>
          <w:rFonts w:hint="default" w:ascii="Times New Roman" w:hAnsi="Times New Roman" w:cs="Times New Roman"/>
          <w:color w:val="auto"/>
          <w:lang w:val="zh-CN"/>
        </w:rPr>
      </w:pPr>
      <w:r>
        <w:rPr>
          <w:rFonts w:hint="default" w:ascii="Times New Roman" w:hAnsi="Times New Roman" w:cs="Times New Roman"/>
          <w:color w:val="auto"/>
          <w:lang w:val="zh-CN"/>
        </w:rPr>
        <w:t>图1-1 安全</w:t>
      </w:r>
      <w:r>
        <w:rPr>
          <w:rFonts w:hint="eastAsia" w:cs="Times New Roman"/>
          <w:color w:val="auto"/>
          <w:lang w:val="en-US" w:eastAsia="zh-CN"/>
        </w:rPr>
        <w:t>预</w:t>
      </w:r>
      <w:r>
        <w:rPr>
          <w:rFonts w:hint="default" w:ascii="Times New Roman" w:hAnsi="Times New Roman" w:cs="Times New Roman"/>
          <w:color w:val="auto"/>
          <w:lang w:val="zh-CN"/>
        </w:rPr>
        <w:t>评价程序框图</w:t>
      </w:r>
    </w:p>
    <w:p w14:paraId="3CEED8A0">
      <w:pPr>
        <w:pStyle w:val="32"/>
        <w:bidi w:val="0"/>
        <w:rPr>
          <w:rFonts w:hint="default" w:ascii="Times New Roman" w:hAnsi="Times New Roman" w:cs="Times New Roman"/>
          <w:color w:val="auto"/>
          <w:lang w:val="zh-CN"/>
        </w:rPr>
        <w:sectPr>
          <w:headerReference r:id="rId8" w:type="default"/>
          <w:footerReference r:id="rId9" w:type="default"/>
          <w:pgSz w:w="11906" w:h="16838"/>
          <w:pgMar w:top="1417" w:right="1134" w:bottom="1134" w:left="1587" w:header="851" w:footer="454" w:gutter="0"/>
          <w:pgBorders>
            <w:top w:val="none" w:sz="0" w:space="0"/>
            <w:left w:val="none" w:sz="0" w:space="0"/>
            <w:bottom w:val="none" w:sz="0" w:space="0"/>
            <w:right w:val="none" w:sz="0" w:space="0"/>
          </w:pgBorders>
          <w:pgNumType w:start="1"/>
          <w:cols w:space="720" w:num="1"/>
          <w:docGrid w:type="lines" w:linePitch="312" w:charSpace="0"/>
        </w:sectPr>
      </w:pPr>
    </w:p>
    <w:p w14:paraId="2613AD44">
      <w:pPr>
        <w:pStyle w:val="17"/>
        <w:bidi w:val="0"/>
        <w:rPr>
          <w:rFonts w:hint="default" w:ascii="Times New Roman" w:hAnsi="Times New Roman" w:cs="Times New Roman"/>
          <w:color w:val="auto"/>
        </w:rPr>
      </w:pPr>
      <w:bookmarkStart w:id="19" w:name="_Toc22505"/>
      <w:r>
        <w:rPr>
          <w:rFonts w:hint="default" w:ascii="Times New Roman" w:hAnsi="Times New Roman" w:cs="Times New Roman"/>
          <w:color w:val="auto"/>
        </w:rPr>
        <w:t>建设项目概述</w:t>
      </w:r>
      <w:bookmarkEnd w:id="19"/>
    </w:p>
    <w:p w14:paraId="2B056DFC">
      <w:pPr>
        <w:pStyle w:val="3"/>
        <w:bidi w:val="0"/>
        <w:rPr>
          <w:rFonts w:hint="default" w:ascii="Times New Roman" w:hAnsi="Times New Roman" w:cs="Times New Roman"/>
          <w:color w:val="auto"/>
        </w:rPr>
      </w:pPr>
      <w:bookmarkStart w:id="20" w:name="_Toc18191"/>
      <w:r>
        <w:rPr>
          <w:rFonts w:hint="default" w:ascii="Times New Roman" w:hAnsi="Times New Roman" w:cs="Times New Roman"/>
          <w:color w:val="auto"/>
        </w:rPr>
        <w:t>建设单位概况</w:t>
      </w:r>
      <w:bookmarkEnd w:id="20"/>
    </w:p>
    <w:p w14:paraId="4A6E66DD">
      <w:pPr>
        <w:pStyle w:val="4"/>
        <w:bidi w:val="0"/>
        <w:outlineLvl w:val="2"/>
        <w:rPr>
          <w:rFonts w:hint="default" w:ascii="Times New Roman" w:hAnsi="Times New Roman" w:cs="Times New Roman"/>
          <w:color w:val="auto"/>
        </w:rPr>
      </w:pPr>
      <w:r>
        <w:rPr>
          <w:rFonts w:hint="default" w:ascii="Times New Roman" w:hAnsi="Times New Roman" w:cs="Times New Roman"/>
          <w:color w:val="auto"/>
        </w:rPr>
        <w:t>2.1.1</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单位名称、类型、地址和法人代表</w:t>
      </w:r>
    </w:p>
    <w:p w14:paraId="6504CA78">
      <w:pPr>
        <w:pStyle w:val="6"/>
        <w:bidi w:val="0"/>
        <w:rPr>
          <w:rFonts w:hint="default" w:ascii="Times New Roman" w:hAnsi="Times New Roman" w:cs="Times New Roman"/>
          <w:color w:val="auto"/>
        </w:rPr>
      </w:pPr>
      <w:r>
        <w:rPr>
          <w:rFonts w:hint="default" w:ascii="Times New Roman" w:hAnsi="Times New Roman" w:cs="Times New Roman"/>
          <w:color w:val="auto"/>
        </w:rPr>
        <w:t>企业名称：中国石油化工股份有限公司胜利油田分公司石油化工总厂</w:t>
      </w:r>
    </w:p>
    <w:p w14:paraId="45482031">
      <w:pPr>
        <w:pStyle w:val="6"/>
        <w:bidi w:val="0"/>
        <w:rPr>
          <w:rFonts w:hint="default" w:ascii="Times New Roman" w:hAnsi="Times New Roman" w:cs="Times New Roman"/>
          <w:color w:val="auto"/>
        </w:rPr>
      </w:pPr>
      <w:r>
        <w:rPr>
          <w:rFonts w:hint="default" w:ascii="Times New Roman" w:hAnsi="Times New Roman" w:cs="Times New Roman"/>
          <w:color w:val="auto"/>
        </w:rPr>
        <w:t>负责人：谷月刚</w:t>
      </w:r>
    </w:p>
    <w:p w14:paraId="1FB8D3B7">
      <w:pPr>
        <w:pStyle w:val="6"/>
        <w:bidi w:val="0"/>
        <w:rPr>
          <w:rFonts w:hint="default" w:ascii="Times New Roman" w:hAnsi="Times New Roman" w:cs="Times New Roman"/>
          <w:color w:val="auto"/>
        </w:rPr>
      </w:pPr>
      <w:r>
        <w:rPr>
          <w:rFonts w:hint="default" w:ascii="Times New Roman" w:hAnsi="Times New Roman" w:cs="Times New Roman"/>
          <w:color w:val="auto"/>
        </w:rPr>
        <w:t>企业类型：股份有限公司分公司（上市）</w:t>
      </w:r>
    </w:p>
    <w:p w14:paraId="74B26289">
      <w:pPr>
        <w:pStyle w:val="6"/>
        <w:bidi w:val="0"/>
        <w:rPr>
          <w:rFonts w:hint="default" w:ascii="Times New Roman" w:hAnsi="Times New Roman" w:cs="Times New Roman"/>
          <w:color w:val="auto"/>
        </w:rPr>
      </w:pPr>
      <w:r>
        <w:rPr>
          <w:rFonts w:hint="default" w:ascii="Times New Roman" w:hAnsi="Times New Roman" w:cs="Times New Roman"/>
          <w:color w:val="auto"/>
        </w:rPr>
        <w:t>营业场所：东营市东营区郝纯路</w:t>
      </w:r>
    </w:p>
    <w:p w14:paraId="636E6944">
      <w:pPr>
        <w:pStyle w:val="6"/>
        <w:bidi w:val="0"/>
        <w:rPr>
          <w:rFonts w:hint="default" w:ascii="Times New Roman" w:hAnsi="Times New Roman" w:cs="Times New Roman"/>
          <w:color w:val="auto"/>
        </w:rPr>
      </w:pPr>
      <w:r>
        <w:rPr>
          <w:rFonts w:hint="default" w:ascii="Times New Roman" w:hAnsi="Times New Roman" w:cs="Times New Roman"/>
          <w:color w:val="auto"/>
        </w:rPr>
        <w:t>成立日期：2006年3月22日</w:t>
      </w:r>
    </w:p>
    <w:p w14:paraId="4246147B">
      <w:pPr>
        <w:pStyle w:val="4"/>
        <w:bidi w:val="0"/>
        <w:rPr>
          <w:rFonts w:hint="default" w:ascii="Times New Roman" w:hAnsi="Times New Roman" w:cs="Times New Roman"/>
          <w:color w:val="auto"/>
        </w:rPr>
      </w:pPr>
      <w:r>
        <w:rPr>
          <w:rFonts w:hint="default" w:ascii="Times New Roman" w:hAnsi="Times New Roman" w:cs="Times New Roman"/>
          <w:color w:val="auto"/>
        </w:rPr>
        <w:t>2.1.2 建设单位简介</w:t>
      </w:r>
    </w:p>
    <w:p w14:paraId="2019E844">
      <w:pPr>
        <w:pStyle w:val="6"/>
        <w:bidi w:val="0"/>
        <w:rPr>
          <w:rFonts w:hint="default" w:ascii="Times New Roman" w:hAnsi="Times New Roman" w:cs="Times New Roman"/>
          <w:color w:val="auto"/>
        </w:rPr>
      </w:pPr>
      <w:r>
        <w:rPr>
          <w:rFonts w:hint="default" w:ascii="Times New Roman" w:hAnsi="Times New Roman" w:cs="Times New Roman"/>
          <w:color w:val="auto"/>
        </w:rPr>
        <w:t>胜利油田分公司石油化工总厂位于山东省东营市东营区郝纯路，全厂占地面积2.3平方公里，属于工业用地，已于2000年12月分别办理了国有土地使用证与土地他项权利证明书，该项目设施主要位于厂区北侧。石油化工总厂其前身为稠油处理厂，依据国家计委计燃[1985]第1535号批复，1987年5月动工建设，1990年9月建成投产。1996年6月根据胜油局发编字[1996]45号文，胜利油田石油化工开发总公司更名为胜利石油管理局石油化工总厂。</w:t>
      </w:r>
    </w:p>
    <w:p w14:paraId="2C9F1A7C">
      <w:pPr>
        <w:pStyle w:val="6"/>
        <w:bidi w:val="0"/>
        <w:rPr>
          <w:rFonts w:hint="default" w:ascii="Times New Roman" w:hAnsi="Times New Roman" w:cs="Times New Roman"/>
          <w:color w:val="auto"/>
        </w:rPr>
      </w:pPr>
      <w:r>
        <w:rPr>
          <w:rFonts w:hint="default" w:ascii="Times New Roman" w:hAnsi="Times New Roman" w:cs="Times New Roman"/>
          <w:color w:val="auto"/>
        </w:rPr>
        <w:t>2006年03月22日，注册为股份有限公司分公司（上市），营业场所位于东营市东营区郝纯路，公司负责人为谷月刚，经营范围：许可项目：危险化学品生产。</w:t>
      </w:r>
      <w:r>
        <w:rPr>
          <w:rFonts w:hint="eastAsia" w:cs="Times New Roman"/>
          <w:color w:val="auto"/>
          <w:lang w:eastAsia="zh-CN"/>
        </w:rPr>
        <w:t>（</w:t>
      </w:r>
      <w:r>
        <w:rPr>
          <w:rFonts w:hint="default" w:ascii="Times New Roman" w:hAnsi="Times New Roman" w:cs="Times New Roman"/>
          <w:color w:val="auto"/>
        </w:rPr>
        <w:t>依法须经批准的项目，经相关部门批准后方可开展经营活动，具体经营项目以相关部门批准文件或许可证件为准）一般项目：石油制品制造（不含危险化学品）；石油制品销售（不含危险化学品）；化工产品生产（不含许可类化工产品）；化工产品销售（不含许可类化工产品）；机械零件、零部件加工；仪器仪表修理；电气设备修理；货物进出口；计量技术服务。</w:t>
      </w:r>
      <w:r>
        <w:rPr>
          <w:rFonts w:hint="default" w:ascii="Times New Roman" w:hAnsi="Times New Roman" w:cs="Times New Roman"/>
          <w:color w:val="auto"/>
          <w:lang w:eastAsia="zh-CN"/>
        </w:rPr>
        <w:t>（</w:t>
      </w:r>
      <w:r>
        <w:rPr>
          <w:rFonts w:hint="default" w:ascii="Times New Roman" w:hAnsi="Times New Roman" w:cs="Times New Roman"/>
          <w:color w:val="auto"/>
        </w:rPr>
        <w:t>除依法须经批准的项目外，凭营业执照依法自主开展经营活动</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0D92F380">
      <w:pPr>
        <w:rPr>
          <w:rFonts w:hint="default" w:ascii="Times New Roman" w:hAnsi="Times New Roman" w:cs="Times New Roman"/>
          <w:color w:val="auto"/>
        </w:rPr>
      </w:pPr>
      <w:r>
        <w:rPr>
          <w:rFonts w:hint="default" w:ascii="Times New Roman" w:hAnsi="Times New Roman" w:cs="Times New Roman"/>
          <w:color w:val="auto"/>
        </w:rPr>
        <w:br w:type="page"/>
      </w:r>
    </w:p>
    <w:p w14:paraId="6A678F8E">
      <w:pPr>
        <w:pStyle w:val="4"/>
        <w:bidi w:val="0"/>
        <w:rPr>
          <w:rFonts w:hint="default" w:ascii="Times New Roman" w:hAnsi="Times New Roman" w:cs="Times New Roman"/>
          <w:color w:val="auto"/>
        </w:rPr>
      </w:pPr>
      <w:r>
        <w:rPr>
          <w:rFonts w:hint="default" w:ascii="Times New Roman" w:hAnsi="Times New Roman" w:cs="Times New Roman"/>
          <w:color w:val="auto"/>
        </w:rPr>
        <w:t>2.1.3 安全生产管理机构和安全管理状况</w:t>
      </w:r>
    </w:p>
    <w:p w14:paraId="6D363042">
      <w:pPr>
        <w:pStyle w:val="6"/>
        <w:bidi w:val="0"/>
        <w:rPr>
          <w:rFonts w:hint="default" w:ascii="Times New Roman" w:hAnsi="Times New Roman" w:cs="Times New Roman"/>
          <w:color w:val="auto"/>
          <w:lang w:val="en-US" w:eastAsia="zh-CN"/>
        </w:rPr>
      </w:pPr>
      <w:r>
        <w:rPr>
          <w:rFonts w:hint="eastAsia"/>
          <w:b/>
          <w:bCs/>
        </w:rPr>
        <w:t>涉及企业机密，不予公开。</w:t>
      </w:r>
    </w:p>
    <w:p w14:paraId="1B90AB62">
      <w:pPr>
        <w:pStyle w:val="3"/>
        <w:bidi w:val="0"/>
        <w:rPr>
          <w:rFonts w:hint="default" w:ascii="Times New Roman" w:hAnsi="Times New Roman" w:cs="Times New Roman"/>
          <w:color w:val="auto"/>
        </w:rPr>
      </w:pPr>
      <w:bookmarkStart w:id="21" w:name="_Toc30717"/>
      <w:r>
        <w:rPr>
          <w:rFonts w:hint="default" w:ascii="Times New Roman" w:hAnsi="Times New Roman" w:cs="Times New Roman"/>
          <w:color w:val="auto"/>
        </w:rPr>
        <w:t>建设项目概况</w:t>
      </w:r>
      <w:bookmarkEnd w:id="21"/>
    </w:p>
    <w:p w14:paraId="1364E45F">
      <w:pPr>
        <w:pStyle w:val="4"/>
        <w:bidi w:val="0"/>
        <w:rPr>
          <w:rFonts w:hint="default" w:ascii="Times New Roman" w:hAnsi="Times New Roman" w:cs="Times New Roman"/>
          <w:color w:val="auto"/>
        </w:rPr>
      </w:pPr>
      <w:r>
        <w:rPr>
          <w:rFonts w:hint="default" w:ascii="Times New Roman" w:hAnsi="Times New Roman" w:cs="Times New Roman"/>
          <w:color w:val="auto"/>
        </w:rPr>
        <w:t>2.2.1建设项目规模</w:t>
      </w:r>
    </w:p>
    <w:p w14:paraId="090090BA">
      <w:pPr>
        <w:pStyle w:val="6"/>
        <w:bidi w:val="0"/>
        <w:rPr>
          <w:rFonts w:hint="default" w:ascii="Times New Roman" w:hAnsi="Times New Roman" w:cs="Times New Roman"/>
          <w:color w:val="auto"/>
        </w:rPr>
      </w:pPr>
      <w:r>
        <w:rPr>
          <w:rFonts w:hint="default" w:ascii="Times New Roman" w:hAnsi="Times New Roman" w:cs="Times New Roman"/>
          <w:color w:val="auto"/>
        </w:rPr>
        <w:t>项目名称：储运二部装卸车</w:t>
      </w:r>
      <w:r>
        <w:rPr>
          <w:rFonts w:hint="eastAsia" w:cs="Times New Roman"/>
          <w:color w:val="auto"/>
          <w:lang w:val="en-US" w:eastAsia="zh-CN"/>
        </w:rPr>
        <w:t>废气</w:t>
      </w:r>
      <w:r>
        <w:rPr>
          <w:rFonts w:hint="default" w:ascii="Times New Roman" w:hAnsi="Times New Roman" w:cs="Times New Roman"/>
          <w:color w:val="auto"/>
        </w:rPr>
        <w:t>治理项目</w:t>
      </w:r>
    </w:p>
    <w:p w14:paraId="25336953">
      <w:pPr>
        <w:pStyle w:val="6"/>
        <w:bidi w:val="0"/>
        <w:rPr>
          <w:rFonts w:hint="default" w:ascii="Times New Roman" w:hAnsi="Times New Roman" w:cs="Times New Roman"/>
          <w:color w:val="auto"/>
        </w:rPr>
      </w:pPr>
      <w:r>
        <w:rPr>
          <w:rFonts w:hint="default" w:ascii="Times New Roman" w:hAnsi="Times New Roman" w:cs="Times New Roman"/>
          <w:color w:val="auto"/>
        </w:rPr>
        <w:t>项目性质：新建</w:t>
      </w:r>
      <w:r>
        <w:rPr>
          <w:rFonts w:hint="eastAsia" w:cs="Times New Roman"/>
          <w:color w:val="auto"/>
          <w:lang w:val="en-US" w:eastAsia="zh-CN"/>
        </w:rPr>
        <w:t>非危险化学品建设</w:t>
      </w:r>
      <w:r>
        <w:rPr>
          <w:rFonts w:hint="default" w:ascii="Times New Roman" w:hAnsi="Times New Roman" w:cs="Times New Roman"/>
          <w:color w:val="auto"/>
        </w:rPr>
        <w:t>项目</w:t>
      </w:r>
    </w:p>
    <w:p w14:paraId="2FF8DEDE">
      <w:pPr>
        <w:pStyle w:val="6"/>
        <w:bidi w:val="0"/>
        <w:rPr>
          <w:rFonts w:hint="default" w:ascii="Times New Roman" w:hAnsi="Times New Roman" w:cs="Times New Roman"/>
          <w:color w:val="auto"/>
        </w:rPr>
      </w:pPr>
      <w:r>
        <w:rPr>
          <w:rFonts w:hint="default" w:ascii="Times New Roman" w:hAnsi="Times New Roman" w:cs="Times New Roman"/>
          <w:color w:val="auto"/>
        </w:rPr>
        <w:t>建设地址：胜利油田分公司石油化工总厂</w:t>
      </w:r>
    </w:p>
    <w:p w14:paraId="6D4C2A36">
      <w:pPr>
        <w:pStyle w:val="6"/>
        <w:bidi w:val="0"/>
        <w:rPr>
          <w:rFonts w:hint="default" w:ascii="Times New Roman" w:hAnsi="Times New Roman" w:cs="Times New Roman"/>
          <w:color w:val="auto"/>
        </w:rPr>
      </w:pPr>
      <w:r>
        <w:rPr>
          <w:rFonts w:hint="eastAsia"/>
          <w:b/>
          <w:bCs/>
        </w:rPr>
        <w:t>涉及企业机密，不予公开。</w:t>
      </w:r>
    </w:p>
    <w:p w14:paraId="41EAABB9">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项目VOC</w:t>
      </w:r>
      <w:r>
        <w:rPr>
          <w:rFonts w:hint="default" w:ascii="Times New Roman" w:hAnsi="Times New Roman" w:cs="Times New Roman"/>
          <w:color w:val="auto"/>
        </w:rPr>
        <w:t>s</w:t>
      </w:r>
      <w:r>
        <w:rPr>
          <w:rFonts w:hint="default" w:ascii="Times New Roman" w:hAnsi="Times New Roman" w:cs="Times New Roman"/>
          <w:color w:val="auto"/>
          <w:vertAlign w:val="baseline"/>
          <w:lang w:val="en-US" w:eastAsia="zh-CN"/>
        </w:rPr>
        <w:t>质量指标要求</w:t>
      </w:r>
      <w:r>
        <w:rPr>
          <w:rFonts w:hint="default" w:ascii="Times New Roman" w:hAnsi="Times New Roman" w:cs="Times New Roman"/>
          <w:color w:val="auto"/>
          <w:lang w:val="en-US" w:eastAsia="zh-CN"/>
        </w:rPr>
        <w:t>：苯＜2mg/m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，甲苯＜5mg/m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，二甲苯＜8mg/m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w:t>
      </w:r>
      <w:r>
        <w:rPr>
          <w:rFonts w:hint="default" w:ascii="Times New Roman" w:hAnsi="Times New Roman" w:cs="Times New Roman"/>
          <w:color w:val="auto"/>
          <w:lang w:val="en-US" w:eastAsia="zh-CN"/>
        </w:rPr>
        <w:t>非甲烷总烃＜15mg/m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，非甲烷总烃去除效率＞97%。</w:t>
      </w:r>
    </w:p>
    <w:p w14:paraId="0D1B6E89">
      <w:pPr>
        <w:pStyle w:val="4"/>
        <w:bidi w:val="0"/>
        <w:rPr>
          <w:rFonts w:hint="default" w:ascii="Times New Roman" w:hAnsi="Times New Roman" w:cs="Times New Roman"/>
          <w:color w:val="auto"/>
        </w:rPr>
      </w:pPr>
      <w:r>
        <w:rPr>
          <w:rFonts w:hint="default" w:ascii="Times New Roman" w:hAnsi="Times New Roman" w:cs="Times New Roman"/>
          <w:color w:val="auto"/>
        </w:rPr>
        <w:t>2.2.2建设项目的由来产业政策的符合性分析</w:t>
      </w:r>
    </w:p>
    <w:p w14:paraId="31598443">
      <w:pPr>
        <w:pStyle w:val="6"/>
        <w:bidi w:val="0"/>
        <w:rPr>
          <w:rFonts w:hint="default" w:ascii="Times New Roman" w:hAnsi="Times New Roman" w:cs="Times New Roman"/>
          <w:color w:val="auto"/>
        </w:rPr>
      </w:pPr>
      <w:r>
        <w:rPr>
          <w:rFonts w:hint="default" w:ascii="Times New Roman" w:hAnsi="Times New Roman" w:cs="Times New Roman"/>
          <w:color w:val="auto"/>
        </w:rPr>
        <w:t>（1）建设项目的由来</w:t>
      </w:r>
    </w:p>
    <w:p w14:paraId="51B4247B">
      <w:pPr>
        <w:pStyle w:val="6"/>
        <w:bidi w:val="0"/>
        <w:rPr>
          <w:rFonts w:hint="default" w:ascii="Times New Roman" w:hAnsi="Times New Roman" w:cs="Times New Roman"/>
          <w:color w:val="auto"/>
        </w:rPr>
      </w:pPr>
      <w:r>
        <w:rPr>
          <w:rFonts w:hint="eastAsia"/>
          <w:b/>
          <w:bCs/>
        </w:rPr>
        <w:t>涉及企业机密，不予公开。</w:t>
      </w:r>
    </w:p>
    <w:p w14:paraId="190CDA8A">
      <w:pPr>
        <w:pStyle w:val="6"/>
        <w:bidi w:val="0"/>
        <w:rPr>
          <w:rFonts w:hint="default" w:ascii="Times New Roman" w:hAnsi="Times New Roman" w:cs="Times New Roman"/>
          <w:color w:val="auto"/>
        </w:rPr>
      </w:pPr>
      <w:r>
        <w:rPr>
          <w:rFonts w:hint="default" w:ascii="Times New Roman" w:hAnsi="Times New Roman" w:cs="Times New Roman"/>
          <w:color w:val="auto"/>
        </w:rPr>
        <w:t>（2）产业政策的符合性分析</w:t>
      </w:r>
    </w:p>
    <w:p w14:paraId="5F4298EB">
      <w:pPr>
        <w:pStyle w:val="6"/>
        <w:bidi w:val="0"/>
        <w:rPr>
          <w:rFonts w:hint="default" w:ascii="Times New Roman" w:hAnsi="Times New Roman" w:cs="Times New Roman"/>
          <w:color w:val="auto"/>
        </w:rPr>
      </w:pPr>
      <w:r>
        <w:rPr>
          <w:rFonts w:hint="default" w:ascii="Times New Roman" w:hAnsi="Times New Roman" w:cs="Times New Roman"/>
          <w:color w:val="auto"/>
        </w:rPr>
        <w:t>根据国家发展和改革委员会《产业结构调整指导目录（20</w:t>
      </w:r>
      <w:r>
        <w:rPr>
          <w:rFonts w:hint="eastAsia" w:cs="Times New Roman"/>
          <w:color w:val="auto"/>
          <w:lang w:val="en-US" w:eastAsia="zh-CN"/>
        </w:rPr>
        <w:t>24</w:t>
      </w:r>
      <w:r>
        <w:rPr>
          <w:rFonts w:hint="default" w:ascii="Times New Roman" w:hAnsi="Times New Roman" w:cs="Times New Roman"/>
          <w:color w:val="auto"/>
        </w:rPr>
        <w:t>年本）》（国家发展改革委令第7号公布），该项目</w:t>
      </w:r>
      <w:r>
        <w:rPr>
          <w:rFonts w:hint="eastAsia" w:cs="Times New Roman"/>
          <w:color w:val="auto"/>
          <w:lang w:val="en-US" w:eastAsia="zh-CN"/>
        </w:rPr>
        <w:t>属于允许类建设项目</w:t>
      </w:r>
      <w:r>
        <w:rPr>
          <w:rFonts w:hint="default" w:ascii="Times New Roman" w:hAnsi="Times New Roman" w:cs="Times New Roman"/>
          <w:color w:val="auto"/>
        </w:rPr>
        <w:t>，符合国家产业政策要求。</w:t>
      </w:r>
    </w:p>
    <w:p w14:paraId="25E961A4">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该项目</w:t>
      </w:r>
      <w:r>
        <w:rPr>
          <w:rFonts w:hint="default" w:ascii="Times New Roman" w:hAnsi="Times New Roman" w:cs="Times New Roman"/>
          <w:color w:val="auto"/>
        </w:rPr>
        <w:t>不经营国家明令禁止的危险化学品，不采用和使用国家明令淘汰、禁止使用的工艺、设备，符合国家产业政策。</w:t>
      </w:r>
    </w:p>
    <w:p w14:paraId="5D320064">
      <w:pPr>
        <w:pStyle w:val="4"/>
        <w:bidi w:val="0"/>
        <w:rPr>
          <w:rFonts w:hint="default" w:ascii="Times New Roman" w:hAnsi="Times New Roman" w:cs="Times New Roman"/>
          <w:color w:val="auto"/>
        </w:rPr>
      </w:pPr>
      <w:r>
        <w:rPr>
          <w:rFonts w:hint="default" w:ascii="Times New Roman" w:hAnsi="Times New Roman" w:cs="Times New Roman"/>
          <w:color w:val="auto"/>
        </w:rPr>
        <w:t>2.2.3设计上采用的主要技术、工艺</w:t>
      </w:r>
      <w:r>
        <w:rPr>
          <w:rFonts w:hint="default" w:ascii="Times New Roman" w:hAnsi="Times New Roman" w:cs="Times New Roman"/>
          <w:color w:val="auto"/>
          <w:lang w:eastAsia="zh-CN"/>
        </w:rPr>
        <w:t>（</w:t>
      </w:r>
      <w:r>
        <w:rPr>
          <w:rFonts w:hint="default" w:ascii="Times New Roman" w:hAnsi="Times New Roman" w:cs="Times New Roman"/>
          <w:color w:val="auto"/>
        </w:rPr>
        <w:t>方式</w:t>
      </w:r>
      <w:r>
        <w:rPr>
          <w:rFonts w:hint="default" w:ascii="Times New Roman" w:hAnsi="Times New Roman" w:cs="Times New Roman"/>
          <w:color w:val="auto"/>
          <w:lang w:eastAsia="zh-CN"/>
        </w:rPr>
        <w:t>）</w:t>
      </w:r>
      <w:r>
        <w:rPr>
          <w:rFonts w:hint="default" w:ascii="Times New Roman" w:hAnsi="Times New Roman" w:cs="Times New Roman"/>
          <w:color w:val="auto"/>
        </w:rPr>
        <w:t>和国内、外同类建设项目水平对比情况</w:t>
      </w:r>
    </w:p>
    <w:p w14:paraId="184EF972">
      <w:pPr>
        <w:pStyle w:val="6"/>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rPr>
      </w:pPr>
      <w:r>
        <w:rPr>
          <w:rFonts w:hint="default" w:ascii="Times New Roman" w:hAnsi="Times New Roman" w:cs="Times New Roman"/>
          <w:color w:val="auto"/>
        </w:rPr>
        <w:t>目前，国内油气回收及处理的主要方法有吸收法、活性炭吸附法、直接冷凝法、膜分离法、氧化燃烧法、蓄热式氧化法等方法，几种方法各有利弊。</w:t>
      </w:r>
    </w:p>
    <w:p w14:paraId="5F4E646A">
      <w:pPr>
        <w:pStyle w:val="6"/>
        <w:bidi w:val="0"/>
        <w:rPr>
          <w:rFonts w:hint="default" w:ascii="Times New Roman" w:hAnsi="Times New Roman" w:cs="Times New Roman"/>
          <w:color w:val="auto"/>
        </w:rPr>
      </w:pPr>
      <w:r>
        <w:rPr>
          <w:rFonts w:hint="default" w:ascii="Times New Roman" w:hAnsi="Times New Roman" w:cs="Times New Roman"/>
          <w:color w:val="auto"/>
        </w:rPr>
        <w:t>（1）低温柴油吸收：</w:t>
      </w:r>
    </w:p>
    <w:p w14:paraId="587A22E7">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油气中烃类物质与柴油吸收机理为相似相容原理。</w:t>
      </w:r>
      <w:r>
        <w:rPr>
          <w:rFonts w:hint="default" w:ascii="Times New Roman" w:hAnsi="Times New Roman" w:cs="Times New Roman"/>
          <w:color w:val="auto"/>
          <w:lang w:eastAsia="zh-CN"/>
        </w:rPr>
        <w:t>“</w:t>
      </w:r>
      <w:r>
        <w:rPr>
          <w:rFonts w:hint="default" w:ascii="Times New Roman" w:hAnsi="Times New Roman" w:cs="Times New Roman"/>
          <w:color w:val="auto"/>
        </w:rPr>
        <w:t>相似</w:t>
      </w:r>
      <w:r>
        <w:rPr>
          <w:rFonts w:hint="default" w:ascii="Times New Roman" w:hAnsi="Times New Roman" w:cs="Times New Roman"/>
          <w:color w:val="auto"/>
          <w:lang w:eastAsia="zh-CN"/>
        </w:rPr>
        <w:t>”</w:t>
      </w:r>
      <w:r>
        <w:rPr>
          <w:rFonts w:hint="default" w:ascii="Times New Roman" w:hAnsi="Times New Roman" w:cs="Times New Roman"/>
          <w:color w:val="auto"/>
        </w:rPr>
        <w:t>是指溶质和溶剂在结构上相似，</w:t>
      </w:r>
      <w:r>
        <w:rPr>
          <w:rFonts w:hint="default" w:ascii="Times New Roman" w:hAnsi="Times New Roman" w:cs="Times New Roman"/>
          <w:color w:val="auto"/>
          <w:lang w:eastAsia="zh-CN"/>
        </w:rPr>
        <w:t>“</w:t>
      </w:r>
      <w:r>
        <w:rPr>
          <w:rFonts w:hint="default" w:ascii="Times New Roman" w:hAnsi="Times New Roman" w:cs="Times New Roman"/>
          <w:color w:val="auto"/>
        </w:rPr>
        <w:t>相溶</w:t>
      </w:r>
      <w:r>
        <w:rPr>
          <w:rFonts w:hint="default" w:ascii="Times New Roman" w:hAnsi="Times New Roman" w:cs="Times New Roman"/>
          <w:color w:val="auto"/>
          <w:lang w:eastAsia="zh-CN"/>
        </w:rPr>
        <w:t>”</w:t>
      </w:r>
      <w:r>
        <w:rPr>
          <w:rFonts w:hint="default" w:ascii="Times New Roman" w:hAnsi="Times New Roman" w:cs="Times New Roman"/>
          <w:color w:val="auto"/>
        </w:rPr>
        <w:t>是指溶质与溶剂彼此互溶。是由于极性分子间的电性作用，使得极性分子组成的溶质易溶于极性分子组成的溶剂，非极性分子组成的溶质易溶于非极性分子组成的溶剂，难溶于极性分子组成的溶剂。利用易吸收油气的有机溶剂（汽油、柴油）与油气接触，将其中的油气溶解从而达到脱除的目的。另外，在低温下进行吸收，也使部分高沸点有机物直接冷深为</w:t>
      </w:r>
      <w:r>
        <w:rPr>
          <w:rFonts w:hint="default" w:ascii="Times New Roman" w:hAnsi="Times New Roman" w:cs="Times New Roman"/>
          <w:color w:val="auto"/>
          <w:lang w:val="en-US" w:eastAsia="zh-CN"/>
        </w:rPr>
        <w:t>液体</w:t>
      </w:r>
      <w:r>
        <w:rPr>
          <w:rFonts w:hint="default" w:ascii="Times New Roman" w:hAnsi="Times New Roman" w:cs="Times New Roman"/>
          <w:color w:val="auto"/>
        </w:rPr>
        <w:t>，大大增强吸收效</w:t>
      </w:r>
      <w:r>
        <w:rPr>
          <w:rFonts w:hint="default" w:ascii="Times New Roman" w:hAnsi="Times New Roman" w:cs="Times New Roman"/>
          <w:color w:val="auto"/>
          <w:lang w:val="en-US" w:eastAsia="zh-CN"/>
        </w:rPr>
        <w:t>果。</w:t>
      </w:r>
    </w:p>
    <w:p w14:paraId="0663ABD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（2）冷凝吸附技术：</w:t>
      </w:r>
    </w:p>
    <w:p w14:paraId="68B447B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冷凝+吸附”法油气回收工艺是依据油气组分的基本热力学性质参数，采用烃类物质在不同温度下的蒸汽压差异，利用制冷技术先将油气逐级从常温冷却到-25~-75度左右，使大部分油气液化回收，剩余极少量油气经过吸附罐通过特定吸附工艺进行吸附。整机系统通过以上过程不断循环，从而达到油气连续冷却分凝回收，同时确保挥发油气达标排放。</w:t>
      </w:r>
    </w:p>
    <w:p w14:paraId="766430F2">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吸附原理：吸附工艺是利用吸附剂对吸附质的选择性，即油气-空气混合气中各组分与吸附剂之间结合力强弱的差别，使难吸附的空气组分与易吸附的油气组分分离。同时利用吸附剂对吸附质的吸附容量随压力（或温度）变化而有差异的特性，脱附这些油气而使吸附剂获得再生，整个过程包括吸附和再生两个基本操作。</w:t>
      </w:r>
    </w:p>
    <w:p w14:paraId="4E90CDC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b/>
          <w:bCs/>
          <w:color w:val="auto"/>
          <w:kern w:val="0"/>
          <w:sz w:val="24"/>
          <w:szCs w:val="24"/>
          <w:lang w:val="en-US" w:eastAsia="zh-CN"/>
        </w:rPr>
      </w:pPr>
      <w:r>
        <w:rPr>
          <w:rFonts w:hint="default" w:ascii="Times New Roman" w:hAnsi="Times New Roman" w:cs="Times New Roman"/>
          <w:b/>
          <w:bCs/>
          <w:color w:val="auto"/>
          <w:kern w:val="0"/>
          <w:sz w:val="24"/>
          <w:szCs w:val="24"/>
          <w:lang w:val="zh-CN"/>
        </w:rPr>
        <w:t>表2.2-</w:t>
      </w:r>
      <w:r>
        <w:rPr>
          <w:rFonts w:hint="default" w:ascii="Times New Roman" w:hAnsi="Times New Roman" w:cs="Times New Roman"/>
          <w:b/>
          <w:bCs/>
          <w:color w:val="auto"/>
          <w:kern w:val="0"/>
          <w:sz w:val="24"/>
          <w:szCs w:val="24"/>
          <w:lang w:val="en-US" w:eastAsia="zh-CN"/>
        </w:rPr>
        <w:t>2</w:t>
      </w:r>
      <w:r>
        <w:rPr>
          <w:rFonts w:hint="default" w:ascii="Times New Roman" w:hAnsi="Times New Roman" w:cs="Times New Roman"/>
          <w:b/>
          <w:bCs/>
          <w:color w:val="auto"/>
          <w:kern w:val="0"/>
          <w:sz w:val="24"/>
          <w:szCs w:val="24"/>
          <w:lang w:val="zh-CN"/>
        </w:rPr>
        <w:t xml:space="preserve">  </w:t>
      </w:r>
      <w:r>
        <w:rPr>
          <w:rFonts w:hint="default" w:ascii="Times New Roman" w:hAnsi="Times New Roman" w:cs="Times New Roman"/>
          <w:b/>
          <w:bCs/>
          <w:color w:val="auto"/>
          <w:kern w:val="0"/>
          <w:sz w:val="24"/>
          <w:szCs w:val="24"/>
          <w:lang w:val="en-US" w:eastAsia="zh-CN"/>
        </w:rPr>
        <w:t>油气回收方法对比表</w:t>
      </w:r>
    </w:p>
    <w:tbl>
      <w:tblPr>
        <w:tblStyle w:val="20"/>
        <w:tblW w:w="4998" w:type="pct"/>
        <w:tblInd w:w="0" w:type="dxa"/>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Layout w:type="autofit"/>
        <w:tblCellMar>
          <w:top w:w="0" w:type="dxa"/>
          <w:left w:w="0" w:type="dxa"/>
          <w:bottom w:w="0" w:type="dxa"/>
          <w:right w:w="0" w:type="dxa"/>
        </w:tblCellMar>
      </w:tblPr>
      <w:tblGrid>
        <w:gridCol w:w="1447"/>
        <w:gridCol w:w="3807"/>
        <w:gridCol w:w="4143"/>
      </w:tblGrid>
      <w:tr w14:paraId="714F5568">
        <w:tblPrEx>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CellMar>
            <w:top w:w="0" w:type="dxa"/>
            <w:left w:w="0" w:type="dxa"/>
            <w:bottom w:w="0" w:type="dxa"/>
            <w:right w:w="0" w:type="dxa"/>
          </w:tblCellMar>
        </w:tblPrEx>
        <w:trPr>
          <w:trHeight w:val="363" w:hRule="atLeast"/>
        </w:trPr>
        <w:tc>
          <w:tcPr>
            <w:tcW w:w="770" w:type="pct"/>
            <w:tcBorders>
              <w:tl2br w:val="nil"/>
              <w:tr2bl w:val="nil"/>
            </w:tcBorders>
            <w:shd w:val="clear" w:color="auto" w:fill="auto"/>
            <w:tcMar>
              <w:top w:w="15" w:type="dxa"/>
              <w:left w:w="108" w:type="dxa"/>
              <w:bottom w:w="0" w:type="dxa"/>
              <w:right w:w="108" w:type="dxa"/>
            </w:tcMar>
            <w:vAlign w:val="center"/>
          </w:tcPr>
          <w:p w14:paraId="51CD82F4">
            <w:pPr>
              <w:pStyle w:val="31"/>
              <w:bidi w:val="0"/>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技术选型</w:t>
            </w:r>
          </w:p>
        </w:tc>
        <w:tc>
          <w:tcPr>
            <w:tcW w:w="2025" w:type="pct"/>
            <w:tcBorders>
              <w:tl2br w:val="nil"/>
              <w:tr2bl w:val="nil"/>
            </w:tcBorders>
            <w:shd w:val="clear" w:color="auto" w:fill="auto"/>
            <w:tcMar>
              <w:top w:w="15" w:type="dxa"/>
              <w:left w:w="108" w:type="dxa"/>
              <w:bottom w:w="0" w:type="dxa"/>
              <w:right w:w="108" w:type="dxa"/>
            </w:tcMar>
            <w:vAlign w:val="center"/>
          </w:tcPr>
          <w:p w14:paraId="235EB951">
            <w:pPr>
              <w:pStyle w:val="31"/>
              <w:bidi w:val="0"/>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低温柴油吸收</w:t>
            </w:r>
          </w:p>
        </w:tc>
        <w:tc>
          <w:tcPr>
            <w:tcW w:w="2204" w:type="pct"/>
            <w:tcBorders>
              <w:tl2br w:val="nil"/>
              <w:tr2bl w:val="nil"/>
            </w:tcBorders>
            <w:shd w:val="clear" w:color="auto" w:fill="auto"/>
            <w:tcMar>
              <w:top w:w="15" w:type="dxa"/>
              <w:left w:w="108" w:type="dxa"/>
              <w:bottom w:w="0" w:type="dxa"/>
              <w:right w:w="108" w:type="dxa"/>
            </w:tcMar>
            <w:vAlign w:val="center"/>
          </w:tcPr>
          <w:p w14:paraId="4ADE7364">
            <w:pPr>
              <w:pStyle w:val="31"/>
              <w:bidi w:val="0"/>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冷凝-吸附</w:t>
            </w:r>
          </w:p>
        </w:tc>
      </w:tr>
      <w:tr w14:paraId="7C0C02F1">
        <w:tblPrEx>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CellMar>
            <w:top w:w="0" w:type="dxa"/>
            <w:left w:w="0" w:type="dxa"/>
            <w:bottom w:w="0" w:type="dxa"/>
            <w:right w:w="0" w:type="dxa"/>
          </w:tblCellMar>
        </w:tblPrEx>
        <w:trPr>
          <w:trHeight w:val="363" w:hRule="atLeast"/>
        </w:trPr>
        <w:tc>
          <w:tcPr>
            <w:tcW w:w="770" w:type="pct"/>
            <w:tcBorders>
              <w:tl2br w:val="nil"/>
              <w:tr2bl w:val="nil"/>
            </w:tcBorders>
            <w:shd w:val="clear" w:color="auto" w:fill="auto"/>
            <w:tcMar>
              <w:top w:w="15" w:type="dxa"/>
              <w:left w:w="108" w:type="dxa"/>
              <w:bottom w:w="0" w:type="dxa"/>
              <w:right w:w="108" w:type="dxa"/>
            </w:tcMar>
            <w:vAlign w:val="center"/>
          </w:tcPr>
          <w:p w14:paraId="2BD064E5">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主要设备</w:t>
            </w:r>
          </w:p>
        </w:tc>
        <w:tc>
          <w:tcPr>
            <w:tcW w:w="2025" w:type="pct"/>
            <w:tcBorders>
              <w:tl2br w:val="nil"/>
              <w:tr2bl w:val="nil"/>
            </w:tcBorders>
            <w:shd w:val="clear" w:color="auto" w:fill="auto"/>
            <w:tcMar>
              <w:top w:w="15" w:type="dxa"/>
              <w:left w:w="108" w:type="dxa"/>
              <w:bottom w:w="0" w:type="dxa"/>
              <w:right w:w="108" w:type="dxa"/>
            </w:tcMar>
            <w:vAlign w:val="center"/>
          </w:tcPr>
          <w:p w14:paraId="132ECC95">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制冷机组、液环压缩机、柴油循环泵、吸收塔等设备</w:t>
            </w:r>
          </w:p>
        </w:tc>
        <w:tc>
          <w:tcPr>
            <w:tcW w:w="2204" w:type="pct"/>
            <w:tcBorders>
              <w:tl2br w:val="nil"/>
              <w:tr2bl w:val="nil"/>
            </w:tcBorders>
            <w:shd w:val="clear" w:color="auto" w:fill="auto"/>
            <w:tcMar>
              <w:top w:w="15" w:type="dxa"/>
              <w:left w:w="108" w:type="dxa"/>
              <w:bottom w:w="0" w:type="dxa"/>
              <w:right w:w="108" w:type="dxa"/>
            </w:tcMar>
            <w:vAlign w:val="center"/>
          </w:tcPr>
          <w:p w14:paraId="143366F3">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三级冷凝制冷机组（-70℃）、引风机、活性炭再生真空泵等设备</w:t>
            </w:r>
          </w:p>
        </w:tc>
      </w:tr>
      <w:tr w14:paraId="27016970">
        <w:tblPrEx>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CellMar>
            <w:top w:w="0" w:type="dxa"/>
            <w:left w:w="0" w:type="dxa"/>
            <w:bottom w:w="0" w:type="dxa"/>
            <w:right w:w="0" w:type="dxa"/>
          </w:tblCellMar>
        </w:tblPrEx>
        <w:trPr>
          <w:trHeight w:val="363" w:hRule="atLeast"/>
        </w:trPr>
        <w:tc>
          <w:tcPr>
            <w:tcW w:w="770" w:type="pct"/>
            <w:tcBorders>
              <w:tl2br w:val="nil"/>
              <w:tr2bl w:val="nil"/>
            </w:tcBorders>
            <w:shd w:val="clear" w:color="auto" w:fill="auto"/>
            <w:tcMar>
              <w:top w:w="15" w:type="dxa"/>
              <w:left w:w="108" w:type="dxa"/>
              <w:bottom w:w="0" w:type="dxa"/>
              <w:right w:w="108" w:type="dxa"/>
            </w:tcMar>
            <w:vAlign w:val="center"/>
          </w:tcPr>
          <w:p w14:paraId="1FCF40A1">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运行费用</w:t>
            </w:r>
          </w:p>
        </w:tc>
        <w:tc>
          <w:tcPr>
            <w:tcW w:w="2025" w:type="pct"/>
            <w:tcBorders>
              <w:tl2br w:val="nil"/>
              <w:tr2bl w:val="nil"/>
            </w:tcBorders>
            <w:shd w:val="clear" w:color="auto" w:fill="auto"/>
            <w:tcMar>
              <w:top w:w="15" w:type="dxa"/>
              <w:left w:w="108" w:type="dxa"/>
              <w:bottom w:w="0" w:type="dxa"/>
              <w:right w:w="108" w:type="dxa"/>
            </w:tcMar>
            <w:vAlign w:val="center"/>
          </w:tcPr>
          <w:p w14:paraId="6A1400F2">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柴油馏分循环，吸收油气后进加氢装置回收处理，平均电耗约300kW</w:t>
            </w:r>
            <w:r>
              <w:rPr>
                <w:rFonts w:hint="eastAsia" w:cs="Times New Roman"/>
                <w:color w:val="auto"/>
                <w:lang w:val="en-US" w:eastAsia="zh-CN"/>
              </w:rPr>
              <w:t>（</w:t>
            </w:r>
            <w:r>
              <w:rPr>
                <w:rFonts w:hint="eastAsia" w:ascii="Times New Roman" w:hAnsi="Times New Roman" w:cs="Times New Roman"/>
                <w:color w:val="auto"/>
                <w:lang w:val="en-US" w:eastAsia="zh-CN"/>
              </w:rPr>
              <w:t>4000h，电费0.6元</w:t>
            </w:r>
            <w:r>
              <w:rPr>
                <w:rFonts w:hint="eastAsia" w:cs="Times New Roman"/>
                <w:color w:val="auto"/>
                <w:lang w:val="en-US" w:eastAsia="zh-CN"/>
              </w:rPr>
              <w:t>）</w:t>
            </w:r>
            <w:r>
              <w:rPr>
                <w:rFonts w:hint="eastAsia" w:ascii="Times New Roman" w:hAnsi="Times New Roman" w:cs="Times New Roman"/>
                <w:color w:val="auto"/>
                <w:lang w:val="en-US" w:eastAsia="zh-CN"/>
              </w:rPr>
              <w:t>，约72万元/年</w:t>
            </w:r>
          </w:p>
        </w:tc>
        <w:tc>
          <w:tcPr>
            <w:tcW w:w="2204" w:type="pct"/>
            <w:tcBorders>
              <w:tl2br w:val="nil"/>
              <w:tr2bl w:val="nil"/>
            </w:tcBorders>
            <w:shd w:val="clear" w:color="auto" w:fill="auto"/>
            <w:tcMar>
              <w:top w:w="15" w:type="dxa"/>
              <w:left w:w="108" w:type="dxa"/>
              <w:bottom w:w="0" w:type="dxa"/>
              <w:right w:w="108" w:type="dxa"/>
            </w:tcMar>
            <w:vAlign w:val="center"/>
          </w:tcPr>
          <w:p w14:paraId="5A688D2D">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平均电耗约230kW，合约55万元/年。吸附剂活性炭一次性装填约60m</w:t>
            </w:r>
            <w:r>
              <w:rPr>
                <w:rFonts w:hint="eastAsia" w:ascii="Times New Roman" w:hAnsi="Times New Roman" w:cs="Times New Roman"/>
                <w:color w:val="auto"/>
                <w:vertAlign w:val="superscript"/>
                <w:lang w:val="en-US" w:eastAsia="zh-CN"/>
              </w:rPr>
              <w:t>3</w:t>
            </w:r>
            <w:r>
              <w:rPr>
                <w:rFonts w:hint="eastAsia" w:ascii="Times New Roman" w:hAnsi="Times New Roman" w:cs="Times New Roman"/>
                <w:color w:val="auto"/>
                <w:lang w:val="en-US" w:eastAsia="zh-CN"/>
              </w:rPr>
              <w:t>，2年更换一次，换剂费用约45万元/年。合计100万元/年</w:t>
            </w:r>
          </w:p>
        </w:tc>
      </w:tr>
      <w:tr w14:paraId="1227B720">
        <w:tblPrEx>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CellMar>
            <w:top w:w="0" w:type="dxa"/>
            <w:left w:w="0" w:type="dxa"/>
            <w:bottom w:w="0" w:type="dxa"/>
            <w:right w:w="0" w:type="dxa"/>
          </w:tblCellMar>
        </w:tblPrEx>
        <w:trPr>
          <w:trHeight w:val="363" w:hRule="atLeast"/>
        </w:trPr>
        <w:tc>
          <w:tcPr>
            <w:tcW w:w="770" w:type="pct"/>
            <w:tcBorders>
              <w:tl2br w:val="nil"/>
              <w:tr2bl w:val="nil"/>
            </w:tcBorders>
            <w:shd w:val="clear" w:color="auto" w:fill="auto"/>
            <w:tcMar>
              <w:top w:w="15" w:type="dxa"/>
              <w:left w:w="108" w:type="dxa"/>
              <w:bottom w:w="0" w:type="dxa"/>
              <w:right w:w="108" w:type="dxa"/>
            </w:tcMar>
            <w:vAlign w:val="center"/>
          </w:tcPr>
          <w:p w14:paraId="34DB217E">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适应性</w:t>
            </w:r>
          </w:p>
        </w:tc>
        <w:tc>
          <w:tcPr>
            <w:tcW w:w="2025" w:type="pct"/>
            <w:tcBorders>
              <w:tl2br w:val="nil"/>
              <w:tr2bl w:val="nil"/>
            </w:tcBorders>
            <w:shd w:val="clear" w:color="auto" w:fill="auto"/>
            <w:tcMar>
              <w:top w:w="15" w:type="dxa"/>
              <w:left w:w="108" w:type="dxa"/>
              <w:bottom w:w="0" w:type="dxa"/>
              <w:right w:w="108" w:type="dxa"/>
            </w:tcMar>
            <w:vAlign w:val="center"/>
          </w:tcPr>
          <w:p w14:paraId="3D9C20A3">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广适性，各种储罐、装载高浓度油气；可同时处理有机硫化物</w:t>
            </w:r>
          </w:p>
        </w:tc>
        <w:tc>
          <w:tcPr>
            <w:tcW w:w="2204" w:type="pct"/>
            <w:tcBorders>
              <w:tl2br w:val="nil"/>
              <w:tr2bl w:val="nil"/>
            </w:tcBorders>
            <w:shd w:val="clear" w:color="auto" w:fill="auto"/>
            <w:tcMar>
              <w:top w:w="15" w:type="dxa"/>
              <w:left w:w="108" w:type="dxa"/>
              <w:bottom w:w="0" w:type="dxa"/>
              <w:right w:w="108" w:type="dxa"/>
            </w:tcMar>
            <w:vAlign w:val="center"/>
          </w:tcPr>
          <w:p w14:paraId="41D828F9">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适合汽油等轻质洁净油品回收处理，含水VOCs不适用</w:t>
            </w:r>
          </w:p>
        </w:tc>
      </w:tr>
      <w:tr w14:paraId="358DCD2E">
        <w:tblPrEx>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CellMar>
            <w:top w:w="0" w:type="dxa"/>
            <w:left w:w="0" w:type="dxa"/>
            <w:bottom w:w="0" w:type="dxa"/>
            <w:right w:w="0" w:type="dxa"/>
          </w:tblCellMar>
        </w:tblPrEx>
        <w:trPr>
          <w:trHeight w:val="363" w:hRule="atLeast"/>
        </w:trPr>
        <w:tc>
          <w:tcPr>
            <w:tcW w:w="770" w:type="pct"/>
            <w:tcBorders>
              <w:tl2br w:val="nil"/>
              <w:tr2bl w:val="nil"/>
            </w:tcBorders>
            <w:shd w:val="clear" w:color="auto" w:fill="auto"/>
            <w:tcMar>
              <w:top w:w="15" w:type="dxa"/>
              <w:left w:w="108" w:type="dxa"/>
              <w:bottom w:w="0" w:type="dxa"/>
              <w:right w:w="108" w:type="dxa"/>
            </w:tcMar>
            <w:vAlign w:val="center"/>
          </w:tcPr>
          <w:p w14:paraId="04E48E2E">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运行稳定性</w:t>
            </w:r>
          </w:p>
        </w:tc>
        <w:tc>
          <w:tcPr>
            <w:tcW w:w="2025" w:type="pct"/>
            <w:tcBorders>
              <w:tl2br w:val="nil"/>
              <w:tr2bl w:val="nil"/>
            </w:tcBorders>
            <w:shd w:val="clear" w:color="auto" w:fill="auto"/>
            <w:tcMar>
              <w:top w:w="15" w:type="dxa"/>
              <w:left w:w="108" w:type="dxa"/>
              <w:bottom w:w="0" w:type="dxa"/>
              <w:right w:w="108" w:type="dxa"/>
            </w:tcMar>
            <w:vAlign w:val="center"/>
          </w:tcPr>
          <w:p w14:paraId="61D7F5F8">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柴油厂内供应，运行稳定</w:t>
            </w:r>
          </w:p>
        </w:tc>
        <w:tc>
          <w:tcPr>
            <w:tcW w:w="2204" w:type="pct"/>
            <w:tcBorders>
              <w:tl2br w:val="nil"/>
              <w:tr2bl w:val="nil"/>
            </w:tcBorders>
            <w:shd w:val="clear" w:color="auto" w:fill="auto"/>
            <w:tcMar>
              <w:top w:w="15" w:type="dxa"/>
              <w:left w:w="108" w:type="dxa"/>
              <w:bottom w:w="0" w:type="dxa"/>
              <w:right w:w="108" w:type="dxa"/>
            </w:tcMar>
            <w:vAlign w:val="center"/>
          </w:tcPr>
          <w:p w14:paraId="67CD794B">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三级冷凝制冷机组，油气带水易结冰，故障率较高</w:t>
            </w:r>
          </w:p>
        </w:tc>
      </w:tr>
      <w:tr w14:paraId="00C1BAB1">
        <w:tblPrEx>
          <w:tblBorders>
            <w:top w:val="single" w:color="080000" w:sz="12" w:space="0"/>
            <w:left w:val="single" w:color="080000" w:sz="12" w:space="0"/>
            <w:bottom w:val="single" w:color="080000" w:sz="12" w:space="0"/>
            <w:right w:val="single" w:color="080000" w:sz="12" w:space="0"/>
            <w:insideH w:val="single" w:color="080000" w:sz="4" w:space="0"/>
            <w:insideV w:val="single" w:color="080000" w:sz="4" w:space="0"/>
          </w:tblBorders>
          <w:tblCellMar>
            <w:top w:w="0" w:type="dxa"/>
            <w:left w:w="0" w:type="dxa"/>
            <w:bottom w:w="0" w:type="dxa"/>
            <w:right w:w="0" w:type="dxa"/>
          </w:tblCellMar>
        </w:tblPrEx>
        <w:trPr>
          <w:trHeight w:val="363" w:hRule="atLeast"/>
        </w:trPr>
        <w:tc>
          <w:tcPr>
            <w:tcW w:w="770" w:type="pct"/>
            <w:tcBorders>
              <w:tl2br w:val="nil"/>
              <w:tr2bl w:val="nil"/>
            </w:tcBorders>
            <w:shd w:val="clear" w:color="auto" w:fill="auto"/>
            <w:tcMar>
              <w:top w:w="15" w:type="dxa"/>
              <w:left w:w="108" w:type="dxa"/>
              <w:bottom w:w="0" w:type="dxa"/>
              <w:right w:w="108" w:type="dxa"/>
            </w:tcMar>
            <w:vAlign w:val="center"/>
          </w:tcPr>
          <w:p w14:paraId="15542256">
            <w:pPr>
              <w:pStyle w:val="31"/>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投资，万元</w:t>
            </w:r>
          </w:p>
        </w:tc>
        <w:tc>
          <w:tcPr>
            <w:tcW w:w="2025" w:type="pct"/>
            <w:tcBorders>
              <w:tl2br w:val="nil"/>
              <w:tr2bl w:val="nil"/>
            </w:tcBorders>
            <w:shd w:val="clear" w:color="auto" w:fill="auto"/>
            <w:tcMar>
              <w:top w:w="15" w:type="dxa"/>
              <w:left w:w="108" w:type="dxa"/>
              <w:bottom w:w="0" w:type="dxa"/>
              <w:right w:w="108" w:type="dxa"/>
            </w:tcMar>
            <w:vAlign w:val="center"/>
          </w:tcPr>
          <w:p w14:paraId="330ACDF6">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1200万元/1500m</w:t>
            </w:r>
            <w:r>
              <w:rPr>
                <w:rFonts w:hint="eastAsia" w:ascii="Times New Roman" w:hAnsi="Times New Roman" w:cs="Times New Roman"/>
                <w:color w:val="auto"/>
                <w:vertAlign w:val="superscript"/>
                <w:lang w:val="en-US" w:eastAsia="zh-CN"/>
              </w:rPr>
              <w:t>3</w:t>
            </w:r>
          </w:p>
        </w:tc>
        <w:tc>
          <w:tcPr>
            <w:tcW w:w="2204" w:type="pct"/>
            <w:tcBorders>
              <w:tl2br w:val="nil"/>
              <w:tr2bl w:val="nil"/>
            </w:tcBorders>
            <w:shd w:val="clear" w:color="auto" w:fill="auto"/>
            <w:tcMar>
              <w:top w:w="15" w:type="dxa"/>
              <w:left w:w="108" w:type="dxa"/>
              <w:bottom w:w="0" w:type="dxa"/>
              <w:right w:w="108" w:type="dxa"/>
            </w:tcMar>
            <w:vAlign w:val="center"/>
          </w:tcPr>
          <w:p w14:paraId="71CCFCD1">
            <w:pPr>
              <w:pStyle w:val="31"/>
              <w:bidi w:val="0"/>
              <w:jc w:val="lef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500m</w:t>
            </w:r>
            <w:r>
              <w:rPr>
                <w:rFonts w:hint="eastAsia" w:ascii="Times New Roman" w:hAnsi="Times New Roman" w:cs="Times New Roman"/>
                <w:color w:val="auto"/>
                <w:vertAlign w:val="superscript"/>
                <w:lang w:val="en-US" w:eastAsia="zh-CN"/>
              </w:rPr>
              <w:t>3</w:t>
            </w:r>
            <w:r>
              <w:rPr>
                <w:rFonts w:hint="eastAsia" w:ascii="Times New Roman" w:hAnsi="Times New Roman" w:cs="Times New Roman"/>
                <w:color w:val="auto"/>
                <w:lang w:val="en-US" w:eastAsia="zh-CN"/>
              </w:rPr>
              <w:t>单套300万元，3套约900-1000万元</w:t>
            </w:r>
          </w:p>
        </w:tc>
      </w:tr>
    </w:tbl>
    <w:p w14:paraId="025C024A">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低温柴油吸收工艺稳定成熟，排气口浓度稳定，且不需要增加二次投资。适合多类型、浓度不同的废气治理。综合考虑</w:t>
      </w:r>
      <w:r>
        <w:rPr>
          <w:rFonts w:hint="eastAsia" w:cs="Times New Roman"/>
          <w:color w:val="auto"/>
          <w:lang w:val="en-US" w:eastAsia="zh-CN"/>
        </w:rPr>
        <w:t>拟</w:t>
      </w:r>
      <w:r>
        <w:rPr>
          <w:rFonts w:hint="default" w:ascii="Times New Roman" w:hAnsi="Times New Roman" w:cs="Times New Roman"/>
          <w:color w:val="auto"/>
        </w:rPr>
        <w:t>采用低温柴油吸收代替原有冷凝吸附工艺。</w:t>
      </w:r>
    </w:p>
    <w:p w14:paraId="5EC6DD48">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eastAsia" w:cs="Times New Roman"/>
          <w:color w:val="auto"/>
          <w:lang w:val="en-US" w:eastAsia="zh-CN"/>
        </w:rPr>
        <w:t>3</w:t>
      </w:r>
      <w:r>
        <w:rPr>
          <w:rFonts w:hint="default" w:ascii="Times New Roman" w:hAnsi="Times New Roman" w:cs="Times New Roman"/>
          <w:color w:val="auto"/>
          <w:lang w:eastAsia="zh-CN"/>
        </w:rPr>
        <w:t>）催化氧化法</w:t>
      </w:r>
    </w:p>
    <w:p w14:paraId="16419F5E">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催化氧化是在催化剂存在下，在240~350℃反应器入口温度条件下，用空气中的氧将VOCs氧化为二氧化碳和水。其VOCs去除率高，能耗低，安全可靠，无二次污染，是一种先进的VOCs油气处理技术。回收率≥98%，需要依赖于催化剂性能。</w:t>
      </w:r>
    </w:p>
    <w:p w14:paraId="0C0521B8">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w:t>
      </w:r>
      <w:r>
        <w:rPr>
          <w:rFonts w:hint="eastAsia" w:cs="Times New Roman"/>
          <w:color w:val="auto"/>
          <w:lang w:val="en-US" w:eastAsia="zh-CN"/>
        </w:rPr>
        <w:t>4</w:t>
      </w:r>
      <w:r>
        <w:rPr>
          <w:rFonts w:hint="default" w:ascii="Times New Roman" w:hAnsi="Times New Roman" w:cs="Times New Roman"/>
          <w:color w:val="auto"/>
          <w:lang w:eastAsia="zh-CN"/>
        </w:rPr>
        <w:t>）蓄热氧化（RTO）法</w:t>
      </w:r>
    </w:p>
    <w:p w14:paraId="322E6289">
      <w:pPr>
        <w:pStyle w:val="6"/>
        <w:bidi w:val="0"/>
        <w:rPr>
          <w:rFonts w:hint="default" w:ascii="Times New Roman" w:hAnsi="Times New Roman" w:cs="Times New Roman"/>
          <w:color w:val="auto"/>
        </w:rPr>
      </w:pPr>
      <w:r>
        <w:rPr>
          <w:rFonts w:hint="default" w:ascii="Times New Roman" w:hAnsi="Times New Roman" w:cs="Times New Roman"/>
          <w:color w:val="auto"/>
        </w:rPr>
        <w:t>RTO的原理是在高温下（760℃）将油气中的有机物（VOCs）氧化成二氧化碳和水，从而净化油气，并回收油气分解时所释放出来的热量。氧化产生的高温气体流经特制的陶瓷蓄热体，使陶瓷体升温而</w:t>
      </w:r>
      <w:r>
        <w:rPr>
          <w:rFonts w:hint="default" w:ascii="Times New Roman" w:hAnsi="Times New Roman" w:cs="Times New Roman"/>
          <w:color w:val="auto"/>
          <w:lang w:eastAsia="zh-CN"/>
        </w:rPr>
        <w:t>“</w:t>
      </w:r>
      <w:r>
        <w:rPr>
          <w:rFonts w:hint="default" w:ascii="Times New Roman" w:hAnsi="Times New Roman" w:cs="Times New Roman"/>
          <w:color w:val="auto"/>
        </w:rPr>
        <w:t>蓄热</w:t>
      </w:r>
      <w:r>
        <w:rPr>
          <w:rFonts w:hint="default" w:ascii="Times New Roman" w:hAnsi="Times New Roman" w:cs="Times New Roman"/>
          <w:color w:val="auto"/>
          <w:lang w:eastAsia="zh-CN"/>
        </w:rPr>
        <w:t>”</w:t>
      </w:r>
      <w:r>
        <w:rPr>
          <w:rFonts w:hint="default" w:ascii="Times New Roman" w:hAnsi="Times New Roman" w:cs="Times New Roman"/>
          <w:color w:val="auto"/>
        </w:rPr>
        <w:t>，此</w:t>
      </w:r>
      <w:r>
        <w:rPr>
          <w:rFonts w:hint="default" w:ascii="Times New Roman" w:hAnsi="Times New Roman" w:cs="Times New Roman"/>
          <w:color w:val="auto"/>
          <w:lang w:eastAsia="zh-CN"/>
        </w:rPr>
        <w:t>“</w:t>
      </w:r>
      <w:r>
        <w:rPr>
          <w:rFonts w:hint="default" w:ascii="Times New Roman" w:hAnsi="Times New Roman" w:cs="Times New Roman"/>
          <w:color w:val="auto"/>
        </w:rPr>
        <w:t>蓄热</w:t>
      </w:r>
      <w:r>
        <w:rPr>
          <w:rFonts w:hint="default" w:ascii="Times New Roman" w:hAnsi="Times New Roman" w:cs="Times New Roman"/>
          <w:color w:val="auto"/>
          <w:lang w:eastAsia="zh-CN"/>
        </w:rPr>
        <w:t>”</w:t>
      </w:r>
      <w:r>
        <w:rPr>
          <w:rFonts w:hint="default" w:ascii="Times New Roman" w:hAnsi="Times New Roman" w:cs="Times New Roman"/>
          <w:color w:val="auto"/>
        </w:rPr>
        <w:t>用于预热后续进入的有机油气，从而节省油气升温的燃料消耗。陶瓷蓄热室应分成两个（含两个）以上，每个蓄热室依次经历蓄热-放热-清扫等程序，周而复始，连续工作。三室RTO油气分解效率达到99%以上，热回收效率达到95%以上。RTO主体结构由燃烧室、蓄热室和切换阀等组成。可根据实际需求，选择不同的热能回收方式和切换阀方式。来自油气均化单元的油气，送至RTO装置的入口，混合油气经气液分离装置、气体静态混合器后进入燃烧室，有机物氧化分解成二氧化碳和水。</w:t>
      </w:r>
    </w:p>
    <w:p w14:paraId="7C01B268">
      <w:pPr>
        <w:pStyle w:val="6"/>
        <w:bidi w:val="0"/>
        <w:rPr>
          <w:rFonts w:hint="default" w:ascii="Times New Roman" w:hAnsi="Times New Roman" w:cs="Times New Roman"/>
          <w:color w:val="auto"/>
        </w:rPr>
      </w:pPr>
      <w:r>
        <w:rPr>
          <w:rFonts w:hint="default" w:ascii="Times New Roman" w:hAnsi="Times New Roman" w:cs="Times New Roman"/>
          <w:color w:val="auto"/>
        </w:rPr>
        <w:t>主要技术指标：</w:t>
      </w:r>
    </w:p>
    <w:p w14:paraId="50352FA3">
      <w:pPr>
        <w:pStyle w:val="6"/>
        <w:bidi w:val="0"/>
        <w:rPr>
          <w:rFonts w:hint="default" w:ascii="Times New Roman" w:hAnsi="Times New Roman" w:cs="Times New Roman"/>
          <w:color w:val="auto"/>
        </w:rPr>
      </w:pPr>
      <w:r>
        <w:rPr>
          <w:rFonts w:hint="default" w:ascii="Times New Roman" w:hAnsi="Times New Roman" w:cs="Times New Roman"/>
          <w:color w:val="auto"/>
        </w:rPr>
        <w:t>热氧化室温度：≥800℃</w:t>
      </w:r>
    </w:p>
    <w:p w14:paraId="7A5EAE13">
      <w:pPr>
        <w:pStyle w:val="6"/>
        <w:bidi w:val="0"/>
        <w:rPr>
          <w:rFonts w:hint="default" w:ascii="Times New Roman" w:hAnsi="Times New Roman" w:cs="Times New Roman"/>
          <w:color w:val="auto"/>
        </w:rPr>
      </w:pPr>
      <w:r>
        <w:rPr>
          <w:rFonts w:hint="default" w:ascii="Times New Roman" w:hAnsi="Times New Roman" w:cs="Times New Roman"/>
          <w:color w:val="auto"/>
        </w:rPr>
        <w:t>氧化分解效率：≥95%</w:t>
      </w:r>
    </w:p>
    <w:p w14:paraId="4EF14625">
      <w:pPr>
        <w:pStyle w:val="6"/>
        <w:bidi w:val="0"/>
        <w:rPr>
          <w:rFonts w:hint="default" w:ascii="Times New Roman" w:hAnsi="Times New Roman" w:cs="Times New Roman"/>
          <w:color w:val="auto"/>
        </w:rPr>
      </w:pPr>
      <w:r>
        <w:rPr>
          <w:rFonts w:hint="default" w:ascii="Times New Roman" w:hAnsi="Times New Roman" w:cs="Times New Roman"/>
          <w:color w:val="auto"/>
        </w:rPr>
        <w:t>焚毁去除率：≥99%</w:t>
      </w:r>
    </w:p>
    <w:p w14:paraId="6C9EBD94">
      <w:pPr>
        <w:pStyle w:val="6"/>
        <w:bidi w:val="0"/>
        <w:rPr>
          <w:rFonts w:hint="default" w:ascii="Times New Roman" w:hAnsi="Times New Roman" w:cs="Times New Roman"/>
          <w:color w:val="auto"/>
          <w:vertAlign w:val="superscript"/>
        </w:rPr>
      </w:pPr>
      <w:r>
        <w:rPr>
          <w:rFonts w:hint="default" w:ascii="Times New Roman" w:hAnsi="Times New Roman" w:cs="Times New Roman"/>
          <w:color w:val="auto"/>
        </w:rPr>
        <w:t>排放气VOC浓度：≤15mg/m</w:t>
      </w:r>
      <w:r>
        <w:rPr>
          <w:rFonts w:hint="default" w:ascii="Times New Roman" w:hAnsi="Times New Roman" w:cs="Times New Roman"/>
          <w:color w:val="auto"/>
          <w:vertAlign w:val="superscript"/>
        </w:rPr>
        <w:t>3</w:t>
      </w:r>
    </w:p>
    <w:p w14:paraId="7C2F519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技术路线的选择：</w:t>
      </w:r>
    </w:p>
    <w:p w14:paraId="47D4CF07">
      <w:pPr>
        <w:rPr>
          <w:rFonts w:hint="default" w:ascii="Times New Roman" w:hAnsi="Times New Roman" w:cs="Times New Roman"/>
          <w:b/>
          <w:bCs/>
          <w:color w:val="auto"/>
          <w:kern w:val="0"/>
          <w:sz w:val="24"/>
          <w:szCs w:val="24"/>
          <w:lang w:val="zh-CN"/>
        </w:rPr>
      </w:pPr>
      <w:r>
        <w:rPr>
          <w:rFonts w:hint="default" w:ascii="Times New Roman" w:hAnsi="Times New Roman" w:cs="Times New Roman"/>
          <w:b/>
          <w:bCs/>
          <w:color w:val="auto"/>
          <w:kern w:val="0"/>
          <w:sz w:val="24"/>
          <w:szCs w:val="24"/>
          <w:lang w:val="zh-CN"/>
        </w:rPr>
        <w:br w:type="page"/>
      </w:r>
    </w:p>
    <w:p w14:paraId="75EFF1F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b/>
          <w:bCs/>
          <w:color w:val="auto"/>
          <w:kern w:val="0"/>
          <w:sz w:val="24"/>
          <w:szCs w:val="24"/>
          <w:lang w:val="en-US" w:eastAsia="zh-CN"/>
        </w:rPr>
      </w:pPr>
      <w:r>
        <w:rPr>
          <w:rFonts w:hint="default" w:ascii="Times New Roman" w:hAnsi="Times New Roman" w:cs="Times New Roman"/>
          <w:b/>
          <w:bCs/>
          <w:color w:val="auto"/>
          <w:kern w:val="0"/>
          <w:sz w:val="24"/>
          <w:szCs w:val="24"/>
          <w:lang w:val="zh-CN"/>
        </w:rPr>
        <w:t>表2.2-</w:t>
      </w:r>
      <w:r>
        <w:rPr>
          <w:rFonts w:hint="eastAsia" w:cs="Times New Roman"/>
          <w:b/>
          <w:bCs/>
          <w:color w:val="auto"/>
          <w:kern w:val="0"/>
          <w:sz w:val="24"/>
          <w:szCs w:val="24"/>
          <w:lang w:val="en-US" w:eastAsia="zh-CN"/>
        </w:rPr>
        <w:t>3</w:t>
      </w:r>
      <w:r>
        <w:rPr>
          <w:rFonts w:hint="default" w:ascii="Times New Roman" w:hAnsi="Times New Roman" w:cs="Times New Roman"/>
          <w:b/>
          <w:bCs/>
          <w:color w:val="auto"/>
          <w:kern w:val="0"/>
          <w:sz w:val="24"/>
          <w:szCs w:val="24"/>
          <w:lang w:val="zh-CN"/>
        </w:rPr>
        <w:t xml:space="preserve">  </w:t>
      </w:r>
      <w:r>
        <w:rPr>
          <w:rFonts w:hint="default" w:ascii="Times New Roman" w:hAnsi="Times New Roman" w:cs="Times New Roman"/>
          <w:b/>
          <w:bCs/>
          <w:color w:val="auto"/>
          <w:kern w:val="0"/>
          <w:sz w:val="24"/>
          <w:szCs w:val="24"/>
          <w:lang w:val="en-US" w:eastAsia="zh-CN"/>
        </w:rPr>
        <w:t>催化氧化（CO）、蓄热燃烧（RTO）工艺对比</w:t>
      </w:r>
    </w:p>
    <w:tbl>
      <w:tblPr>
        <w:tblStyle w:val="20"/>
        <w:tblW w:w="9216"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278"/>
        <w:gridCol w:w="4111"/>
        <w:gridCol w:w="3827"/>
      </w:tblGrid>
      <w:tr w14:paraId="0202DAF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blHeader/>
        </w:trPr>
        <w:tc>
          <w:tcPr>
            <w:tcW w:w="1278" w:type="dxa"/>
            <w:tcBorders>
              <w:tl2br w:val="nil"/>
              <w:tr2bl w:val="nil"/>
            </w:tcBorders>
            <w:shd w:val="clear" w:color="auto" w:fill="auto"/>
            <w:tcMar>
              <w:top w:w="72" w:type="dxa"/>
              <w:left w:w="144" w:type="dxa"/>
              <w:bottom w:w="72" w:type="dxa"/>
              <w:right w:w="144" w:type="dxa"/>
            </w:tcMar>
            <w:vAlign w:val="center"/>
          </w:tcPr>
          <w:p w14:paraId="52F5859F">
            <w:pPr>
              <w:pStyle w:val="31"/>
              <w:bidi w:val="0"/>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技术选型</w:t>
            </w:r>
          </w:p>
        </w:tc>
        <w:tc>
          <w:tcPr>
            <w:tcW w:w="4111" w:type="dxa"/>
            <w:tcBorders>
              <w:tl2br w:val="nil"/>
              <w:tr2bl w:val="nil"/>
            </w:tcBorders>
            <w:shd w:val="clear" w:color="auto" w:fill="auto"/>
            <w:tcMar>
              <w:top w:w="72" w:type="dxa"/>
              <w:left w:w="144" w:type="dxa"/>
              <w:bottom w:w="72" w:type="dxa"/>
              <w:right w:w="144" w:type="dxa"/>
            </w:tcMar>
            <w:vAlign w:val="center"/>
          </w:tcPr>
          <w:p w14:paraId="2CF3854A">
            <w:pPr>
              <w:pStyle w:val="31"/>
              <w:bidi w:val="0"/>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蓄热氧化(RTO)</w:t>
            </w:r>
          </w:p>
        </w:tc>
        <w:tc>
          <w:tcPr>
            <w:tcW w:w="3827" w:type="dxa"/>
            <w:tcBorders>
              <w:tl2br w:val="nil"/>
              <w:tr2bl w:val="nil"/>
            </w:tcBorders>
            <w:shd w:val="clear" w:color="auto" w:fill="auto"/>
            <w:tcMar>
              <w:top w:w="72" w:type="dxa"/>
              <w:left w:w="144" w:type="dxa"/>
              <w:bottom w:w="72" w:type="dxa"/>
              <w:right w:w="144" w:type="dxa"/>
            </w:tcMar>
            <w:vAlign w:val="center"/>
          </w:tcPr>
          <w:p w14:paraId="5CC44E67">
            <w:pPr>
              <w:pStyle w:val="31"/>
              <w:bidi w:val="0"/>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催化氧化（CO）</w:t>
            </w:r>
          </w:p>
        </w:tc>
      </w:tr>
      <w:tr w14:paraId="005F9E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78" w:type="dxa"/>
            <w:tcBorders>
              <w:tl2br w:val="nil"/>
              <w:tr2bl w:val="nil"/>
            </w:tcBorders>
            <w:shd w:val="clear" w:color="auto" w:fill="auto"/>
            <w:tcMar>
              <w:top w:w="72" w:type="dxa"/>
              <w:left w:w="144" w:type="dxa"/>
              <w:bottom w:w="72" w:type="dxa"/>
              <w:right w:w="144" w:type="dxa"/>
            </w:tcMar>
            <w:vAlign w:val="center"/>
          </w:tcPr>
          <w:p w14:paraId="1F4E3F67">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适用废气</w:t>
            </w:r>
          </w:p>
        </w:tc>
        <w:tc>
          <w:tcPr>
            <w:tcW w:w="4111" w:type="dxa"/>
            <w:tcBorders>
              <w:tl2br w:val="nil"/>
              <w:tr2bl w:val="nil"/>
            </w:tcBorders>
            <w:shd w:val="clear" w:color="auto" w:fill="auto"/>
            <w:tcMar>
              <w:top w:w="72" w:type="dxa"/>
              <w:left w:w="144" w:type="dxa"/>
              <w:bottom w:w="72" w:type="dxa"/>
              <w:right w:w="144" w:type="dxa"/>
            </w:tcMar>
            <w:vAlign w:val="center"/>
          </w:tcPr>
          <w:p w14:paraId="581157B0">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用于处理烷烃、芳香烃、酮、醇、酯、醚、部分含硫氮化合物等有机废气。</w:t>
            </w:r>
          </w:p>
        </w:tc>
        <w:tc>
          <w:tcPr>
            <w:tcW w:w="3827" w:type="dxa"/>
            <w:tcBorders>
              <w:tl2br w:val="nil"/>
              <w:tr2bl w:val="nil"/>
            </w:tcBorders>
            <w:shd w:val="clear" w:color="auto" w:fill="auto"/>
            <w:tcMar>
              <w:top w:w="72" w:type="dxa"/>
              <w:left w:w="144" w:type="dxa"/>
              <w:bottom w:w="72" w:type="dxa"/>
              <w:right w:w="144" w:type="dxa"/>
            </w:tcMar>
            <w:vAlign w:val="center"/>
          </w:tcPr>
          <w:p w14:paraId="1B93AA4E">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含硫磷类废气会使催化剂中毒，不适合用CO处理，</w:t>
            </w:r>
          </w:p>
        </w:tc>
      </w:tr>
      <w:tr w14:paraId="5D7F90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78" w:type="dxa"/>
            <w:tcBorders>
              <w:tl2br w:val="nil"/>
              <w:tr2bl w:val="nil"/>
            </w:tcBorders>
            <w:shd w:val="clear" w:color="auto" w:fill="auto"/>
            <w:tcMar>
              <w:top w:w="72" w:type="dxa"/>
              <w:left w:w="144" w:type="dxa"/>
              <w:bottom w:w="72" w:type="dxa"/>
              <w:right w:w="144" w:type="dxa"/>
            </w:tcMar>
            <w:vAlign w:val="center"/>
          </w:tcPr>
          <w:p w14:paraId="0E918641">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废气流量</w:t>
            </w:r>
          </w:p>
        </w:tc>
        <w:tc>
          <w:tcPr>
            <w:tcW w:w="4111" w:type="dxa"/>
            <w:tcBorders>
              <w:tl2br w:val="nil"/>
              <w:tr2bl w:val="nil"/>
            </w:tcBorders>
            <w:shd w:val="clear" w:color="auto" w:fill="auto"/>
            <w:tcMar>
              <w:top w:w="72" w:type="dxa"/>
              <w:left w:w="144" w:type="dxa"/>
              <w:bottom w:w="72" w:type="dxa"/>
              <w:right w:w="144" w:type="dxa"/>
            </w:tcMar>
            <w:vAlign w:val="center"/>
          </w:tcPr>
          <w:p w14:paraId="0AE6CFC4">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8000～50000m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/h，装置处理能力较大</w:t>
            </w:r>
          </w:p>
        </w:tc>
        <w:tc>
          <w:tcPr>
            <w:tcW w:w="3827" w:type="dxa"/>
            <w:tcBorders>
              <w:tl2br w:val="nil"/>
              <w:tr2bl w:val="nil"/>
            </w:tcBorders>
            <w:shd w:val="clear" w:color="auto" w:fill="auto"/>
            <w:tcMar>
              <w:top w:w="72" w:type="dxa"/>
              <w:left w:w="144" w:type="dxa"/>
              <w:bottom w:w="72" w:type="dxa"/>
              <w:right w:w="144" w:type="dxa"/>
            </w:tcMar>
            <w:vAlign w:val="center"/>
          </w:tcPr>
          <w:p w14:paraId="16D69E06">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1000～20000m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/h，处理规模小</w:t>
            </w:r>
          </w:p>
        </w:tc>
      </w:tr>
      <w:tr w14:paraId="6E1E27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78" w:type="dxa"/>
            <w:tcBorders>
              <w:tl2br w:val="nil"/>
              <w:tr2bl w:val="nil"/>
            </w:tcBorders>
            <w:shd w:val="clear" w:color="auto" w:fill="auto"/>
            <w:tcMar>
              <w:top w:w="72" w:type="dxa"/>
              <w:left w:w="144" w:type="dxa"/>
              <w:bottom w:w="72" w:type="dxa"/>
              <w:right w:w="144" w:type="dxa"/>
            </w:tcMar>
            <w:vAlign w:val="center"/>
          </w:tcPr>
          <w:p w14:paraId="50CEA100">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环保</w:t>
            </w:r>
          </w:p>
        </w:tc>
        <w:tc>
          <w:tcPr>
            <w:tcW w:w="4111" w:type="dxa"/>
            <w:tcBorders>
              <w:tl2br w:val="nil"/>
              <w:tr2bl w:val="nil"/>
            </w:tcBorders>
            <w:shd w:val="clear" w:color="auto" w:fill="auto"/>
            <w:tcMar>
              <w:top w:w="72" w:type="dxa"/>
              <w:left w:w="144" w:type="dxa"/>
              <w:bottom w:w="72" w:type="dxa"/>
              <w:right w:w="144" w:type="dxa"/>
            </w:tcMar>
            <w:vAlign w:val="center"/>
          </w:tcPr>
          <w:p w14:paraId="7DD12D29">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生成二氧化碳和水，无污染，降低了二次污染的风险</w:t>
            </w:r>
          </w:p>
        </w:tc>
        <w:tc>
          <w:tcPr>
            <w:tcW w:w="3827" w:type="dxa"/>
            <w:tcBorders>
              <w:tl2br w:val="nil"/>
              <w:tr2bl w:val="nil"/>
            </w:tcBorders>
            <w:shd w:val="clear" w:color="auto" w:fill="auto"/>
            <w:tcMar>
              <w:top w:w="72" w:type="dxa"/>
              <w:left w:w="144" w:type="dxa"/>
              <w:bottom w:w="72" w:type="dxa"/>
              <w:right w:w="144" w:type="dxa"/>
            </w:tcMar>
            <w:vAlign w:val="center"/>
          </w:tcPr>
          <w:p w14:paraId="10BDF561">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生成二氧化碳和水，无污染</w:t>
            </w:r>
          </w:p>
        </w:tc>
      </w:tr>
      <w:tr w14:paraId="0E7DFC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78" w:type="dxa"/>
            <w:tcBorders>
              <w:tl2br w:val="nil"/>
              <w:tr2bl w:val="nil"/>
            </w:tcBorders>
            <w:shd w:val="clear" w:color="auto" w:fill="auto"/>
            <w:tcMar>
              <w:top w:w="72" w:type="dxa"/>
              <w:left w:w="144" w:type="dxa"/>
              <w:bottom w:w="72" w:type="dxa"/>
              <w:right w:w="144" w:type="dxa"/>
            </w:tcMar>
            <w:vAlign w:val="center"/>
          </w:tcPr>
          <w:p w14:paraId="58E52CD9">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复杂性</w:t>
            </w:r>
          </w:p>
        </w:tc>
        <w:tc>
          <w:tcPr>
            <w:tcW w:w="4111" w:type="dxa"/>
            <w:tcBorders>
              <w:tl2br w:val="nil"/>
              <w:tr2bl w:val="nil"/>
            </w:tcBorders>
            <w:shd w:val="clear" w:color="auto" w:fill="auto"/>
            <w:tcMar>
              <w:top w:w="72" w:type="dxa"/>
              <w:left w:w="144" w:type="dxa"/>
              <w:bottom w:w="72" w:type="dxa"/>
              <w:right w:w="144" w:type="dxa"/>
            </w:tcMar>
            <w:vAlign w:val="center"/>
          </w:tcPr>
          <w:p w14:paraId="65E99B33">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有联锁控制，仪表、自控等要求较高</w:t>
            </w:r>
          </w:p>
        </w:tc>
        <w:tc>
          <w:tcPr>
            <w:tcW w:w="3827" w:type="dxa"/>
            <w:tcBorders>
              <w:tl2br w:val="nil"/>
              <w:tr2bl w:val="nil"/>
            </w:tcBorders>
            <w:shd w:val="clear" w:color="auto" w:fill="auto"/>
            <w:tcMar>
              <w:top w:w="72" w:type="dxa"/>
              <w:left w:w="144" w:type="dxa"/>
              <w:bottom w:w="72" w:type="dxa"/>
              <w:right w:w="144" w:type="dxa"/>
            </w:tcMar>
            <w:vAlign w:val="center"/>
          </w:tcPr>
          <w:p w14:paraId="1CD15033">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无焰氧化，工艺管路及仪表控制简单。</w:t>
            </w:r>
          </w:p>
        </w:tc>
      </w:tr>
      <w:tr w14:paraId="31EF08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78" w:type="dxa"/>
            <w:tcBorders>
              <w:tl2br w:val="nil"/>
              <w:tr2bl w:val="nil"/>
            </w:tcBorders>
            <w:shd w:val="clear" w:color="auto" w:fill="auto"/>
            <w:tcMar>
              <w:top w:w="72" w:type="dxa"/>
              <w:left w:w="144" w:type="dxa"/>
              <w:bottom w:w="72" w:type="dxa"/>
              <w:right w:w="144" w:type="dxa"/>
            </w:tcMar>
            <w:vAlign w:val="center"/>
          </w:tcPr>
          <w:p w14:paraId="66D37E4D">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投资（相对）</w:t>
            </w:r>
          </w:p>
        </w:tc>
        <w:tc>
          <w:tcPr>
            <w:tcW w:w="4111" w:type="dxa"/>
            <w:tcBorders>
              <w:tl2br w:val="nil"/>
              <w:tr2bl w:val="nil"/>
            </w:tcBorders>
            <w:shd w:val="clear" w:color="auto" w:fill="auto"/>
            <w:tcMar>
              <w:top w:w="72" w:type="dxa"/>
              <w:left w:w="144" w:type="dxa"/>
              <w:bottom w:w="72" w:type="dxa"/>
              <w:right w:w="144" w:type="dxa"/>
            </w:tcMar>
            <w:vAlign w:val="center"/>
          </w:tcPr>
          <w:p w14:paraId="567932AE">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3827" w:type="dxa"/>
            <w:tcBorders>
              <w:tl2br w:val="nil"/>
              <w:tr2bl w:val="nil"/>
            </w:tcBorders>
            <w:shd w:val="clear" w:color="auto" w:fill="auto"/>
            <w:tcMar>
              <w:top w:w="72" w:type="dxa"/>
              <w:left w:w="144" w:type="dxa"/>
              <w:bottom w:w="72" w:type="dxa"/>
              <w:right w:w="144" w:type="dxa"/>
            </w:tcMar>
            <w:vAlign w:val="center"/>
          </w:tcPr>
          <w:p w14:paraId="1AB2241A">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~0.8</w:t>
            </w:r>
          </w:p>
        </w:tc>
      </w:tr>
      <w:tr w14:paraId="6566B8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78" w:type="dxa"/>
            <w:tcBorders>
              <w:tl2br w:val="nil"/>
              <w:tr2bl w:val="nil"/>
            </w:tcBorders>
            <w:shd w:val="clear" w:color="auto" w:fill="auto"/>
            <w:tcMar>
              <w:top w:w="72" w:type="dxa"/>
              <w:left w:w="144" w:type="dxa"/>
              <w:bottom w:w="72" w:type="dxa"/>
              <w:right w:w="144" w:type="dxa"/>
            </w:tcMar>
            <w:vAlign w:val="center"/>
          </w:tcPr>
          <w:p w14:paraId="13EA75ED">
            <w:pPr>
              <w:pStyle w:val="31"/>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运行成本</w:t>
            </w:r>
          </w:p>
        </w:tc>
        <w:tc>
          <w:tcPr>
            <w:tcW w:w="4111" w:type="dxa"/>
            <w:tcBorders>
              <w:tl2br w:val="nil"/>
              <w:tr2bl w:val="nil"/>
            </w:tcBorders>
            <w:shd w:val="clear" w:color="auto" w:fill="auto"/>
            <w:tcMar>
              <w:top w:w="72" w:type="dxa"/>
              <w:left w:w="144" w:type="dxa"/>
              <w:bottom w:w="72" w:type="dxa"/>
              <w:right w:w="144" w:type="dxa"/>
            </w:tcMar>
            <w:vAlign w:val="center"/>
          </w:tcPr>
          <w:p w14:paraId="3F16A98C">
            <w:pPr>
              <w:pStyle w:val="31"/>
              <w:bidi w:val="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无催化剂，使用液化气、炼厂气等做为辅助能源。蓄热式回收能量，热量利用率可提高到90%以上，运行成本低。</w:t>
            </w:r>
          </w:p>
        </w:tc>
        <w:tc>
          <w:tcPr>
            <w:tcW w:w="3827" w:type="dxa"/>
            <w:tcBorders>
              <w:tl2br w:val="nil"/>
              <w:tr2bl w:val="nil"/>
            </w:tcBorders>
            <w:shd w:val="clear" w:color="auto" w:fill="auto"/>
            <w:tcMar>
              <w:top w:w="72" w:type="dxa"/>
              <w:left w:w="144" w:type="dxa"/>
              <w:bottom w:w="72" w:type="dxa"/>
              <w:right w:w="144" w:type="dxa"/>
            </w:tcMar>
            <w:vAlign w:val="center"/>
          </w:tcPr>
          <w:p w14:paraId="03A138B5">
            <w:pPr>
              <w:pStyle w:val="31"/>
              <w:bidi w:val="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使用贵金属催化剂，2年一换成本高，使用电加热，热量利用率一般≤75%，运行费用高</w:t>
            </w:r>
          </w:p>
        </w:tc>
      </w:tr>
    </w:tbl>
    <w:p w14:paraId="5D702579">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蓄热式热氧化</w:t>
      </w:r>
      <w:r>
        <w:rPr>
          <w:rFonts w:hint="eastAsia" w:cs="Times New Roman"/>
          <w:color w:val="auto"/>
          <w:lang w:eastAsia="zh-CN"/>
        </w:rPr>
        <w:t>（</w:t>
      </w:r>
      <w:r>
        <w:rPr>
          <w:rFonts w:hint="default" w:ascii="Times New Roman" w:hAnsi="Times New Roman" w:cs="Times New Roman"/>
          <w:color w:val="auto"/>
        </w:rPr>
        <w:t>RTO</w:t>
      </w:r>
      <w:r>
        <w:rPr>
          <w:rFonts w:hint="eastAsia" w:cs="Times New Roman"/>
          <w:color w:val="auto"/>
          <w:lang w:eastAsia="zh-CN"/>
        </w:rPr>
        <w:t>）</w:t>
      </w:r>
      <w:r>
        <w:rPr>
          <w:rFonts w:hint="default" w:ascii="Times New Roman" w:hAnsi="Times New Roman" w:cs="Times New Roman"/>
          <w:color w:val="auto"/>
        </w:rPr>
        <w:t>方式可以回收油气分解时所释放出来的热量,从而节省油气升温的燃料消耗；净化率较高，三室RTO可达到99%，在所有热力燃烧净化法中净化效率最高。随着蓄热式热氧化技术的日趋成熟，该技术具有节能、转化彻底、运行稳定的优势，近年来在VOCs处理上已取代CO，在济南炼化、齐鲁石化等集团公司企业得到了广泛应用。</w:t>
      </w:r>
    </w:p>
    <w:p w14:paraId="3D035CE4">
      <w:pPr>
        <w:pStyle w:val="6"/>
        <w:bidi w:val="0"/>
        <w:rPr>
          <w:rFonts w:hint="eastAsia"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本项目拟</w:t>
      </w:r>
      <w:r>
        <w:rPr>
          <w:rFonts w:hint="default" w:ascii="Times New Roman" w:hAnsi="Times New Roman" w:cs="Times New Roman"/>
          <w:color w:val="auto"/>
        </w:rPr>
        <w:t>采用以“低温柴油吸收（回收）+蓄热氧化法”为主的VOCs处理工艺。工艺技术来源</w:t>
      </w:r>
      <w:r>
        <w:rPr>
          <w:rFonts w:hint="eastAsia" w:cs="Times New Roman"/>
          <w:color w:val="auto"/>
          <w:lang w:val="en-US" w:eastAsia="zh-CN"/>
        </w:rPr>
        <w:t>于</w:t>
      </w:r>
      <w:r>
        <w:rPr>
          <w:rFonts w:hint="default" w:ascii="Times New Roman" w:hAnsi="Times New Roman" w:cs="Times New Roman"/>
          <w:color w:val="auto"/>
        </w:rPr>
        <w:t>中国石油化工股份有限公司大连石油化工研究院</w:t>
      </w:r>
      <w:r>
        <w:rPr>
          <w:rFonts w:hint="eastAsia" w:cs="Times New Roman"/>
          <w:color w:val="auto"/>
          <w:lang w:eastAsia="zh-CN"/>
        </w:rPr>
        <w:t>。</w:t>
      </w:r>
    </w:p>
    <w:p w14:paraId="13F9E62B">
      <w:pPr>
        <w:pStyle w:val="3"/>
        <w:bidi w:val="0"/>
        <w:rPr>
          <w:rFonts w:hint="default" w:ascii="Times New Roman" w:hAnsi="Times New Roman" w:cs="Times New Roman"/>
          <w:color w:val="auto"/>
        </w:rPr>
      </w:pPr>
      <w:bookmarkStart w:id="22" w:name="_Toc27196"/>
      <w:r>
        <w:rPr>
          <w:rFonts w:hint="default" w:ascii="Times New Roman" w:hAnsi="Times New Roman" w:cs="Times New Roman"/>
          <w:color w:val="auto"/>
        </w:rPr>
        <w:t>建设项目的地理位置、周边环境</w:t>
      </w:r>
      <w:bookmarkEnd w:id="22"/>
    </w:p>
    <w:p w14:paraId="3BE49A6A">
      <w:pPr>
        <w:pStyle w:val="4"/>
        <w:spacing w:before="120" w:after="0" w:afterLine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2.3.1建设项目地理位置</w:t>
      </w:r>
    </w:p>
    <w:p w14:paraId="7F25B57B">
      <w:pPr>
        <w:pStyle w:val="6"/>
        <w:bidi w:val="0"/>
        <w:rPr>
          <w:rFonts w:hint="default" w:ascii="Times New Roman" w:hAnsi="Times New Roman" w:cs="Times New Roman"/>
          <w:color w:val="auto"/>
        </w:rPr>
      </w:pPr>
      <w:r>
        <w:rPr>
          <w:rFonts w:hint="default" w:ascii="Times New Roman" w:hAnsi="Times New Roman" w:cs="Times New Roman"/>
          <w:color w:val="auto"/>
        </w:rPr>
        <w:t>该项目在</w:t>
      </w:r>
      <w:r>
        <w:rPr>
          <w:rFonts w:hint="eastAsia"/>
          <w:color w:val="auto"/>
          <w:lang w:val="en-US" w:eastAsia="zh-CN"/>
        </w:rPr>
        <w:t>石油化工总厂</w:t>
      </w:r>
      <w:r>
        <w:rPr>
          <w:rFonts w:hint="default" w:ascii="Times New Roman" w:hAnsi="Times New Roman" w:cs="Times New Roman"/>
          <w:color w:val="auto"/>
        </w:rPr>
        <w:t>厂内建设，该厂位于东营市西南约11km处，东南距史口镇约2km。石油化工总厂距离最近的史口火车站约2km，距离东营机场距离约为40km。在该厂西面约11km处，黄河由西南向东北流入渤海。</w:t>
      </w:r>
    </w:p>
    <w:p w14:paraId="5EBCBCEE">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该项目</w:t>
      </w:r>
      <w:r>
        <w:rPr>
          <w:rFonts w:hint="default" w:ascii="Times New Roman" w:hAnsi="Times New Roman" w:cs="Times New Roman"/>
          <w:color w:val="auto"/>
        </w:rPr>
        <w:t>所在厂区不位于下列地区：发震断层和抗震设防烈度为9度及以上的地区、生活饮用水源保护区、国家划定的森林、农业保护及发展规划区、自然保护区、风景名胜区和历史文物古迹保护区、山体崩塌、滑坡、泥石流、流沙、地面严重沉降或塌陷等地质灾害易发生区和重点防治区、采矿塌落、错动区的地表界限内、蓄滞洪区、坝或堤决溃后可能淹没的地区、危及到机场净空保护区的区域、具有开采价值的矿藏区或矿产资源储备区、水资源匮乏的地区、严重的自重湿陷性黄土地段、厚度大的新近堆积黄土地段和高压缩性的饱和黄土地段等工程地质条件恶劣地段、山区或丘陵地区的窝风地带，选址符合《石油化工工厂布置设计规范》（GB 50984-2014）的规定。</w:t>
      </w:r>
    </w:p>
    <w:p w14:paraId="4506A19E">
      <w:pPr>
        <w:pStyle w:val="4"/>
        <w:bidi w:val="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2.3.2建设项目占地面积和生产规模</w:t>
      </w:r>
    </w:p>
    <w:p w14:paraId="5B8F9320">
      <w:pPr>
        <w:pStyle w:val="6"/>
        <w:bidi w:val="0"/>
        <w:rPr>
          <w:rFonts w:hint="default" w:ascii="Times New Roman" w:hAnsi="Times New Roman" w:cs="Times New Roman"/>
          <w:color w:val="auto"/>
        </w:rPr>
      </w:pPr>
      <w:r>
        <w:rPr>
          <w:rFonts w:hint="eastAsia"/>
          <w:b/>
          <w:bCs/>
        </w:rPr>
        <w:t>涉及企业机密，不予公开。</w:t>
      </w:r>
    </w:p>
    <w:p w14:paraId="72C4406E">
      <w:pPr>
        <w:pStyle w:val="4"/>
        <w:bidi w:val="0"/>
        <w:rPr>
          <w:rFonts w:hint="default" w:ascii="Times New Roman" w:hAnsi="Times New Roman" w:cs="Times New Roman"/>
          <w:color w:val="auto"/>
        </w:rPr>
      </w:pPr>
      <w:r>
        <w:rPr>
          <w:rFonts w:hint="default" w:ascii="Times New Roman" w:hAnsi="Times New Roman" w:cs="Times New Roman"/>
          <w:color w:val="auto"/>
        </w:rPr>
        <w:t>2.3.3建设项目周边环境</w:t>
      </w:r>
    </w:p>
    <w:p w14:paraId="05433D71">
      <w:pPr>
        <w:pStyle w:val="6"/>
        <w:bidi w:val="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eastAsia="zh-CN"/>
        </w:rPr>
        <w:t>该项目</w:t>
      </w:r>
      <w:r>
        <w:rPr>
          <w:rFonts w:hint="default" w:ascii="Times New Roman" w:hAnsi="Times New Roman" w:cs="Times New Roman"/>
          <w:color w:val="auto"/>
        </w:rPr>
        <w:t>与厂外周边设施情况</w:t>
      </w:r>
    </w:p>
    <w:p w14:paraId="5F3B07E4">
      <w:pPr>
        <w:pStyle w:val="6"/>
        <w:bidi w:val="0"/>
        <w:rPr>
          <w:rFonts w:hint="default" w:ascii="Times New Roman" w:hAnsi="Times New Roman" w:cs="Times New Roman"/>
          <w:color w:val="auto"/>
        </w:rPr>
      </w:pPr>
      <w:r>
        <w:rPr>
          <w:rFonts w:hint="default" w:ascii="Times New Roman" w:hAnsi="Times New Roman" w:cs="Times New Roman"/>
          <w:color w:val="auto"/>
        </w:rPr>
        <w:t>石油化工总厂厂区北面有大赵村、小赵村等村庄以及山东海科化工有限公司、东营市鑫博化工有限责任公司、山东万金石化有限公司、山东万通石油化工集团有限公司，北面700m处有一条由东西向的排水渠－五干排；东临郝纯路（228省道）；南侧为东营益盛石油销售有限责任公司、东营立洋化工有限公司、山东神驰化工集团有限公司；西侧为东营胜利中亚化工有限公司、东营宝莫环境工程有限公司以及东营德佑环保科技有限公司。</w:t>
      </w:r>
    </w:p>
    <w:p w14:paraId="3184AB4A">
      <w:pPr>
        <w:pStyle w:val="6"/>
        <w:bidi w:val="0"/>
        <w:rPr>
          <w:rFonts w:hint="default" w:ascii="Times New Roman" w:hAnsi="Times New Roman" w:cs="Times New Roman"/>
          <w:color w:val="auto"/>
        </w:rPr>
      </w:pPr>
      <w:r>
        <w:rPr>
          <w:rFonts w:hint="default" w:ascii="Times New Roman" w:hAnsi="Times New Roman" w:cs="Times New Roman"/>
          <w:color w:val="auto"/>
        </w:rPr>
        <w:t>项目区上空无架空电力、通讯线穿过，地下无输油输气管线穿过。厂址与周边环境及距离见下表。</w:t>
      </w:r>
    </w:p>
    <w:p w14:paraId="4492240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b w:val="0"/>
          <w:color w:val="auto"/>
          <w:kern w:val="0"/>
          <w:szCs w:val="24"/>
          <w:highlight w:val="none"/>
          <w:lang w:val="zh-CN"/>
        </w:rPr>
      </w:pPr>
      <w:r>
        <w:rPr>
          <w:rFonts w:hint="default" w:ascii="Times New Roman" w:hAnsi="Times New Roman" w:cs="Times New Roman"/>
          <w:color w:val="auto"/>
          <w:lang w:val="zh-CN"/>
        </w:rPr>
        <w:t xml:space="preserve">表2.3-1 </w:t>
      </w:r>
      <w:r>
        <w:rPr>
          <w:rFonts w:hint="default" w:ascii="Times New Roman" w:hAnsi="Times New Roman" w:cs="Times New Roman"/>
          <w:color w:val="auto"/>
        </w:rPr>
        <w:t xml:space="preserve"> </w:t>
      </w:r>
      <w:r>
        <w:rPr>
          <w:rFonts w:hint="default" w:ascii="Times New Roman" w:hAnsi="Times New Roman" w:cs="Times New Roman"/>
          <w:color w:val="auto"/>
          <w:highlight w:val="none"/>
          <w:lang w:val="zh-CN"/>
        </w:rPr>
        <w:t>该项目与周边企业、道路及居民区之间的间距</w:t>
      </w:r>
    </w:p>
    <w:tbl>
      <w:tblPr>
        <w:tblStyle w:val="20"/>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6"/>
        <w:gridCol w:w="750"/>
        <w:gridCol w:w="1922"/>
        <w:gridCol w:w="959"/>
        <w:gridCol w:w="1060"/>
        <w:gridCol w:w="2348"/>
        <w:gridCol w:w="831"/>
        <w:gridCol w:w="677"/>
      </w:tblGrid>
      <w:tr w14:paraId="631C66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450" w:type="pct"/>
            <w:noWrap w:val="0"/>
            <w:vAlign w:val="center"/>
          </w:tcPr>
          <w:p w14:paraId="17360ED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类别</w:t>
            </w:r>
          </w:p>
        </w:tc>
        <w:tc>
          <w:tcPr>
            <w:tcW w:w="399" w:type="pct"/>
            <w:noWrap w:val="0"/>
            <w:vAlign w:val="center"/>
          </w:tcPr>
          <w:p w14:paraId="1BF565C5">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相对位置</w:t>
            </w:r>
          </w:p>
        </w:tc>
        <w:tc>
          <w:tcPr>
            <w:tcW w:w="1022" w:type="pct"/>
            <w:noWrap w:val="0"/>
            <w:vAlign w:val="center"/>
          </w:tcPr>
          <w:p w14:paraId="6F82E904">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510" w:type="pct"/>
            <w:noWrap w:val="0"/>
            <w:vAlign w:val="center"/>
          </w:tcPr>
          <w:p w14:paraId="79B10D8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相邻</w:t>
            </w:r>
          </w:p>
          <w:p w14:paraId="46C94022">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设施</w:t>
            </w:r>
          </w:p>
        </w:tc>
        <w:tc>
          <w:tcPr>
            <w:tcW w:w="564" w:type="pct"/>
            <w:noWrap/>
            <w:vAlign w:val="center"/>
          </w:tcPr>
          <w:p w14:paraId="5491E4E2">
            <w:pPr>
              <w:pStyle w:val="31"/>
              <w:bidi w:val="0"/>
              <w:rPr>
                <w:rFonts w:hint="default" w:ascii="Times New Roman" w:hAnsi="Times New Roman" w:cs="Times New Roman"/>
                <w:b/>
                <w:bCs/>
                <w:color w:val="auto"/>
              </w:rPr>
            </w:pPr>
            <w:r>
              <w:rPr>
                <w:rFonts w:hint="eastAsia" w:cs="Times New Roman"/>
                <w:b/>
                <w:bCs/>
                <w:color w:val="auto"/>
                <w:lang w:val="en-US" w:eastAsia="zh-CN"/>
              </w:rPr>
              <w:t>设计</w:t>
            </w:r>
            <w:r>
              <w:rPr>
                <w:rFonts w:hint="default" w:ascii="Times New Roman" w:hAnsi="Times New Roman" w:cs="Times New Roman"/>
                <w:b/>
                <w:bCs/>
                <w:color w:val="auto"/>
              </w:rPr>
              <w:t>距离</w:t>
            </w:r>
          </w:p>
        </w:tc>
        <w:tc>
          <w:tcPr>
            <w:tcW w:w="1249" w:type="pct"/>
            <w:noWrap w:val="0"/>
            <w:vAlign w:val="center"/>
          </w:tcPr>
          <w:p w14:paraId="473F65C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要求的距离依据规范</w:t>
            </w:r>
          </w:p>
        </w:tc>
        <w:tc>
          <w:tcPr>
            <w:tcW w:w="442" w:type="pct"/>
            <w:noWrap w:val="0"/>
            <w:vAlign w:val="center"/>
          </w:tcPr>
          <w:p w14:paraId="3FCA8838">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规范要求（m）</w:t>
            </w:r>
          </w:p>
        </w:tc>
        <w:tc>
          <w:tcPr>
            <w:tcW w:w="360" w:type="pct"/>
            <w:noWrap w:val="0"/>
            <w:vAlign w:val="center"/>
          </w:tcPr>
          <w:p w14:paraId="78529BA4">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符合性</w:t>
            </w:r>
          </w:p>
        </w:tc>
      </w:tr>
      <w:tr w14:paraId="616881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50" w:type="pct"/>
            <w:noWrap/>
            <w:vAlign w:val="center"/>
          </w:tcPr>
          <w:p w14:paraId="6AD50966">
            <w:pPr>
              <w:pStyle w:val="31"/>
              <w:bidi w:val="0"/>
              <w:rPr>
                <w:rFonts w:hint="default" w:ascii="Times New Roman" w:hAnsi="Times New Roman" w:cs="Times New Roman"/>
                <w:color w:val="auto"/>
              </w:rPr>
            </w:pPr>
            <w:r>
              <w:rPr>
                <w:rFonts w:hint="default" w:ascii="Times New Roman" w:hAnsi="Times New Roman" w:cs="Times New Roman"/>
                <w:color w:val="auto"/>
              </w:rPr>
              <w:t>生活区</w:t>
            </w:r>
          </w:p>
        </w:tc>
        <w:tc>
          <w:tcPr>
            <w:tcW w:w="399" w:type="pct"/>
            <w:noWrap w:val="0"/>
            <w:vAlign w:val="center"/>
          </w:tcPr>
          <w:p w14:paraId="679C1588">
            <w:pPr>
              <w:pStyle w:val="31"/>
              <w:bidi w:val="0"/>
              <w:rPr>
                <w:rFonts w:hint="default" w:ascii="Times New Roman" w:hAnsi="Times New Roman" w:cs="Times New Roman"/>
                <w:color w:val="auto"/>
              </w:rPr>
            </w:pPr>
            <w:r>
              <w:rPr>
                <w:rFonts w:hint="default" w:ascii="Times New Roman" w:hAnsi="Times New Roman" w:cs="Times New Roman"/>
                <w:color w:val="auto"/>
              </w:rPr>
              <w:t>东北</w:t>
            </w:r>
          </w:p>
        </w:tc>
        <w:tc>
          <w:tcPr>
            <w:tcW w:w="1022" w:type="pct"/>
            <w:noWrap/>
            <w:vAlign w:val="center"/>
          </w:tcPr>
          <w:p w14:paraId="7ABD85F7">
            <w:pPr>
              <w:pStyle w:val="31"/>
              <w:bidi w:val="0"/>
              <w:rPr>
                <w:rFonts w:hint="default" w:ascii="Times New Roman" w:hAnsi="Times New Roman" w:cs="Times New Roman"/>
                <w:color w:val="auto"/>
              </w:rPr>
            </w:pPr>
            <w:r>
              <w:rPr>
                <w:rFonts w:hint="default" w:ascii="Times New Roman" w:hAnsi="Times New Roman" w:cs="Times New Roman"/>
                <w:color w:val="auto"/>
              </w:rPr>
              <w:t>石油化工总厂生活区</w:t>
            </w:r>
          </w:p>
        </w:tc>
        <w:tc>
          <w:tcPr>
            <w:tcW w:w="510" w:type="pct"/>
            <w:vMerge w:val="restart"/>
            <w:noWrap w:val="0"/>
            <w:vAlign w:val="center"/>
          </w:tcPr>
          <w:p w14:paraId="6C463D83">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油气回收及处理装置（甲类）</w:t>
            </w:r>
          </w:p>
        </w:tc>
        <w:tc>
          <w:tcPr>
            <w:tcW w:w="564" w:type="pct"/>
            <w:noWrap/>
            <w:vAlign w:val="center"/>
          </w:tcPr>
          <w:p w14:paraId="112E817D">
            <w:pPr>
              <w:pStyle w:val="31"/>
              <w:bidi w:val="0"/>
              <w:rPr>
                <w:rFonts w:hint="default" w:ascii="Times New Roman" w:hAnsi="Times New Roman" w:cs="Times New Roman"/>
                <w:color w:val="auto"/>
              </w:rPr>
            </w:pPr>
            <w:r>
              <w:rPr>
                <w:rFonts w:hint="default" w:ascii="Times New Roman" w:hAnsi="Times New Roman" w:cs="Times New Roman"/>
                <w:color w:val="auto"/>
                <w:highlight w:val="none"/>
              </w:rPr>
              <w:t>约</w:t>
            </w:r>
            <w:r>
              <w:rPr>
                <w:rFonts w:hint="eastAsia" w:cs="Times New Roman"/>
                <w:color w:val="auto"/>
                <w:highlight w:val="none"/>
                <w:lang w:val="en-US" w:eastAsia="zh-CN"/>
              </w:rPr>
              <w:t>2</w:t>
            </w:r>
            <w:r>
              <w:rPr>
                <w:rFonts w:hint="default" w:ascii="Times New Roman" w:hAnsi="Times New Roman" w:cs="Times New Roman"/>
                <w:color w:val="auto"/>
                <w:highlight w:val="none"/>
              </w:rPr>
              <w:t>km</w:t>
            </w:r>
          </w:p>
        </w:tc>
        <w:tc>
          <w:tcPr>
            <w:tcW w:w="1249" w:type="pct"/>
            <w:noWrap w:val="0"/>
            <w:vAlign w:val="center"/>
          </w:tcPr>
          <w:p w14:paraId="32C594C8">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5849EC8A">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0EE40F60">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7B0093BC">
            <w:pPr>
              <w:pStyle w:val="31"/>
              <w:bidi w:val="0"/>
              <w:rPr>
                <w:rFonts w:hint="default" w:ascii="Times New Roman" w:hAnsi="Times New Roman" w:cs="Times New Roman"/>
                <w:color w:val="auto"/>
              </w:rPr>
            </w:pPr>
            <w:r>
              <w:rPr>
                <w:rFonts w:hint="default" w:ascii="Times New Roman" w:hAnsi="Times New Roman" w:cs="Times New Roman"/>
                <w:color w:val="auto"/>
              </w:rPr>
              <w:t>100</w:t>
            </w:r>
          </w:p>
        </w:tc>
        <w:tc>
          <w:tcPr>
            <w:tcW w:w="360" w:type="pct"/>
            <w:noWrap w:val="0"/>
            <w:vAlign w:val="center"/>
          </w:tcPr>
          <w:p w14:paraId="2F4A5673">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2B737C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noWrap/>
            <w:vAlign w:val="center"/>
          </w:tcPr>
          <w:p w14:paraId="3C0A00F3">
            <w:pPr>
              <w:pStyle w:val="31"/>
              <w:bidi w:val="0"/>
              <w:rPr>
                <w:rFonts w:hint="default" w:ascii="Times New Roman" w:hAnsi="Times New Roman" w:cs="Times New Roman"/>
                <w:color w:val="auto"/>
              </w:rPr>
            </w:pPr>
            <w:r>
              <w:rPr>
                <w:rFonts w:hint="default" w:ascii="Times New Roman" w:hAnsi="Times New Roman" w:cs="Times New Roman"/>
                <w:color w:val="auto"/>
              </w:rPr>
              <w:t>城镇</w:t>
            </w:r>
          </w:p>
        </w:tc>
        <w:tc>
          <w:tcPr>
            <w:tcW w:w="399" w:type="pct"/>
            <w:noWrap w:val="0"/>
            <w:vAlign w:val="center"/>
          </w:tcPr>
          <w:p w14:paraId="0EECCF66">
            <w:pPr>
              <w:pStyle w:val="31"/>
              <w:bidi w:val="0"/>
              <w:rPr>
                <w:rFonts w:hint="default" w:ascii="Times New Roman" w:hAnsi="Times New Roman" w:cs="Times New Roman"/>
                <w:color w:val="auto"/>
              </w:rPr>
            </w:pPr>
            <w:r>
              <w:rPr>
                <w:rFonts w:hint="default" w:ascii="Times New Roman" w:hAnsi="Times New Roman" w:cs="Times New Roman"/>
                <w:color w:val="auto"/>
              </w:rPr>
              <w:t>东南</w:t>
            </w:r>
          </w:p>
        </w:tc>
        <w:tc>
          <w:tcPr>
            <w:tcW w:w="1022" w:type="pct"/>
            <w:noWrap/>
            <w:vAlign w:val="center"/>
          </w:tcPr>
          <w:p w14:paraId="2B2EE6BC">
            <w:pPr>
              <w:pStyle w:val="31"/>
              <w:bidi w:val="0"/>
              <w:rPr>
                <w:rFonts w:hint="default" w:ascii="Times New Roman" w:hAnsi="Times New Roman" w:cs="Times New Roman"/>
                <w:color w:val="auto"/>
              </w:rPr>
            </w:pPr>
            <w:r>
              <w:rPr>
                <w:rFonts w:hint="default" w:ascii="Times New Roman" w:hAnsi="Times New Roman" w:cs="Times New Roman"/>
                <w:color w:val="auto"/>
              </w:rPr>
              <w:t>史口镇</w:t>
            </w:r>
          </w:p>
        </w:tc>
        <w:tc>
          <w:tcPr>
            <w:tcW w:w="510" w:type="pct"/>
            <w:vMerge w:val="continue"/>
            <w:noWrap w:val="0"/>
            <w:vAlign w:val="center"/>
          </w:tcPr>
          <w:p w14:paraId="30C88106">
            <w:pPr>
              <w:pStyle w:val="31"/>
              <w:bidi w:val="0"/>
              <w:rPr>
                <w:rFonts w:hint="default" w:ascii="Times New Roman" w:hAnsi="Times New Roman" w:cs="Times New Roman"/>
                <w:color w:val="auto"/>
              </w:rPr>
            </w:pPr>
          </w:p>
        </w:tc>
        <w:tc>
          <w:tcPr>
            <w:tcW w:w="564" w:type="pct"/>
            <w:noWrap/>
            <w:vAlign w:val="center"/>
          </w:tcPr>
          <w:p w14:paraId="38B81CD0">
            <w:pPr>
              <w:pStyle w:val="31"/>
              <w:bidi w:val="0"/>
              <w:rPr>
                <w:rFonts w:hint="default" w:ascii="Times New Roman" w:hAnsi="Times New Roman" w:cs="Times New Roman"/>
                <w:color w:val="auto"/>
              </w:rPr>
            </w:pPr>
            <w:r>
              <w:rPr>
                <w:rFonts w:hint="default" w:ascii="Times New Roman" w:hAnsi="Times New Roman" w:cs="Times New Roman"/>
                <w:color w:val="auto"/>
              </w:rPr>
              <w:t>约</w:t>
            </w:r>
            <w:r>
              <w:rPr>
                <w:rFonts w:hint="default" w:ascii="Times New Roman" w:hAnsi="Times New Roman" w:cs="Times New Roman"/>
                <w:color w:val="auto"/>
                <w:lang w:val="en-US" w:eastAsia="zh-CN"/>
              </w:rPr>
              <w:t>1.</w:t>
            </w:r>
            <w:r>
              <w:rPr>
                <w:rFonts w:hint="eastAsia" w:cs="Times New Roman"/>
                <w:color w:val="auto"/>
                <w:lang w:val="en-US" w:eastAsia="zh-CN"/>
              </w:rPr>
              <w:t>8</w:t>
            </w:r>
            <w:r>
              <w:rPr>
                <w:rFonts w:hint="default" w:ascii="Times New Roman" w:hAnsi="Times New Roman" w:cs="Times New Roman"/>
                <w:color w:val="auto"/>
              </w:rPr>
              <w:t>km</w:t>
            </w:r>
          </w:p>
        </w:tc>
        <w:tc>
          <w:tcPr>
            <w:tcW w:w="1249" w:type="pct"/>
            <w:noWrap w:val="0"/>
            <w:vAlign w:val="center"/>
          </w:tcPr>
          <w:p w14:paraId="7134E31E">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3C30CFC5">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6A5DD1CA">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40601907">
            <w:pPr>
              <w:pStyle w:val="31"/>
              <w:bidi w:val="0"/>
              <w:rPr>
                <w:rFonts w:hint="default" w:ascii="Times New Roman" w:hAnsi="Times New Roman" w:cs="Times New Roman"/>
                <w:color w:val="auto"/>
              </w:rPr>
            </w:pPr>
            <w:r>
              <w:rPr>
                <w:rFonts w:hint="default" w:ascii="Times New Roman" w:hAnsi="Times New Roman" w:cs="Times New Roman"/>
                <w:color w:val="auto"/>
              </w:rPr>
              <w:t>100</w:t>
            </w:r>
          </w:p>
        </w:tc>
        <w:tc>
          <w:tcPr>
            <w:tcW w:w="360" w:type="pct"/>
            <w:noWrap w:val="0"/>
            <w:vAlign w:val="center"/>
          </w:tcPr>
          <w:p w14:paraId="37A4D5C4">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16EE98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restart"/>
            <w:noWrap/>
            <w:vAlign w:val="center"/>
          </w:tcPr>
          <w:p w14:paraId="28946A8F">
            <w:pPr>
              <w:pStyle w:val="31"/>
              <w:bidi w:val="0"/>
              <w:rPr>
                <w:rFonts w:hint="default" w:ascii="Times New Roman" w:hAnsi="Times New Roman" w:cs="Times New Roman"/>
                <w:color w:val="auto"/>
              </w:rPr>
            </w:pPr>
            <w:r>
              <w:rPr>
                <w:rFonts w:hint="default" w:ascii="Times New Roman" w:hAnsi="Times New Roman" w:cs="Times New Roman"/>
                <w:color w:val="auto"/>
              </w:rPr>
              <w:t>自然村</w:t>
            </w:r>
          </w:p>
        </w:tc>
        <w:tc>
          <w:tcPr>
            <w:tcW w:w="399" w:type="pct"/>
            <w:noWrap w:val="0"/>
            <w:vAlign w:val="center"/>
          </w:tcPr>
          <w:p w14:paraId="6AF0FDA6">
            <w:pPr>
              <w:pStyle w:val="31"/>
              <w:bidi w:val="0"/>
              <w:rPr>
                <w:rFonts w:hint="default" w:ascii="Times New Roman" w:hAnsi="Times New Roman" w:cs="Times New Roman"/>
                <w:color w:val="auto"/>
              </w:rPr>
            </w:pPr>
            <w:r>
              <w:rPr>
                <w:rFonts w:hint="default" w:ascii="Times New Roman" w:hAnsi="Times New Roman" w:cs="Times New Roman"/>
                <w:color w:val="auto"/>
              </w:rPr>
              <w:t>北</w:t>
            </w:r>
          </w:p>
        </w:tc>
        <w:tc>
          <w:tcPr>
            <w:tcW w:w="1022" w:type="pct"/>
            <w:noWrap/>
            <w:vAlign w:val="center"/>
          </w:tcPr>
          <w:p w14:paraId="21F11C2A">
            <w:pPr>
              <w:pStyle w:val="31"/>
              <w:bidi w:val="0"/>
              <w:rPr>
                <w:rFonts w:hint="default" w:ascii="Times New Roman" w:hAnsi="Times New Roman" w:cs="Times New Roman"/>
                <w:color w:val="auto"/>
              </w:rPr>
            </w:pPr>
            <w:r>
              <w:rPr>
                <w:rFonts w:hint="default" w:ascii="Times New Roman" w:hAnsi="Times New Roman" w:cs="Times New Roman"/>
                <w:color w:val="auto"/>
              </w:rPr>
              <w:t>小赵村</w:t>
            </w:r>
          </w:p>
        </w:tc>
        <w:tc>
          <w:tcPr>
            <w:tcW w:w="510" w:type="pct"/>
            <w:vMerge w:val="continue"/>
            <w:noWrap w:val="0"/>
            <w:vAlign w:val="center"/>
          </w:tcPr>
          <w:p w14:paraId="7048BFFA">
            <w:pPr>
              <w:pStyle w:val="31"/>
              <w:bidi w:val="0"/>
              <w:rPr>
                <w:rFonts w:hint="default" w:ascii="Times New Roman" w:hAnsi="Times New Roman" w:cs="Times New Roman"/>
                <w:color w:val="auto"/>
              </w:rPr>
            </w:pPr>
          </w:p>
        </w:tc>
        <w:tc>
          <w:tcPr>
            <w:tcW w:w="564" w:type="pct"/>
            <w:noWrap/>
            <w:vAlign w:val="center"/>
          </w:tcPr>
          <w:p w14:paraId="6A2C6E62">
            <w:pPr>
              <w:pStyle w:val="31"/>
              <w:bidi w:val="0"/>
              <w:rPr>
                <w:rFonts w:hint="default" w:ascii="Times New Roman" w:hAnsi="Times New Roman" w:cs="Times New Roman"/>
                <w:color w:val="auto"/>
              </w:rPr>
            </w:pPr>
            <w:r>
              <w:rPr>
                <w:rFonts w:hint="default" w:ascii="Times New Roman" w:hAnsi="Times New Roman" w:cs="Times New Roman"/>
                <w:color w:val="auto"/>
                <w:lang w:val="en-US" w:eastAsia="zh-CN"/>
              </w:rPr>
              <w:t>8</w:t>
            </w:r>
            <w:r>
              <w:rPr>
                <w:rFonts w:hint="eastAsia" w:cs="Times New Roman"/>
                <w:color w:val="auto"/>
                <w:lang w:val="en-US" w:eastAsia="zh-CN"/>
              </w:rPr>
              <w:t>60</w:t>
            </w:r>
            <w:r>
              <w:rPr>
                <w:rFonts w:hint="default" w:ascii="Times New Roman" w:hAnsi="Times New Roman" w:cs="Times New Roman"/>
                <w:color w:val="auto"/>
              </w:rPr>
              <w:t>m</w:t>
            </w:r>
          </w:p>
        </w:tc>
        <w:tc>
          <w:tcPr>
            <w:tcW w:w="1249" w:type="pct"/>
            <w:noWrap w:val="0"/>
            <w:vAlign w:val="center"/>
          </w:tcPr>
          <w:p w14:paraId="7B3F51D7">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56B8BC2F">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6F51E06D">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1D0CD4B2">
            <w:pPr>
              <w:pStyle w:val="31"/>
              <w:bidi w:val="0"/>
              <w:rPr>
                <w:rFonts w:hint="default" w:ascii="Times New Roman" w:hAnsi="Times New Roman" w:cs="Times New Roman"/>
                <w:color w:val="auto"/>
              </w:rPr>
            </w:pPr>
            <w:r>
              <w:rPr>
                <w:rFonts w:hint="default" w:ascii="Times New Roman" w:hAnsi="Times New Roman" w:cs="Times New Roman"/>
                <w:color w:val="auto"/>
              </w:rPr>
              <w:t>100</w:t>
            </w:r>
          </w:p>
        </w:tc>
        <w:tc>
          <w:tcPr>
            <w:tcW w:w="360" w:type="pct"/>
            <w:noWrap w:val="0"/>
            <w:vAlign w:val="center"/>
          </w:tcPr>
          <w:p w14:paraId="6C79316A">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07970B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2349057B">
            <w:pPr>
              <w:pStyle w:val="31"/>
              <w:bidi w:val="0"/>
              <w:rPr>
                <w:rFonts w:hint="default" w:ascii="Times New Roman" w:hAnsi="Times New Roman" w:cs="Times New Roman"/>
                <w:color w:val="auto"/>
              </w:rPr>
            </w:pPr>
          </w:p>
        </w:tc>
        <w:tc>
          <w:tcPr>
            <w:tcW w:w="399" w:type="pct"/>
            <w:noWrap w:val="0"/>
            <w:vAlign w:val="center"/>
          </w:tcPr>
          <w:p w14:paraId="0938657A">
            <w:pPr>
              <w:pStyle w:val="31"/>
              <w:bidi w:val="0"/>
              <w:rPr>
                <w:rFonts w:hint="default" w:ascii="Times New Roman" w:hAnsi="Times New Roman" w:cs="Times New Roman"/>
                <w:color w:val="auto"/>
              </w:rPr>
            </w:pPr>
            <w:r>
              <w:rPr>
                <w:rFonts w:hint="default" w:ascii="Times New Roman" w:hAnsi="Times New Roman" w:cs="Times New Roman"/>
                <w:color w:val="auto"/>
              </w:rPr>
              <w:t>西北</w:t>
            </w:r>
          </w:p>
        </w:tc>
        <w:tc>
          <w:tcPr>
            <w:tcW w:w="1022" w:type="pct"/>
            <w:noWrap/>
            <w:vAlign w:val="center"/>
          </w:tcPr>
          <w:p w14:paraId="24D64BA7">
            <w:pPr>
              <w:pStyle w:val="31"/>
              <w:bidi w:val="0"/>
              <w:rPr>
                <w:rFonts w:hint="default" w:ascii="Times New Roman" w:hAnsi="Times New Roman" w:cs="Times New Roman"/>
                <w:color w:val="auto"/>
              </w:rPr>
            </w:pPr>
            <w:r>
              <w:rPr>
                <w:rFonts w:hint="default" w:ascii="Times New Roman" w:hAnsi="Times New Roman" w:cs="Times New Roman"/>
                <w:color w:val="auto"/>
              </w:rPr>
              <w:t>大赵村</w:t>
            </w:r>
          </w:p>
        </w:tc>
        <w:tc>
          <w:tcPr>
            <w:tcW w:w="510" w:type="pct"/>
            <w:vMerge w:val="continue"/>
            <w:noWrap w:val="0"/>
            <w:vAlign w:val="center"/>
          </w:tcPr>
          <w:p w14:paraId="4D540916">
            <w:pPr>
              <w:pStyle w:val="31"/>
              <w:bidi w:val="0"/>
              <w:rPr>
                <w:rFonts w:hint="default" w:ascii="Times New Roman" w:hAnsi="Times New Roman" w:cs="Times New Roman"/>
                <w:color w:val="auto"/>
              </w:rPr>
            </w:pPr>
          </w:p>
        </w:tc>
        <w:tc>
          <w:tcPr>
            <w:tcW w:w="564" w:type="pct"/>
            <w:noWrap/>
            <w:vAlign w:val="center"/>
          </w:tcPr>
          <w:p w14:paraId="538A9B55">
            <w:pPr>
              <w:pStyle w:val="31"/>
              <w:bidi w:val="0"/>
              <w:rPr>
                <w:rFonts w:hint="default" w:ascii="Times New Roman" w:hAnsi="Times New Roman" w:cs="Times New Roman"/>
                <w:color w:val="auto"/>
              </w:rPr>
            </w:pPr>
            <w:r>
              <w:rPr>
                <w:rFonts w:hint="default" w:ascii="Times New Roman" w:hAnsi="Times New Roman" w:cs="Times New Roman"/>
                <w:color w:val="auto"/>
              </w:rPr>
              <w:t>约1.</w:t>
            </w:r>
            <w:r>
              <w:rPr>
                <w:rFonts w:hint="default" w:ascii="Times New Roman" w:hAnsi="Times New Roman" w:cs="Times New Roman"/>
                <w:color w:val="auto"/>
                <w:lang w:val="en-US" w:eastAsia="zh-CN"/>
              </w:rPr>
              <w:t>5</w:t>
            </w:r>
            <w:r>
              <w:rPr>
                <w:rFonts w:hint="default" w:ascii="Times New Roman" w:hAnsi="Times New Roman" w:cs="Times New Roman"/>
                <w:color w:val="auto"/>
              </w:rPr>
              <w:t>km</w:t>
            </w:r>
          </w:p>
        </w:tc>
        <w:tc>
          <w:tcPr>
            <w:tcW w:w="1249" w:type="pct"/>
            <w:noWrap w:val="0"/>
            <w:vAlign w:val="center"/>
          </w:tcPr>
          <w:p w14:paraId="630E81FA">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3DF59E7F">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78414884">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6B2FCA51">
            <w:pPr>
              <w:pStyle w:val="31"/>
              <w:bidi w:val="0"/>
              <w:rPr>
                <w:rFonts w:hint="default" w:ascii="Times New Roman" w:hAnsi="Times New Roman" w:cs="Times New Roman"/>
                <w:color w:val="auto"/>
              </w:rPr>
            </w:pPr>
            <w:r>
              <w:rPr>
                <w:rFonts w:hint="default" w:ascii="Times New Roman" w:hAnsi="Times New Roman" w:cs="Times New Roman"/>
                <w:color w:val="auto"/>
              </w:rPr>
              <w:t>100</w:t>
            </w:r>
          </w:p>
        </w:tc>
        <w:tc>
          <w:tcPr>
            <w:tcW w:w="360" w:type="pct"/>
            <w:noWrap w:val="0"/>
            <w:vAlign w:val="center"/>
          </w:tcPr>
          <w:p w14:paraId="37FAE22F">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3120B4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6657F268">
            <w:pPr>
              <w:pStyle w:val="31"/>
              <w:bidi w:val="0"/>
              <w:rPr>
                <w:rFonts w:hint="default" w:ascii="Times New Roman" w:hAnsi="Times New Roman" w:cs="Times New Roman"/>
                <w:color w:val="auto"/>
              </w:rPr>
            </w:pPr>
          </w:p>
        </w:tc>
        <w:tc>
          <w:tcPr>
            <w:tcW w:w="399" w:type="pct"/>
            <w:noWrap w:val="0"/>
            <w:vAlign w:val="center"/>
          </w:tcPr>
          <w:p w14:paraId="21D2F9A6">
            <w:pPr>
              <w:pStyle w:val="31"/>
              <w:bidi w:val="0"/>
              <w:rPr>
                <w:rFonts w:hint="default" w:ascii="Times New Roman" w:hAnsi="Times New Roman" w:cs="Times New Roman"/>
                <w:color w:val="auto"/>
              </w:rPr>
            </w:pPr>
            <w:r>
              <w:rPr>
                <w:rFonts w:hint="default" w:ascii="Times New Roman" w:hAnsi="Times New Roman" w:cs="Times New Roman"/>
                <w:color w:val="auto"/>
              </w:rPr>
              <w:t>南</w:t>
            </w:r>
          </w:p>
        </w:tc>
        <w:tc>
          <w:tcPr>
            <w:tcW w:w="1022" w:type="pct"/>
            <w:noWrap/>
            <w:vAlign w:val="center"/>
          </w:tcPr>
          <w:p w14:paraId="659BA804">
            <w:pPr>
              <w:pStyle w:val="31"/>
              <w:bidi w:val="0"/>
              <w:rPr>
                <w:rFonts w:hint="default" w:ascii="Times New Roman" w:hAnsi="Times New Roman" w:cs="Times New Roman"/>
                <w:color w:val="auto"/>
              </w:rPr>
            </w:pPr>
            <w:r>
              <w:rPr>
                <w:rFonts w:hint="default" w:ascii="Times New Roman" w:hAnsi="Times New Roman" w:cs="Times New Roman"/>
                <w:color w:val="auto"/>
              </w:rPr>
              <w:t>十一图村</w:t>
            </w:r>
          </w:p>
        </w:tc>
        <w:tc>
          <w:tcPr>
            <w:tcW w:w="510" w:type="pct"/>
            <w:vMerge w:val="continue"/>
            <w:noWrap w:val="0"/>
            <w:vAlign w:val="center"/>
          </w:tcPr>
          <w:p w14:paraId="126237E5">
            <w:pPr>
              <w:pStyle w:val="31"/>
              <w:bidi w:val="0"/>
              <w:rPr>
                <w:rFonts w:hint="default" w:ascii="Times New Roman" w:hAnsi="Times New Roman" w:cs="Times New Roman"/>
                <w:color w:val="auto"/>
              </w:rPr>
            </w:pPr>
          </w:p>
        </w:tc>
        <w:tc>
          <w:tcPr>
            <w:tcW w:w="564" w:type="pct"/>
            <w:noWrap/>
            <w:vAlign w:val="center"/>
          </w:tcPr>
          <w:p w14:paraId="7600AE61">
            <w:pPr>
              <w:pStyle w:val="31"/>
              <w:bidi w:val="0"/>
              <w:rPr>
                <w:rFonts w:hint="default" w:ascii="Times New Roman" w:hAnsi="Times New Roman" w:cs="Times New Roman"/>
                <w:color w:val="auto"/>
              </w:rPr>
            </w:pPr>
            <w:r>
              <w:rPr>
                <w:rFonts w:hint="default" w:ascii="Times New Roman" w:hAnsi="Times New Roman" w:cs="Times New Roman"/>
                <w:color w:val="auto"/>
              </w:rPr>
              <w:t>约1.</w:t>
            </w:r>
            <w:r>
              <w:rPr>
                <w:rFonts w:hint="default" w:ascii="Times New Roman" w:hAnsi="Times New Roman" w:cs="Times New Roman"/>
                <w:color w:val="auto"/>
                <w:lang w:val="en-US" w:eastAsia="zh-CN"/>
              </w:rPr>
              <w:t>2</w:t>
            </w:r>
            <w:r>
              <w:rPr>
                <w:rFonts w:hint="default" w:ascii="Times New Roman" w:hAnsi="Times New Roman" w:cs="Times New Roman"/>
                <w:color w:val="auto"/>
              </w:rPr>
              <w:t>km</w:t>
            </w:r>
          </w:p>
        </w:tc>
        <w:tc>
          <w:tcPr>
            <w:tcW w:w="1249" w:type="pct"/>
            <w:noWrap w:val="0"/>
            <w:vAlign w:val="center"/>
          </w:tcPr>
          <w:p w14:paraId="5A86E687">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725172B0">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5DEC2379">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7E7FEC8B">
            <w:pPr>
              <w:pStyle w:val="31"/>
              <w:bidi w:val="0"/>
              <w:rPr>
                <w:rFonts w:hint="default" w:ascii="Times New Roman" w:hAnsi="Times New Roman" w:cs="Times New Roman"/>
                <w:color w:val="auto"/>
              </w:rPr>
            </w:pPr>
            <w:r>
              <w:rPr>
                <w:rFonts w:hint="default" w:ascii="Times New Roman" w:hAnsi="Times New Roman" w:cs="Times New Roman"/>
                <w:color w:val="auto"/>
              </w:rPr>
              <w:t>100</w:t>
            </w:r>
          </w:p>
        </w:tc>
        <w:tc>
          <w:tcPr>
            <w:tcW w:w="360" w:type="pct"/>
            <w:noWrap w:val="0"/>
            <w:vAlign w:val="center"/>
          </w:tcPr>
          <w:p w14:paraId="55F6A6F0">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1C519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noWrap/>
            <w:vAlign w:val="center"/>
          </w:tcPr>
          <w:p w14:paraId="1D6F1E58">
            <w:pPr>
              <w:pStyle w:val="31"/>
              <w:bidi w:val="0"/>
              <w:rPr>
                <w:rFonts w:hint="default" w:ascii="Times New Roman" w:hAnsi="Times New Roman" w:cs="Times New Roman"/>
                <w:color w:val="auto"/>
              </w:rPr>
            </w:pPr>
            <w:r>
              <w:rPr>
                <w:rFonts w:hint="default" w:ascii="Times New Roman" w:hAnsi="Times New Roman" w:cs="Times New Roman"/>
                <w:color w:val="auto"/>
              </w:rPr>
              <w:t>学校</w:t>
            </w:r>
          </w:p>
        </w:tc>
        <w:tc>
          <w:tcPr>
            <w:tcW w:w="399" w:type="pct"/>
            <w:noWrap w:val="0"/>
            <w:vAlign w:val="center"/>
          </w:tcPr>
          <w:p w14:paraId="2FCCF13D">
            <w:pPr>
              <w:pStyle w:val="31"/>
              <w:bidi w:val="0"/>
              <w:rPr>
                <w:rFonts w:hint="default" w:ascii="Times New Roman" w:hAnsi="Times New Roman" w:cs="Times New Roman"/>
                <w:color w:val="auto"/>
              </w:rPr>
            </w:pPr>
            <w:r>
              <w:rPr>
                <w:rFonts w:hint="default" w:ascii="Times New Roman" w:hAnsi="Times New Roman" w:cs="Times New Roman"/>
                <w:color w:val="auto"/>
              </w:rPr>
              <w:t>东南</w:t>
            </w:r>
          </w:p>
        </w:tc>
        <w:tc>
          <w:tcPr>
            <w:tcW w:w="1022" w:type="pct"/>
            <w:noWrap w:val="0"/>
            <w:vAlign w:val="center"/>
          </w:tcPr>
          <w:p w14:paraId="5B98703E">
            <w:pPr>
              <w:pStyle w:val="31"/>
              <w:bidi w:val="0"/>
              <w:rPr>
                <w:rFonts w:hint="default" w:ascii="Times New Roman" w:hAnsi="Times New Roman" w:cs="Times New Roman"/>
                <w:color w:val="auto"/>
              </w:rPr>
            </w:pPr>
            <w:r>
              <w:rPr>
                <w:rFonts w:hint="default" w:ascii="Times New Roman" w:hAnsi="Times New Roman" w:cs="Times New Roman"/>
                <w:color w:val="auto"/>
              </w:rPr>
              <w:t>史口镇中学</w:t>
            </w:r>
          </w:p>
        </w:tc>
        <w:tc>
          <w:tcPr>
            <w:tcW w:w="510" w:type="pct"/>
            <w:vMerge w:val="continue"/>
            <w:noWrap w:val="0"/>
            <w:vAlign w:val="center"/>
          </w:tcPr>
          <w:p w14:paraId="5FA0E9E2">
            <w:pPr>
              <w:pStyle w:val="31"/>
              <w:bidi w:val="0"/>
              <w:rPr>
                <w:rFonts w:hint="default" w:ascii="Times New Roman" w:hAnsi="Times New Roman" w:cs="Times New Roman"/>
                <w:color w:val="auto"/>
              </w:rPr>
            </w:pPr>
          </w:p>
        </w:tc>
        <w:tc>
          <w:tcPr>
            <w:tcW w:w="564" w:type="pct"/>
            <w:noWrap/>
            <w:vAlign w:val="center"/>
          </w:tcPr>
          <w:p w14:paraId="1CBCC8E2">
            <w:pPr>
              <w:pStyle w:val="31"/>
              <w:bidi w:val="0"/>
              <w:rPr>
                <w:rFonts w:hint="default" w:ascii="Times New Roman" w:hAnsi="Times New Roman" w:cs="Times New Roman"/>
                <w:color w:val="auto"/>
              </w:rPr>
            </w:pPr>
            <w:r>
              <w:rPr>
                <w:rFonts w:hint="default" w:ascii="Times New Roman" w:hAnsi="Times New Roman" w:cs="Times New Roman"/>
                <w:color w:val="auto"/>
              </w:rPr>
              <w:t>约</w:t>
            </w:r>
            <w:r>
              <w:rPr>
                <w:rFonts w:hint="default" w:ascii="Times New Roman" w:hAnsi="Times New Roman" w:cs="Times New Roman"/>
                <w:color w:val="auto"/>
                <w:lang w:val="en-US" w:eastAsia="zh-CN"/>
              </w:rPr>
              <w:t>1.</w:t>
            </w:r>
            <w:r>
              <w:rPr>
                <w:rFonts w:hint="eastAsia" w:cs="Times New Roman"/>
                <w:color w:val="auto"/>
                <w:lang w:val="en-US" w:eastAsia="zh-CN"/>
              </w:rPr>
              <w:t>8</w:t>
            </w:r>
            <w:r>
              <w:rPr>
                <w:rFonts w:hint="default" w:ascii="Times New Roman" w:hAnsi="Times New Roman" w:cs="Times New Roman"/>
                <w:color w:val="auto"/>
              </w:rPr>
              <w:t>km</w:t>
            </w:r>
          </w:p>
        </w:tc>
        <w:tc>
          <w:tcPr>
            <w:tcW w:w="1249" w:type="pct"/>
            <w:noWrap w:val="0"/>
            <w:vAlign w:val="center"/>
          </w:tcPr>
          <w:p w14:paraId="2D635AA4">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2192859F">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0D0E6964">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3FC3A4C7">
            <w:pPr>
              <w:pStyle w:val="31"/>
              <w:bidi w:val="0"/>
              <w:rPr>
                <w:rFonts w:hint="default" w:ascii="Times New Roman" w:hAnsi="Times New Roman" w:cs="Times New Roman"/>
                <w:color w:val="auto"/>
              </w:rPr>
            </w:pPr>
            <w:r>
              <w:rPr>
                <w:rFonts w:hint="default" w:ascii="Times New Roman" w:hAnsi="Times New Roman" w:cs="Times New Roman"/>
                <w:color w:val="auto"/>
              </w:rPr>
              <w:t>100</w:t>
            </w:r>
          </w:p>
        </w:tc>
        <w:tc>
          <w:tcPr>
            <w:tcW w:w="360" w:type="pct"/>
            <w:noWrap w:val="0"/>
            <w:vAlign w:val="center"/>
          </w:tcPr>
          <w:p w14:paraId="4AD62C6F">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6BB5F4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restart"/>
            <w:noWrap w:val="0"/>
            <w:vAlign w:val="center"/>
          </w:tcPr>
          <w:p w14:paraId="284F7B05">
            <w:pPr>
              <w:pStyle w:val="31"/>
              <w:bidi w:val="0"/>
              <w:rPr>
                <w:rFonts w:hint="default" w:ascii="Times New Roman" w:hAnsi="Times New Roman" w:cs="Times New Roman"/>
                <w:color w:val="auto"/>
              </w:rPr>
            </w:pPr>
            <w:r>
              <w:rPr>
                <w:rFonts w:hint="default" w:ascii="Times New Roman" w:hAnsi="Times New Roman" w:cs="Times New Roman"/>
                <w:color w:val="auto"/>
              </w:rPr>
              <w:t>相邻工厂</w:t>
            </w:r>
          </w:p>
        </w:tc>
        <w:tc>
          <w:tcPr>
            <w:tcW w:w="399" w:type="pct"/>
            <w:noWrap w:val="0"/>
            <w:vAlign w:val="center"/>
          </w:tcPr>
          <w:p w14:paraId="4AF11CB6">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东</w:t>
            </w:r>
          </w:p>
        </w:tc>
        <w:tc>
          <w:tcPr>
            <w:tcW w:w="1022" w:type="pct"/>
            <w:noWrap w:val="0"/>
            <w:vAlign w:val="center"/>
          </w:tcPr>
          <w:p w14:paraId="4C31B192">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昊元宾馆</w:t>
            </w:r>
          </w:p>
        </w:tc>
        <w:tc>
          <w:tcPr>
            <w:tcW w:w="510" w:type="pct"/>
            <w:vMerge w:val="continue"/>
            <w:noWrap w:val="0"/>
            <w:vAlign w:val="center"/>
          </w:tcPr>
          <w:p w14:paraId="470C1196">
            <w:pPr>
              <w:pStyle w:val="31"/>
              <w:bidi w:val="0"/>
              <w:rPr>
                <w:rFonts w:hint="default" w:ascii="Times New Roman" w:hAnsi="Times New Roman" w:cs="Times New Roman"/>
                <w:color w:val="auto"/>
                <w:highlight w:val="yellow"/>
              </w:rPr>
            </w:pPr>
          </w:p>
        </w:tc>
        <w:tc>
          <w:tcPr>
            <w:tcW w:w="564" w:type="pct"/>
            <w:noWrap/>
            <w:vAlign w:val="center"/>
          </w:tcPr>
          <w:p w14:paraId="5A3FC541">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8</w:t>
            </w:r>
            <w:r>
              <w:rPr>
                <w:rFonts w:hint="eastAsia" w:cs="Times New Roman"/>
                <w:color w:val="auto"/>
                <w:highlight w:val="none"/>
                <w:lang w:val="en-US" w:eastAsia="zh-CN"/>
              </w:rPr>
              <w:t>1</w:t>
            </w:r>
            <w:r>
              <w:rPr>
                <w:rFonts w:hint="default" w:ascii="Times New Roman" w:hAnsi="Times New Roman" w:cs="Times New Roman"/>
                <w:color w:val="auto"/>
                <w:highlight w:val="none"/>
                <w:lang w:val="en-US" w:eastAsia="zh-CN"/>
              </w:rPr>
              <w:t>0</w:t>
            </w:r>
            <w:r>
              <w:rPr>
                <w:rFonts w:hint="default" w:ascii="Times New Roman" w:hAnsi="Times New Roman" w:cs="Times New Roman"/>
                <w:color w:val="auto"/>
                <w:highlight w:val="none"/>
              </w:rPr>
              <w:t>m</w:t>
            </w:r>
          </w:p>
        </w:tc>
        <w:tc>
          <w:tcPr>
            <w:tcW w:w="1249" w:type="pct"/>
            <w:noWrap w:val="0"/>
            <w:vAlign w:val="center"/>
          </w:tcPr>
          <w:p w14:paraId="5962D3CD">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GB50160-2008</w:t>
            </w:r>
          </w:p>
          <w:p w14:paraId="70D3B216">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（2018</w:t>
            </w:r>
            <w:r>
              <w:rPr>
                <w:rFonts w:hint="default" w:ascii="Times New Roman" w:hAnsi="Times New Roman" w:cs="Times New Roman"/>
                <w:color w:val="auto"/>
                <w:highlight w:val="none"/>
                <w:lang w:val="en-US" w:eastAsia="zh-CN"/>
              </w:rPr>
              <w:t>版</w:t>
            </w:r>
            <w:r>
              <w:rPr>
                <w:rFonts w:hint="default" w:ascii="Times New Roman" w:hAnsi="Times New Roman" w:cs="Times New Roman"/>
                <w:color w:val="auto"/>
                <w:highlight w:val="none"/>
              </w:rPr>
              <w:t>）</w:t>
            </w:r>
          </w:p>
          <w:p w14:paraId="5AC11D8B">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4.1.9</w:t>
            </w:r>
          </w:p>
        </w:tc>
        <w:tc>
          <w:tcPr>
            <w:tcW w:w="442" w:type="pct"/>
            <w:noWrap w:val="0"/>
            <w:vAlign w:val="center"/>
          </w:tcPr>
          <w:p w14:paraId="594309B5">
            <w:pPr>
              <w:pStyle w:val="31"/>
              <w:bidi w:val="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100</w:t>
            </w:r>
          </w:p>
        </w:tc>
        <w:tc>
          <w:tcPr>
            <w:tcW w:w="360" w:type="pct"/>
            <w:noWrap w:val="0"/>
            <w:vAlign w:val="center"/>
          </w:tcPr>
          <w:p w14:paraId="68DAFF5F">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符合</w:t>
            </w:r>
          </w:p>
        </w:tc>
      </w:tr>
      <w:tr w14:paraId="76797D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037B9E6D">
            <w:pPr>
              <w:pStyle w:val="31"/>
              <w:bidi w:val="0"/>
              <w:rPr>
                <w:rFonts w:hint="default" w:ascii="Times New Roman" w:hAnsi="Times New Roman" w:cs="Times New Roman"/>
                <w:color w:val="auto"/>
              </w:rPr>
            </w:pPr>
          </w:p>
        </w:tc>
        <w:tc>
          <w:tcPr>
            <w:tcW w:w="399" w:type="pct"/>
            <w:noWrap w:val="0"/>
            <w:vAlign w:val="center"/>
          </w:tcPr>
          <w:p w14:paraId="22B9C8C9">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东</w:t>
            </w:r>
          </w:p>
        </w:tc>
        <w:tc>
          <w:tcPr>
            <w:tcW w:w="1022" w:type="pct"/>
            <w:noWrap w:val="0"/>
            <w:vAlign w:val="center"/>
          </w:tcPr>
          <w:p w14:paraId="51E2800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228省道</w:t>
            </w:r>
          </w:p>
        </w:tc>
        <w:tc>
          <w:tcPr>
            <w:tcW w:w="510" w:type="pct"/>
            <w:vMerge w:val="continue"/>
            <w:noWrap w:val="0"/>
            <w:vAlign w:val="center"/>
          </w:tcPr>
          <w:p w14:paraId="14502B89">
            <w:pPr>
              <w:pStyle w:val="31"/>
              <w:bidi w:val="0"/>
              <w:rPr>
                <w:rFonts w:hint="default" w:ascii="Times New Roman" w:hAnsi="Times New Roman" w:cs="Times New Roman"/>
                <w:color w:val="auto"/>
              </w:rPr>
            </w:pPr>
          </w:p>
        </w:tc>
        <w:tc>
          <w:tcPr>
            <w:tcW w:w="564" w:type="pct"/>
            <w:noWrap/>
            <w:vAlign w:val="center"/>
          </w:tcPr>
          <w:p w14:paraId="4E59E6E1">
            <w:pPr>
              <w:pStyle w:val="31"/>
              <w:bidi w:val="0"/>
              <w:rPr>
                <w:rFonts w:hint="default" w:ascii="Times New Roman" w:hAnsi="Times New Roman" w:cs="Times New Roman"/>
                <w:color w:val="auto"/>
              </w:rPr>
            </w:pPr>
            <w:r>
              <w:rPr>
                <w:rFonts w:hint="default" w:ascii="Times New Roman" w:hAnsi="Times New Roman" w:cs="Times New Roman"/>
                <w:color w:val="auto"/>
                <w:lang w:val="en-US" w:eastAsia="zh-CN"/>
              </w:rPr>
              <w:t>约</w:t>
            </w:r>
            <w:r>
              <w:rPr>
                <w:rFonts w:hint="eastAsia" w:cs="Times New Roman"/>
                <w:color w:val="auto"/>
                <w:lang w:val="en-US" w:eastAsia="zh-CN"/>
              </w:rPr>
              <w:t>770</w:t>
            </w:r>
            <w:r>
              <w:rPr>
                <w:rFonts w:hint="default" w:ascii="Times New Roman" w:hAnsi="Times New Roman" w:cs="Times New Roman"/>
                <w:color w:val="auto"/>
              </w:rPr>
              <w:t>m</w:t>
            </w:r>
          </w:p>
        </w:tc>
        <w:tc>
          <w:tcPr>
            <w:tcW w:w="1249" w:type="pct"/>
            <w:noWrap w:val="0"/>
            <w:vAlign w:val="center"/>
          </w:tcPr>
          <w:p w14:paraId="4D44EDFE">
            <w:pPr>
              <w:pStyle w:val="31"/>
              <w:bidi w:val="0"/>
              <w:rPr>
                <w:rFonts w:hint="default" w:ascii="Times New Roman" w:hAnsi="Times New Roman" w:cs="Times New Roman"/>
                <w:color w:val="auto"/>
              </w:rPr>
            </w:pPr>
            <w:r>
              <w:rPr>
                <w:rFonts w:hint="default" w:ascii="Times New Roman" w:hAnsi="Times New Roman" w:cs="Times New Roman"/>
                <w:color w:val="auto"/>
              </w:rPr>
              <w:t>GB50160-2008（2018）</w:t>
            </w:r>
          </w:p>
          <w:p w14:paraId="7F802FF0">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5C77160F">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20</w:t>
            </w:r>
          </w:p>
        </w:tc>
        <w:tc>
          <w:tcPr>
            <w:tcW w:w="360" w:type="pct"/>
            <w:noWrap w:val="0"/>
            <w:vAlign w:val="center"/>
          </w:tcPr>
          <w:p w14:paraId="1F30DB0E">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43DAF5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97" w:hRule="atLeast"/>
          <w:jc w:val="center"/>
        </w:trPr>
        <w:tc>
          <w:tcPr>
            <w:tcW w:w="450" w:type="pct"/>
            <w:vMerge w:val="continue"/>
            <w:noWrap w:val="0"/>
            <w:vAlign w:val="center"/>
          </w:tcPr>
          <w:p w14:paraId="5B2B7712">
            <w:pPr>
              <w:pStyle w:val="31"/>
              <w:bidi w:val="0"/>
              <w:rPr>
                <w:rFonts w:hint="default" w:ascii="Times New Roman" w:hAnsi="Times New Roman" w:cs="Times New Roman"/>
                <w:color w:val="auto"/>
              </w:rPr>
            </w:pPr>
          </w:p>
        </w:tc>
        <w:tc>
          <w:tcPr>
            <w:tcW w:w="399" w:type="pct"/>
            <w:noWrap w:val="0"/>
            <w:vAlign w:val="center"/>
          </w:tcPr>
          <w:p w14:paraId="76DB3AE5">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北</w:t>
            </w:r>
          </w:p>
        </w:tc>
        <w:tc>
          <w:tcPr>
            <w:tcW w:w="1022" w:type="pct"/>
            <w:noWrap w:val="0"/>
            <w:vAlign w:val="center"/>
          </w:tcPr>
          <w:p w14:paraId="4702CC97">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稠油末站</w:t>
            </w:r>
          </w:p>
        </w:tc>
        <w:tc>
          <w:tcPr>
            <w:tcW w:w="510" w:type="pct"/>
            <w:vMerge w:val="continue"/>
            <w:noWrap w:val="0"/>
            <w:vAlign w:val="center"/>
          </w:tcPr>
          <w:p w14:paraId="1D2AB8FF">
            <w:pPr>
              <w:pStyle w:val="31"/>
              <w:bidi w:val="0"/>
              <w:rPr>
                <w:rFonts w:hint="default" w:ascii="Times New Roman" w:hAnsi="Times New Roman" w:cs="Times New Roman"/>
                <w:color w:val="auto"/>
                <w:highlight w:val="none"/>
              </w:rPr>
            </w:pPr>
          </w:p>
        </w:tc>
        <w:tc>
          <w:tcPr>
            <w:tcW w:w="564" w:type="pct"/>
            <w:noWrap/>
            <w:vAlign w:val="center"/>
          </w:tcPr>
          <w:p w14:paraId="18261C09">
            <w:pPr>
              <w:pStyle w:val="31"/>
              <w:bidi w:val="0"/>
              <w:rPr>
                <w:rFonts w:hint="default" w:ascii="Times New Roman" w:hAnsi="Times New Roman" w:cs="Times New Roman"/>
                <w:color w:val="auto"/>
                <w:highlight w:val="none"/>
              </w:rPr>
            </w:pPr>
            <w:r>
              <w:rPr>
                <w:rFonts w:hint="default" w:ascii="Times New Roman" w:hAnsi="Times New Roman" w:cs="Times New Roman"/>
                <w:color w:val="auto"/>
                <w:lang w:val="en-US" w:eastAsia="zh-CN"/>
              </w:rPr>
              <w:t>约</w:t>
            </w:r>
            <w:r>
              <w:rPr>
                <w:rFonts w:hint="eastAsia" w:cs="Times New Roman"/>
                <w:color w:val="auto"/>
                <w:lang w:val="en-US" w:eastAsia="zh-CN"/>
              </w:rPr>
              <w:t>600</w:t>
            </w:r>
            <w:r>
              <w:rPr>
                <w:rFonts w:hint="default" w:ascii="Times New Roman" w:hAnsi="Times New Roman" w:cs="Times New Roman"/>
                <w:color w:val="auto"/>
                <w:highlight w:val="none"/>
              </w:rPr>
              <w:t>m</w:t>
            </w:r>
          </w:p>
        </w:tc>
        <w:tc>
          <w:tcPr>
            <w:tcW w:w="1249" w:type="pct"/>
            <w:noWrap w:val="0"/>
            <w:vAlign w:val="center"/>
          </w:tcPr>
          <w:p w14:paraId="082C5196">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GB50160-2008</w:t>
            </w:r>
          </w:p>
          <w:p w14:paraId="097DD531">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（2018</w:t>
            </w:r>
            <w:r>
              <w:rPr>
                <w:rFonts w:hint="default" w:ascii="Times New Roman" w:hAnsi="Times New Roman" w:cs="Times New Roman"/>
                <w:color w:val="auto"/>
                <w:highlight w:val="none"/>
                <w:lang w:val="en-US" w:eastAsia="zh-CN"/>
              </w:rPr>
              <w:t>版</w:t>
            </w:r>
            <w:r>
              <w:rPr>
                <w:rFonts w:hint="default" w:ascii="Times New Roman" w:hAnsi="Times New Roman" w:cs="Times New Roman"/>
                <w:color w:val="auto"/>
                <w:highlight w:val="none"/>
              </w:rPr>
              <w:t>）</w:t>
            </w:r>
          </w:p>
          <w:p w14:paraId="231C2AA2">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4.1.9</w:t>
            </w:r>
          </w:p>
        </w:tc>
        <w:tc>
          <w:tcPr>
            <w:tcW w:w="442" w:type="pct"/>
            <w:noWrap w:val="0"/>
            <w:vAlign w:val="center"/>
          </w:tcPr>
          <w:p w14:paraId="33B76C00">
            <w:pPr>
              <w:pStyle w:val="31"/>
              <w:bidi w:val="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50</w:t>
            </w:r>
          </w:p>
        </w:tc>
        <w:tc>
          <w:tcPr>
            <w:tcW w:w="360" w:type="pct"/>
            <w:noWrap w:val="0"/>
            <w:vAlign w:val="center"/>
          </w:tcPr>
          <w:p w14:paraId="7099F2A6">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符合</w:t>
            </w:r>
          </w:p>
        </w:tc>
      </w:tr>
      <w:tr w14:paraId="412F0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1CE3075D">
            <w:pPr>
              <w:pStyle w:val="31"/>
              <w:bidi w:val="0"/>
              <w:rPr>
                <w:rFonts w:hint="default" w:ascii="Times New Roman" w:hAnsi="Times New Roman" w:cs="Times New Roman"/>
                <w:color w:val="auto"/>
              </w:rPr>
            </w:pPr>
          </w:p>
        </w:tc>
        <w:tc>
          <w:tcPr>
            <w:tcW w:w="399" w:type="pct"/>
            <w:noWrap w:val="0"/>
            <w:vAlign w:val="center"/>
          </w:tcPr>
          <w:p w14:paraId="2AC3FE65">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北</w:t>
            </w:r>
          </w:p>
        </w:tc>
        <w:tc>
          <w:tcPr>
            <w:tcW w:w="1022" w:type="pct"/>
            <w:noWrap w:val="0"/>
            <w:vAlign w:val="center"/>
          </w:tcPr>
          <w:p w14:paraId="3453FE57">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海科石化</w:t>
            </w:r>
            <w:r>
              <w:rPr>
                <w:rFonts w:hint="default" w:ascii="Times New Roman" w:hAnsi="Times New Roman" w:cs="Times New Roman"/>
                <w:color w:val="auto"/>
                <w:lang w:eastAsia="zh-CN"/>
              </w:rPr>
              <w:t>（</w:t>
            </w:r>
            <w:r>
              <w:rPr>
                <w:rFonts w:hint="default" w:ascii="Times New Roman" w:hAnsi="Times New Roman" w:cs="Times New Roman"/>
                <w:color w:val="auto"/>
              </w:rPr>
              <w:t>石油化工企业</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办公楼</w:t>
            </w:r>
          </w:p>
        </w:tc>
        <w:tc>
          <w:tcPr>
            <w:tcW w:w="510" w:type="pct"/>
            <w:vMerge w:val="continue"/>
            <w:noWrap w:val="0"/>
            <w:vAlign w:val="center"/>
          </w:tcPr>
          <w:p w14:paraId="1E01B0FF">
            <w:pPr>
              <w:pStyle w:val="31"/>
              <w:bidi w:val="0"/>
              <w:rPr>
                <w:rFonts w:hint="default" w:ascii="Times New Roman" w:hAnsi="Times New Roman" w:cs="Times New Roman"/>
                <w:color w:val="auto"/>
                <w:highlight w:val="red"/>
              </w:rPr>
            </w:pPr>
          </w:p>
        </w:tc>
        <w:tc>
          <w:tcPr>
            <w:tcW w:w="564" w:type="pct"/>
            <w:noWrap/>
            <w:vAlign w:val="center"/>
          </w:tcPr>
          <w:p w14:paraId="4654DF2F">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约430</w:t>
            </w:r>
            <w:r>
              <w:rPr>
                <w:rFonts w:hint="default" w:ascii="Times New Roman" w:hAnsi="Times New Roman" w:cs="Times New Roman"/>
                <w:color w:val="auto"/>
                <w:highlight w:val="none"/>
              </w:rPr>
              <w:t>m</w:t>
            </w:r>
          </w:p>
        </w:tc>
        <w:tc>
          <w:tcPr>
            <w:tcW w:w="1249" w:type="pct"/>
            <w:noWrap w:val="0"/>
            <w:vAlign w:val="center"/>
          </w:tcPr>
          <w:p w14:paraId="5081C636">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GB50160-2008</w:t>
            </w:r>
          </w:p>
          <w:p w14:paraId="56924CA4">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（2018</w:t>
            </w:r>
            <w:r>
              <w:rPr>
                <w:rFonts w:hint="default" w:ascii="Times New Roman" w:hAnsi="Times New Roman" w:cs="Times New Roman"/>
                <w:color w:val="auto"/>
                <w:highlight w:val="none"/>
                <w:lang w:val="en-US" w:eastAsia="zh-CN"/>
              </w:rPr>
              <w:t>版</w:t>
            </w:r>
            <w:r>
              <w:rPr>
                <w:rFonts w:hint="default" w:ascii="Times New Roman" w:hAnsi="Times New Roman" w:cs="Times New Roman"/>
                <w:color w:val="auto"/>
                <w:highlight w:val="none"/>
              </w:rPr>
              <w:t>）</w:t>
            </w:r>
          </w:p>
          <w:p w14:paraId="45244471">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4.1.10</w:t>
            </w:r>
          </w:p>
        </w:tc>
        <w:tc>
          <w:tcPr>
            <w:tcW w:w="442" w:type="pct"/>
            <w:noWrap w:val="0"/>
            <w:vAlign w:val="center"/>
          </w:tcPr>
          <w:p w14:paraId="5FDF3B29">
            <w:pPr>
              <w:pStyle w:val="31"/>
              <w:bidi w:val="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40</w:t>
            </w:r>
          </w:p>
        </w:tc>
        <w:tc>
          <w:tcPr>
            <w:tcW w:w="360" w:type="pct"/>
            <w:noWrap w:val="0"/>
            <w:vAlign w:val="center"/>
          </w:tcPr>
          <w:p w14:paraId="041736DD">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符合</w:t>
            </w:r>
          </w:p>
        </w:tc>
      </w:tr>
      <w:tr w14:paraId="7FEAE9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2DC23E42">
            <w:pPr>
              <w:pStyle w:val="31"/>
              <w:bidi w:val="0"/>
              <w:rPr>
                <w:rFonts w:hint="default" w:ascii="Times New Roman" w:hAnsi="Times New Roman" w:cs="Times New Roman"/>
                <w:color w:val="auto"/>
              </w:rPr>
            </w:pPr>
          </w:p>
        </w:tc>
        <w:tc>
          <w:tcPr>
            <w:tcW w:w="399" w:type="pct"/>
            <w:noWrap w:val="0"/>
            <w:vAlign w:val="center"/>
          </w:tcPr>
          <w:p w14:paraId="553DE2EA">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东北</w:t>
            </w:r>
          </w:p>
        </w:tc>
        <w:tc>
          <w:tcPr>
            <w:tcW w:w="1022" w:type="pct"/>
            <w:noWrap w:val="0"/>
            <w:vAlign w:val="center"/>
          </w:tcPr>
          <w:p w14:paraId="0F0BA60D">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东营市鑫博化工有限责任公司（石油化工企业）办公室</w:t>
            </w:r>
          </w:p>
        </w:tc>
        <w:tc>
          <w:tcPr>
            <w:tcW w:w="510" w:type="pct"/>
            <w:vMerge w:val="continue"/>
            <w:noWrap w:val="0"/>
            <w:vAlign w:val="center"/>
          </w:tcPr>
          <w:p w14:paraId="540BC351">
            <w:pPr>
              <w:pStyle w:val="31"/>
              <w:bidi w:val="0"/>
              <w:rPr>
                <w:rFonts w:hint="default" w:ascii="Times New Roman" w:hAnsi="Times New Roman" w:cs="Times New Roman"/>
                <w:color w:val="auto"/>
              </w:rPr>
            </w:pPr>
          </w:p>
        </w:tc>
        <w:tc>
          <w:tcPr>
            <w:tcW w:w="564" w:type="pct"/>
            <w:noWrap/>
            <w:vAlign w:val="center"/>
          </w:tcPr>
          <w:p w14:paraId="2D0F53D1">
            <w:pPr>
              <w:pStyle w:val="31"/>
              <w:bidi w:val="0"/>
              <w:rPr>
                <w:rFonts w:hint="default" w:ascii="Times New Roman" w:hAnsi="Times New Roman" w:cs="Times New Roman"/>
                <w:color w:val="auto"/>
              </w:rPr>
            </w:pPr>
            <w:r>
              <w:rPr>
                <w:rFonts w:hint="default" w:ascii="Times New Roman" w:hAnsi="Times New Roman" w:cs="Times New Roman"/>
                <w:color w:val="auto"/>
                <w:highlight w:val="none"/>
                <w:lang w:val="en-US" w:eastAsia="zh-CN"/>
              </w:rPr>
              <w:t>约</w:t>
            </w:r>
            <w:r>
              <w:rPr>
                <w:rFonts w:hint="eastAsia" w:cs="Times New Roman"/>
                <w:color w:val="auto"/>
                <w:highlight w:val="none"/>
                <w:lang w:val="en-US" w:eastAsia="zh-CN"/>
              </w:rPr>
              <w:t>490</w:t>
            </w:r>
            <w:r>
              <w:rPr>
                <w:rFonts w:hint="default" w:ascii="Times New Roman" w:hAnsi="Times New Roman" w:cs="Times New Roman"/>
                <w:color w:val="auto"/>
                <w:highlight w:val="none"/>
              </w:rPr>
              <w:t>m</w:t>
            </w:r>
          </w:p>
        </w:tc>
        <w:tc>
          <w:tcPr>
            <w:tcW w:w="1249" w:type="pct"/>
            <w:noWrap w:val="0"/>
            <w:vAlign w:val="center"/>
          </w:tcPr>
          <w:p w14:paraId="69FDC94E">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2226AD16">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43C649F5">
            <w:pPr>
              <w:pStyle w:val="31"/>
              <w:bidi w:val="0"/>
              <w:rPr>
                <w:rFonts w:hint="default" w:ascii="Times New Roman" w:hAnsi="Times New Roman" w:cs="Times New Roman"/>
                <w:color w:val="auto"/>
              </w:rPr>
            </w:pPr>
            <w:r>
              <w:rPr>
                <w:rFonts w:hint="default" w:ascii="Times New Roman" w:hAnsi="Times New Roman" w:cs="Times New Roman"/>
                <w:color w:val="auto"/>
              </w:rPr>
              <w:t>4.1.10</w:t>
            </w:r>
          </w:p>
        </w:tc>
        <w:tc>
          <w:tcPr>
            <w:tcW w:w="442" w:type="pct"/>
            <w:noWrap w:val="0"/>
            <w:vAlign w:val="center"/>
          </w:tcPr>
          <w:p w14:paraId="7B2907CA">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40</w:t>
            </w:r>
          </w:p>
        </w:tc>
        <w:tc>
          <w:tcPr>
            <w:tcW w:w="360" w:type="pct"/>
            <w:noWrap w:val="0"/>
            <w:vAlign w:val="center"/>
          </w:tcPr>
          <w:p w14:paraId="743BC42C">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464D92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541510AD">
            <w:pPr>
              <w:pStyle w:val="31"/>
              <w:bidi w:val="0"/>
              <w:rPr>
                <w:rFonts w:hint="default" w:ascii="Times New Roman" w:hAnsi="Times New Roman" w:cs="Times New Roman"/>
                <w:color w:val="auto"/>
              </w:rPr>
            </w:pPr>
          </w:p>
        </w:tc>
        <w:tc>
          <w:tcPr>
            <w:tcW w:w="399" w:type="pct"/>
            <w:noWrap w:val="0"/>
            <w:vAlign w:val="center"/>
          </w:tcPr>
          <w:p w14:paraId="0CDE3BAE">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东北</w:t>
            </w:r>
          </w:p>
        </w:tc>
        <w:tc>
          <w:tcPr>
            <w:tcW w:w="1022" w:type="pct"/>
            <w:noWrap w:val="0"/>
            <w:vAlign w:val="center"/>
          </w:tcPr>
          <w:p w14:paraId="41230164">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山东</w:t>
            </w:r>
            <w:r>
              <w:rPr>
                <w:rFonts w:hint="default" w:ascii="Times New Roman" w:hAnsi="Times New Roman" w:cs="Times New Roman"/>
                <w:color w:val="auto"/>
              </w:rPr>
              <w:t>万金石化</w:t>
            </w:r>
            <w:r>
              <w:rPr>
                <w:rFonts w:hint="default" w:ascii="Times New Roman" w:hAnsi="Times New Roman" w:cs="Times New Roman"/>
                <w:color w:val="auto"/>
                <w:lang w:val="en-US" w:eastAsia="zh-CN"/>
              </w:rPr>
              <w:t>有限公司</w:t>
            </w:r>
            <w:r>
              <w:rPr>
                <w:rFonts w:hint="default" w:ascii="Times New Roman" w:hAnsi="Times New Roman" w:cs="Times New Roman"/>
                <w:color w:val="auto"/>
              </w:rPr>
              <w:t>办公室（石化企业）</w:t>
            </w:r>
          </w:p>
        </w:tc>
        <w:tc>
          <w:tcPr>
            <w:tcW w:w="510" w:type="pct"/>
            <w:vMerge w:val="continue"/>
            <w:noWrap w:val="0"/>
            <w:vAlign w:val="center"/>
          </w:tcPr>
          <w:p w14:paraId="5F6653BF">
            <w:pPr>
              <w:pStyle w:val="31"/>
              <w:bidi w:val="0"/>
              <w:rPr>
                <w:rFonts w:hint="default" w:ascii="Times New Roman" w:hAnsi="Times New Roman" w:cs="Times New Roman"/>
                <w:color w:val="auto"/>
              </w:rPr>
            </w:pPr>
          </w:p>
        </w:tc>
        <w:tc>
          <w:tcPr>
            <w:tcW w:w="564" w:type="pct"/>
            <w:noWrap/>
            <w:vAlign w:val="center"/>
          </w:tcPr>
          <w:p w14:paraId="4A647FBE">
            <w:pPr>
              <w:pStyle w:val="31"/>
              <w:bidi w:val="0"/>
              <w:rPr>
                <w:rFonts w:hint="default" w:ascii="Times New Roman" w:hAnsi="Times New Roman" w:cs="Times New Roman"/>
                <w:color w:val="auto"/>
              </w:rPr>
            </w:pPr>
            <w:r>
              <w:rPr>
                <w:rFonts w:hint="default" w:ascii="Times New Roman" w:hAnsi="Times New Roman" w:cs="Times New Roman"/>
                <w:color w:val="auto"/>
                <w:lang w:val="en-US" w:eastAsia="zh-CN"/>
              </w:rPr>
              <w:t>5</w:t>
            </w:r>
            <w:r>
              <w:rPr>
                <w:rFonts w:hint="eastAsia" w:cs="Times New Roman"/>
                <w:color w:val="auto"/>
                <w:lang w:val="en-US" w:eastAsia="zh-CN"/>
              </w:rPr>
              <w:t>7</w:t>
            </w:r>
            <w:r>
              <w:rPr>
                <w:rFonts w:hint="default" w:ascii="Times New Roman" w:hAnsi="Times New Roman" w:cs="Times New Roman"/>
                <w:color w:val="auto"/>
                <w:lang w:val="en-US" w:eastAsia="zh-CN"/>
              </w:rPr>
              <w:t>0</w:t>
            </w:r>
            <w:r>
              <w:rPr>
                <w:rFonts w:hint="default" w:ascii="Times New Roman" w:hAnsi="Times New Roman" w:cs="Times New Roman"/>
                <w:color w:val="auto"/>
              </w:rPr>
              <w:t>m</w:t>
            </w:r>
          </w:p>
        </w:tc>
        <w:tc>
          <w:tcPr>
            <w:tcW w:w="1249" w:type="pct"/>
            <w:noWrap w:val="0"/>
            <w:vAlign w:val="center"/>
          </w:tcPr>
          <w:p w14:paraId="03C17F57">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75FAD8C1">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6631AD7C">
            <w:pPr>
              <w:pStyle w:val="31"/>
              <w:bidi w:val="0"/>
              <w:rPr>
                <w:rFonts w:hint="default" w:ascii="Times New Roman" w:hAnsi="Times New Roman" w:cs="Times New Roman"/>
                <w:color w:val="auto"/>
              </w:rPr>
            </w:pPr>
            <w:r>
              <w:rPr>
                <w:rFonts w:hint="default" w:ascii="Times New Roman" w:hAnsi="Times New Roman" w:cs="Times New Roman"/>
                <w:color w:val="auto"/>
              </w:rPr>
              <w:t>4.1.10</w:t>
            </w:r>
          </w:p>
        </w:tc>
        <w:tc>
          <w:tcPr>
            <w:tcW w:w="442" w:type="pct"/>
            <w:noWrap w:val="0"/>
            <w:vAlign w:val="center"/>
          </w:tcPr>
          <w:p w14:paraId="3FE738C7">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40</w:t>
            </w:r>
          </w:p>
        </w:tc>
        <w:tc>
          <w:tcPr>
            <w:tcW w:w="360" w:type="pct"/>
            <w:noWrap w:val="0"/>
            <w:vAlign w:val="center"/>
          </w:tcPr>
          <w:p w14:paraId="18396653">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38450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64C79232">
            <w:pPr>
              <w:pStyle w:val="31"/>
              <w:bidi w:val="0"/>
              <w:rPr>
                <w:rFonts w:hint="default" w:ascii="Times New Roman" w:hAnsi="Times New Roman" w:cs="Times New Roman"/>
                <w:color w:val="auto"/>
              </w:rPr>
            </w:pPr>
          </w:p>
        </w:tc>
        <w:tc>
          <w:tcPr>
            <w:tcW w:w="399" w:type="pct"/>
            <w:noWrap w:val="0"/>
            <w:vAlign w:val="center"/>
          </w:tcPr>
          <w:p w14:paraId="63343CF5">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东北</w:t>
            </w:r>
          </w:p>
        </w:tc>
        <w:tc>
          <w:tcPr>
            <w:tcW w:w="1022" w:type="pct"/>
            <w:noWrap w:val="0"/>
            <w:vAlign w:val="center"/>
          </w:tcPr>
          <w:p w14:paraId="4FCEB265">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山东万通石油化工集团有限公司</w:t>
            </w:r>
            <w:r>
              <w:rPr>
                <w:rFonts w:hint="default" w:ascii="Times New Roman" w:hAnsi="Times New Roman" w:cs="Times New Roman"/>
                <w:color w:val="auto"/>
                <w:lang w:eastAsia="zh-CN"/>
              </w:rPr>
              <w:t>（石油化工企业可燃液体罐组）</w:t>
            </w:r>
          </w:p>
        </w:tc>
        <w:tc>
          <w:tcPr>
            <w:tcW w:w="510" w:type="pct"/>
            <w:vMerge w:val="continue"/>
            <w:noWrap w:val="0"/>
            <w:vAlign w:val="center"/>
          </w:tcPr>
          <w:p w14:paraId="00F6D373">
            <w:pPr>
              <w:pStyle w:val="31"/>
              <w:bidi w:val="0"/>
              <w:rPr>
                <w:rFonts w:hint="default" w:ascii="Times New Roman" w:hAnsi="Times New Roman" w:cs="Times New Roman"/>
                <w:color w:val="auto"/>
              </w:rPr>
            </w:pPr>
          </w:p>
        </w:tc>
        <w:tc>
          <w:tcPr>
            <w:tcW w:w="564" w:type="pct"/>
            <w:noWrap/>
            <w:vAlign w:val="center"/>
          </w:tcPr>
          <w:p w14:paraId="79CF4435">
            <w:pPr>
              <w:pStyle w:val="31"/>
              <w:bidi w:val="0"/>
              <w:rPr>
                <w:rFonts w:hint="default" w:ascii="Times New Roman" w:hAnsi="Times New Roman" w:cs="Times New Roman"/>
                <w:color w:val="auto"/>
              </w:rPr>
            </w:pPr>
            <w:r>
              <w:rPr>
                <w:rFonts w:hint="eastAsia" w:cs="Times New Roman"/>
                <w:color w:val="auto"/>
                <w:lang w:val="en-US" w:eastAsia="zh-CN"/>
              </w:rPr>
              <w:t>470</w:t>
            </w:r>
            <w:r>
              <w:rPr>
                <w:rFonts w:hint="default" w:ascii="Times New Roman" w:hAnsi="Times New Roman" w:cs="Times New Roman"/>
                <w:color w:val="auto"/>
              </w:rPr>
              <w:t>m</w:t>
            </w:r>
          </w:p>
        </w:tc>
        <w:tc>
          <w:tcPr>
            <w:tcW w:w="1249" w:type="pct"/>
            <w:noWrap w:val="0"/>
            <w:vAlign w:val="center"/>
          </w:tcPr>
          <w:p w14:paraId="0B6FA025">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4E677E3B">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36A6E960">
            <w:pPr>
              <w:pStyle w:val="31"/>
              <w:bidi w:val="0"/>
              <w:rPr>
                <w:rFonts w:hint="default" w:ascii="Times New Roman" w:hAnsi="Times New Roman" w:cs="Times New Roman"/>
                <w:color w:val="auto"/>
              </w:rPr>
            </w:pPr>
            <w:r>
              <w:rPr>
                <w:rFonts w:hint="default" w:ascii="Times New Roman" w:hAnsi="Times New Roman" w:cs="Times New Roman"/>
                <w:color w:val="auto"/>
              </w:rPr>
              <w:t>4.1.10</w:t>
            </w:r>
          </w:p>
        </w:tc>
        <w:tc>
          <w:tcPr>
            <w:tcW w:w="442" w:type="pct"/>
            <w:noWrap w:val="0"/>
            <w:vAlign w:val="center"/>
          </w:tcPr>
          <w:p w14:paraId="52C136EE">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50</w:t>
            </w:r>
          </w:p>
        </w:tc>
        <w:tc>
          <w:tcPr>
            <w:tcW w:w="360" w:type="pct"/>
            <w:noWrap w:val="0"/>
            <w:vAlign w:val="center"/>
          </w:tcPr>
          <w:p w14:paraId="7436CC22">
            <w:pPr>
              <w:pStyle w:val="31"/>
              <w:bidi w:val="0"/>
              <w:rPr>
                <w:rFonts w:hint="default" w:ascii="Times New Roman" w:hAnsi="Times New Roman" w:cs="Times New Roman"/>
                <w:color w:val="auto"/>
              </w:rPr>
            </w:pPr>
            <w:r>
              <w:rPr>
                <w:rFonts w:hint="default" w:ascii="Times New Roman" w:hAnsi="Times New Roman" w:cs="Times New Roman"/>
                <w:color w:val="auto"/>
              </w:rPr>
              <w:t>符合</w:t>
            </w:r>
          </w:p>
        </w:tc>
      </w:tr>
      <w:tr w14:paraId="54907D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17A8B729">
            <w:pPr>
              <w:pStyle w:val="31"/>
              <w:bidi w:val="0"/>
              <w:rPr>
                <w:rFonts w:hint="default" w:ascii="Times New Roman" w:hAnsi="Times New Roman" w:cs="Times New Roman"/>
                <w:color w:val="auto"/>
              </w:rPr>
            </w:pPr>
          </w:p>
        </w:tc>
        <w:tc>
          <w:tcPr>
            <w:tcW w:w="399" w:type="pct"/>
            <w:noWrap w:val="0"/>
            <w:vAlign w:val="center"/>
          </w:tcPr>
          <w:p w14:paraId="1702D93C">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南</w:t>
            </w:r>
          </w:p>
        </w:tc>
        <w:tc>
          <w:tcPr>
            <w:tcW w:w="1022" w:type="pct"/>
            <w:noWrap w:val="0"/>
            <w:vAlign w:val="center"/>
          </w:tcPr>
          <w:p w14:paraId="3B5870F0">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东营益盛销售有限责任公司（石油化工企业可燃液体罐组）</w:t>
            </w:r>
          </w:p>
        </w:tc>
        <w:tc>
          <w:tcPr>
            <w:tcW w:w="510" w:type="pct"/>
            <w:vMerge w:val="continue"/>
            <w:noWrap w:val="0"/>
            <w:vAlign w:val="center"/>
          </w:tcPr>
          <w:p w14:paraId="68D4D5AA">
            <w:pPr>
              <w:pStyle w:val="31"/>
              <w:bidi w:val="0"/>
              <w:rPr>
                <w:rFonts w:hint="default" w:ascii="Times New Roman" w:hAnsi="Times New Roman" w:cs="Times New Roman"/>
                <w:color w:val="auto"/>
                <w:lang w:eastAsia="zh-CN"/>
              </w:rPr>
            </w:pPr>
          </w:p>
        </w:tc>
        <w:tc>
          <w:tcPr>
            <w:tcW w:w="564" w:type="pct"/>
            <w:noWrap/>
            <w:vAlign w:val="center"/>
          </w:tcPr>
          <w:p w14:paraId="1B0013D1">
            <w:pPr>
              <w:pStyle w:val="31"/>
              <w:bidi w:val="0"/>
              <w:rPr>
                <w:rFonts w:hint="default" w:ascii="Times New Roman" w:hAnsi="Times New Roman" w:cs="Times New Roman"/>
                <w:color w:val="auto"/>
              </w:rPr>
            </w:pPr>
            <w:r>
              <w:rPr>
                <w:rFonts w:hint="default" w:ascii="Times New Roman" w:hAnsi="Times New Roman" w:cs="Times New Roman"/>
                <w:color w:val="auto"/>
                <w:lang w:val="en-US" w:eastAsia="zh-CN"/>
              </w:rPr>
              <w:t>480</w:t>
            </w:r>
            <w:r>
              <w:rPr>
                <w:rFonts w:hint="default" w:ascii="Times New Roman" w:hAnsi="Times New Roman" w:cs="Times New Roman"/>
                <w:color w:val="auto"/>
              </w:rPr>
              <w:t>m</w:t>
            </w:r>
          </w:p>
        </w:tc>
        <w:tc>
          <w:tcPr>
            <w:tcW w:w="1249" w:type="pct"/>
            <w:noWrap w:val="0"/>
            <w:vAlign w:val="center"/>
          </w:tcPr>
          <w:p w14:paraId="618DA69D">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3D847744">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476B4BCD">
            <w:pPr>
              <w:pStyle w:val="31"/>
              <w:bidi w:val="0"/>
              <w:rPr>
                <w:rFonts w:hint="default" w:ascii="Times New Roman" w:hAnsi="Times New Roman" w:cs="Times New Roman"/>
                <w:color w:val="auto"/>
              </w:rPr>
            </w:pPr>
            <w:r>
              <w:rPr>
                <w:rFonts w:hint="default" w:ascii="Times New Roman" w:hAnsi="Times New Roman" w:cs="Times New Roman"/>
                <w:color w:val="auto"/>
              </w:rPr>
              <w:t>4.1.10</w:t>
            </w:r>
          </w:p>
        </w:tc>
        <w:tc>
          <w:tcPr>
            <w:tcW w:w="442" w:type="pct"/>
            <w:noWrap w:val="0"/>
            <w:vAlign w:val="center"/>
          </w:tcPr>
          <w:p w14:paraId="544E79D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50</w:t>
            </w:r>
          </w:p>
        </w:tc>
        <w:tc>
          <w:tcPr>
            <w:tcW w:w="360" w:type="pct"/>
            <w:noWrap w:val="0"/>
            <w:vAlign w:val="center"/>
          </w:tcPr>
          <w:p w14:paraId="2B95AAF8">
            <w:pPr>
              <w:pStyle w:val="31"/>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符合</w:t>
            </w:r>
          </w:p>
        </w:tc>
      </w:tr>
      <w:tr w14:paraId="66B75F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45961B9F">
            <w:pPr>
              <w:pStyle w:val="31"/>
              <w:bidi w:val="0"/>
              <w:rPr>
                <w:rFonts w:hint="default" w:ascii="Times New Roman" w:hAnsi="Times New Roman" w:cs="Times New Roman"/>
                <w:color w:val="auto"/>
              </w:rPr>
            </w:pPr>
          </w:p>
        </w:tc>
        <w:tc>
          <w:tcPr>
            <w:tcW w:w="399" w:type="pct"/>
            <w:noWrap w:val="0"/>
            <w:vAlign w:val="center"/>
          </w:tcPr>
          <w:p w14:paraId="73F11E10">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南</w:t>
            </w:r>
          </w:p>
        </w:tc>
        <w:tc>
          <w:tcPr>
            <w:tcW w:w="1022" w:type="pct"/>
            <w:noWrap w:val="0"/>
            <w:vAlign w:val="center"/>
          </w:tcPr>
          <w:p w14:paraId="1CBED0D2">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一鹏能源公司（精细化工，甲类车间）</w:t>
            </w:r>
          </w:p>
        </w:tc>
        <w:tc>
          <w:tcPr>
            <w:tcW w:w="510" w:type="pct"/>
            <w:vMerge w:val="continue"/>
            <w:noWrap w:val="0"/>
            <w:vAlign w:val="center"/>
          </w:tcPr>
          <w:p w14:paraId="6EFF4B08">
            <w:pPr>
              <w:pStyle w:val="31"/>
              <w:bidi w:val="0"/>
              <w:rPr>
                <w:rFonts w:hint="default" w:ascii="Times New Roman" w:hAnsi="Times New Roman" w:cs="Times New Roman"/>
                <w:color w:val="auto"/>
              </w:rPr>
            </w:pPr>
          </w:p>
        </w:tc>
        <w:tc>
          <w:tcPr>
            <w:tcW w:w="564" w:type="pct"/>
            <w:noWrap/>
            <w:vAlign w:val="center"/>
          </w:tcPr>
          <w:p w14:paraId="10CE60C0">
            <w:pPr>
              <w:pStyle w:val="31"/>
              <w:bidi w:val="0"/>
              <w:rPr>
                <w:rFonts w:hint="default" w:ascii="Times New Roman" w:hAnsi="Times New Roman" w:cs="Times New Roman"/>
                <w:color w:val="auto"/>
              </w:rPr>
            </w:pPr>
            <w:r>
              <w:rPr>
                <w:rFonts w:hint="default" w:ascii="Times New Roman" w:hAnsi="Times New Roman" w:cs="Times New Roman"/>
                <w:color w:val="auto"/>
                <w:lang w:val="en-US" w:eastAsia="zh-CN"/>
              </w:rPr>
              <w:t>约</w:t>
            </w:r>
            <w:r>
              <w:rPr>
                <w:rFonts w:hint="eastAsia" w:cs="Times New Roman"/>
                <w:color w:val="auto"/>
                <w:lang w:val="en-US" w:eastAsia="zh-CN"/>
              </w:rPr>
              <w:t>8</w:t>
            </w:r>
            <w:r>
              <w:rPr>
                <w:rFonts w:hint="default" w:ascii="Times New Roman" w:hAnsi="Times New Roman" w:cs="Times New Roman"/>
                <w:color w:val="auto"/>
                <w:lang w:val="en-US" w:eastAsia="zh-CN"/>
              </w:rPr>
              <w:t>00</w:t>
            </w:r>
            <w:r>
              <w:rPr>
                <w:rFonts w:hint="default" w:ascii="Times New Roman" w:hAnsi="Times New Roman" w:cs="Times New Roman"/>
                <w:color w:val="auto"/>
              </w:rPr>
              <w:t>m</w:t>
            </w:r>
          </w:p>
        </w:tc>
        <w:tc>
          <w:tcPr>
            <w:tcW w:w="1249" w:type="pct"/>
            <w:noWrap w:val="0"/>
            <w:vAlign w:val="center"/>
          </w:tcPr>
          <w:p w14:paraId="3B981839">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653D3B36">
            <w:pPr>
              <w:pStyle w:val="31"/>
              <w:bidi w:val="0"/>
              <w:rPr>
                <w:rFonts w:hint="default" w:ascii="Times New Roman" w:hAnsi="Times New Roman" w:cs="Times New Roman"/>
                <w:color w:val="auto"/>
              </w:rPr>
            </w:pPr>
            <w:r>
              <w:rPr>
                <w:rFonts w:hint="default" w:ascii="Times New Roman" w:hAnsi="Times New Roman" w:cs="Times New Roman"/>
                <w:color w:val="auto"/>
              </w:rPr>
              <w:t>（2018</w:t>
            </w:r>
            <w:r>
              <w:rPr>
                <w:rFonts w:hint="default" w:ascii="Times New Roman" w:hAnsi="Times New Roman" w:cs="Times New Roman"/>
                <w:color w:val="auto"/>
                <w:lang w:val="en-US" w:eastAsia="zh-CN"/>
              </w:rPr>
              <w:t>版</w:t>
            </w:r>
            <w:r>
              <w:rPr>
                <w:rFonts w:hint="default" w:ascii="Times New Roman" w:hAnsi="Times New Roman" w:cs="Times New Roman"/>
                <w:color w:val="auto"/>
              </w:rPr>
              <w:t>）</w:t>
            </w:r>
          </w:p>
          <w:p w14:paraId="6BC56881">
            <w:pPr>
              <w:pStyle w:val="31"/>
              <w:bidi w:val="0"/>
              <w:rPr>
                <w:rFonts w:hint="default" w:ascii="Times New Roman" w:hAnsi="Times New Roman" w:cs="Times New Roman"/>
                <w:color w:val="auto"/>
              </w:rPr>
            </w:pPr>
            <w:r>
              <w:rPr>
                <w:rFonts w:hint="default" w:ascii="Times New Roman" w:hAnsi="Times New Roman" w:cs="Times New Roman"/>
                <w:color w:val="auto"/>
              </w:rPr>
              <w:t>4.1.9</w:t>
            </w:r>
          </w:p>
        </w:tc>
        <w:tc>
          <w:tcPr>
            <w:tcW w:w="442" w:type="pct"/>
            <w:noWrap w:val="0"/>
            <w:vAlign w:val="center"/>
          </w:tcPr>
          <w:p w14:paraId="3B852D31">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50</w:t>
            </w:r>
          </w:p>
        </w:tc>
        <w:tc>
          <w:tcPr>
            <w:tcW w:w="360" w:type="pct"/>
            <w:noWrap w:val="0"/>
            <w:vAlign w:val="center"/>
          </w:tcPr>
          <w:p w14:paraId="7D98EC94">
            <w:pPr>
              <w:pStyle w:val="31"/>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符合</w:t>
            </w:r>
          </w:p>
        </w:tc>
      </w:tr>
      <w:tr w14:paraId="7708AC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4297A7B3">
            <w:pPr>
              <w:pStyle w:val="31"/>
              <w:bidi w:val="0"/>
              <w:rPr>
                <w:rFonts w:hint="default" w:ascii="Times New Roman" w:hAnsi="Times New Roman" w:cs="Times New Roman"/>
                <w:color w:val="auto"/>
              </w:rPr>
            </w:pPr>
          </w:p>
        </w:tc>
        <w:tc>
          <w:tcPr>
            <w:tcW w:w="399" w:type="pct"/>
            <w:noWrap w:val="0"/>
            <w:vAlign w:val="center"/>
          </w:tcPr>
          <w:p w14:paraId="565AEAE3">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南</w:t>
            </w:r>
          </w:p>
        </w:tc>
        <w:tc>
          <w:tcPr>
            <w:tcW w:w="1022" w:type="pct"/>
            <w:noWrap w:val="0"/>
            <w:vAlign w:val="center"/>
          </w:tcPr>
          <w:p w14:paraId="036E69DA">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eastAsia="zh-CN"/>
              </w:rPr>
              <w:t>山东神驰化工集团有限公司（石油化工企业甲类工艺装置）</w:t>
            </w:r>
          </w:p>
        </w:tc>
        <w:tc>
          <w:tcPr>
            <w:tcW w:w="510" w:type="pct"/>
            <w:vMerge w:val="continue"/>
            <w:noWrap w:val="0"/>
            <w:vAlign w:val="center"/>
          </w:tcPr>
          <w:p w14:paraId="02027314">
            <w:pPr>
              <w:pStyle w:val="31"/>
              <w:bidi w:val="0"/>
              <w:rPr>
                <w:rFonts w:hint="default" w:ascii="Times New Roman" w:hAnsi="Times New Roman" w:cs="Times New Roman"/>
                <w:color w:val="auto"/>
                <w:highlight w:val="yellow"/>
                <w:lang w:eastAsia="zh-CN"/>
              </w:rPr>
            </w:pPr>
          </w:p>
        </w:tc>
        <w:tc>
          <w:tcPr>
            <w:tcW w:w="564" w:type="pct"/>
            <w:noWrap/>
            <w:vAlign w:val="center"/>
          </w:tcPr>
          <w:p w14:paraId="2B8D1BD0">
            <w:pPr>
              <w:pStyle w:val="31"/>
              <w:bidi w:val="0"/>
              <w:rPr>
                <w:rFonts w:hint="default" w:ascii="Times New Roman" w:hAnsi="Times New Roman" w:cs="Times New Roman"/>
                <w:color w:val="auto"/>
                <w:highlight w:val="none"/>
              </w:rPr>
            </w:pPr>
            <w:r>
              <w:rPr>
                <w:rFonts w:hint="eastAsia" w:cs="Times New Roman"/>
                <w:color w:val="auto"/>
                <w:highlight w:val="none"/>
                <w:lang w:val="en-US" w:eastAsia="zh-CN"/>
              </w:rPr>
              <w:t>440</w:t>
            </w:r>
            <w:r>
              <w:rPr>
                <w:rFonts w:hint="default" w:ascii="Times New Roman" w:hAnsi="Times New Roman" w:cs="Times New Roman"/>
                <w:color w:val="auto"/>
                <w:highlight w:val="none"/>
              </w:rPr>
              <w:t>m</w:t>
            </w:r>
          </w:p>
        </w:tc>
        <w:tc>
          <w:tcPr>
            <w:tcW w:w="1249" w:type="pct"/>
            <w:noWrap w:val="0"/>
            <w:vAlign w:val="center"/>
          </w:tcPr>
          <w:p w14:paraId="721A8DC0">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GB50160-2008</w:t>
            </w:r>
          </w:p>
          <w:p w14:paraId="22DE6AD9">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（2018</w:t>
            </w:r>
            <w:r>
              <w:rPr>
                <w:rFonts w:hint="default" w:ascii="Times New Roman" w:hAnsi="Times New Roman" w:cs="Times New Roman"/>
                <w:color w:val="auto"/>
                <w:highlight w:val="none"/>
                <w:lang w:val="en-US" w:eastAsia="zh-CN"/>
              </w:rPr>
              <w:t>版</w:t>
            </w:r>
            <w:r>
              <w:rPr>
                <w:rFonts w:hint="default" w:ascii="Times New Roman" w:hAnsi="Times New Roman" w:cs="Times New Roman"/>
                <w:color w:val="auto"/>
                <w:highlight w:val="none"/>
              </w:rPr>
              <w:t>）</w:t>
            </w:r>
          </w:p>
          <w:p w14:paraId="7BE1189E">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4.1.10</w:t>
            </w:r>
          </w:p>
        </w:tc>
        <w:tc>
          <w:tcPr>
            <w:tcW w:w="442" w:type="pct"/>
            <w:noWrap w:val="0"/>
            <w:vAlign w:val="center"/>
          </w:tcPr>
          <w:p w14:paraId="00E8462E">
            <w:pPr>
              <w:pStyle w:val="3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40</w:t>
            </w:r>
          </w:p>
        </w:tc>
        <w:tc>
          <w:tcPr>
            <w:tcW w:w="360" w:type="pct"/>
            <w:noWrap w:val="0"/>
            <w:vAlign w:val="center"/>
          </w:tcPr>
          <w:p w14:paraId="10F31684">
            <w:pPr>
              <w:pStyle w:val="3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符合</w:t>
            </w:r>
          </w:p>
        </w:tc>
      </w:tr>
      <w:tr w14:paraId="2EA983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39418DCB">
            <w:pPr>
              <w:pStyle w:val="31"/>
              <w:bidi w:val="0"/>
              <w:rPr>
                <w:rFonts w:hint="default" w:ascii="Times New Roman" w:hAnsi="Times New Roman" w:cs="Times New Roman"/>
                <w:color w:val="auto"/>
              </w:rPr>
            </w:pPr>
          </w:p>
        </w:tc>
        <w:tc>
          <w:tcPr>
            <w:tcW w:w="399" w:type="pct"/>
            <w:noWrap w:val="0"/>
            <w:vAlign w:val="center"/>
          </w:tcPr>
          <w:p w14:paraId="0330080D">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西</w:t>
            </w:r>
          </w:p>
        </w:tc>
        <w:tc>
          <w:tcPr>
            <w:tcW w:w="1022" w:type="pct"/>
            <w:noWrap w:val="0"/>
            <w:vAlign w:val="center"/>
          </w:tcPr>
          <w:p w14:paraId="12923AA6">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pacing w:val="5"/>
                <w:sz w:val="21"/>
                <w:szCs w:val="21"/>
                <w:lang w:val="en-US" w:eastAsia="zh-CN"/>
              </w:rPr>
              <w:t>中亚化工有限公司</w:t>
            </w:r>
            <w:r>
              <w:rPr>
                <w:rFonts w:hint="eastAsia" w:ascii="Times New Roman" w:hAnsi="Times New Roman" w:eastAsia="宋体" w:cs="Times New Roman"/>
                <w:b w:val="0"/>
                <w:bCs/>
                <w:color w:val="auto"/>
                <w:spacing w:val="5"/>
                <w:sz w:val="21"/>
                <w:szCs w:val="21"/>
                <w:lang w:val="en-US" w:eastAsia="zh-CN"/>
              </w:rPr>
              <w:t>（厂区围墙</w:t>
            </w:r>
            <w:r>
              <w:rPr>
                <w:rFonts w:hint="default" w:ascii="Times New Roman" w:hAnsi="Times New Roman" w:eastAsia="宋体" w:cs="Times New Roman"/>
                <w:b w:val="0"/>
                <w:bCs/>
                <w:color w:val="auto"/>
                <w:spacing w:val="5"/>
                <w:sz w:val="21"/>
                <w:szCs w:val="21"/>
                <w:lang w:val="en-US" w:eastAsia="zh-CN"/>
              </w:rPr>
              <w:t>）</w:t>
            </w:r>
          </w:p>
        </w:tc>
        <w:tc>
          <w:tcPr>
            <w:tcW w:w="510" w:type="pct"/>
            <w:vMerge w:val="continue"/>
            <w:noWrap w:val="0"/>
            <w:vAlign w:val="center"/>
          </w:tcPr>
          <w:p w14:paraId="357C3CD1">
            <w:pPr>
              <w:pStyle w:val="31"/>
              <w:bidi w:val="0"/>
              <w:rPr>
                <w:rFonts w:hint="default" w:ascii="Times New Roman" w:hAnsi="Times New Roman" w:cs="Times New Roman"/>
                <w:color w:val="auto"/>
                <w:highlight w:val="yellow"/>
              </w:rPr>
            </w:pPr>
          </w:p>
        </w:tc>
        <w:tc>
          <w:tcPr>
            <w:tcW w:w="564" w:type="pct"/>
            <w:noWrap/>
            <w:vAlign w:val="center"/>
          </w:tcPr>
          <w:p w14:paraId="722989AB">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约1.3k</w:t>
            </w:r>
            <w:r>
              <w:rPr>
                <w:rFonts w:hint="default" w:ascii="Times New Roman" w:hAnsi="Times New Roman" w:cs="Times New Roman"/>
                <w:color w:val="auto"/>
                <w:highlight w:val="none"/>
                <w:lang w:eastAsia="zh-CN"/>
              </w:rPr>
              <w:t>m</w:t>
            </w:r>
          </w:p>
        </w:tc>
        <w:tc>
          <w:tcPr>
            <w:tcW w:w="1249" w:type="pct"/>
            <w:noWrap w:val="0"/>
            <w:vAlign w:val="center"/>
          </w:tcPr>
          <w:p w14:paraId="2AF0FC6E">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GB50160-2008</w:t>
            </w:r>
          </w:p>
          <w:p w14:paraId="00B10E15">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（2018</w:t>
            </w:r>
            <w:r>
              <w:rPr>
                <w:rFonts w:hint="default" w:ascii="Times New Roman" w:hAnsi="Times New Roman" w:cs="Times New Roman"/>
                <w:color w:val="auto"/>
                <w:highlight w:val="none"/>
                <w:lang w:val="en-US" w:eastAsia="zh-CN"/>
              </w:rPr>
              <w:t>版</w:t>
            </w:r>
            <w:r>
              <w:rPr>
                <w:rFonts w:hint="default" w:ascii="Times New Roman" w:hAnsi="Times New Roman" w:cs="Times New Roman"/>
                <w:color w:val="auto"/>
                <w:highlight w:val="none"/>
              </w:rPr>
              <w:t>）</w:t>
            </w:r>
          </w:p>
          <w:p w14:paraId="0ABB6EF3">
            <w:pPr>
              <w:pStyle w:val="3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4.1.9</w:t>
            </w:r>
          </w:p>
        </w:tc>
        <w:tc>
          <w:tcPr>
            <w:tcW w:w="442" w:type="pct"/>
            <w:noWrap w:val="0"/>
            <w:vAlign w:val="center"/>
          </w:tcPr>
          <w:p w14:paraId="2991B429">
            <w:pPr>
              <w:pStyle w:val="31"/>
              <w:bidi w:val="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50</w:t>
            </w:r>
          </w:p>
        </w:tc>
        <w:tc>
          <w:tcPr>
            <w:tcW w:w="360" w:type="pct"/>
            <w:noWrap w:val="0"/>
            <w:vAlign w:val="center"/>
          </w:tcPr>
          <w:p w14:paraId="3A1E3F78">
            <w:pPr>
              <w:pStyle w:val="3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符合</w:t>
            </w:r>
          </w:p>
        </w:tc>
      </w:tr>
      <w:tr w14:paraId="39062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50" w:type="pct"/>
            <w:vMerge w:val="continue"/>
            <w:noWrap w:val="0"/>
            <w:vAlign w:val="center"/>
          </w:tcPr>
          <w:p w14:paraId="7BFFC4EB">
            <w:pPr>
              <w:pStyle w:val="31"/>
              <w:bidi w:val="0"/>
              <w:rPr>
                <w:rFonts w:hint="default" w:ascii="Times New Roman" w:hAnsi="Times New Roman" w:cs="Times New Roman"/>
                <w:color w:val="auto"/>
              </w:rPr>
            </w:pPr>
          </w:p>
        </w:tc>
        <w:tc>
          <w:tcPr>
            <w:tcW w:w="399" w:type="pct"/>
            <w:noWrap w:val="0"/>
            <w:vAlign w:val="center"/>
          </w:tcPr>
          <w:p w14:paraId="59B3F545">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西</w:t>
            </w:r>
          </w:p>
        </w:tc>
        <w:tc>
          <w:tcPr>
            <w:tcW w:w="1022" w:type="pct"/>
            <w:noWrap w:val="0"/>
            <w:vAlign w:val="center"/>
          </w:tcPr>
          <w:p w14:paraId="04E40A00">
            <w:pPr>
              <w:pStyle w:val="31"/>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eastAsia="zh-CN"/>
              </w:rPr>
              <w:t>东营宝莫环境工程有限公司</w:t>
            </w:r>
          </w:p>
        </w:tc>
        <w:tc>
          <w:tcPr>
            <w:tcW w:w="510" w:type="pct"/>
            <w:vMerge w:val="continue"/>
            <w:noWrap w:val="0"/>
            <w:vAlign w:val="center"/>
          </w:tcPr>
          <w:p w14:paraId="35A7DC19">
            <w:pPr>
              <w:pStyle w:val="31"/>
              <w:bidi w:val="0"/>
              <w:rPr>
                <w:rFonts w:hint="default" w:ascii="Times New Roman" w:hAnsi="Times New Roman" w:cs="Times New Roman"/>
                <w:color w:val="auto"/>
                <w:highlight w:val="yellow"/>
              </w:rPr>
            </w:pPr>
          </w:p>
        </w:tc>
        <w:tc>
          <w:tcPr>
            <w:tcW w:w="564" w:type="pct"/>
            <w:noWrap/>
            <w:vAlign w:val="center"/>
          </w:tcPr>
          <w:p w14:paraId="3DA526C1">
            <w:pPr>
              <w:pStyle w:val="3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约1.3k</w:t>
            </w:r>
            <w:r>
              <w:rPr>
                <w:rFonts w:hint="default" w:ascii="Times New Roman" w:hAnsi="Times New Roman" w:cs="Times New Roman"/>
                <w:color w:val="auto"/>
                <w:highlight w:val="none"/>
                <w:lang w:eastAsia="zh-CN"/>
              </w:rPr>
              <w:t>m</w:t>
            </w:r>
          </w:p>
        </w:tc>
        <w:tc>
          <w:tcPr>
            <w:tcW w:w="1249" w:type="pct"/>
            <w:noWrap w:val="0"/>
            <w:vAlign w:val="center"/>
          </w:tcPr>
          <w:p w14:paraId="08F970F0">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GB50160-2008</w:t>
            </w:r>
          </w:p>
          <w:p w14:paraId="525689BE">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（2018</w:t>
            </w:r>
            <w:r>
              <w:rPr>
                <w:rFonts w:hint="default" w:ascii="Times New Roman" w:hAnsi="Times New Roman" w:cs="Times New Roman"/>
                <w:color w:val="auto"/>
                <w:highlight w:val="none"/>
                <w:lang w:val="en-US" w:eastAsia="zh-CN"/>
              </w:rPr>
              <w:t>版</w:t>
            </w:r>
            <w:r>
              <w:rPr>
                <w:rFonts w:hint="default" w:ascii="Times New Roman" w:hAnsi="Times New Roman" w:cs="Times New Roman"/>
                <w:color w:val="auto"/>
                <w:highlight w:val="none"/>
              </w:rPr>
              <w:t>）</w:t>
            </w:r>
          </w:p>
          <w:p w14:paraId="38C554D1">
            <w:pPr>
              <w:pStyle w:val="3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4.1.</w:t>
            </w:r>
            <w:r>
              <w:rPr>
                <w:rFonts w:hint="eastAsia" w:cs="Times New Roman"/>
                <w:color w:val="auto"/>
                <w:highlight w:val="none"/>
                <w:lang w:val="en-US" w:eastAsia="zh-CN"/>
              </w:rPr>
              <w:t>9</w:t>
            </w:r>
          </w:p>
        </w:tc>
        <w:tc>
          <w:tcPr>
            <w:tcW w:w="442" w:type="pct"/>
            <w:noWrap w:val="0"/>
            <w:vAlign w:val="center"/>
          </w:tcPr>
          <w:p w14:paraId="20F1F6C4">
            <w:pPr>
              <w:pStyle w:val="31"/>
              <w:bidi w:val="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50</w:t>
            </w:r>
          </w:p>
        </w:tc>
        <w:tc>
          <w:tcPr>
            <w:tcW w:w="360" w:type="pct"/>
            <w:noWrap w:val="0"/>
            <w:vAlign w:val="center"/>
          </w:tcPr>
          <w:p w14:paraId="4E0B05DC">
            <w:pPr>
              <w:pStyle w:val="3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符合</w:t>
            </w:r>
          </w:p>
        </w:tc>
      </w:tr>
    </w:tbl>
    <w:p w14:paraId="67FB1C67">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由上表可知，该项目与周边设施之间的间距符合《石油化工企业设计防火</w:t>
      </w:r>
      <w:r>
        <w:rPr>
          <w:rFonts w:hint="eastAsia" w:cs="Times New Roman"/>
          <w:color w:val="auto"/>
          <w:lang w:val="en-US" w:eastAsia="zh-CN"/>
        </w:rPr>
        <w:t>标准</w:t>
      </w:r>
      <w:r>
        <w:rPr>
          <w:rFonts w:hint="eastAsia" w:cs="Times New Roman"/>
          <w:color w:val="auto"/>
          <w:lang w:eastAsia="zh-CN"/>
        </w:rPr>
        <w:t>（</w:t>
      </w:r>
      <w:r>
        <w:rPr>
          <w:rFonts w:hint="eastAsia" w:cs="Times New Roman"/>
          <w:color w:val="auto"/>
          <w:lang w:val="en-US" w:eastAsia="zh-CN"/>
        </w:rPr>
        <w:t>2018年版</w:t>
      </w:r>
      <w:r>
        <w:rPr>
          <w:rFonts w:hint="eastAsia" w:cs="Times New Roman"/>
          <w:color w:val="auto"/>
          <w:lang w:eastAsia="zh-CN"/>
        </w:rPr>
        <w:t>）</w:t>
      </w:r>
      <w:r>
        <w:rPr>
          <w:rFonts w:hint="default" w:ascii="Times New Roman" w:hAnsi="Times New Roman" w:cs="Times New Roman"/>
          <w:color w:val="auto"/>
        </w:rPr>
        <w:t>》（GB50160-2008）等标准、规范的要求。</w:t>
      </w:r>
    </w:p>
    <w:p w14:paraId="7F9D46E3">
      <w:pPr>
        <w:pStyle w:val="6"/>
        <w:bidi w:val="0"/>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eastAsia="zh-CN"/>
        </w:rPr>
        <w:t>该项目</w:t>
      </w:r>
      <w:r>
        <w:rPr>
          <w:rFonts w:hint="default" w:ascii="Times New Roman" w:hAnsi="Times New Roman" w:cs="Times New Roman"/>
          <w:color w:val="auto"/>
        </w:rPr>
        <w:t>厂内周边环境</w:t>
      </w:r>
    </w:p>
    <w:p w14:paraId="0C31414D">
      <w:pPr>
        <w:pStyle w:val="6"/>
        <w:bidi w:val="0"/>
        <w:rPr>
          <w:rFonts w:hint="default" w:ascii="Times New Roman" w:hAnsi="Times New Roman" w:cs="Times New Roman"/>
          <w:color w:val="auto"/>
          <w:lang w:eastAsia="zh-CN"/>
        </w:rPr>
      </w:pPr>
      <w:r>
        <w:rPr>
          <w:rFonts w:hint="default" w:ascii="Times New Roman" w:hAnsi="Times New Roman" w:cs="Times New Roman"/>
          <w:color w:val="auto"/>
        </w:rPr>
        <w:t>拟新建</w:t>
      </w:r>
      <w:r>
        <w:rPr>
          <w:rFonts w:hint="default" w:ascii="Times New Roman" w:hAnsi="Times New Roman" w:cs="Times New Roman"/>
          <w:color w:val="auto"/>
          <w:lang w:val="en-US" w:eastAsia="zh-CN"/>
        </w:rPr>
        <w:t>油气处理单元</w:t>
      </w:r>
      <w:r>
        <w:rPr>
          <w:rFonts w:hint="default" w:ascii="Times New Roman" w:hAnsi="Times New Roman" w:cs="Times New Roman"/>
          <w:color w:val="auto"/>
        </w:rPr>
        <w:t>位于厂区</w:t>
      </w:r>
      <w:r>
        <w:rPr>
          <w:rFonts w:hint="eastAsia" w:cs="Times New Roman"/>
          <w:color w:val="auto"/>
          <w:lang w:val="en-US" w:eastAsia="zh-CN"/>
        </w:rPr>
        <w:t>中部</w:t>
      </w:r>
      <w:r>
        <w:rPr>
          <w:rFonts w:hint="default" w:ascii="Times New Roman" w:hAnsi="Times New Roman" w:cs="Times New Roman"/>
          <w:color w:val="auto"/>
        </w:rPr>
        <w:t>，其</w:t>
      </w:r>
      <w:r>
        <w:rPr>
          <w:rFonts w:hint="default" w:ascii="Times New Roman" w:hAnsi="Times New Roman" w:cs="Times New Roman"/>
          <w:color w:val="auto"/>
          <w:lang w:val="en-US" w:eastAsia="zh-CN"/>
        </w:rPr>
        <w:t>西</w:t>
      </w:r>
      <w:r>
        <w:rPr>
          <w:rFonts w:hint="default" w:ascii="Times New Roman" w:hAnsi="Times New Roman" w:cs="Times New Roman"/>
          <w:color w:val="auto"/>
        </w:rPr>
        <w:t>侧为</w:t>
      </w:r>
      <w:r>
        <w:rPr>
          <w:rFonts w:hint="default" w:ascii="Times New Roman" w:hAnsi="Times New Roman" w:cs="Times New Roman"/>
          <w:color w:val="auto"/>
          <w:lang w:val="en-US" w:eastAsia="zh-CN"/>
        </w:rPr>
        <w:t>6</w:t>
      </w:r>
      <w:r>
        <w:rPr>
          <w:rFonts w:hint="default" w:ascii="Times New Roman" w:hAnsi="Times New Roman" w:cs="Times New Roman"/>
          <w:color w:val="auto"/>
        </w:rPr>
        <w:t>#</w:t>
      </w:r>
      <w:r>
        <w:rPr>
          <w:rFonts w:hint="default" w:ascii="Times New Roman" w:hAnsi="Times New Roman" w:cs="Times New Roman"/>
          <w:color w:val="auto"/>
          <w:lang w:val="en-US" w:eastAsia="zh-CN"/>
        </w:rPr>
        <w:t>焦化原料罐区</w:t>
      </w:r>
      <w:r>
        <w:rPr>
          <w:rFonts w:hint="default" w:ascii="Times New Roman" w:hAnsi="Times New Roman" w:cs="Times New Roman"/>
          <w:color w:val="auto"/>
        </w:rPr>
        <w:t>（</w:t>
      </w:r>
      <w:r>
        <w:rPr>
          <w:rFonts w:hint="default" w:ascii="Times New Roman" w:hAnsi="Times New Roman" w:cs="Times New Roman"/>
          <w:color w:val="auto"/>
          <w:lang w:val="en-US" w:eastAsia="zh-CN"/>
        </w:rPr>
        <w:t>相邻最大罐为5000</w:t>
      </w:r>
      <w:r>
        <w:rPr>
          <w:rFonts w:hint="default" w:ascii="Times New Roman" w:hAnsi="Times New Roman" w:cs="Times New Roman"/>
          <w:color w:val="auto"/>
          <w:lang w:eastAsia="zh-CN"/>
        </w:rPr>
        <w:t>m³</w:t>
      </w:r>
      <w:r>
        <w:rPr>
          <w:rFonts w:hint="default" w:ascii="Times New Roman" w:hAnsi="Times New Roman" w:cs="Times New Roman"/>
          <w:color w:val="auto"/>
          <w:lang w:val="en-US" w:eastAsia="zh-CN"/>
        </w:rPr>
        <w:t>拱顶罐</w:t>
      </w:r>
      <w:r>
        <w:rPr>
          <w:rFonts w:hint="default" w:ascii="Times New Roman" w:hAnsi="Times New Roman" w:cs="Times New Roman"/>
          <w:color w:val="auto"/>
        </w:rPr>
        <w:t>）（甲类），</w:t>
      </w:r>
      <w:r>
        <w:rPr>
          <w:rFonts w:hint="default" w:ascii="Times New Roman" w:hAnsi="Times New Roman" w:cs="Times New Roman"/>
          <w:color w:val="auto"/>
          <w:lang w:val="en-US" w:eastAsia="zh-CN"/>
        </w:rPr>
        <w:t>东</w:t>
      </w:r>
      <w:r>
        <w:rPr>
          <w:rFonts w:hint="default" w:ascii="Times New Roman" w:hAnsi="Times New Roman" w:cs="Times New Roman"/>
          <w:color w:val="auto"/>
        </w:rPr>
        <w:t>侧为1</w:t>
      </w:r>
      <w:r>
        <w:rPr>
          <w:rFonts w:hint="default" w:ascii="Times New Roman" w:hAnsi="Times New Roman" w:cs="Times New Roman"/>
          <w:color w:val="auto"/>
          <w:lang w:val="en-US" w:eastAsia="zh-CN"/>
        </w:rPr>
        <w:t>6</w:t>
      </w:r>
      <w:r>
        <w:rPr>
          <w:rFonts w:hint="default" w:ascii="Times New Roman" w:hAnsi="Times New Roman" w:cs="Times New Roman"/>
          <w:color w:val="auto"/>
        </w:rPr>
        <w:t>#</w:t>
      </w:r>
      <w:r>
        <w:rPr>
          <w:rFonts w:hint="default" w:ascii="Times New Roman" w:hAnsi="Times New Roman" w:cs="Times New Roman"/>
          <w:color w:val="auto"/>
          <w:lang w:val="en-US" w:eastAsia="zh-CN"/>
        </w:rPr>
        <w:t>船燃</w:t>
      </w:r>
      <w:r>
        <w:rPr>
          <w:rFonts w:hint="default" w:ascii="Times New Roman" w:hAnsi="Times New Roman" w:cs="Times New Roman"/>
          <w:color w:val="auto"/>
        </w:rPr>
        <w:t>罐区（</w:t>
      </w:r>
      <w:r>
        <w:rPr>
          <w:rFonts w:hint="default" w:ascii="Times New Roman" w:hAnsi="Times New Roman" w:cs="Times New Roman"/>
          <w:color w:val="auto"/>
          <w:lang w:val="en-US" w:eastAsia="zh-CN"/>
        </w:rPr>
        <w:t>相邻最大罐为20000</w:t>
      </w:r>
      <w:r>
        <w:rPr>
          <w:rFonts w:hint="default" w:ascii="Times New Roman" w:hAnsi="Times New Roman" w:cs="Times New Roman"/>
          <w:color w:val="auto"/>
          <w:lang w:eastAsia="zh-CN"/>
        </w:rPr>
        <w:t>m³</w:t>
      </w:r>
      <w:r>
        <w:rPr>
          <w:rFonts w:hint="default" w:ascii="Times New Roman" w:hAnsi="Times New Roman" w:cs="Times New Roman"/>
          <w:color w:val="auto"/>
          <w:lang w:val="en-US" w:eastAsia="zh-CN"/>
        </w:rPr>
        <w:t>固定罐</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丙</w:t>
      </w:r>
      <w:r>
        <w:rPr>
          <w:rFonts w:hint="default" w:ascii="Times New Roman" w:hAnsi="Times New Roman" w:cs="Times New Roman"/>
          <w:color w:val="auto"/>
          <w:vertAlign w:val="subscript"/>
          <w:lang w:val="en-US" w:eastAsia="zh-CN"/>
        </w:rPr>
        <w:t>A</w:t>
      </w:r>
      <w:r>
        <w:rPr>
          <w:rFonts w:hint="default" w:ascii="Times New Roman" w:hAnsi="Times New Roman" w:cs="Times New Roman"/>
          <w:color w:val="auto"/>
          <w:lang w:eastAsia="zh-CN"/>
        </w:rPr>
        <w:t>）</w:t>
      </w:r>
      <w:r>
        <w:rPr>
          <w:rFonts w:hint="default" w:ascii="Times New Roman" w:hAnsi="Times New Roman" w:cs="Times New Roman"/>
          <w:color w:val="auto"/>
        </w:rPr>
        <w:t>，南侧为</w:t>
      </w:r>
      <w:r>
        <w:rPr>
          <w:rFonts w:hint="default" w:ascii="Times New Roman" w:hAnsi="Times New Roman" w:cs="Times New Roman"/>
          <w:color w:val="auto"/>
          <w:lang w:val="en-US" w:eastAsia="zh-CN"/>
        </w:rPr>
        <w:t>3#新建柴油罐区（相邻最大罐为5000m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内浮顶）（乙类）</w:t>
      </w:r>
      <w:r>
        <w:rPr>
          <w:rFonts w:hint="default" w:ascii="Times New Roman" w:hAnsi="Times New Roman" w:cs="Times New Roman"/>
          <w:color w:val="auto"/>
        </w:rPr>
        <w:t>，北侧为</w:t>
      </w:r>
      <w:r>
        <w:rPr>
          <w:rFonts w:hint="default" w:ascii="Times New Roman" w:hAnsi="Times New Roman" w:cs="Times New Roman"/>
          <w:color w:val="auto"/>
          <w:lang w:val="en-US" w:eastAsia="zh-CN"/>
        </w:rPr>
        <w:t>1#火车装车台</w:t>
      </w:r>
      <w:r>
        <w:rPr>
          <w:rFonts w:hint="default" w:ascii="Times New Roman" w:hAnsi="Times New Roman" w:cs="Times New Roman"/>
          <w:color w:val="auto"/>
        </w:rPr>
        <w:t>。</w:t>
      </w:r>
      <w:r>
        <w:rPr>
          <w:rFonts w:hint="default" w:ascii="Times New Roman" w:hAnsi="Times New Roman" w:cs="Times New Roman"/>
          <w:color w:val="auto"/>
          <w:lang w:eastAsia="zh-CN"/>
        </w:rPr>
        <w:t>该项目</w:t>
      </w:r>
      <w:r>
        <w:rPr>
          <w:rFonts w:hint="default" w:ascii="Times New Roman" w:hAnsi="Times New Roman" w:cs="Times New Roman"/>
          <w:color w:val="auto"/>
          <w:lang w:val="en-US" w:eastAsia="zh-CN"/>
        </w:rPr>
        <w:t>3#新建柴油罐区北侧预留地内建设</w:t>
      </w:r>
      <w:r>
        <w:rPr>
          <w:rFonts w:hint="default" w:ascii="Times New Roman" w:hAnsi="Times New Roman" w:cs="Times New Roman"/>
          <w:color w:val="auto"/>
          <w:lang w:eastAsia="zh-CN"/>
        </w:rPr>
        <w:t>。</w:t>
      </w:r>
    </w:p>
    <w:p w14:paraId="264F4E1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b/>
          <w:bCs/>
          <w:color w:val="auto"/>
          <w:kern w:val="0"/>
          <w:sz w:val="24"/>
          <w:szCs w:val="24"/>
          <w:highlight w:val="none"/>
          <w:lang w:val="en-US" w:eastAsia="zh-CN"/>
        </w:rPr>
      </w:pPr>
      <w:r>
        <w:rPr>
          <w:rFonts w:hint="default" w:ascii="Times New Roman" w:hAnsi="Times New Roman" w:eastAsia="宋体" w:cs="Times New Roman"/>
          <w:b/>
          <w:bCs/>
          <w:color w:val="auto"/>
          <w:kern w:val="0"/>
          <w:sz w:val="24"/>
          <w:szCs w:val="24"/>
          <w:highlight w:val="none"/>
          <w:lang w:val="zh-CN"/>
        </w:rPr>
        <w:t>表2.3-</w:t>
      </w:r>
      <w:r>
        <w:rPr>
          <w:rFonts w:hint="default" w:ascii="Times New Roman" w:hAnsi="Times New Roman" w:cs="Times New Roman"/>
          <w:b/>
          <w:bCs/>
          <w:color w:val="auto"/>
          <w:kern w:val="0"/>
          <w:sz w:val="24"/>
          <w:szCs w:val="24"/>
          <w:highlight w:val="none"/>
          <w:lang w:val="en-US" w:eastAsia="zh-CN"/>
        </w:rPr>
        <w:t>2</w:t>
      </w:r>
      <w:r>
        <w:rPr>
          <w:rFonts w:hint="default" w:ascii="Times New Roman" w:hAnsi="Times New Roman" w:eastAsia="宋体" w:cs="Times New Roman"/>
          <w:b/>
          <w:bCs/>
          <w:color w:val="auto"/>
          <w:kern w:val="0"/>
          <w:sz w:val="24"/>
          <w:szCs w:val="24"/>
          <w:highlight w:val="none"/>
          <w:lang w:val="zh-CN"/>
        </w:rPr>
        <w:t xml:space="preserve"> </w:t>
      </w:r>
      <w:r>
        <w:rPr>
          <w:rFonts w:hint="default" w:ascii="Times New Roman" w:hAnsi="Times New Roman" w:eastAsia="宋体" w:cs="Times New Roman"/>
          <w:b/>
          <w:bCs/>
          <w:color w:val="auto"/>
          <w:kern w:val="0"/>
          <w:sz w:val="24"/>
          <w:szCs w:val="24"/>
          <w:highlight w:val="none"/>
          <w:lang w:val="en-US" w:eastAsia="zh-CN"/>
        </w:rPr>
        <w:t xml:space="preserve"> </w:t>
      </w:r>
      <w:r>
        <w:rPr>
          <w:rFonts w:hint="default" w:ascii="Times New Roman" w:hAnsi="Times New Roman" w:eastAsia="宋体" w:cs="Times New Roman"/>
          <w:b/>
          <w:bCs/>
          <w:color w:val="auto"/>
          <w:kern w:val="0"/>
          <w:sz w:val="24"/>
          <w:szCs w:val="24"/>
          <w:highlight w:val="none"/>
          <w:lang w:val="zh-CN"/>
        </w:rPr>
        <w:t>该项目与厂内周边设备设施之间的间</w:t>
      </w:r>
      <w:r>
        <w:rPr>
          <w:rFonts w:hint="default" w:ascii="Times New Roman" w:hAnsi="Times New Roman" w:eastAsia="宋体" w:cs="Times New Roman"/>
          <w:b/>
          <w:bCs/>
          <w:color w:val="auto"/>
          <w:kern w:val="0"/>
          <w:sz w:val="24"/>
          <w:szCs w:val="24"/>
          <w:highlight w:val="none"/>
          <w:lang w:val="en-US" w:eastAsia="zh-CN"/>
        </w:rPr>
        <w:t>距</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91"/>
        <w:gridCol w:w="654"/>
        <w:gridCol w:w="2776"/>
        <w:gridCol w:w="1681"/>
        <w:gridCol w:w="912"/>
        <w:gridCol w:w="844"/>
        <w:gridCol w:w="839"/>
      </w:tblGrid>
      <w:tr w14:paraId="0B2D97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tblHeader/>
          <w:jc w:val="center"/>
        </w:trPr>
        <w:tc>
          <w:tcPr>
            <w:tcW w:w="899" w:type="pct"/>
            <w:vMerge w:val="restart"/>
            <w:noWrap w:val="0"/>
            <w:vAlign w:val="center"/>
          </w:tcPr>
          <w:p w14:paraId="3FFF4E1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装置</w:t>
            </w:r>
          </w:p>
        </w:tc>
        <w:tc>
          <w:tcPr>
            <w:tcW w:w="348" w:type="pct"/>
            <w:vMerge w:val="restart"/>
            <w:noWrap w:val="0"/>
            <w:vAlign w:val="center"/>
          </w:tcPr>
          <w:p w14:paraId="13A9F82F">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方位</w:t>
            </w:r>
          </w:p>
        </w:tc>
        <w:tc>
          <w:tcPr>
            <w:tcW w:w="1476" w:type="pct"/>
            <w:vMerge w:val="restart"/>
            <w:noWrap w:val="0"/>
            <w:vAlign w:val="center"/>
          </w:tcPr>
          <w:p w14:paraId="4C72F24F">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相邻装置或建构筑物名称</w:t>
            </w:r>
          </w:p>
        </w:tc>
        <w:tc>
          <w:tcPr>
            <w:tcW w:w="894" w:type="pct"/>
            <w:vMerge w:val="restart"/>
            <w:noWrap w:val="0"/>
            <w:vAlign w:val="center"/>
          </w:tcPr>
          <w:p w14:paraId="32026308">
            <w:pPr>
              <w:pStyle w:val="31"/>
              <w:bidi w:val="0"/>
              <w:rPr>
                <w:rFonts w:hint="default" w:ascii="Times New Roman" w:hAnsi="Times New Roman" w:cs="Times New Roman"/>
                <w:b/>
                <w:bCs/>
                <w:color w:val="auto"/>
              </w:rPr>
            </w:pPr>
            <w:r>
              <w:rPr>
                <w:rFonts w:hint="default" w:ascii="Times New Roman" w:hAnsi="Times New Roman" w:cs="Times New Roman"/>
                <w:b/>
                <w:bCs/>
                <w:color w:val="auto"/>
              </w:rPr>
              <w:t>依据规范</w:t>
            </w:r>
          </w:p>
        </w:tc>
        <w:tc>
          <w:tcPr>
            <w:tcW w:w="934" w:type="pct"/>
            <w:gridSpan w:val="2"/>
            <w:noWrap w:val="0"/>
            <w:vAlign w:val="center"/>
          </w:tcPr>
          <w:p w14:paraId="75C610F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防火距离（m）</w:t>
            </w:r>
          </w:p>
        </w:tc>
        <w:tc>
          <w:tcPr>
            <w:tcW w:w="446" w:type="pct"/>
            <w:vMerge w:val="restart"/>
            <w:noWrap w:val="0"/>
            <w:vAlign w:val="center"/>
          </w:tcPr>
          <w:p w14:paraId="01971C9A">
            <w:pPr>
              <w:pStyle w:val="31"/>
              <w:bidi w:val="0"/>
              <w:rPr>
                <w:rFonts w:hint="default" w:ascii="Times New Roman" w:hAnsi="Times New Roman" w:cs="Times New Roman"/>
                <w:color w:val="auto"/>
              </w:rPr>
            </w:pPr>
            <w:r>
              <w:rPr>
                <w:rFonts w:hint="default" w:ascii="Times New Roman" w:hAnsi="Times New Roman" w:cs="Times New Roman"/>
                <w:b/>
                <w:bCs/>
                <w:color w:val="auto"/>
              </w:rPr>
              <w:t>符合性</w:t>
            </w:r>
          </w:p>
        </w:tc>
      </w:tr>
      <w:tr w14:paraId="6BA8FA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tblHeader/>
          <w:jc w:val="center"/>
        </w:trPr>
        <w:tc>
          <w:tcPr>
            <w:tcW w:w="899" w:type="pct"/>
            <w:vMerge w:val="continue"/>
            <w:noWrap w:val="0"/>
            <w:vAlign w:val="center"/>
          </w:tcPr>
          <w:p w14:paraId="458689D8">
            <w:pPr>
              <w:pStyle w:val="31"/>
              <w:bidi w:val="0"/>
              <w:rPr>
                <w:rFonts w:hint="default" w:ascii="Times New Roman" w:hAnsi="Times New Roman" w:cs="Times New Roman"/>
                <w:b/>
                <w:bCs/>
                <w:color w:val="auto"/>
              </w:rPr>
            </w:pPr>
          </w:p>
        </w:tc>
        <w:tc>
          <w:tcPr>
            <w:tcW w:w="348" w:type="pct"/>
            <w:vMerge w:val="continue"/>
            <w:noWrap w:val="0"/>
            <w:vAlign w:val="center"/>
          </w:tcPr>
          <w:p w14:paraId="24C23A40">
            <w:pPr>
              <w:pStyle w:val="31"/>
              <w:bidi w:val="0"/>
              <w:rPr>
                <w:rFonts w:hint="default" w:ascii="Times New Roman" w:hAnsi="Times New Roman" w:cs="Times New Roman"/>
                <w:b/>
                <w:bCs/>
                <w:color w:val="auto"/>
              </w:rPr>
            </w:pPr>
          </w:p>
        </w:tc>
        <w:tc>
          <w:tcPr>
            <w:tcW w:w="1476" w:type="pct"/>
            <w:vMerge w:val="continue"/>
            <w:noWrap w:val="0"/>
            <w:vAlign w:val="center"/>
          </w:tcPr>
          <w:p w14:paraId="4F4A3E18">
            <w:pPr>
              <w:pStyle w:val="31"/>
              <w:bidi w:val="0"/>
              <w:rPr>
                <w:rFonts w:hint="default" w:ascii="Times New Roman" w:hAnsi="Times New Roman" w:cs="Times New Roman"/>
                <w:b/>
                <w:bCs/>
                <w:color w:val="auto"/>
              </w:rPr>
            </w:pPr>
          </w:p>
        </w:tc>
        <w:tc>
          <w:tcPr>
            <w:tcW w:w="894" w:type="pct"/>
            <w:vMerge w:val="continue"/>
            <w:noWrap w:val="0"/>
            <w:vAlign w:val="center"/>
          </w:tcPr>
          <w:p w14:paraId="08CBEB23">
            <w:pPr>
              <w:pStyle w:val="31"/>
              <w:bidi w:val="0"/>
              <w:rPr>
                <w:rFonts w:hint="default" w:ascii="Times New Roman" w:hAnsi="Times New Roman" w:cs="Times New Roman"/>
                <w:b/>
                <w:bCs/>
                <w:color w:val="auto"/>
              </w:rPr>
            </w:pPr>
          </w:p>
        </w:tc>
        <w:tc>
          <w:tcPr>
            <w:tcW w:w="485" w:type="pct"/>
            <w:noWrap w:val="0"/>
            <w:vAlign w:val="center"/>
          </w:tcPr>
          <w:p w14:paraId="439505D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规范要求</w:t>
            </w:r>
          </w:p>
        </w:tc>
        <w:tc>
          <w:tcPr>
            <w:tcW w:w="448" w:type="pct"/>
            <w:noWrap w:val="0"/>
            <w:vAlign w:val="center"/>
          </w:tcPr>
          <w:p w14:paraId="67A0FB29">
            <w:pPr>
              <w:pStyle w:val="31"/>
              <w:bidi w:val="0"/>
              <w:rPr>
                <w:rFonts w:hint="default" w:ascii="Times New Roman" w:hAnsi="Times New Roman" w:cs="Times New Roman"/>
                <w:b/>
                <w:bCs/>
                <w:color w:val="auto"/>
              </w:rPr>
            </w:pPr>
            <w:r>
              <w:rPr>
                <w:rFonts w:hint="default" w:ascii="Times New Roman" w:hAnsi="Times New Roman" w:cs="Times New Roman"/>
                <w:b/>
                <w:bCs/>
                <w:color w:val="auto"/>
                <w:lang w:val="en-US" w:eastAsia="zh-CN"/>
              </w:rPr>
              <w:t>设计</w:t>
            </w:r>
            <w:r>
              <w:rPr>
                <w:rFonts w:hint="default" w:ascii="Times New Roman" w:hAnsi="Times New Roman" w:cs="Times New Roman"/>
                <w:b/>
                <w:bCs/>
                <w:color w:val="auto"/>
              </w:rPr>
              <w:t>距离</w:t>
            </w:r>
          </w:p>
        </w:tc>
        <w:tc>
          <w:tcPr>
            <w:tcW w:w="446" w:type="pct"/>
            <w:vMerge w:val="continue"/>
            <w:noWrap w:val="0"/>
            <w:vAlign w:val="center"/>
          </w:tcPr>
          <w:p w14:paraId="75CC8ADF">
            <w:pPr>
              <w:pStyle w:val="31"/>
              <w:bidi w:val="0"/>
              <w:rPr>
                <w:rFonts w:hint="default" w:ascii="Times New Roman" w:hAnsi="Times New Roman" w:cs="Times New Roman"/>
                <w:color w:val="auto"/>
              </w:rPr>
            </w:pPr>
          </w:p>
        </w:tc>
      </w:tr>
      <w:tr w14:paraId="78EB5B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899" w:type="pct"/>
            <w:noWrap w:val="0"/>
            <w:vAlign w:val="center"/>
          </w:tcPr>
          <w:p w14:paraId="0F009CBE">
            <w:pPr>
              <w:pStyle w:val="31"/>
              <w:bidi w:val="0"/>
              <w:rPr>
                <w:rFonts w:hint="default" w:ascii="Times New Roman" w:hAnsi="Times New Roman" w:cs="Times New Roman"/>
                <w:color w:val="auto"/>
              </w:rPr>
            </w:pPr>
            <w:r>
              <w:rPr>
                <w:rFonts w:hint="default" w:ascii="Times New Roman" w:hAnsi="Times New Roman" w:cs="Times New Roman"/>
                <w:color w:val="auto"/>
              </w:rPr>
              <w:t>“冷却</w:t>
            </w:r>
            <w:r>
              <w:rPr>
                <w:rFonts w:hint="eastAsia" w:cs="Times New Roman"/>
                <w:color w:val="auto"/>
                <w:lang w:val="en-US" w:eastAsia="zh-CN"/>
              </w:rPr>
              <w:t>-</w:t>
            </w:r>
            <w:r>
              <w:rPr>
                <w:rFonts w:hint="default" w:ascii="Times New Roman" w:hAnsi="Times New Roman" w:cs="Times New Roman"/>
                <w:color w:val="auto"/>
              </w:rPr>
              <w:t>除雾”单元</w:t>
            </w:r>
          </w:p>
        </w:tc>
        <w:tc>
          <w:tcPr>
            <w:tcW w:w="348" w:type="pct"/>
            <w:noWrap w:val="0"/>
            <w:vAlign w:val="center"/>
          </w:tcPr>
          <w:p w14:paraId="1BB031E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南</w:t>
            </w:r>
          </w:p>
        </w:tc>
        <w:tc>
          <w:tcPr>
            <w:tcW w:w="1476" w:type="pct"/>
            <w:noWrap w:val="0"/>
            <w:vAlign w:val="center"/>
          </w:tcPr>
          <w:p w14:paraId="37D7E2FF">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3#新建柴油罐区</w:t>
            </w:r>
            <w:r>
              <w:rPr>
                <w:rFonts w:hint="default" w:ascii="Times New Roman" w:hAnsi="Times New Roman" w:cs="Times New Roman"/>
                <w:color w:val="auto"/>
                <w:lang w:val="en-US" w:eastAsia="zh-CN"/>
              </w:rPr>
              <w:t>（相邻最大罐为5000m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内浮顶）（</w:t>
            </w:r>
            <w:r>
              <w:rPr>
                <w:rFonts w:hint="eastAsia" w:eastAsia="宋体"/>
                <w:b w:val="0"/>
                <w:bCs w:val="0"/>
                <w:color w:val="auto"/>
                <w:sz w:val="21"/>
                <w:szCs w:val="21"/>
                <w:lang w:val="en-US" w:eastAsia="zh-CN"/>
              </w:rPr>
              <w:t>丙</w:t>
            </w:r>
            <w:r>
              <w:rPr>
                <w:rFonts w:hint="eastAsia" w:eastAsia="宋体"/>
                <w:b w:val="0"/>
                <w:bCs w:val="0"/>
                <w:color w:val="auto"/>
                <w:sz w:val="21"/>
                <w:szCs w:val="21"/>
                <w:vertAlign w:val="subscript"/>
                <w:lang w:val="en-US" w:eastAsia="zh-CN"/>
              </w:rPr>
              <w:t>A</w:t>
            </w:r>
            <w:r>
              <w:rPr>
                <w:rFonts w:hint="eastAsia" w:eastAsia="宋体"/>
                <w:b w:val="0"/>
                <w:bCs w:val="0"/>
                <w:color w:val="auto"/>
                <w:sz w:val="21"/>
                <w:szCs w:val="21"/>
                <w:lang w:val="en-US" w:eastAsia="zh-CN"/>
              </w:rPr>
              <w:t>类</w:t>
            </w:r>
            <w:r>
              <w:rPr>
                <w:rFonts w:hint="default" w:ascii="Times New Roman" w:hAnsi="Times New Roman" w:cs="Times New Roman"/>
                <w:color w:val="auto"/>
                <w:lang w:val="en-US" w:eastAsia="zh-CN"/>
              </w:rPr>
              <w:t>）</w:t>
            </w:r>
          </w:p>
        </w:tc>
        <w:tc>
          <w:tcPr>
            <w:tcW w:w="894" w:type="pct"/>
            <w:noWrap w:val="0"/>
            <w:vAlign w:val="center"/>
          </w:tcPr>
          <w:p w14:paraId="73AF4F4C">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6445F377">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4.2.12</w:t>
            </w:r>
          </w:p>
        </w:tc>
        <w:tc>
          <w:tcPr>
            <w:tcW w:w="485" w:type="pct"/>
            <w:noWrap w:val="0"/>
            <w:vAlign w:val="center"/>
          </w:tcPr>
          <w:p w14:paraId="217A88F7">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w:t>
            </w:r>
            <w:r>
              <w:rPr>
                <w:rFonts w:hint="default" w:ascii="Times New Roman" w:hAnsi="Times New Roman" w:cs="Times New Roman"/>
                <w:color w:val="auto"/>
                <w:lang w:val="en-US" w:eastAsia="zh-CN"/>
              </w:rPr>
              <w:t>30</w:t>
            </w:r>
          </w:p>
        </w:tc>
        <w:tc>
          <w:tcPr>
            <w:tcW w:w="448" w:type="pct"/>
            <w:noWrap w:val="0"/>
            <w:vAlign w:val="center"/>
          </w:tcPr>
          <w:p w14:paraId="5FDDAEEF">
            <w:pPr>
              <w:widowControl w:val="0"/>
              <w:bidi w:val="0"/>
              <w:spacing w:line="240" w:lineRule="auto"/>
              <w:ind w:firstLine="0" w:firstLineChars="0"/>
              <w:jc w:val="center"/>
              <w:rPr>
                <w:rFonts w:hint="default" w:ascii="Times New Roman" w:hAnsi="Times New Roman" w:eastAsia="宋体" w:cs="Times New Roman"/>
                <w:color w:val="auto"/>
                <w:kern w:val="2"/>
                <w:sz w:val="28"/>
                <w:szCs w:val="22"/>
                <w:lang w:val="en-US" w:eastAsia="zh-CN" w:bidi="ar-SA"/>
              </w:rPr>
            </w:pPr>
            <w:r>
              <w:rPr>
                <w:rFonts w:hint="default" w:ascii="Times New Roman" w:hAnsi="Times New Roman" w:eastAsia="宋体" w:cs="Times New Roman"/>
                <w:color w:val="auto"/>
                <w:kern w:val="2"/>
                <w:sz w:val="21"/>
                <w:szCs w:val="21"/>
                <w:lang w:val="en-US" w:eastAsia="zh-CN" w:bidi="ar-SA"/>
              </w:rPr>
              <w:t>46.9</w:t>
            </w:r>
          </w:p>
        </w:tc>
        <w:tc>
          <w:tcPr>
            <w:tcW w:w="446" w:type="pct"/>
            <w:noWrap w:val="0"/>
            <w:vAlign w:val="center"/>
          </w:tcPr>
          <w:p w14:paraId="1BE18536">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符合</w:t>
            </w:r>
          </w:p>
        </w:tc>
      </w:tr>
      <w:tr w14:paraId="3374D7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899" w:type="pct"/>
            <w:vMerge w:val="restart"/>
            <w:noWrap w:val="0"/>
            <w:vAlign w:val="center"/>
          </w:tcPr>
          <w:p w14:paraId="33FB0872">
            <w:pPr>
              <w:pStyle w:val="31"/>
              <w:bidi w:val="0"/>
              <w:rPr>
                <w:rFonts w:hint="default" w:ascii="Times New Roman" w:hAnsi="Times New Roman" w:cs="Times New Roman"/>
                <w:color w:val="auto"/>
              </w:rPr>
            </w:pPr>
            <w:r>
              <w:rPr>
                <w:rFonts w:hint="default" w:ascii="Times New Roman" w:hAnsi="Times New Roman" w:cs="Times New Roman"/>
                <w:color w:val="auto"/>
              </w:rPr>
              <w:t>低温柴油吸收单元</w:t>
            </w:r>
          </w:p>
        </w:tc>
        <w:tc>
          <w:tcPr>
            <w:tcW w:w="348" w:type="pct"/>
            <w:noWrap w:val="0"/>
            <w:vAlign w:val="center"/>
          </w:tcPr>
          <w:p w14:paraId="6FCE5655">
            <w:pPr>
              <w:pStyle w:val="31"/>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西</w:t>
            </w:r>
          </w:p>
        </w:tc>
        <w:tc>
          <w:tcPr>
            <w:tcW w:w="1476" w:type="pct"/>
            <w:noWrap w:val="0"/>
            <w:vAlign w:val="center"/>
          </w:tcPr>
          <w:p w14:paraId="22538588">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大鹤管装车泵房</w:t>
            </w:r>
          </w:p>
        </w:tc>
        <w:tc>
          <w:tcPr>
            <w:tcW w:w="894" w:type="pct"/>
            <w:noWrap w:val="0"/>
            <w:vAlign w:val="center"/>
          </w:tcPr>
          <w:p w14:paraId="736F6C7F">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657EAE41">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4.2.12</w:t>
            </w:r>
          </w:p>
        </w:tc>
        <w:tc>
          <w:tcPr>
            <w:tcW w:w="485" w:type="pct"/>
            <w:noWrap w:val="0"/>
            <w:vAlign w:val="center"/>
          </w:tcPr>
          <w:p w14:paraId="2E9FAED4">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w:t>
            </w:r>
            <w:r>
              <w:rPr>
                <w:rFonts w:hint="default" w:ascii="Times New Roman" w:hAnsi="Times New Roman" w:cs="Times New Roman"/>
                <w:color w:val="auto"/>
                <w:lang w:val="en-US" w:eastAsia="zh-CN"/>
              </w:rPr>
              <w:t>20</w:t>
            </w:r>
          </w:p>
        </w:tc>
        <w:tc>
          <w:tcPr>
            <w:tcW w:w="448" w:type="pct"/>
            <w:noWrap w:val="0"/>
            <w:vAlign w:val="center"/>
          </w:tcPr>
          <w:p w14:paraId="02762BF1">
            <w:pPr>
              <w:widowControl w:val="0"/>
              <w:bidi w:val="0"/>
              <w:spacing w:line="240" w:lineRule="auto"/>
              <w:ind w:firstLine="0" w:firstLineChars="0"/>
              <w:jc w:val="center"/>
              <w:rPr>
                <w:rFonts w:hint="default" w:ascii="Times New Roman" w:hAnsi="Times New Roman" w:eastAsia="宋体" w:cs="Times New Roman"/>
                <w:color w:val="auto"/>
                <w:kern w:val="2"/>
                <w:sz w:val="28"/>
                <w:szCs w:val="22"/>
                <w:lang w:val="en-US" w:eastAsia="zh-CN" w:bidi="ar-SA"/>
              </w:rPr>
            </w:pPr>
            <w:r>
              <w:rPr>
                <w:rFonts w:hint="eastAsia" w:ascii="Times New Roman" w:hAnsi="Times New Roman" w:eastAsia="宋体" w:cs="Times New Roman"/>
                <w:color w:val="auto"/>
                <w:kern w:val="2"/>
                <w:sz w:val="21"/>
                <w:szCs w:val="21"/>
                <w:lang w:val="en-US" w:eastAsia="zh-CN" w:bidi="ar-SA"/>
              </w:rPr>
              <w:t>32.2</w:t>
            </w:r>
          </w:p>
        </w:tc>
        <w:tc>
          <w:tcPr>
            <w:tcW w:w="446" w:type="pct"/>
            <w:noWrap w:val="0"/>
            <w:vAlign w:val="center"/>
          </w:tcPr>
          <w:p w14:paraId="19F5B66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符合</w:t>
            </w:r>
          </w:p>
        </w:tc>
      </w:tr>
      <w:tr w14:paraId="11E2CA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899" w:type="pct"/>
            <w:vMerge w:val="continue"/>
            <w:noWrap w:val="0"/>
            <w:vAlign w:val="center"/>
          </w:tcPr>
          <w:p w14:paraId="251B3B77">
            <w:pPr>
              <w:pStyle w:val="31"/>
              <w:bidi w:val="0"/>
              <w:rPr>
                <w:rFonts w:hint="default" w:ascii="Times New Roman" w:hAnsi="Times New Roman" w:cs="Times New Roman"/>
                <w:color w:val="auto"/>
              </w:rPr>
            </w:pPr>
          </w:p>
        </w:tc>
        <w:tc>
          <w:tcPr>
            <w:tcW w:w="348" w:type="pct"/>
            <w:noWrap w:val="0"/>
            <w:vAlign w:val="center"/>
          </w:tcPr>
          <w:p w14:paraId="2BB426A6">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西</w:t>
            </w:r>
          </w:p>
        </w:tc>
        <w:tc>
          <w:tcPr>
            <w:tcW w:w="1476" w:type="pct"/>
            <w:noWrap w:val="0"/>
            <w:vAlign w:val="center"/>
          </w:tcPr>
          <w:p w14:paraId="0667BCC9">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6#焦化原料罐区（相邻最大罐为5000m</w:t>
            </w:r>
            <w:r>
              <w:rPr>
                <w:rFonts w:hint="eastAsia" w:cs="Times New Roman"/>
                <w:color w:val="auto"/>
                <w:vertAlign w:val="superscript"/>
                <w:lang w:val="en-US" w:eastAsia="zh-CN"/>
              </w:rPr>
              <w:t>3</w:t>
            </w:r>
            <w:r>
              <w:rPr>
                <w:rFonts w:hint="eastAsia" w:ascii="Times New Roman" w:hAnsi="Times New Roman" w:eastAsia="宋体" w:cs="Times New Roman"/>
                <w:color w:val="auto"/>
                <w:sz w:val="21"/>
                <w:szCs w:val="21"/>
                <w:lang w:val="en-US" w:eastAsia="zh-CN"/>
              </w:rPr>
              <w:t>固定顶</w:t>
            </w:r>
            <w:r>
              <w:rPr>
                <w:rFonts w:hint="default" w:ascii="Times New Roman" w:hAnsi="Times New Roman" w:cs="Times New Roman"/>
                <w:color w:val="auto"/>
                <w:lang w:val="en-US" w:eastAsia="zh-CN"/>
              </w:rPr>
              <w:t>）（</w:t>
            </w:r>
            <w:r>
              <w:rPr>
                <w:rFonts w:hint="eastAsia" w:ascii="Times New Roman" w:hAnsi="Times New Roman" w:eastAsia="宋体" w:cs="Times New Roman"/>
                <w:color w:val="auto"/>
                <w:sz w:val="21"/>
                <w:szCs w:val="21"/>
                <w:lang w:val="en-US" w:eastAsia="zh-CN"/>
              </w:rPr>
              <w:t>丙</w:t>
            </w:r>
            <w:r>
              <w:rPr>
                <w:rFonts w:hint="eastAsia" w:ascii="Times New Roman" w:hAnsi="Times New Roman" w:eastAsia="宋体" w:cs="Times New Roman"/>
                <w:color w:val="auto"/>
                <w:sz w:val="21"/>
                <w:szCs w:val="21"/>
                <w:vertAlign w:val="subscript"/>
                <w:lang w:val="en-US" w:eastAsia="zh-CN"/>
              </w:rPr>
              <w:t>A</w:t>
            </w:r>
            <w:r>
              <w:rPr>
                <w:rFonts w:hint="eastAsia" w:ascii="Times New Roman" w:hAnsi="Times New Roman" w:eastAsia="宋体" w:cs="Times New Roman"/>
                <w:color w:val="auto"/>
                <w:sz w:val="21"/>
                <w:szCs w:val="21"/>
                <w:lang w:val="en-US" w:eastAsia="zh-CN"/>
              </w:rPr>
              <w:t>类</w:t>
            </w:r>
            <w:r>
              <w:rPr>
                <w:rFonts w:hint="default" w:ascii="Times New Roman" w:hAnsi="Times New Roman" w:cs="Times New Roman"/>
                <w:color w:val="auto"/>
                <w:lang w:val="en-US" w:eastAsia="zh-CN"/>
              </w:rPr>
              <w:t>）</w:t>
            </w:r>
          </w:p>
        </w:tc>
        <w:tc>
          <w:tcPr>
            <w:tcW w:w="894" w:type="pct"/>
            <w:noWrap w:val="0"/>
            <w:vAlign w:val="center"/>
          </w:tcPr>
          <w:p w14:paraId="39200DF6">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0A4E8933">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4.2.12</w:t>
            </w:r>
          </w:p>
        </w:tc>
        <w:tc>
          <w:tcPr>
            <w:tcW w:w="485" w:type="pct"/>
            <w:noWrap w:val="0"/>
            <w:vAlign w:val="center"/>
          </w:tcPr>
          <w:p w14:paraId="61FFF717">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w:t>
            </w:r>
            <w:r>
              <w:rPr>
                <w:rFonts w:hint="eastAsia" w:cs="Times New Roman"/>
                <w:color w:val="auto"/>
                <w:lang w:val="en-US" w:eastAsia="zh-CN"/>
              </w:rPr>
              <w:t>30</w:t>
            </w:r>
          </w:p>
        </w:tc>
        <w:tc>
          <w:tcPr>
            <w:tcW w:w="448" w:type="pct"/>
            <w:noWrap w:val="0"/>
            <w:vAlign w:val="center"/>
          </w:tcPr>
          <w:p w14:paraId="3CD36B9E">
            <w:pPr>
              <w:widowControl w:val="0"/>
              <w:bidi w:val="0"/>
              <w:spacing w:line="240" w:lineRule="auto"/>
              <w:ind w:firstLine="0" w:firstLineChars="0"/>
              <w:jc w:val="center"/>
              <w:rPr>
                <w:rFonts w:hint="eastAsia" w:ascii="Times New Roman" w:hAnsi="Times New Roman" w:eastAsia="宋体" w:cs="Times New Roman"/>
                <w:color w:val="auto"/>
                <w:kern w:val="2"/>
                <w:sz w:val="28"/>
                <w:szCs w:val="22"/>
                <w:lang w:val="en-US" w:eastAsia="zh-CN" w:bidi="ar-SA"/>
              </w:rPr>
            </w:pPr>
            <w:r>
              <w:rPr>
                <w:rFonts w:hint="default" w:ascii="Times New Roman" w:hAnsi="Times New Roman" w:eastAsia="宋体" w:cs="Times New Roman"/>
                <w:color w:val="auto"/>
                <w:kern w:val="2"/>
                <w:sz w:val="21"/>
                <w:szCs w:val="21"/>
                <w:lang w:val="en-US" w:eastAsia="zh-CN" w:bidi="ar-SA"/>
              </w:rPr>
              <w:t>40.</w:t>
            </w:r>
            <w:r>
              <w:rPr>
                <w:rFonts w:hint="eastAsia" w:ascii="Times New Roman" w:hAnsi="Times New Roman" w:eastAsia="宋体" w:cs="Times New Roman"/>
                <w:color w:val="auto"/>
                <w:kern w:val="2"/>
                <w:sz w:val="21"/>
                <w:szCs w:val="21"/>
                <w:lang w:val="en-US" w:eastAsia="zh-CN" w:bidi="ar-SA"/>
              </w:rPr>
              <w:t>2</w:t>
            </w:r>
          </w:p>
        </w:tc>
        <w:tc>
          <w:tcPr>
            <w:tcW w:w="446" w:type="pct"/>
            <w:noWrap w:val="0"/>
            <w:vAlign w:val="center"/>
          </w:tcPr>
          <w:p w14:paraId="1E581840">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符合</w:t>
            </w:r>
          </w:p>
        </w:tc>
      </w:tr>
      <w:tr w14:paraId="17B829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899" w:type="pct"/>
            <w:vMerge w:val="restart"/>
            <w:noWrap w:val="0"/>
            <w:vAlign w:val="center"/>
          </w:tcPr>
          <w:p w14:paraId="242284D2">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蓄热氧化单元</w:t>
            </w:r>
            <w:r>
              <w:rPr>
                <w:rFonts w:hint="eastAsia" w:cs="Times New Roman"/>
                <w:color w:val="auto"/>
                <w:lang w:eastAsia="zh-CN"/>
              </w:rPr>
              <w:t>（</w:t>
            </w:r>
            <w:r>
              <w:rPr>
                <w:rFonts w:hint="eastAsia" w:cs="Times New Roman"/>
                <w:color w:val="auto"/>
                <w:lang w:val="en-US" w:eastAsia="zh-CN"/>
              </w:rPr>
              <w:t>明火地点</w:t>
            </w:r>
            <w:r>
              <w:rPr>
                <w:rFonts w:hint="eastAsia" w:cs="Times New Roman"/>
                <w:color w:val="auto"/>
                <w:lang w:eastAsia="zh-CN"/>
              </w:rPr>
              <w:t>）</w:t>
            </w:r>
            <w:r>
              <w:rPr>
                <w:rFonts w:hint="eastAsia" w:cs="Times New Roman"/>
                <w:color w:val="auto"/>
                <w:vertAlign w:val="superscript"/>
                <w:lang w:val="en-US" w:eastAsia="zh-CN"/>
              </w:rPr>
              <w:t>①</w:t>
            </w:r>
          </w:p>
        </w:tc>
        <w:tc>
          <w:tcPr>
            <w:tcW w:w="348" w:type="pct"/>
            <w:noWrap w:val="0"/>
            <w:vAlign w:val="center"/>
          </w:tcPr>
          <w:p w14:paraId="03F3354A">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北</w:t>
            </w:r>
          </w:p>
        </w:tc>
        <w:tc>
          <w:tcPr>
            <w:tcW w:w="1476" w:type="pct"/>
            <w:noWrap w:val="0"/>
            <w:vAlign w:val="center"/>
          </w:tcPr>
          <w:p w14:paraId="14B3AFBA">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1#火车装车台</w:t>
            </w:r>
          </w:p>
        </w:tc>
        <w:tc>
          <w:tcPr>
            <w:tcW w:w="894" w:type="pct"/>
            <w:noWrap w:val="0"/>
            <w:vAlign w:val="center"/>
          </w:tcPr>
          <w:p w14:paraId="7D4A3965">
            <w:pPr>
              <w:pStyle w:val="31"/>
              <w:bidi w:val="0"/>
              <w:rPr>
                <w:rFonts w:hint="default" w:ascii="Times New Roman" w:hAnsi="Times New Roman" w:cs="Times New Roman"/>
                <w:color w:val="auto"/>
              </w:rPr>
            </w:pPr>
            <w:r>
              <w:rPr>
                <w:rFonts w:hint="default" w:ascii="Times New Roman" w:hAnsi="Times New Roman" w:cs="Times New Roman"/>
                <w:color w:val="auto"/>
              </w:rPr>
              <w:t>GB50160-2008</w:t>
            </w:r>
          </w:p>
          <w:p w14:paraId="0C248B05">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4.2.12、注7</w:t>
            </w:r>
          </w:p>
        </w:tc>
        <w:tc>
          <w:tcPr>
            <w:tcW w:w="485" w:type="pct"/>
            <w:noWrap w:val="0"/>
            <w:vAlign w:val="center"/>
          </w:tcPr>
          <w:p w14:paraId="234DA64B">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w:t>
            </w:r>
            <w:r>
              <w:rPr>
                <w:rFonts w:hint="default" w:ascii="Times New Roman" w:hAnsi="Times New Roman" w:cs="Times New Roman"/>
                <w:color w:val="auto"/>
                <w:lang w:val="en-US" w:eastAsia="zh-CN"/>
              </w:rPr>
              <w:t>22.5</w:t>
            </w:r>
            <w:r>
              <w:rPr>
                <w:rFonts w:hint="eastAsia" w:cs="Times New Roman"/>
                <w:color w:val="auto"/>
                <w:vertAlign w:val="superscript"/>
                <w:lang w:val="en-US" w:eastAsia="zh-CN"/>
              </w:rPr>
              <w:t>②</w:t>
            </w:r>
          </w:p>
        </w:tc>
        <w:tc>
          <w:tcPr>
            <w:tcW w:w="448" w:type="pct"/>
            <w:noWrap w:val="0"/>
            <w:vAlign w:val="center"/>
          </w:tcPr>
          <w:p w14:paraId="6A1CC824">
            <w:pPr>
              <w:widowControl w:val="0"/>
              <w:bidi w:val="0"/>
              <w:spacing w:line="240" w:lineRule="auto"/>
              <w:ind w:firstLine="0" w:firstLineChars="0"/>
              <w:jc w:val="center"/>
              <w:rPr>
                <w:rFonts w:hint="eastAsia" w:ascii="Times New Roman" w:hAnsi="Times New Roman" w:eastAsia="宋体" w:cs="Times New Roman"/>
                <w:color w:val="auto"/>
                <w:kern w:val="2"/>
                <w:sz w:val="28"/>
                <w:szCs w:val="22"/>
                <w:lang w:val="en-US" w:eastAsia="zh-CN" w:bidi="ar-SA"/>
              </w:rPr>
            </w:pPr>
            <w:r>
              <w:rPr>
                <w:rFonts w:hint="eastAsia" w:ascii="Times New Roman" w:hAnsi="Times New Roman" w:cs="Times New Roman"/>
                <w:color w:val="auto"/>
                <w:kern w:val="2"/>
                <w:sz w:val="21"/>
                <w:szCs w:val="21"/>
                <w:lang w:val="en-US" w:eastAsia="zh-CN" w:bidi="ar-SA"/>
              </w:rPr>
              <w:t>31</w:t>
            </w:r>
          </w:p>
        </w:tc>
        <w:tc>
          <w:tcPr>
            <w:tcW w:w="446" w:type="pct"/>
            <w:noWrap w:val="0"/>
            <w:vAlign w:val="center"/>
          </w:tcPr>
          <w:p w14:paraId="480CA2AA">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符合</w:t>
            </w:r>
          </w:p>
        </w:tc>
      </w:tr>
      <w:tr w14:paraId="7740EB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899" w:type="pct"/>
            <w:vMerge w:val="continue"/>
            <w:noWrap w:val="0"/>
            <w:vAlign w:val="center"/>
          </w:tcPr>
          <w:p w14:paraId="13FDC8CD">
            <w:pPr>
              <w:pStyle w:val="31"/>
              <w:bidi w:val="0"/>
              <w:rPr>
                <w:rFonts w:hint="default" w:ascii="Times New Roman" w:hAnsi="Times New Roman" w:cs="Times New Roman"/>
                <w:color w:val="auto"/>
              </w:rPr>
            </w:pPr>
          </w:p>
        </w:tc>
        <w:tc>
          <w:tcPr>
            <w:tcW w:w="348" w:type="pct"/>
            <w:vMerge w:val="restart"/>
            <w:noWrap w:val="0"/>
            <w:vAlign w:val="center"/>
          </w:tcPr>
          <w:p w14:paraId="50F76453">
            <w:pPr>
              <w:pStyle w:val="31"/>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东</w:t>
            </w:r>
          </w:p>
        </w:tc>
        <w:tc>
          <w:tcPr>
            <w:tcW w:w="1476" w:type="pct"/>
            <w:noWrap w:val="0"/>
            <w:vAlign w:val="center"/>
          </w:tcPr>
          <w:p w14:paraId="2ADB0FD9">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泵区（丙</w:t>
            </w:r>
            <w:r>
              <w:rPr>
                <w:rFonts w:hint="default" w:ascii="Times New Roman" w:hAnsi="Times New Roman" w:cs="Times New Roman"/>
                <w:color w:val="auto"/>
                <w:vertAlign w:val="subscript"/>
                <w:lang w:val="en-US" w:eastAsia="zh-CN"/>
              </w:rPr>
              <w:t>A</w:t>
            </w:r>
            <w:r>
              <w:rPr>
                <w:rFonts w:hint="default" w:ascii="Times New Roman" w:hAnsi="Times New Roman" w:cs="Times New Roman"/>
                <w:color w:val="auto"/>
                <w:lang w:val="en-US" w:eastAsia="zh-CN"/>
              </w:rPr>
              <w:t>）</w:t>
            </w:r>
          </w:p>
        </w:tc>
        <w:tc>
          <w:tcPr>
            <w:tcW w:w="894" w:type="pct"/>
            <w:noWrap w:val="0"/>
            <w:vAlign w:val="center"/>
          </w:tcPr>
          <w:p w14:paraId="235B858F">
            <w:pPr>
              <w:pStyle w:val="31"/>
              <w:bidi w:val="0"/>
              <w:rPr>
                <w:rFonts w:hint="default" w:ascii="Times New Roman" w:hAnsi="Times New Roman" w:cs="Times New Roman"/>
                <w:color w:val="auto"/>
              </w:rPr>
            </w:pPr>
            <w:r>
              <w:rPr>
                <w:rFonts w:hint="default" w:ascii="Times New Roman" w:hAnsi="Times New Roman" w:cs="Times New Roman"/>
                <w:color w:val="auto"/>
                <w:lang w:eastAsia="zh-CN"/>
              </w:rPr>
              <w:t>GB</w:t>
            </w:r>
            <w:r>
              <w:rPr>
                <w:rFonts w:hint="default" w:ascii="Times New Roman" w:hAnsi="Times New Roman" w:cs="Times New Roman"/>
                <w:color w:val="auto"/>
              </w:rPr>
              <w:t>50160-2008</w:t>
            </w:r>
          </w:p>
          <w:p w14:paraId="094D8393">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4.2.12、注9</w:t>
            </w:r>
          </w:p>
        </w:tc>
        <w:tc>
          <w:tcPr>
            <w:tcW w:w="485" w:type="pct"/>
            <w:noWrap w:val="0"/>
            <w:vAlign w:val="center"/>
          </w:tcPr>
          <w:p w14:paraId="1D5D2141">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w:t>
            </w:r>
            <w:r>
              <w:rPr>
                <w:rFonts w:hint="default" w:ascii="Times New Roman" w:hAnsi="Times New Roman" w:cs="Times New Roman"/>
                <w:color w:val="auto"/>
                <w:lang w:val="en-US" w:eastAsia="zh-CN"/>
              </w:rPr>
              <w:t>15</w:t>
            </w:r>
            <w:r>
              <w:rPr>
                <w:rFonts w:hint="eastAsia" w:cs="Times New Roman"/>
                <w:color w:val="auto"/>
                <w:vertAlign w:val="superscript"/>
                <w:lang w:val="en-US" w:eastAsia="zh-CN"/>
              </w:rPr>
              <w:t>③</w:t>
            </w:r>
          </w:p>
        </w:tc>
        <w:tc>
          <w:tcPr>
            <w:tcW w:w="448" w:type="pct"/>
            <w:noWrap w:val="0"/>
            <w:vAlign w:val="center"/>
          </w:tcPr>
          <w:p w14:paraId="506E6112">
            <w:pPr>
              <w:widowControl w:val="0"/>
              <w:bidi w:val="0"/>
              <w:spacing w:line="240" w:lineRule="auto"/>
              <w:ind w:firstLine="0" w:firstLineChars="0"/>
              <w:jc w:val="center"/>
              <w:rPr>
                <w:rFonts w:hint="eastAsia" w:ascii="Times New Roman" w:hAnsi="Times New Roman" w:eastAsia="宋体" w:cs="Times New Roman"/>
                <w:color w:val="auto"/>
                <w:kern w:val="2"/>
                <w:sz w:val="28"/>
                <w:szCs w:val="22"/>
                <w:lang w:val="en-US" w:eastAsia="zh-CN" w:bidi="ar-SA"/>
              </w:rPr>
            </w:pPr>
            <w:r>
              <w:rPr>
                <w:rFonts w:hint="eastAsia" w:ascii="Times New Roman" w:hAnsi="Times New Roman" w:eastAsia="宋体" w:cs="Times New Roman"/>
                <w:color w:val="auto"/>
                <w:kern w:val="2"/>
                <w:sz w:val="21"/>
                <w:szCs w:val="21"/>
                <w:lang w:val="en-US" w:eastAsia="zh-CN" w:bidi="ar-SA"/>
              </w:rPr>
              <w:t>40.4</w:t>
            </w:r>
          </w:p>
        </w:tc>
        <w:tc>
          <w:tcPr>
            <w:tcW w:w="446" w:type="pct"/>
            <w:noWrap w:val="0"/>
            <w:vAlign w:val="center"/>
          </w:tcPr>
          <w:p w14:paraId="5561BFAF">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符合</w:t>
            </w:r>
          </w:p>
        </w:tc>
      </w:tr>
      <w:tr w14:paraId="64B58F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899" w:type="pct"/>
            <w:vMerge w:val="continue"/>
            <w:noWrap w:val="0"/>
            <w:vAlign w:val="center"/>
          </w:tcPr>
          <w:p w14:paraId="61E831A2">
            <w:pPr>
              <w:pStyle w:val="31"/>
              <w:bidi w:val="0"/>
              <w:rPr>
                <w:rFonts w:hint="default" w:ascii="Times New Roman" w:hAnsi="Times New Roman" w:cs="Times New Roman"/>
                <w:color w:val="auto"/>
              </w:rPr>
            </w:pPr>
          </w:p>
        </w:tc>
        <w:tc>
          <w:tcPr>
            <w:tcW w:w="348" w:type="pct"/>
            <w:vMerge w:val="continue"/>
            <w:noWrap w:val="0"/>
            <w:vAlign w:val="center"/>
          </w:tcPr>
          <w:p w14:paraId="4429886C">
            <w:pPr>
              <w:pStyle w:val="31"/>
              <w:bidi w:val="0"/>
              <w:ind w:firstLine="0" w:firstLineChars="0"/>
              <w:rPr>
                <w:rFonts w:hint="default" w:ascii="Times New Roman" w:hAnsi="Times New Roman" w:cs="Times New Roman"/>
                <w:color w:val="auto"/>
                <w:lang w:val="en-US" w:eastAsia="zh-CN"/>
              </w:rPr>
            </w:pPr>
          </w:p>
        </w:tc>
        <w:tc>
          <w:tcPr>
            <w:tcW w:w="1476" w:type="pct"/>
            <w:noWrap w:val="0"/>
            <w:vAlign w:val="center"/>
          </w:tcPr>
          <w:p w14:paraId="76B7D480">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16#船燃罐区（相邻最大罐为20000m³固定罐）</w:t>
            </w:r>
          </w:p>
          <w:p w14:paraId="0C37B1E0">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（丙</w:t>
            </w:r>
            <w:r>
              <w:rPr>
                <w:rFonts w:hint="default" w:ascii="Times New Roman" w:hAnsi="Times New Roman" w:cs="Times New Roman"/>
                <w:color w:val="auto"/>
                <w:vertAlign w:val="subscript"/>
                <w:lang w:val="en-US" w:eastAsia="zh-CN"/>
              </w:rPr>
              <w:t>A</w:t>
            </w:r>
            <w:r>
              <w:rPr>
                <w:rFonts w:hint="default" w:ascii="Times New Roman" w:hAnsi="Times New Roman" w:cs="Times New Roman"/>
                <w:color w:val="auto"/>
                <w:lang w:val="en-US" w:eastAsia="zh-CN"/>
              </w:rPr>
              <w:t>）</w:t>
            </w:r>
          </w:p>
        </w:tc>
        <w:tc>
          <w:tcPr>
            <w:tcW w:w="894" w:type="pct"/>
            <w:noWrap w:val="0"/>
            <w:vAlign w:val="center"/>
          </w:tcPr>
          <w:p w14:paraId="3DF2EC35">
            <w:pPr>
              <w:pStyle w:val="31"/>
              <w:bidi w:val="0"/>
              <w:rPr>
                <w:rFonts w:hint="default" w:ascii="Times New Roman" w:hAnsi="Times New Roman" w:cs="Times New Roman"/>
                <w:color w:val="auto"/>
              </w:rPr>
            </w:pPr>
            <w:r>
              <w:rPr>
                <w:rFonts w:hint="default" w:ascii="Times New Roman" w:hAnsi="Times New Roman" w:cs="Times New Roman"/>
                <w:color w:val="auto"/>
                <w:lang w:eastAsia="zh-CN"/>
              </w:rPr>
              <w:t>GB</w:t>
            </w:r>
            <w:r>
              <w:rPr>
                <w:rFonts w:hint="default" w:ascii="Times New Roman" w:hAnsi="Times New Roman" w:cs="Times New Roman"/>
                <w:color w:val="auto"/>
              </w:rPr>
              <w:t>50160-2008</w:t>
            </w:r>
          </w:p>
          <w:p w14:paraId="68FD7904">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4.2.12</w:t>
            </w:r>
          </w:p>
        </w:tc>
        <w:tc>
          <w:tcPr>
            <w:tcW w:w="485" w:type="pct"/>
            <w:noWrap w:val="0"/>
            <w:vAlign w:val="center"/>
          </w:tcPr>
          <w:p w14:paraId="3800B80F">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w:t>
            </w:r>
            <w:r>
              <w:rPr>
                <w:rFonts w:hint="default" w:ascii="Times New Roman" w:hAnsi="Times New Roman" w:cs="Times New Roman"/>
                <w:color w:val="auto"/>
                <w:lang w:val="en-US" w:eastAsia="zh-CN"/>
              </w:rPr>
              <w:t>35</w:t>
            </w:r>
          </w:p>
        </w:tc>
        <w:tc>
          <w:tcPr>
            <w:tcW w:w="448" w:type="pct"/>
            <w:noWrap w:val="0"/>
            <w:vAlign w:val="center"/>
          </w:tcPr>
          <w:p w14:paraId="595D3F54">
            <w:pPr>
              <w:widowControl w:val="0"/>
              <w:bidi w:val="0"/>
              <w:spacing w:line="240" w:lineRule="auto"/>
              <w:ind w:firstLine="0" w:firstLineChars="0"/>
              <w:jc w:val="center"/>
              <w:rPr>
                <w:rFonts w:hint="eastAsia" w:ascii="Times New Roman" w:hAnsi="Times New Roman" w:eastAsia="宋体" w:cs="Times New Roman"/>
                <w:color w:val="auto"/>
                <w:kern w:val="2"/>
                <w:sz w:val="28"/>
                <w:szCs w:val="22"/>
                <w:lang w:val="en-US" w:eastAsia="zh-CN" w:bidi="ar-SA"/>
              </w:rPr>
            </w:pPr>
            <w:r>
              <w:rPr>
                <w:rFonts w:hint="eastAsia" w:ascii="Times New Roman" w:hAnsi="Times New Roman" w:eastAsia="宋体" w:cs="Times New Roman"/>
                <w:color w:val="auto"/>
                <w:kern w:val="2"/>
                <w:sz w:val="21"/>
                <w:szCs w:val="21"/>
                <w:lang w:val="en-US" w:eastAsia="zh-CN" w:bidi="ar-SA"/>
              </w:rPr>
              <w:t>59.5</w:t>
            </w:r>
          </w:p>
        </w:tc>
        <w:tc>
          <w:tcPr>
            <w:tcW w:w="446" w:type="pct"/>
            <w:noWrap w:val="0"/>
            <w:vAlign w:val="center"/>
          </w:tcPr>
          <w:p w14:paraId="2151EF38">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符合</w:t>
            </w:r>
          </w:p>
        </w:tc>
      </w:tr>
    </w:tbl>
    <w:p w14:paraId="13CC0C27">
      <w:pPr>
        <w:pStyle w:val="3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注：</w:t>
      </w:r>
      <w:r>
        <w:rPr>
          <w:rFonts w:hint="eastAsia" w:cs="Times New Roman"/>
          <w:color w:val="auto"/>
          <w:lang w:val="en-US" w:eastAsia="zh-CN"/>
        </w:rPr>
        <w:t>①工艺装置或可能散发可燃气体的设施与工艺装置明火加热炉的防火间距应按明火地点的防火间距确定。</w:t>
      </w:r>
    </w:p>
    <w:p w14:paraId="10FAF950">
      <w:pPr>
        <w:pStyle w:val="33"/>
        <w:bidi w:val="0"/>
        <w:rPr>
          <w:rFonts w:hint="default" w:ascii="Times New Roman" w:hAnsi="Times New Roman" w:cs="Times New Roman"/>
          <w:color w:val="auto"/>
          <w:lang w:val="en-US" w:eastAsia="zh-CN"/>
        </w:rPr>
      </w:pPr>
      <w:r>
        <w:rPr>
          <w:rFonts w:hint="eastAsia" w:cs="Times New Roman"/>
          <w:color w:val="auto"/>
          <w:lang w:val="en-US" w:eastAsia="zh-CN"/>
        </w:rPr>
        <w:t>②</w:t>
      </w:r>
      <w:r>
        <w:rPr>
          <w:rFonts w:hint="default" w:ascii="Times New Roman" w:hAnsi="Times New Roman" w:cs="Times New Roman"/>
          <w:color w:val="auto"/>
          <w:lang w:val="en-US" w:eastAsia="zh-CN"/>
        </w:rPr>
        <w:t>当甲</w:t>
      </w:r>
      <w:r>
        <w:rPr>
          <w:rFonts w:hint="default" w:ascii="Times New Roman" w:hAnsi="Times New Roman" w:cs="Times New Roman"/>
          <w:color w:val="auto"/>
          <w:vertAlign w:val="subscript"/>
          <w:lang w:val="en-US" w:eastAsia="zh-CN"/>
        </w:rPr>
        <w:t>B</w:t>
      </w:r>
      <w:r>
        <w:rPr>
          <w:rFonts w:hint="default" w:ascii="Times New Roman" w:hAnsi="Times New Roman" w:cs="Times New Roman"/>
          <w:color w:val="auto"/>
          <w:lang w:val="en-US" w:eastAsia="zh-CN"/>
        </w:rPr>
        <w:t>、乙类液体铁路装卸采用全密闭装卸时，装卸设施的防火间距可减少25%，但不应小于10m（火炬除外）。</w:t>
      </w:r>
    </w:p>
    <w:p w14:paraId="30ADF985">
      <w:pPr>
        <w:pStyle w:val="33"/>
        <w:bidi w:val="0"/>
        <w:rPr>
          <w:rFonts w:hint="default" w:ascii="Times New Roman" w:hAnsi="Times New Roman" w:cs="Times New Roman"/>
          <w:color w:val="auto"/>
          <w:lang w:val="en-US" w:eastAsia="zh-CN"/>
        </w:rPr>
      </w:pPr>
      <w:r>
        <w:rPr>
          <w:rFonts w:hint="eastAsia" w:cs="Times New Roman"/>
          <w:color w:val="auto"/>
          <w:lang w:val="en-US" w:eastAsia="zh-CN"/>
        </w:rPr>
        <w:t>③</w:t>
      </w:r>
      <w:r>
        <w:rPr>
          <w:rFonts w:hint="default" w:ascii="Times New Roman" w:hAnsi="Times New Roman" w:cs="Times New Roman"/>
          <w:color w:val="auto"/>
          <w:lang w:val="en-US" w:eastAsia="zh-CN"/>
        </w:rPr>
        <w:t>丙类泵（房），防火间距可减少25%（火炬除外）。</w:t>
      </w:r>
      <w:r>
        <w:rPr>
          <w:rFonts w:hint="eastAsia" w:cs="Times New Roman"/>
          <w:color w:val="auto"/>
          <w:lang w:val="en-US" w:eastAsia="zh-CN"/>
        </w:rPr>
        <w:t>明火地点距甲、乙类泵（房）要求不应小于15m，甲类装置距甲、乙类泵（房）要求不应小于20m，蓄热氧化单元与泵区间距按甲类装置要求。</w:t>
      </w:r>
    </w:p>
    <w:p w14:paraId="38FD129E">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根据现场勘查，</w:t>
      </w:r>
      <w:r>
        <w:rPr>
          <w:rFonts w:hint="default" w:ascii="Times New Roman" w:hAnsi="Times New Roman" w:cs="Times New Roman"/>
          <w:color w:val="auto"/>
          <w:lang w:eastAsia="zh-CN"/>
        </w:rPr>
        <w:t>该项目</w:t>
      </w:r>
      <w:r>
        <w:rPr>
          <w:rFonts w:hint="default" w:ascii="Times New Roman" w:hAnsi="Times New Roman" w:cs="Times New Roman"/>
          <w:color w:val="auto"/>
        </w:rPr>
        <w:t>与《危险化学品安全管理条例》（国务院令第344号，经国务院令第591号，国务院令第645号修订）第十九条规定的以下八大类场所的距离</w:t>
      </w:r>
      <w:r>
        <w:rPr>
          <w:rFonts w:hint="default" w:ascii="Times New Roman" w:hAnsi="Times New Roman" w:cs="Times New Roman"/>
          <w:color w:val="auto"/>
          <w:lang w:val="en-US" w:eastAsia="zh-CN"/>
        </w:rPr>
        <w:t>见表2.3-3</w:t>
      </w:r>
      <w:r>
        <w:rPr>
          <w:rFonts w:hint="default" w:ascii="Times New Roman" w:hAnsi="Times New Roman" w:cs="Times New Roman"/>
          <w:color w:val="auto"/>
        </w:rPr>
        <w:t>。</w:t>
      </w:r>
    </w:p>
    <w:p w14:paraId="793C6D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0"/>
          <w:sz w:val="24"/>
          <w:szCs w:val="24"/>
          <w:lang w:val="zh-CN" w:eastAsia="zh-CN" w:bidi="ar-SA"/>
        </w:rPr>
      </w:pPr>
      <w:r>
        <w:rPr>
          <w:rFonts w:hint="default" w:ascii="Times New Roman" w:hAnsi="Times New Roman" w:eastAsia="宋体" w:cs="Times New Roman"/>
          <w:b/>
          <w:bCs/>
          <w:color w:val="auto"/>
          <w:kern w:val="0"/>
          <w:sz w:val="24"/>
          <w:szCs w:val="24"/>
          <w:lang w:val="zh-CN" w:eastAsia="zh-CN" w:bidi="ar-SA"/>
        </w:rPr>
        <w:t>表2.3-</w:t>
      </w:r>
      <w:r>
        <w:rPr>
          <w:rFonts w:hint="default" w:ascii="Times New Roman" w:hAnsi="Times New Roman" w:cs="Times New Roman"/>
          <w:b/>
          <w:bCs/>
          <w:color w:val="auto"/>
          <w:kern w:val="0"/>
          <w:sz w:val="24"/>
          <w:szCs w:val="24"/>
          <w:lang w:val="en-US" w:eastAsia="zh-CN" w:bidi="ar-SA"/>
        </w:rPr>
        <w:t>3</w:t>
      </w:r>
      <w:r>
        <w:rPr>
          <w:rFonts w:hint="default" w:ascii="Times New Roman" w:hAnsi="Times New Roman" w:eastAsia="宋体" w:cs="Times New Roman"/>
          <w:b/>
          <w:bCs/>
          <w:color w:val="auto"/>
          <w:kern w:val="0"/>
          <w:sz w:val="24"/>
          <w:szCs w:val="24"/>
          <w:lang w:val="zh-CN" w:eastAsia="zh-CN" w:bidi="ar-SA"/>
        </w:rPr>
        <w:t xml:space="preserve">  建设项目与法律法规予以保护区域的安全距离</w:t>
      </w:r>
    </w:p>
    <w:tbl>
      <w:tblPr>
        <w:tblStyle w:val="2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99"/>
        <w:gridCol w:w="1963"/>
        <w:gridCol w:w="2429"/>
        <w:gridCol w:w="3334"/>
        <w:gridCol w:w="976"/>
      </w:tblGrid>
      <w:tr w14:paraId="3A5C10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tblHeader/>
          <w:jc w:val="center"/>
        </w:trPr>
        <w:tc>
          <w:tcPr>
            <w:tcW w:w="372" w:type="pct"/>
            <w:noWrap w:val="0"/>
            <w:vAlign w:val="center"/>
          </w:tcPr>
          <w:p w14:paraId="05809A18">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序号</w:t>
            </w:r>
          </w:p>
        </w:tc>
        <w:tc>
          <w:tcPr>
            <w:tcW w:w="1044" w:type="pct"/>
            <w:noWrap w:val="0"/>
            <w:vAlign w:val="center"/>
          </w:tcPr>
          <w:p w14:paraId="4A02C4A8">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八大场所、区域</w:t>
            </w:r>
          </w:p>
        </w:tc>
        <w:tc>
          <w:tcPr>
            <w:tcW w:w="1292" w:type="pct"/>
            <w:noWrap w:val="0"/>
            <w:vAlign w:val="center"/>
          </w:tcPr>
          <w:p w14:paraId="703EE7B4">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周边情况及距离</w:t>
            </w:r>
          </w:p>
        </w:tc>
        <w:tc>
          <w:tcPr>
            <w:tcW w:w="1773" w:type="pct"/>
            <w:noWrap w:val="0"/>
            <w:vAlign w:val="center"/>
          </w:tcPr>
          <w:p w14:paraId="1FA5D666">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规范要求距离</w:t>
            </w:r>
          </w:p>
        </w:tc>
        <w:tc>
          <w:tcPr>
            <w:tcW w:w="519" w:type="pct"/>
            <w:noWrap w:val="0"/>
            <w:vAlign w:val="center"/>
          </w:tcPr>
          <w:p w14:paraId="0C43D6D7">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符合性</w:t>
            </w:r>
          </w:p>
        </w:tc>
      </w:tr>
      <w:tr w14:paraId="0B608D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0FC35199">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44" w:type="pct"/>
            <w:noWrap w:val="0"/>
            <w:vAlign w:val="center"/>
          </w:tcPr>
          <w:p w14:paraId="791A2432">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居住区以及商业中心、公园等人员密集场所</w:t>
            </w:r>
          </w:p>
        </w:tc>
        <w:tc>
          <w:tcPr>
            <w:tcW w:w="1292" w:type="pct"/>
            <w:noWrap w:val="0"/>
            <w:vAlign w:val="center"/>
          </w:tcPr>
          <w:p w14:paraId="3240E00C">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该项目生产装置周围500m范围内无居住区以及商业中心、公园等人员密集场所。</w:t>
            </w:r>
          </w:p>
        </w:tc>
        <w:tc>
          <w:tcPr>
            <w:tcW w:w="1773" w:type="pct"/>
            <w:vMerge w:val="restart"/>
            <w:noWrap w:val="0"/>
            <w:vAlign w:val="center"/>
          </w:tcPr>
          <w:p w14:paraId="56DFA99D">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GB 50160-2008（2018年版）/4.1.9规定甲</w:t>
            </w:r>
            <w:r>
              <w:rPr>
                <w:rFonts w:hint="default" w:ascii="Times New Roman" w:hAnsi="Times New Roman" w:cs="Times New Roman"/>
                <w:color w:val="auto"/>
                <w:kern w:val="2"/>
                <w:sz w:val="21"/>
                <w:szCs w:val="21"/>
                <w:lang w:val="en-US" w:eastAsia="zh-CN" w:bidi="ar-SA"/>
              </w:rPr>
              <w:t>类工艺装置</w:t>
            </w:r>
            <w:r>
              <w:rPr>
                <w:rFonts w:hint="default" w:ascii="Times New Roman" w:hAnsi="Times New Roman" w:eastAsia="宋体" w:cs="Times New Roman"/>
                <w:color w:val="auto"/>
                <w:kern w:val="2"/>
                <w:sz w:val="21"/>
                <w:szCs w:val="21"/>
                <w:lang w:val="en-US" w:eastAsia="zh-CN" w:bidi="ar-SA"/>
              </w:rPr>
              <w:t>距居民区、公共福利设施、村庄不应小于100m。</w:t>
            </w:r>
          </w:p>
        </w:tc>
        <w:tc>
          <w:tcPr>
            <w:tcW w:w="519" w:type="pct"/>
            <w:noWrap w:val="0"/>
            <w:vAlign w:val="center"/>
          </w:tcPr>
          <w:p w14:paraId="06554FD9">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5E3020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21A84F1E">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44" w:type="pct"/>
            <w:noWrap w:val="0"/>
            <w:vAlign w:val="center"/>
          </w:tcPr>
          <w:p w14:paraId="7D52310E">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学校、医院、影剧院、体育场（馆）等公共设施</w:t>
            </w:r>
          </w:p>
        </w:tc>
        <w:tc>
          <w:tcPr>
            <w:tcW w:w="1292" w:type="pct"/>
            <w:noWrap w:val="0"/>
            <w:vAlign w:val="center"/>
          </w:tcPr>
          <w:p w14:paraId="77744B17">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项目所在地周边1000m范围内无影剧院、体育场（馆）等其他公共设施。</w:t>
            </w:r>
          </w:p>
        </w:tc>
        <w:tc>
          <w:tcPr>
            <w:tcW w:w="1773" w:type="pct"/>
            <w:vMerge w:val="continue"/>
            <w:noWrap w:val="0"/>
            <w:vAlign w:val="center"/>
          </w:tcPr>
          <w:p w14:paraId="60EF37BB">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p>
        </w:tc>
        <w:tc>
          <w:tcPr>
            <w:tcW w:w="519" w:type="pct"/>
            <w:noWrap w:val="0"/>
            <w:vAlign w:val="center"/>
          </w:tcPr>
          <w:p w14:paraId="4E9E71AD">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34EAA1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07BD64D8">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1044" w:type="pct"/>
            <w:noWrap w:val="0"/>
            <w:vAlign w:val="center"/>
          </w:tcPr>
          <w:p w14:paraId="579E370F">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饮用水源、水厂及水源保护区</w:t>
            </w:r>
          </w:p>
        </w:tc>
        <w:tc>
          <w:tcPr>
            <w:tcW w:w="1292" w:type="pct"/>
            <w:noWrap w:val="0"/>
            <w:vAlign w:val="center"/>
          </w:tcPr>
          <w:p w14:paraId="7D328B9C">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项目所在地1000m范围内无饮用水源、水厂及水源保护区。</w:t>
            </w:r>
          </w:p>
        </w:tc>
        <w:tc>
          <w:tcPr>
            <w:tcW w:w="1773" w:type="pct"/>
            <w:noWrap w:val="0"/>
            <w:vAlign w:val="center"/>
          </w:tcPr>
          <w:p w14:paraId="2C9EAE6B">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中华人民共和国水污染防治法》第六十五条，禁止在饮用水水源一级保护区内新建、改建、扩建与供水设施和保护水源无关的建设项目；已建成的与供水设施和保护水源无关的建设项目，由县级以上人民政府责令拆除或者关闭。禁止在饮用水水源一级保护区内从事网箱养殖、旅游、游泳、垂钓或者其他可能污染饮用水水体的活动。第六十六条禁止在饮用水水源二级保护区内新建、改建、扩建排放污染物的建设项目；已建成的排放污染物的建设项目，由县级以上人民政府责令拆除或者关闭。在饮用水水源二级保护区内从事网箱养殖、旅游等活动的，应当按照规定采取措施，防止污染饮用水水体。</w:t>
            </w:r>
          </w:p>
        </w:tc>
        <w:tc>
          <w:tcPr>
            <w:tcW w:w="519" w:type="pct"/>
            <w:noWrap w:val="0"/>
            <w:vAlign w:val="center"/>
          </w:tcPr>
          <w:p w14:paraId="3B0CEB67">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211165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20BC976F">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1044" w:type="pct"/>
            <w:noWrap w:val="0"/>
            <w:vAlign w:val="center"/>
          </w:tcPr>
          <w:p w14:paraId="219528DD">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车站、码头（依法经许可从事危险化学品装卸作业的除外）、机场以及通信干线、通信枢纽、铁路线路、道路交通干线、水路交通干线、地铁风亭以及地铁站出入口。</w:t>
            </w:r>
          </w:p>
        </w:tc>
        <w:tc>
          <w:tcPr>
            <w:tcW w:w="1292" w:type="pct"/>
            <w:noWrap w:val="0"/>
            <w:vAlign w:val="center"/>
          </w:tcPr>
          <w:p w14:paraId="05D67585">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距离东侧S228（郝纯路）</w:t>
            </w:r>
            <w:r>
              <w:rPr>
                <w:rFonts w:hint="default" w:ascii="Times New Roman" w:hAnsi="Times New Roman" w:cs="Times New Roman"/>
                <w:color w:val="auto"/>
                <w:kern w:val="2"/>
                <w:sz w:val="21"/>
                <w:szCs w:val="21"/>
                <w:lang w:val="en-US" w:eastAsia="zh-CN" w:bidi="ar-SA"/>
              </w:rPr>
              <w:t>约</w:t>
            </w:r>
            <w:r>
              <w:rPr>
                <w:rFonts w:hint="eastAsia" w:ascii="Times New Roman" w:hAnsi="Times New Roman" w:cs="Times New Roman"/>
                <w:color w:val="auto"/>
                <w:kern w:val="2"/>
                <w:sz w:val="21"/>
                <w:szCs w:val="21"/>
                <w:lang w:val="en-US" w:eastAsia="zh-CN" w:bidi="ar-SA"/>
              </w:rPr>
              <w:t>770</w:t>
            </w:r>
            <w:r>
              <w:rPr>
                <w:rFonts w:hint="default" w:ascii="Times New Roman" w:hAnsi="Times New Roman" w:cs="Times New Roman"/>
                <w:color w:val="auto"/>
                <w:kern w:val="2"/>
                <w:sz w:val="21"/>
                <w:szCs w:val="21"/>
                <w:lang w:val="en-US" w:eastAsia="zh-CN" w:bidi="ar-SA"/>
              </w:rPr>
              <w:t>m</w:t>
            </w:r>
            <w:r>
              <w:rPr>
                <w:rFonts w:hint="default" w:ascii="Times New Roman" w:hAnsi="Times New Roman" w:eastAsia="宋体" w:cs="Times New Roman"/>
                <w:color w:val="auto"/>
                <w:kern w:val="2"/>
                <w:sz w:val="21"/>
                <w:szCs w:val="21"/>
                <w:lang w:val="en-US" w:eastAsia="zh-CN" w:bidi="ar-SA"/>
              </w:rPr>
              <w:t>，1000m范围内无左述其他设施。</w:t>
            </w:r>
          </w:p>
        </w:tc>
        <w:tc>
          <w:tcPr>
            <w:tcW w:w="1773" w:type="pct"/>
            <w:noWrap w:val="0"/>
            <w:vAlign w:val="center"/>
          </w:tcPr>
          <w:p w14:paraId="0151698C">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公路安全保护条例》（中华人民共和国国务院令第593号）第十八条除按照国家有关规定设立的为车辆补充燃料的场所、设施外，禁止在下列范围内设立生产、储存、销售易燃、易爆、剧毒、放射性等危险物品的场所、设施：（一）公路用地外缘起向外100m；（二）公路渡口和中型以上公路桥梁周围200m；（三）公路隧道上方和洞口外100m。</w:t>
            </w:r>
          </w:p>
        </w:tc>
        <w:tc>
          <w:tcPr>
            <w:tcW w:w="519" w:type="pct"/>
            <w:noWrap w:val="0"/>
            <w:vAlign w:val="center"/>
          </w:tcPr>
          <w:p w14:paraId="2D6AC8BC">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6A0735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71F85ED2">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1044" w:type="pct"/>
            <w:noWrap w:val="0"/>
            <w:vAlign w:val="center"/>
          </w:tcPr>
          <w:p w14:paraId="53D34F84">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基本农田保护区、基本草原、畜禽遗传资源保护区、畜禽规模化养殖场（养殖小区）、渔业水域以及种子、种畜禽、水产苗种生产基地</w:t>
            </w:r>
          </w:p>
        </w:tc>
        <w:tc>
          <w:tcPr>
            <w:tcW w:w="1292" w:type="pct"/>
            <w:noWrap w:val="0"/>
            <w:vAlign w:val="center"/>
          </w:tcPr>
          <w:p w14:paraId="0DF6C17E">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项目所在地周边500m范围内无基本农田保护区、基本草原、畜禽遗传资源保护区、畜禽规模化养殖场、渔业水域以及种子、种畜禽、水产苗种生产基地。</w:t>
            </w:r>
          </w:p>
        </w:tc>
        <w:tc>
          <w:tcPr>
            <w:tcW w:w="1773" w:type="pct"/>
            <w:noWrap w:val="0"/>
            <w:vAlign w:val="center"/>
          </w:tcPr>
          <w:p w14:paraId="3C4376BF">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草原法》、《渔业法》、《基本农田保护条例》等规定：基本农田保护区外；不得占用基本草原；畜禽遗传资源保护区外500m；距畜禽规模化养殖场500m；渔业水域以及种子、种畜禽、水产苗种生产基地保护区外。</w:t>
            </w:r>
          </w:p>
        </w:tc>
        <w:tc>
          <w:tcPr>
            <w:tcW w:w="519" w:type="pct"/>
            <w:noWrap w:val="0"/>
            <w:vAlign w:val="center"/>
          </w:tcPr>
          <w:p w14:paraId="79614707">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568ABB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6F23C339">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044" w:type="pct"/>
            <w:noWrap w:val="0"/>
            <w:vAlign w:val="center"/>
          </w:tcPr>
          <w:p w14:paraId="34EE7093">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河流、湖泊、风景名胜区和自然保护区</w:t>
            </w:r>
          </w:p>
        </w:tc>
        <w:tc>
          <w:tcPr>
            <w:tcW w:w="1292" w:type="pct"/>
            <w:noWrap w:val="0"/>
            <w:vAlign w:val="center"/>
          </w:tcPr>
          <w:p w14:paraId="0A479855">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项目所在地1000m范围内无河流、湖泊、风景名胜区和自然保护区。</w:t>
            </w:r>
          </w:p>
        </w:tc>
        <w:tc>
          <w:tcPr>
            <w:tcW w:w="1773" w:type="pct"/>
            <w:noWrap w:val="0"/>
            <w:vAlign w:val="center"/>
          </w:tcPr>
          <w:p w14:paraId="1B281869">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景名胜区条例》第26条禁止在风景名胜区内修建储存爆炸性、易燃性、放射性、毒害性、腐蚀性物品的设施；《中华人民共和国自然保护区条例》第32条在自然保护区的核心区和缓冲区内，不得建设任何生产设施。在自然保护区的实验区内，不得建设污染环境、破坏资源或者景观的生产设施；建设其他项目，其污染物排放不得超过国家和地方规定的污染物排放标准。</w:t>
            </w:r>
          </w:p>
        </w:tc>
        <w:tc>
          <w:tcPr>
            <w:tcW w:w="519" w:type="pct"/>
            <w:noWrap w:val="0"/>
            <w:vAlign w:val="center"/>
          </w:tcPr>
          <w:p w14:paraId="360B6F73">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7CCEE0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3423F0F3">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1044" w:type="pct"/>
            <w:noWrap w:val="0"/>
            <w:vAlign w:val="center"/>
          </w:tcPr>
          <w:p w14:paraId="71E62C2E">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军事禁区、军事管理区</w:t>
            </w:r>
          </w:p>
        </w:tc>
        <w:tc>
          <w:tcPr>
            <w:tcW w:w="1292" w:type="pct"/>
            <w:noWrap w:val="0"/>
            <w:vAlign w:val="center"/>
          </w:tcPr>
          <w:p w14:paraId="3A402B07">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项目所在地1000m范围内无军事禁区、军事管理区。</w:t>
            </w:r>
          </w:p>
        </w:tc>
        <w:tc>
          <w:tcPr>
            <w:tcW w:w="1773" w:type="pct"/>
            <w:noWrap w:val="0"/>
            <w:vAlign w:val="center"/>
          </w:tcPr>
          <w:p w14:paraId="2BF48C49">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参照《全国人民代表大会常务委员会关于修改＜中华人民共和国军事设施保护法＞的决定》（中华人民共和国主席令［2021］第87号）第18条的要求，</w:t>
            </w:r>
            <w:r>
              <w:rPr>
                <w:rFonts w:hint="default" w:ascii="Times New Roman" w:hAnsi="Times New Roman" w:cs="Times New Roman"/>
                <w:color w:val="auto"/>
                <w:kern w:val="2"/>
                <w:sz w:val="21"/>
                <w:szCs w:val="21"/>
                <w:lang w:val="en-US" w:eastAsia="zh-CN" w:bidi="ar-SA"/>
              </w:rPr>
              <w:t>该项目</w:t>
            </w:r>
            <w:r>
              <w:rPr>
                <w:rFonts w:hint="default" w:ascii="Times New Roman" w:hAnsi="Times New Roman" w:eastAsia="宋体" w:cs="Times New Roman"/>
                <w:color w:val="auto"/>
                <w:kern w:val="2"/>
                <w:sz w:val="21"/>
                <w:szCs w:val="21"/>
                <w:lang w:val="en-US" w:eastAsia="zh-CN" w:bidi="ar-SA"/>
              </w:rPr>
              <w:t>1000m范围内无类场所、区域。</w:t>
            </w:r>
          </w:p>
        </w:tc>
        <w:tc>
          <w:tcPr>
            <w:tcW w:w="519" w:type="pct"/>
            <w:noWrap w:val="0"/>
            <w:vAlign w:val="center"/>
          </w:tcPr>
          <w:p w14:paraId="16FC2D37">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r w14:paraId="406320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72" w:type="pct"/>
            <w:noWrap w:val="0"/>
            <w:vAlign w:val="center"/>
          </w:tcPr>
          <w:p w14:paraId="2A085D73">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1044" w:type="pct"/>
            <w:noWrap w:val="0"/>
            <w:vAlign w:val="center"/>
          </w:tcPr>
          <w:p w14:paraId="3F8FA1A9">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法律、行政法规规定予以保护的其他区域</w:t>
            </w:r>
          </w:p>
        </w:tc>
        <w:tc>
          <w:tcPr>
            <w:tcW w:w="1292" w:type="pct"/>
            <w:noWrap w:val="0"/>
            <w:vAlign w:val="center"/>
          </w:tcPr>
          <w:p w14:paraId="0BA02715">
            <w:pPr>
              <w:widowControl w:val="0"/>
              <w:bidi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项目所在地1000m范围内无此类场所、区域。</w:t>
            </w:r>
          </w:p>
        </w:tc>
        <w:tc>
          <w:tcPr>
            <w:tcW w:w="1773" w:type="pct"/>
            <w:noWrap w:val="0"/>
            <w:vAlign w:val="center"/>
          </w:tcPr>
          <w:p w14:paraId="6FAAEB76">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19" w:type="pct"/>
            <w:noWrap w:val="0"/>
            <w:vAlign w:val="center"/>
          </w:tcPr>
          <w:p w14:paraId="0E153FEA">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符合</w:t>
            </w:r>
          </w:p>
        </w:tc>
      </w:tr>
    </w:tbl>
    <w:p w14:paraId="14D7707A">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该项目与周边环境的安全防火距离符合《石油化工企业设计防火标准（2018版）》（GB 50160-2008）、《危险化学品安全管理条例》（国务院令第344号，经国务院令第591号，国务院令第645号修订）第十九条的相关距离要求。</w:t>
      </w:r>
    </w:p>
    <w:p w14:paraId="32381F96">
      <w:pPr>
        <w:pStyle w:val="4"/>
        <w:bidi w:val="0"/>
        <w:rPr>
          <w:rFonts w:hint="default" w:ascii="Times New Roman" w:hAnsi="Times New Roman" w:cs="Times New Roman"/>
          <w:color w:val="auto"/>
        </w:rPr>
      </w:pPr>
      <w:r>
        <w:rPr>
          <w:rFonts w:hint="default" w:ascii="Times New Roman" w:hAnsi="Times New Roman" w:cs="Times New Roman"/>
          <w:color w:val="auto"/>
        </w:rPr>
        <w:t>2.3.4 项目所在地自然环境条件</w:t>
      </w:r>
    </w:p>
    <w:p w14:paraId="499D1457">
      <w:pPr>
        <w:pStyle w:val="5"/>
        <w:bidi w:val="0"/>
        <w:rPr>
          <w:rFonts w:hint="default" w:ascii="Times New Roman" w:hAnsi="Times New Roman" w:cs="Times New Roman"/>
          <w:color w:val="auto"/>
        </w:rPr>
      </w:pPr>
      <w:r>
        <w:rPr>
          <w:rFonts w:hint="default" w:ascii="Times New Roman" w:hAnsi="Times New Roman" w:cs="Times New Roman"/>
          <w:color w:val="auto"/>
        </w:rPr>
        <w:t>2.3.4.1气象条件</w:t>
      </w:r>
    </w:p>
    <w:p w14:paraId="0F7639A5">
      <w:pPr>
        <w:pStyle w:val="6"/>
        <w:bidi w:val="0"/>
        <w:rPr>
          <w:rFonts w:hint="default" w:ascii="Times New Roman" w:hAnsi="Times New Roman" w:cs="Times New Roman"/>
          <w:color w:val="auto"/>
        </w:rPr>
      </w:pPr>
      <w:r>
        <w:rPr>
          <w:rFonts w:hint="default" w:ascii="Times New Roman" w:hAnsi="Times New Roman" w:cs="Times New Roman"/>
          <w:color w:val="auto"/>
        </w:rPr>
        <w:t>该企业所在地地处暖温带，属温带季风型大陆性气候，境内气候无明显差异，气候特征是雨热同期，气候温和，大陆性强，寒暑交替，四季分明。主要气象、气候条件数据如下：</w:t>
      </w:r>
    </w:p>
    <w:p w14:paraId="76511C46">
      <w:pPr>
        <w:pStyle w:val="6"/>
        <w:bidi w:val="0"/>
        <w:rPr>
          <w:rFonts w:hint="default" w:ascii="Times New Roman" w:hAnsi="Times New Roman" w:cs="Times New Roman"/>
          <w:color w:val="auto"/>
        </w:rPr>
      </w:pPr>
      <w:r>
        <w:rPr>
          <w:rFonts w:hint="default" w:ascii="Times New Roman" w:hAnsi="Times New Roman" w:cs="Times New Roman"/>
          <w:color w:val="auto"/>
        </w:rPr>
        <w:t>（1）气温（℃）</w:t>
      </w:r>
    </w:p>
    <w:p w14:paraId="451F4BD3">
      <w:pPr>
        <w:pStyle w:val="6"/>
        <w:bidi w:val="0"/>
        <w:rPr>
          <w:rFonts w:hint="default" w:ascii="Times New Roman" w:hAnsi="Times New Roman" w:cs="Times New Roman"/>
          <w:color w:val="auto"/>
        </w:rPr>
      </w:pPr>
      <w:r>
        <w:rPr>
          <w:rFonts w:hint="default" w:ascii="Times New Roman" w:hAnsi="Times New Roman" w:cs="Times New Roman"/>
          <w:color w:val="auto"/>
        </w:rPr>
        <w:t>累年平均气温                           13.6</w:t>
      </w:r>
    </w:p>
    <w:p w14:paraId="2E00883A">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累年最热月平均气温                     27.5</w:t>
      </w:r>
      <w:r>
        <w:rPr>
          <w:rFonts w:hint="default" w:ascii="Times New Roman" w:hAnsi="Times New Roman" w:cs="Times New Roman"/>
          <w:color w:val="auto"/>
          <w:lang w:eastAsia="zh-CN"/>
        </w:rPr>
        <w:t>（</w:t>
      </w:r>
      <w:r>
        <w:rPr>
          <w:rFonts w:hint="default" w:ascii="Times New Roman" w:hAnsi="Times New Roman" w:cs="Times New Roman"/>
          <w:color w:val="auto"/>
        </w:rPr>
        <w:t>7月</w:t>
      </w:r>
      <w:r>
        <w:rPr>
          <w:rFonts w:hint="default" w:ascii="Times New Roman" w:hAnsi="Times New Roman" w:cs="Times New Roman"/>
          <w:color w:val="auto"/>
          <w:lang w:eastAsia="zh-CN"/>
        </w:rPr>
        <w:t>）</w:t>
      </w:r>
    </w:p>
    <w:p w14:paraId="22CEE4C2">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累年最冷月平均气温                     -2.1</w:t>
      </w:r>
      <w:r>
        <w:rPr>
          <w:rFonts w:hint="default" w:ascii="Times New Roman" w:hAnsi="Times New Roman" w:cs="Times New Roman"/>
          <w:color w:val="auto"/>
          <w:lang w:eastAsia="zh-CN"/>
        </w:rPr>
        <w:t>（</w:t>
      </w:r>
      <w:r>
        <w:rPr>
          <w:rFonts w:hint="default" w:ascii="Times New Roman" w:hAnsi="Times New Roman" w:cs="Times New Roman"/>
          <w:color w:val="auto"/>
        </w:rPr>
        <w:t>1月</w:t>
      </w:r>
      <w:r>
        <w:rPr>
          <w:rFonts w:hint="default" w:ascii="Times New Roman" w:hAnsi="Times New Roman" w:cs="Times New Roman"/>
          <w:color w:val="auto"/>
          <w:lang w:eastAsia="zh-CN"/>
        </w:rPr>
        <w:t>）</w:t>
      </w:r>
    </w:p>
    <w:p w14:paraId="2B9CA44C">
      <w:pPr>
        <w:pStyle w:val="6"/>
        <w:bidi w:val="0"/>
        <w:rPr>
          <w:rFonts w:hint="default" w:ascii="Times New Roman" w:hAnsi="Times New Roman" w:cs="Times New Roman"/>
          <w:color w:val="auto"/>
        </w:rPr>
      </w:pPr>
      <w:r>
        <w:rPr>
          <w:rFonts w:hint="default" w:ascii="Times New Roman" w:hAnsi="Times New Roman" w:cs="Times New Roman"/>
          <w:color w:val="auto"/>
        </w:rPr>
        <w:t>累年极端最高温度                       42.1</w:t>
      </w:r>
    </w:p>
    <w:p w14:paraId="16C51733">
      <w:pPr>
        <w:pStyle w:val="6"/>
        <w:bidi w:val="0"/>
        <w:rPr>
          <w:rFonts w:hint="default" w:ascii="Times New Roman" w:hAnsi="Times New Roman" w:cs="Times New Roman"/>
          <w:color w:val="auto"/>
        </w:rPr>
      </w:pPr>
      <w:r>
        <w:rPr>
          <w:rFonts w:hint="default" w:ascii="Times New Roman" w:hAnsi="Times New Roman" w:cs="Times New Roman"/>
          <w:color w:val="auto"/>
        </w:rPr>
        <w:t>累年极端最低温度                       -23.3</w:t>
      </w:r>
    </w:p>
    <w:p w14:paraId="39C79341">
      <w:pPr>
        <w:pStyle w:val="6"/>
        <w:bidi w:val="0"/>
        <w:rPr>
          <w:rFonts w:hint="default" w:ascii="Times New Roman" w:hAnsi="Times New Roman" w:cs="Times New Roman"/>
          <w:color w:val="auto"/>
        </w:rPr>
      </w:pPr>
      <w:r>
        <w:rPr>
          <w:rFonts w:hint="default" w:ascii="Times New Roman" w:hAnsi="Times New Roman" w:cs="Times New Roman"/>
          <w:color w:val="auto"/>
        </w:rPr>
        <w:t>累年7月平均最高温度                   31.9</w:t>
      </w:r>
    </w:p>
    <w:p w14:paraId="123FEF36">
      <w:pPr>
        <w:pStyle w:val="6"/>
        <w:bidi w:val="0"/>
        <w:rPr>
          <w:rFonts w:hint="default" w:ascii="Times New Roman" w:hAnsi="Times New Roman" w:cs="Times New Roman"/>
          <w:color w:val="auto"/>
        </w:rPr>
      </w:pPr>
      <w:r>
        <w:rPr>
          <w:rFonts w:hint="default" w:ascii="Times New Roman" w:hAnsi="Times New Roman" w:cs="Times New Roman"/>
          <w:color w:val="auto"/>
        </w:rPr>
        <w:t>累年1月平均最低温度                   -5.5</w:t>
      </w:r>
    </w:p>
    <w:p w14:paraId="74CD1E86">
      <w:pPr>
        <w:pStyle w:val="6"/>
        <w:bidi w:val="0"/>
        <w:rPr>
          <w:rFonts w:hint="default" w:ascii="Times New Roman" w:hAnsi="Times New Roman" w:cs="Times New Roman"/>
          <w:color w:val="auto"/>
        </w:rPr>
      </w:pPr>
      <w:r>
        <w:rPr>
          <w:rFonts w:hint="default" w:ascii="Times New Roman" w:hAnsi="Times New Roman" w:cs="Times New Roman"/>
          <w:color w:val="auto"/>
        </w:rPr>
        <w:t>（2）湿度</w:t>
      </w:r>
    </w:p>
    <w:p w14:paraId="3AAD6BF9">
      <w:pPr>
        <w:pStyle w:val="6"/>
        <w:bidi w:val="0"/>
        <w:rPr>
          <w:rFonts w:hint="default" w:ascii="Times New Roman" w:hAnsi="Times New Roman" w:cs="Times New Roman"/>
          <w:color w:val="auto"/>
        </w:rPr>
      </w:pPr>
      <w:r>
        <w:rPr>
          <w:rFonts w:hint="default" w:ascii="Times New Roman" w:hAnsi="Times New Roman" w:cs="Times New Roman"/>
          <w:color w:val="auto"/>
        </w:rPr>
        <w:t>累年年平均相对湿度                     63%</w:t>
      </w:r>
    </w:p>
    <w:p w14:paraId="410523E2">
      <w:pPr>
        <w:pStyle w:val="6"/>
        <w:bidi w:val="0"/>
        <w:rPr>
          <w:rFonts w:hint="default" w:ascii="Times New Roman" w:hAnsi="Times New Roman" w:cs="Times New Roman"/>
          <w:color w:val="auto"/>
        </w:rPr>
      </w:pPr>
      <w:r>
        <w:rPr>
          <w:rFonts w:hint="default" w:ascii="Times New Roman" w:hAnsi="Times New Roman" w:cs="Times New Roman"/>
          <w:color w:val="auto"/>
        </w:rPr>
        <w:t>累年最小相对湿度                       2%</w:t>
      </w:r>
    </w:p>
    <w:p w14:paraId="7DCD099D">
      <w:pPr>
        <w:pStyle w:val="6"/>
        <w:bidi w:val="0"/>
        <w:rPr>
          <w:rFonts w:hint="default" w:ascii="Times New Roman" w:hAnsi="Times New Roman" w:cs="Times New Roman"/>
          <w:color w:val="auto"/>
        </w:rPr>
      </w:pPr>
      <w:r>
        <w:rPr>
          <w:rFonts w:hint="default" w:ascii="Times New Roman" w:hAnsi="Times New Roman" w:cs="Times New Roman"/>
          <w:color w:val="auto"/>
        </w:rPr>
        <w:t>累年最冷月（1月14时）平均相对湿度     2%</w:t>
      </w:r>
    </w:p>
    <w:p w14:paraId="0B46D608">
      <w:pPr>
        <w:pStyle w:val="6"/>
        <w:bidi w:val="0"/>
        <w:rPr>
          <w:rFonts w:hint="default" w:ascii="Times New Roman" w:hAnsi="Times New Roman" w:cs="Times New Roman"/>
          <w:color w:val="auto"/>
        </w:rPr>
      </w:pPr>
      <w:r>
        <w:rPr>
          <w:rFonts w:hint="default" w:ascii="Times New Roman" w:hAnsi="Times New Roman" w:cs="Times New Roman"/>
          <w:color w:val="auto"/>
        </w:rPr>
        <w:t>（3）气压</w:t>
      </w:r>
    </w:p>
    <w:p w14:paraId="7A0A2F22">
      <w:pPr>
        <w:pStyle w:val="6"/>
        <w:bidi w:val="0"/>
        <w:rPr>
          <w:rFonts w:hint="default" w:ascii="Times New Roman" w:hAnsi="Times New Roman" w:cs="Times New Roman"/>
          <w:color w:val="auto"/>
        </w:rPr>
      </w:pPr>
      <w:r>
        <w:rPr>
          <w:rFonts w:hint="default" w:ascii="Times New Roman" w:hAnsi="Times New Roman" w:cs="Times New Roman"/>
          <w:color w:val="auto"/>
        </w:rPr>
        <w:t>年平均大气压                           101.69kPa</w:t>
      </w:r>
    </w:p>
    <w:p w14:paraId="68F9E2ED">
      <w:pPr>
        <w:pStyle w:val="6"/>
        <w:bidi w:val="0"/>
        <w:rPr>
          <w:rFonts w:hint="default" w:ascii="Times New Roman" w:hAnsi="Times New Roman" w:cs="Times New Roman"/>
          <w:color w:val="auto"/>
        </w:rPr>
      </w:pPr>
      <w:r>
        <w:rPr>
          <w:rFonts w:hint="default" w:ascii="Times New Roman" w:hAnsi="Times New Roman" w:cs="Times New Roman"/>
          <w:color w:val="auto"/>
        </w:rPr>
        <w:t>月平均最大气压                         102.64kPa</w:t>
      </w:r>
    </w:p>
    <w:p w14:paraId="2BBEF7EF">
      <w:pPr>
        <w:pStyle w:val="6"/>
        <w:bidi w:val="0"/>
        <w:rPr>
          <w:rFonts w:hint="default" w:ascii="Times New Roman" w:hAnsi="Times New Roman" w:cs="Times New Roman"/>
          <w:color w:val="auto"/>
        </w:rPr>
      </w:pPr>
      <w:r>
        <w:rPr>
          <w:rFonts w:hint="default" w:ascii="Times New Roman" w:hAnsi="Times New Roman" w:cs="Times New Roman"/>
          <w:color w:val="auto"/>
        </w:rPr>
        <w:t>月平均最小气压                         100.40kPa</w:t>
      </w:r>
    </w:p>
    <w:p w14:paraId="7BA290FF">
      <w:pPr>
        <w:pStyle w:val="6"/>
        <w:bidi w:val="0"/>
        <w:rPr>
          <w:rFonts w:hint="default" w:ascii="Times New Roman" w:hAnsi="Times New Roman" w:cs="Times New Roman"/>
          <w:color w:val="auto"/>
        </w:rPr>
      </w:pPr>
      <w:r>
        <w:rPr>
          <w:rFonts w:hint="default" w:ascii="Times New Roman" w:hAnsi="Times New Roman" w:cs="Times New Roman"/>
          <w:color w:val="auto"/>
        </w:rPr>
        <w:t>（4）风向及风速</w:t>
      </w:r>
    </w:p>
    <w:p w14:paraId="744336E4">
      <w:pPr>
        <w:pStyle w:val="6"/>
        <w:bidi w:val="0"/>
        <w:rPr>
          <w:rFonts w:hint="default" w:ascii="Times New Roman" w:hAnsi="Times New Roman" w:cs="Times New Roman"/>
          <w:color w:val="auto"/>
        </w:rPr>
      </w:pPr>
      <w:r>
        <w:rPr>
          <w:rFonts w:hint="default" w:ascii="Times New Roman" w:hAnsi="Times New Roman" w:cs="Times New Roman"/>
          <w:color w:val="auto"/>
        </w:rPr>
        <w:t>累年最多风向                           SE、S</w:t>
      </w:r>
    </w:p>
    <w:p w14:paraId="4A77FEF8">
      <w:pPr>
        <w:pStyle w:val="6"/>
        <w:bidi w:val="0"/>
        <w:rPr>
          <w:rFonts w:hint="default" w:ascii="Times New Roman" w:hAnsi="Times New Roman" w:cs="Times New Roman"/>
          <w:color w:val="auto"/>
        </w:rPr>
      </w:pPr>
      <w:r>
        <w:rPr>
          <w:rFonts w:hint="default" w:ascii="Times New Roman" w:hAnsi="Times New Roman" w:cs="Times New Roman"/>
          <w:color w:val="auto"/>
        </w:rPr>
        <w:t>累年最多风向频率                       10%</w:t>
      </w:r>
    </w:p>
    <w:p w14:paraId="7EF95BA3">
      <w:pPr>
        <w:pStyle w:val="6"/>
        <w:bidi w:val="0"/>
        <w:rPr>
          <w:rFonts w:hint="default" w:ascii="Times New Roman" w:hAnsi="Times New Roman" w:cs="Times New Roman"/>
          <w:color w:val="auto"/>
        </w:rPr>
      </w:pPr>
      <w:r>
        <w:rPr>
          <w:rFonts w:hint="default" w:ascii="Times New Roman" w:hAnsi="Times New Roman" w:cs="Times New Roman"/>
          <w:color w:val="auto"/>
        </w:rPr>
        <w:t>累年1月最多风向                       W</w:t>
      </w:r>
    </w:p>
    <w:p w14:paraId="4C3B6BD0">
      <w:pPr>
        <w:pStyle w:val="6"/>
        <w:bidi w:val="0"/>
        <w:rPr>
          <w:rFonts w:hint="default" w:ascii="Times New Roman" w:hAnsi="Times New Roman" w:cs="Times New Roman"/>
          <w:color w:val="auto"/>
        </w:rPr>
      </w:pPr>
      <w:r>
        <w:rPr>
          <w:rFonts w:hint="default" w:ascii="Times New Roman" w:hAnsi="Times New Roman" w:cs="Times New Roman"/>
          <w:color w:val="auto"/>
        </w:rPr>
        <w:t>累年1月最多风向频率                   11％</w:t>
      </w:r>
    </w:p>
    <w:p w14:paraId="4126DC58">
      <w:pPr>
        <w:pStyle w:val="6"/>
        <w:bidi w:val="0"/>
        <w:rPr>
          <w:rFonts w:hint="default" w:ascii="Times New Roman" w:hAnsi="Times New Roman" w:cs="Times New Roman"/>
          <w:color w:val="auto"/>
        </w:rPr>
      </w:pPr>
      <w:r>
        <w:rPr>
          <w:rFonts w:hint="default" w:ascii="Times New Roman" w:hAnsi="Times New Roman" w:cs="Times New Roman"/>
          <w:color w:val="auto"/>
        </w:rPr>
        <w:t>累年7月最多风向                       SE、S</w:t>
      </w:r>
    </w:p>
    <w:p w14:paraId="1EE01858">
      <w:pPr>
        <w:pStyle w:val="6"/>
        <w:bidi w:val="0"/>
        <w:rPr>
          <w:rFonts w:hint="default" w:ascii="Times New Roman" w:hAnsi="Times New Roman" w:cs="Times New Roman"/>
          <w:color w:val="auto"/>
        </w:rPr>
      </w:pPr>
      <w:r>
        <w:rPr>
          <w:rFonts w:hint="default" w:ascii="Times New Roman" w:hAnsi="Times New Roman" w:cs="Times New Roman"/>
          <w:color w:val="auto"/>
        </w:rPr>
        <w:t>累年1月最多风向频率                   15％</w:t>
      </w:r>
    </w:p>
    <w:p w14:paraId="1F65F72E">
      <w:pPr>
        <w:pStyle w:val="6"/>
        <w:bidi w:val="0"/>
        <w:rPr>
          <w:rFonts w:hint="default" w:ascii="Times New Roman" w:hAnsi="Times New Roman" w:cs="Times New Roman"/>
          <w:color w:val="auto"/>
        </w:rPr>
      </w:pPr>
      <w:r>
        <w:rPr>
          <w:rFonts w:hint="default" w:ascii="Times New Roman" w:hAnsi="Times New Roman" w:cs="Times New Roman"/>
          <w:color w:val="auto"/>
        </w:rPr>
        <w:t>累年最大风速风向                       NE</w:t>
      </w:r>
    </w:p>
    <w:p w14:paraId="0E013192">
      <w:pPr>
        <w:pStyle w:val="6"/>
        <w:bidi w:val="0"/>
        <w:rPr>
          <w:rFonts w:hint="default" w:ascii="Times New Roman" w:hAnsi="Times New Roman" w:cs="Times New Roman"/>
          <w:color w:val="auto"/>
        </w:rPr>
      </w:pPr>
      <w:r>
        <w:rPr>
          <w:rFonts w:hint="default" w:ascii="Times New Roman" w:hAnsi="Times New Roman" w:cs="Times New Roman"/>
          <w:color w:val="auto"/>
        </w:rPr>
        <w:t>累年平均风速                           3.7m/s</w:t>
      </w:r>
    </w:p>
    <w:p w14:paraId="350F0CEF">
      <w:pPr>
        <w:pStyle w:val="6"/>
        <w:bidi w:val="0"/>
        <w:rPr>
          <w:rFonts w:hint="default" w:ascii="Times New Roman" w:hAnsi="Times New Roman" w:cs="Times New Roman"/>
          <w:color w:val="auto"/>
        </w:rPr>
      </w:pPr>
      <w:r>
        <w:rPr>
          <w:rFonts w:hint="default" w:ascii="Times New Roman" w:hAnsi="Times New Roman" w:cs="Times New Roman"/>
          <w:color w:val="auto"/>
        </w:rPr>
        <w:t>累年夏季（6、7、8月）平均风速         3.5m/s</w:t>
      </w:r>
    </w:p>
    <w:p w14:paraId="22288483">
      <w:pPr>
        <w:pStyle w:val="6"/>
        <w:bidi w:val="0"/>
        <w:rPr>
          <w:rFonts w:hint="default" w:ascii="Times New Roman" w:hAnsi="Times New Roman" w:cs="Times New Roman"/>
          <w:color w:val="auto"/>
        </w:rPr>
      </w:pPr>
      <w:r>
        <w:rPr>
          <w:rFonts w:hint="default" w:ascii="Times New Roman" w:hAnsi="Times New Roman" w:cs="Times New Roman"/>
          <w:color w:val="auto"/>
        </w:rPr>
        <w:t>累年冬季（12、1、2月）平均风速        3.4m/s</w:t>
      </w:r>
    </w:p>
    <w:p w14:paraId="4C4A5562">
      <w:pPr>
        <w:pStyle w:val="6"/>
        <w:bidi w:val="0"/>
        <w:rPr>
          <w:rFonts w:hint="default" w:ascii="Times New Roman" w:hAnsi="Times New Roman" w:cs="Times New Roman"/>
          <w:color w:val="auto"/>
        </w:rPr>
      </w:pPr>
      <w:r>
        <w:rPr>
          <w:rFonts w:hint="default" w:ascii="Times New Roman" w:hAnsi="Times New Roman" w:cs="Times New Roman"/>
          <w:color w:val="auto"/>
        </w:rPr>
        <w:t>累年最大风速                          21.1m/s</w:t>
      </w:r>
    </w:p>
    <w:p w14:paraId="0009D376">
      <w:pPr>
        <w:pStyle w:val="6"/>
        <w:bidi w:val="0"/>
        <w:rPr>
          <w:rFonts w:hint="default" w:ascii="Times New Roman" w:hAnsi="Times New Roman" w:cs="Times New Roman"/>
          <w:color w:val="auto"/>
        </w:rPr>
      </w:pPr>
      <w:r>
        <w:rPr>
          <w:rFonts w:hint="default" w:ascii="Times New Roman" w:hAnsi="Times New Roman" w:cs="Times New Roman"/>
          <w:color w:val="auto"/>
        </w:rPr>
        <w:t>累年最大风速风向                      NE</w:t>
      </w:r>
    </w:p>
    <w:p w14:paraId="295D07F1">
      <w:pPr>
        <w:pStyle w:val="6"/>
        <w:bidi w:val="0"/>
        <w:rPr>
          <w:rFonts w:hint="default" w:ascii="Times New Roman" w:hAnsi="Times New Roman" w:cs="Times New Roman"/>
          <w:color w:val="auto"/>
        </w:rPr>
      </w:pPr>
      <w:r>
        <w:rPr>
          <w:rFonts w:hint="default" w:ascii="Times New Roman" w:hAnsi="Times New Roman" w:cs="Times New Roman"/>
          <w:color w:val="auto"/>
        </w:rPr>
        <w:t>累年极大风速                          29.4m/s</w:t>
      </w:r>
    </w:p>
    <w:p w14:paraId="21FEAF73">
      <w:pPr>
        <w:pStyle w:val="6"/>
        <w:bidi w:val="0"/>
        <w:rPr>
          <w:rFonts w:hint="default" w:ascii="Times New Roman" w:hAnsi="Times New Roman" w:cs="Times New Roman"/>
          <w:color w:val="auto"/>
        </w:rPr>
      </w:pPr>
      <w:r>
        <w:rPr>
          <w:rFonts w:hint="default" w:ascii="Times New Roman" w:hAnsi="Times New Roman" w:cs="Times New Roman"/>
          <w:color w:val="auto"/>
        </w:rPr>
        <w:t>累年极大风速风向                      N</w:t>
      </w:r>
    </w:p>
    <w:p w14:paraId="1F6F7F30">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基本风压值                            0.5kN/</w:t>
      </w:r>
      <w:r>
        <w:rPr>
          <w:rFonts w:hint="default" w:ascii="Times New Roman" w:hAnsi="Times New Roman" w:cs="Times New Roman"/>
          <w:color w:val="auto"/>
          <w:lang w:eastAsia="zh-CN"/>
        </w:rPr>
        <w:t>㎡</w:t>
      </w:r>
    </w:p>
    <w:p w14:paraId="34D5A80B">
      <w:pPr>
        <w:pStyle w:val="6"/>
        <w:bidi w:val="0"/>
        <w:rPr>
          <w:rFonts w:hint="default" w:ascii="Times New Roman" w:hAnsi="Times New Roman" w:cs="Times New Roman"/>
          <w:color w:val="auto"/>
        </w:rPr>
      </w:pPr>
      <w:r>
        <w:rPr>
          <w:rFonts w:hint="default" w:ascii="Times New Roman" w:hAnsi="Times New Roman" w:cs="Times New Roman"/>
          <w:color w:val="auto"/>
        </w:rPr>
        <w:t>（5）霜冻（mm）</w:t>
      </w:r>
    </w:p>
    <w:p w14:paraId="59340EF3">
      <w:pPr>
        <w:pStyle w:val="6"/>
        <w:bidi w:val="0"/>
        <w:rPr>
          <w:rFonts w:hint="default" w:ascii="Times New Roman" w:hAnsi="Times New Roman" w:cs="Times New Roman"/>
          <w:color w:val="auto"/>
        </w:rPr>
      </w:pPr>
      <w:r>
        <w:rPr>
          <w:rFonts w:hint="default" w:ascii="Times New Roman" w:hAnsi="Times New Roman" w:cs="Times New Roman"/>
          <w:color w:val="auto"/>
        </w:rPr>
        <w:t>最大冻土深度                         550</w:t>
      </w:r>
    </w:p>
    <w:p w14:paraId="23E7FBA9">
      <w:pPr>
        <w:pStyle w:val="6"/>
        <w:bidi w:val="0"/>
        <w:rPr>
          <w:rFonts w:hint="default" w:ascii="Times New Roman" w:hAnsi="Times New Roman" w:cs="Times New Roman"/>
          <w:color w:val="auto"/>
        </w:rPr>
      </w:pPr>
      <w:r>
        <w:rPr>
          <w:rFonts w:hint="default" w:ascii="Times New Roman" w:hAnsi="Times New Roman" w:cs="Times New Roman"/>
          <w:color w:val="auto"/>
        </w:rPr>
        <w:t>（6）降雨（mm）</w:t>
      </w:r>
    </w:p>
    <w:p w14:paraId="29D2B8DF">
      <w:pPr>
        <w:pStyle w:val="6"/>
        <w:bidi w:val="0"/>
        <w:rPr>
          <w:rFonts w:hint="default" w:ascii="Times New Roman" w:hAnsi="Times New Roman" w:cs="Times New Roman"/>
          <w:color w:val="auto"/>
        </w:rPr>
      </w:pPr>
      <w:r>
        <w:rPr>
          <w:rFonts w:hint="default" w:ascii="Times New Roman" w:hAnsi="Times New Roman" w:cs="Times New Roman"/>
          <w:color w:val="auto"/>
        </w:rPr>
        <w:t>累年平均降雨量                       612.8</w:t>
      </w:r>
    </w:p>
    <w:p w14:paraId="6F6EB3EC">
      <w:pPr>
        <w:pStyle w:val="6"/>
        <w:bidi w:val="0"/>
        <w:rPr>
          <w:rFonts w:hint="default" w:ascii="Times New Roman" w:hAnsi="Times New Roman" w:cs="Times New Roman"/>
          <w:color w:val="auto"/>
        </w:rPr>
      </w:pPr>
      <w:r>
        <w:rPr>
          <w:rFonts w:hint="default" w:ascii="Times New Roman" w:hAnsi="Times New Roman" w:cs="Times New Roman"/>
          <w:color w:val="auto"/>
        </w:rPr>
        <w:t>累年最大年降雨量                     726.8</w:t>
      </w:r>
    </w:p>
    <w:p w14:paraId="7F87858F">
      <w:pPr>
        <w:pStyle w:val="6"/>
        <w:bidi w:val="0"/>
        <w:rPr>
          <w:rFonts w:hint="default" w:ascii="Times New Roman" w:hAnsi="Times New Roman" w:cs="Times New Roman"/>
          <w:color w:val="auto"/>
        </w:rPr>
      </w:pPr>
      <w:r>
        <w:rPr>
          <w:rFonts w:hint="default" w:ascii="Times New Roman" w:hAnsi="Times New Roman" w:cs="Times New Roman"/>
          <w:color w:val="auto"/>
        </w:rPr>
        <w:t>累年最小年降雨量                     534.1</w:t>
      </w:r>
    </w:p>
    <w:p w14:paraId="55587A4B">
      <w:pPr>
        <w:pStyle w:val="6"/>
        <w:bidi w:val="0"/>
        <w:rPr>
          <w:rFonts w:hint="default" w:ascii="Times New Roman" w:hAnsi="Times New Roman" w:cs="Times New Roman"/>
          <w:color w:val="auto"/>
        </w:rPr>
      </w:pPr>
      <w:r>
        <w:rPr>
          <w:rFonts w:hint="default" w:ascii="Times New Roman" w:hAnsi="Times New Roman" w:cs="Times New Roman"/>
          <w:color w:val="auto"/>
        </w:rPr>
        <w:t>累年月最大降雨量                     253.6</w:t>
      </w:r>
    </w:p>
    <w:p w14:paraId="28FFA175">
      <w:pPr>
        <w:pStyle w:val="6"/>
        <w:bidi w:val="0"/>
        <w:rPr>
          <w:rFonts w:hint="default" w:ascii="Times New Roman" w:hAnsi="Times New Roman" w:cs="Times New Roman"/>
          <w:color w:val="auto"/>
        </w:rPr>
      </w:pPr>
      <w:r>
        <w:rPr>
          <w:rFonts w:hint="default" w:ascii="Times New Roman" w:hAnsi="Times New Roman" w:cs="Times New Roman"/>
          <w:color w:val="auto"/>
        </w:rPr>
        <w:t>累年日最大降雨量                     137.6</w:t>
      </w:r>
    </w:p>
    <w:p w14:paraId="0D82AC6D">
      <w:pPr>
        <w:pStyle w:val="6"/>
        <w:bidi w:val="0"/>
        <w:rPr>
          <w:rFonts w:hint="default" w:ascii="Times New Roman" w:hAnsi="Times New Roman" w:cs="Times New Roman"/>
          <w:color w:val="auto"/>
        </w:rPr>
      </w:pPr>
      <w:r>
        <w:rPr>
          <w:rFonts w:hint="default" w:ascii="Times New Roman" w:hAnsi="Times New Roman" w:cs="Times New Roman"/>
          <w:color w:val="auto"/>
        </w:rPr>
        <w:t>累年1小时最大降雨量                 48.0</w:t>
      </w:r>
    </w:p>
    <w:p w14:paraId="0736E29B">
      <w:pPr>
        <w:pStyle w:val="6"/>
        <w:bidi w:val="0"/>
        <w:rPr>
          <w:rFonts w:hint="default" w:ascii="Times New Roman" w:hAnsi="Times New Roman" w:cs="Times New Roman"/>
          <w:color w:val="auto"/>
        </w:rPr>
      </w:pPr>
      <w:r>
        <w:rPr>
          <w:rFonts w:hint="default" w:ascii="Times New Roman" w:hAnsi="Times New Roman" w:cs="Times New Roman"/>
          <w:color w:val="auto"/>
        </w:rPr>
        <w:t>累年平均暴雨（日降雨量≥50mm）日数   3.4天</w:t>
      </w:r>
    </w:p>
    <w:p w14:paraId="07EBBA07">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暴雨强度公式q=3888.62</w:t>
      </w:r>
      <w:r>
        <w:rPr>
          <w:rFonts w:hint="default" w:ascii="Times New Roman" w:hAnsi="Times New Roman" w:cs="Times New Roman"/>
          <w:color w:val="auto"/>
          <w:lang w:eastAsia="zh-CN"/>
        </w:rPr>
        <w:t>（</w:t>
      </w:r>
      <w:r>
        <w:rPr>
          <w:rFonts w:hint="default" w:ascii="Times New Roman" w:hAnsi="Times New Roman" w:cs="Times New Roman"/>
          <w:color w:val="auto"/>
        </w:rPr>
        <w:t>1+0.78lgP</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t+10</w:t>
      </w:r>
      <w:r>
        <w:rPr>
          <w:rFonts w:hint="default" w:ascii="Times New Roman" w:hAnsi="Times New Roman" w:cs="Times New Roman"/>
          <w:color w:val="auto"/>
          <w:lang w:eastAsia="zh-CN"/>
        </w:rPr>
        <w:t>）</w:t>
      </w:r>
      <w:r>
        <w:rPr>
          <w:rFonts w:hint="default" w:ascii="Times New Roman" w:hAnsi="Times New Roman" w:cs="Times New Roman"/>
          <w:color w:val="auto"/>
        </w:rPr>
        <w:t xml:space="preserve"> 0.91</w:t>
      </w:r>
      <w:r>
        <w:rPr>
          <w:rFonts w:hint="default" w:ascii="Times New Roman" w:hAnsi="Times New Roman" w:cs="Times New Roman"/>
          <w:color w:val="auto"/>
          <w:lang w:eastAsia="zh-CN"/>
        </w:rPr>
        <w:t>（</w:t>
      </w:r>
      <w:r>
        <w:rPr>
          <w:rFonts w:hint="default" w:ascii="Times New Roman" w:hAnsi="Times New Roman" w:cs="Times New Roman"/>
          <w:color w:val="auto"/>
        </w:rPr>
        <w:t>l/s·ha</w:t>
      </w:r>
      <w:r>
        <w:rPr>
          <w:rFonts w:hint="default" w:ascii="Times New Roman" w:hAnsi="Times New Roman" w:cs="Times New Roman"/>
          <w:color w:val="auto"/>
          <w:lang w:eastAsia="zh-CN"/>
        </w:rPr>
        <w:t>）</w:t>
      </w:r>
    </w:p>
    <w:p w14:paraId="4E265974">
      <w:pPr>
        <w:pStyle w:val="6"/>
        <w:bidi w:val="0"/>
        <w:rPr>
          <w:rFonts w:hint="default" w:ascii="Times New Roman" w:hAnsi="Times New Roman" w:cs="Times New Roman"/>
          <w:color w:val="auto"/>
        </w:rPr>
      </w:pPr>
      <w:r>
        <w:rPr>
          <w:rFonts w:hint="default" w:ascii="Times New Roman" w:hAnsi="Times New Roman" w:cs="Times New Roman"/>
          <w:color w:val="auto"/>
        </w:rPr>
        <w:t>（7）积雪（mm）</w:t>
      </w:r>
    </w:p>
    <w:p w14:paraId="167201D5">
      <w:pPr>
        <w:pStyle w:val="6"/>
        <w:bidi w:val="0"/>
        <w:rPr>
          <w:rFonts w:hint="default" w:ascii="Times New Roman" w:hAnsi="Times New Roman" w:cs="Times New Roman"/>
          <w:color w:val="auto"/>
        </w:rPr>
      </w:pPr>
      <w:r>
        <w:rPr>
          <w:rFonts w:hint="default" w:ascii="Times New Roman" w:hAnsi="Times New Roman" w:cs="Times New Roman"/>
          <w:color w:val="auto"/>
        </w:rPr>
        <w:t xml:space="preserve">最大积雪厚度                   </w:t>
      </w:r>
      <w:r>
        <w:rPr>
          <w:rFonts w:hint="default" w:ascii="Times New Roman" w:hAnsi="Times New Roman" w:cs="Times New Roman"/>
          <w:color w:val="auto"/>
        </w:rPr>
        <w:tab/>
      </w:r>
      <w:r>
        <w:rPr>
          <w:rFonts w:hint="default" w:ascii="Times New Roman" w:hAnsi="Times New Roman" w:cs="Times New Roman"/>
          <w:color w:val="auto"/>
        </w:rPr>
        <w:tab/>
      </w:r>
      <w:r>
        <w:rPr>
          <w:rFonts w:hint="default" w:ascii="Times New Roman" w:hAnsi="Times New Roman" w:cs="Times New Roman"/>
          <w:color w:val="auto"/>
        </w:rPr>
        <w:t xml:space="preserve">  240</w:t>
      </w:r>
    </w:p>
    <w:p w14:paraId="235CF2E6">
      <w:pPr>
        <w:pStyle w:val="6"/>
        <w:bidi w:val="0"/>
        <w:rPr>
          <w:rFonts w:hint="default" w:ascii="Times New Roman" w:hAnsi="Times New Roman" w:cs="Times New Roman"/>
          <w:color w:val="auto"/>
        </w:rPr>
      </w:pPr>
      <w:r>
        <w:rPr>
          <w:rFonts w:hint="default" w:ascii="Times New Roman" w:hAnsi="Times New Roman" w:cs="Times New Roman"/>
          <w:color w:val="auto"/>
        </w:rPr>
        <w:t xml:space="preserve">年平均有雪天数                 </w:t>
      </w:r>
      <w:r>
        <w:rPr>
          <w:rFonts w:hint="default" w:ascii="Times New Roman" w:hAnsi="Times New Roman" w:cs="Times New Roman"/>
          <w:color w:val="auto"/>
        </w:rPr>
        <w:tab/>
      </w:r>
      <w:r>
        <w:rPr>
          <w:rFonts w:hint="default" w:ascii="Times New Roman" w:hAnsi="Times New Roman" w:cs="Times New Roman"/>
          <w:color w:val="auto"/>
        </w:rPr>
        <w:tab/>
      </w:r>
      <w:r>
        <w:rPr>
          <w:rFonts w:hint="default" w:ascii="Times New Roman" w:hAnsi="Times New Roman" w:cs="Times New Roman"/>
          <w:color w:val="auto"/>
        </w:rPr>
        <w:t xml:space="preserve">  46.3天</w:t>
      </w:r>
    </w:p>
    <w:p w14:paraId="15851663">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 xml:space="preserve">基本雪压                      </w:t>
      </w:r>
      <w:r>
        <w:rPr>
          <w:rFonts w:hint="default" w:ascii="Times New Roman" w:hAnsi="Times New Roman" w:cs="Times New Roman"/>
          <w:color w:val="auto"/>
        </w:rPr>
        <w:tab/>
      </w:r>
      <w:r>
        <w:rPr>
          <w:rFonts w:hint="default" w:ascii="Times New Roman" w:hAnsi="Times New Roman" w:cs="Times New Roman"/>
          <w:color w:val="auto"/>
        </w:rPr>
        <w:tab/>
      </w:r>
      <w:r>
        <w:rPr>
          <w:rFonts w:hint="default" w:ascii="Times New Roman" w:hAnsi="Times New Roman" w:cs="Times New Roman"/>
          <w:color w:val="auto"/>
        </w:rPr>
        <w:t xml:space="preserve">  0.30kN/</w:t>
      </w:r>
      <w:r>
        <w:rPr>
          <w:rFonts w:hint="default" w:ascii="Times New Roman" w:hAnsi="Times New Roman" w:cs="Times New Roman"/>
          <w:color w:val="auto"/>
          <w:lang w:eastAsia="zh-CN"/>
        </w:rPr>
        <w:t>㎡</w:t>
      </w:r>
    </w:p>
    <w:p w14:paraId="32054226">
      <w:pPr>
        <w:pStyle w:val="6"/>
        <w:bidi w:val="0"/>
        <w:rPr>
          <w:rFonts w:hint="default" w:ascii="Times New Roman" w:hAnsi="Times New Roman" w:cs="Times New Roman"/>
          <w:color w:val="auto"/>
        </w:rPr>
      </w:pPr>
      <w:r>
        <w:rPr>
          <w:rFonts w:hint="default" w:ascii="Times New Roman" w:hAnsi="Times New Roman" w:cs="Times New Roman"/>
          <w:color w:val="auto"/>
        </w:rPr>
        <w:t>（8）蒸发量（mm）</w:t>
      </w:r>
    </w:p>
    <w:p w14:paraId="75BE67C8">
      <w:pPr>
        <w:pStyle w:val="6"/>
        <w:bidi w:val="0"/>
        <w:rPr>
          <w:rFonts w:hint="default" w:ascii="Times New Roman" w:hAnsi="Times New Roman" w:cs="Times New Roman"/>
          <w:color w:val="auto"/>
        </w:rPr>
      </w:pPr>
      <w:r>
        <w:rPr>
          <w:rFonts w:hint="default" w:ascii="Times New Roman" w:hAnsi="Times New Roman" w:cs="Times New Roman"/>
          <w:color w:val="auto"/>
        </w:rPr>
        <w:t xml:space="preserve">平均年蒸发量                   </w:t>
      </w:r>
      <w:r>
        <w:rPr>
          <w:rFonts w:hint="default" w:ascii="Times New Roman" w:hAnsi="Times New Roman" w:cs="Times New Roman"/>
          <w:color w:val="auto"/>
        </w:rPr>
        <w:tab/>
      </w:r>
      <w:r>
        <w:rPr>
          <w:rFonts w:hint="default" w:ascii="Times New Roman" w:hAnsi="Times New Roman" w:cs="Times New Roman"/>
          <w:color w:val="auto"/>
        </w:rPr>
        <w:tab/>
      </w:r>
      <w:r>
        <w:rPr>
          <w:rFonts w:hint="default" w:ascii="Times New Roman" w:hAnsi="Times New Roman" w:cs="Times New Roman"/>
          <w:color w:val="auto"/>
        </w:rPr>
        <w:t xml:space="preserve">  1900.8</w:t>
      </w:r>
    </w:p>
    <w:p w14:paraId="11875F48">
      <w:pPr>
        <w:pStyle w:val="6"/>
        <w:bidi w:val="0"/>
        <w:rPr>
          <w:rFonts w:hint="default" w:ascii="Times New Roman" w:hAnsi="Times New Roman" w:cs="Times New Roman"/>
          <w:color w:val="auto"/>
        </w:rPr>
      </w:pPr>
      <w:r>
        <w:rPr>
          <w:rFonts w:hint="default" w:ascii="Times New Roman" w:hAnsi="Times New Roman" w:cs="Times New Roman"/>
          <w:color w:val="auto"/>
        </w:rPr>
        <w:t xml:space="preserve">最大蒸发量                     </w:t>
      </w:r>
      <w:r>
        <w:rPr>
          <w:rFonts w:hint="default" w:ascii="Times New Roman" w:hAnsi="Times New Roman" w:cs="Times New Roman"/>
          <w:color w:val="auto"/>
        </w:rPr>
        <w:tab/>
      </w:r>
      <w:r>
        <w:rPr>
          <w:rFonts w:hint="default" w:ascii="Times New Roman" w:hAnsi="Times New Roman" w:cs="Times New Roman"/>
          <w:color w:val="auto"/>
        </w:rPr>
        <w:tab/>
      </w:r>
      <w:r>
        <w:rPr>
          <w:rFonts w:hint="default" w:ascii="Times New Roman" w:hAnsi="Times New Roman" w:cs="Times New Roman"/>
          <w:color w:val="auto"/>
        </w:rPr>
        <w:t xml:space="preserve">  325.1（5月）</w:t>
      </w:r>
    </w:p>
    <w:p w14:paraId="4DFB9ED8">
      <w:pPr>
        <w:pStyle w:val="6"/>
        <w:bidi w:val="0"/>
        <w:rPr>
          <w:rFonts w:hint="default" w:ascii="Times New Roman" w:hAnsi="Times New Roman" w:cs="Times New Roman"/>
          <w:color w:val="auto"/>
        </w:rPr>
      </w:pPr>
      <w:r>
        <w:rPr>
          <w:rFonts w:hint="default" w:ascii="Times New Roman" w:hAnsi="Times New Roman" w:cs="Times New Roman"/>
          <w:color w:val="auto"/>
        </w:rPr>
        <w:t xml:space="preserve">最小蒸发量                     </w:t>
      </w:r>
      <w:r>
        <w:rPr>
          <w:rFonts w:hint="default" w:ascii="Times New Roman" w:hAnsi="Times New Roman" w:cs="Times New Roman"/>
          <w:color w:val="auto"/>
        </w:rPr>
        <w:tab/>
      </w:r>
      <w:r>
        <w:rPr>
          <w:rFonts w:hint="default" w:ascii="Times New Roman" w:hAnsi="Times New Roman" w:cs="Times New Roman"/>
          <w:color w:val="auto"/>
        </w:rPr>
        <w:tab/>
      </w:r>
      <w:r>
        <w:rPr>
          <w:rFonts w:hint="default" w:ascii="Times New Roman" w:hAnsi="Times New Roman" w:cs="Times New Roman"/>
          <w:color w:val="auto"/>
        </w:rPr>
        <w:t xml:space="preserve">  37（1月）</w:t>
      </w:r>
    </w:p>
    <w:p w14:paraId="0CBEE309">
      <w:pPr>
        <w:pStyle w:val="6"/>
        <w:bidi w:val="0"/>
        <w:rPr>
          <w:rFonts w:hint="default" w:ascii="Times New Roman" w:hAnsi="Times New Roman" w:cs="Times New Roman"/>
          <w:color w:val="auto"/>
        </w:rPr>
      </w:pPr>
      <w:r>
        <w:rPr>
          <w:rFonts w:hint="default" w:ascii="Times New Roman" w:hAnsi="Times New Roman" w:cs="Times New Roman"/>
          <w:color w:val="auto"/>
        </w:rPr>
        <w:t>（9）日照</w:t>
      </w:r>
    </w:p>
    <w:p w14:paraId="5756ED20">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累年平均日照时数                   </w:t>
      </w:r>
      <w:r>
        <w:rPr>
          <w:rFonts w:hint="default" w:ascii="Times New Roman" w:hAnsi="Times New Roman" w:cs="Times New Roman"/>
          <w:color w:val="auto"/>
        </w:rPr>
        <w:tab/>
      </w:r>
      <w:r>
        <w:rPr>
          <w:rFonts w:hint="default" w:ascii="Times New Roman" w:hAnsi="Times New Roman" w:cs="Times New Roman"/>
          <w:color w:val="auto"/>
        </w:rPr>
        <w:t>2633.3h</w:t>
      </w:r>
    </w:p>
    <w:p w14:paraId="3DB3AB31">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累年平均日照百分率                 </w:t>
      </w:r>
      <w:r>
        <w:rPr>
          <w:rFonts w:hint="default" w:ascii="Times New Roman" w:hAnsi="Times New Roman" w:cs="Times New Roman"/>
          <w:color w:val="auto"/>
        </w:rPr>
        <w:tab/>
      </w:r>
      <w:r>
        <w:rPr>
          <w:rFonts w:hint="default" w:ascii="Times New Roman" w:hAnsi="Times New Roman" w:cs="Times New Roman"/>
          <w:color w:val="auto"/>
        </w:rPr>
        <w:t>59％</w:t>
      </w:r>
    </w:p>
    <w:p w14:paraId="1BCB27B6">
      <w:pPr>
        <w:pStyle w:val="6"/>
        <w:bidi w:val="0"/>
        <w:rPr>
          <w:rFonts w:hint="default" w:ascii="Times New Roman" w:hAnsi="Times New Roman" w:cs="Times New Roman"/>
          <w:color w:val="auto"/>
        </w:rPr>
      </w:pPr>
      <w:r>
        <w:rPr>
          <w:rFonts w:hint="default" w:ascii="Times New Roman" w:hAnsi="Times New Roman" w:cs="Times New Roman"/>
          <w:color w:val="auto"/>
        </w:rPr>
        <w:t>（10）雾</w:t>
      </w:r>
    </w:p>
    <w:p w14:paraId="032A9C3B">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累年平均雾日数                </w:t>
      </w:r>
      <w:r>
        <w:rPr>
          <w:rFonts w:hint="default" w:ascii="Times New Roman" w:hAnsi="Times New Roman" w:cs="Times New Roman"/>
          <w:color w:val="auto"/>
        </w:rPr>
        <w:tab/>
      </w:r>
      <w:r>
        <w:rPr>
          <w:rFonts w:hint="default" w:ascii="Times New Roman" w:hAnsi="Times New Roman" w:cs="Times New Roman"/>
          <w:color w:val="auto"/>
        </w:rPr>
        <w:t xml:space="preserve">   </w:t>
      </w:r>
      <w:r>
        <w:rPr>
          <w:rFonts w:hint="default" w:ascii="Times New Roman" w:hAnsi="Times New Roman" w:cs="Times New Roman"/>
          <w:color w:val="auto"/>
        </w:rPr>
        <w:tab/>
      </w:r>
      <w:r>
        <w:rPr>
          <w:rFonts w:hint="default" w:ascii="Times New Roman" w:hAnsi="Times New Roman" w:cs="Times New Roman"/>
          <w:color w:val="auto"/>
        </w:rPr>
        <w:t>12.2天</w:t>
      </w:r>
    </w:p>
    <w:p w14:paraId="74D2E50C">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累年最多雾日数                </w:t>
      </w:r>
      <w:r>
        <w:rPr>
          <w:rFonts w:hint="default" w:ascii="Times New Roman" w:hAnsi="Times New Roman" w:cs="Times New Roman"/>
          <w:color w:val="auto"/>
        </w:rPr>
        <w:tab/>
      </w:r>
      <w:r>
        <w:rPr>
          <w:rFonts w:hint="default" w:ascii="Times New Roman" w:hAnsi="Times New Roman" w:cs="Times New Roman"/>
          <w:color w:val="auto"/>
        </w:rPr>
        <w:t xml:space="preserve">   </w:t>
      </w:r>
      <w:r>
        <w:rPr>
          <w:rFonts w:hint="default" w:ascii="Times New Roman" w:hAnsi="Times New Roman" w:cs="Times New Roman"/>
          <w:color w:val="auto"/>
        </w:rPr>
        <w:tab/>
      </w:r>
      <w:r>
        <w:rPr>
          <w:rFonts w:hint="default" w:ascii="Times New Roman" w:hAnsi="Times New Roman" w:cs="Times New Roman"/>
          <w:color w:val="auto"/>
        </w:rPr>
        <w:t>16天</w:t>
      </w:r>
    </w:p>
    <w:p w14:paraId="2DB4AC45">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累年平均轻雾日数                   </w:t>
      </w:r>
      <w:r>
        <w:rPr>
          <w:rFonts w:hint="default" w:ascii="Times New Roman" w:hAnsi="Times New Roman" w:cs="Times New Roman"/>
          <w:color w:val="auto"/>
        </w:rPr>
        <w:tab/>
      </w:r>
      <w:r>
        <w:rPr>
          <w:rFonts w:hint="default" w:ascii="Times New Roman" w:hAnsi="Times New Roman" w:cs="Times New Roman"/>
          <w:color w:val="auto"/>
        </w:rPr>
        <w:t>108.0天</w:t>
      </w:r>
    </w:p>
    <w:p w14:paraId="0D0579D2">
      <w:pPr>
        <w:pStyle w:val="6"/>
        <w:bidi w:val="0"/>
        <w:rPr>
          <w:rFonts w:hint="default" w:ascii="Times New Roman" w:hAnsi="Times New Roman" w:cs="Times New Roman"/>
          <w:color w:val="auto"/>
        </w:rPr>
      </w:pPr>
      <w:r>
        <w:rPr>
          <w:rFonts w:hint="default" w:ascii="Times New Roman" w:hAnsi="Times New Roman" w:cs="Times New Roman"/>
          <w:color w:val="auto"/>
        </w:rPr>
        <w:t>（11）雷暴、雹</w:t>
      </w:r>
    </w:p>
    <w:p w14:paraId="0FE405F0">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累年平均雷暴日数                </w:t>
      </w:r>
      <w:r>
        <w:rPr>
          <w:rFonts w:hint="default" w:ascii="Times New Roman" w:hAnsi="Times New Roman" w:cs="Times New Roman"/>
          <w:color w:val="auto"/>
        </w:rPr>
        <w:tab/>
      </w:r>
      <w:r>
        <w:rPr>
          <w:rFonts w:hint="default" w:ascii="Times New Roman" w:hAnsi="Times New Roman" w:cs="Times New Roman"/>
          <w:color w:val="auto"/>
        </w:rPr>
        <w:t xml:space="preserve">   27.4天</w:t>
      </w:r>
    </w:p>
    <w:p w14:paraId="0A7BC17F">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累年最多雷暴日数                </w:t>
      </w:r>
      <w:r>
        <w:rPr>
          <w:rFonts w:hint="default" w:ascii="Times New Roman" w:hAnsi="Times New Roman" w:cs="Times New Roman"/>
          <w:color w:val="auto"/>
        </w:rPr>
        <w:tab/>
      </w:r>
      <w:r>
        <w:rPr>
          <w:rFonts w:hint="default" w:ascii="Times New Roman" w:hAnsi="Times New Roman" w:cs="Times New Roman"/>
          <w:color w:val="auto"/>
        </w:rPr>
        <w:t xml:space="preserve">   32天</w:t>
      </w:r>
    </w:p>
    <w:p w14:paraId="25287D6E">
      <w:pPr>
        <w:pStyle w:val="6"/>
        <w:bidi w:val="0"/>
        <w:rPr>
          <w:rFonts w:hint="default" w:ascii="Times New Roman" w:hAnsi="Times New Roman" w:cs="Times New Roman"/>
          <w:color w:val="auto"/>
        </w:rPr>
      </w:pPr>
      <w:r>
        <w:rPr>
          <w:rFonts w:hint="default" w:ascii="Times New Roman" w:hAnsi="Times New Roman" w:cs="Times New Roman"/>
          <w:color w:val="auto"/>
        </w:rPr>
        <w:t xml:space="preserve">累年平均有雹日数              </w:t>
      </w:r>
      <w:r>
        <w:rPr>
          <w:rFonts w:hint="default" w:ascii="Times New Roman" w:hAnsi="Times New Roman" w:cs="Times New Roman"/>
          <w:color w:val="auto"/>
        </w:rPr>
        <w:tab/>
      </w:r>
      <w:r>
        <w:rPr>
          <w:rFonts w:hint="default" w:ascii="Times New Roman" w:hAnsi="Times New Roman" w:cs="Times New Roman"/>
          <w:color w:val="auto"/>
        </w:rPr>
        <w:t xml:space="preserve">      0.8天</w:t>
      </w:r>
    </w:p>
    <w:p w14:paraId="0002C83F">
      <w:pPr>
        <w:pStyle w:val="5"/>
        <w:bidi w:val="0"/>
        <w:rPr>
          <w:rFonts w:hint="default" w:ascii="Times New Roman" w:hAnsi="Times New Roman" w:cs="Times New Roman"/>
          <w:color w:val="auto"/>
        </w:rPr>
      </w:pPr>
      <w:r>
        <w:rPr>
          <w:rFonts w:hint="default" w:ascii="Times New Roman" w:hAnsi="Times New Roman" w:cs="Times New Roman"/>
          <w:color w:val="auto"/>
        </w:rPr>
        <w:t>2.3.4.2地质、地震</w:t>
      </w:r>
    </w:p>
    <w:p w14:paraId="0AD266B9">
      <w:pPr>
        <w:pStyle w:val="6"/>
        <w:bidi w:val="0"/>
        <w:rPr>
          <w:rFonts w:hint="default" w:ascii="Times New Roman" w:hAnsi="Times New Roman" w:cs="Times New Roman"/>
          <w:color w:val="auto"/>
        </w:rPr>
      </w:pPr>
      <w:r>
        <w:rPr>
          <w:rFonts w:hint="default" w:ascii="Times New Roman" w:hAnsi="Times New Roman" w:cs="Times New Roman"/>
          <w:color w:val="auto"/>
        </w:rPr>
        <w:t>（1）地质</w:t>
      </w:r>
    </w:p>
    <w:p w14:paraId="0DDCF935">
      <w:pPr>
        <w:pStyle w:val="6"/>
        <w:bidi w:val="0"/>
        <w:rPr>
          <w:rFonts w:hint="default" w:ascii="Times New Roman" w:hAnsi="Times New Roman" w:cs="Times New Roman"/>
          <w:color w:val="auto"/>
        </w:rPr>
      </w:pPr>
      <w:r>
        <w:rPr>
          <w:rFonts w:hint="default" w:ascii="Times New Roman" w:hAnsi="Times New Roman" w:cs="Times New Roman"/>
          <w:color w:val="auto"/>
        </w:rPr>
        <w:t>石油化工总厂所在场地地形平坦，地貌属于第四纪黄河三角洲冲积平原，岩层以亚粘土和粘土为主，表层为粉质粘土，可作为建筑物的天然地基，无威胁场区安全的不良地质现象。该场地地下水属第四系潜水，现地下水静止水位埋深为0.60～1.30m左右，相应标高为3.54～4.62m，地下水位随季节性变化而变化，历年最高水位深埋为0.50m，水位变化幅度在3.00m左右。</w:t>
      </w:r>
    </w:p>
    <w:p w14:paraId="6085FEA5">
      <w:pPr>
        <w:pStyle w:val="6"/>
        <w:bidi w:val="0"/>
        <w:rPr>
          <w:rFonts w:hint="default" w:ascii="Times New Roman" w:hAnsi="Times New Roman" w:cs="Times New Roman"/>
          <w:color w:val="auto"/>
        </w:rPr>
      </w:pPr>
      <w:r>
        <w:rPr>
          <w:rFonts w:hint="default" w:ascii="Times New Roman" w:hAnsi="Times New Roman" w:cs="Times New Roman"/>
          <w:color w:val="auto"/>
        </w:rPr>
        <w:t>（2）地震</w:t>
      </w:r>
    </w:p>
    <w:p w14:paraId="5C106981">
      <w:pPr>
        <w:pStyle w:val="6"/>
        <w:bidi w:val="0"/>
        <w:rPr>
          <w:rFonts w:hint="default" w:ascii="Times New Roman" w:hAnsi="Times New Roman" w:cs="Times New Roman"/>
          <w:color w:val="auto"/>
        </w:rPr>
      </w:pPr>
      <w:r>
        <w:rPr>
          <w:rFonts w:hint="default" w:ascii="Times New Roman" w:hAnsi="Times New Roman" w:cs="Times New Roman"/>
          <w:color w:val="auto"/>
        </w:rPr>
        <w:t>根据《建筑抗震设计规范（2016年版）》（GB 50011-2010）</w:t>
      </w:r>
      <w:r>
        <w:rPr>
          <w:rFonts w:hint="eastAsia"/>
          <w:color w:val="auto"/>
          <w:lang w:val="en-US" w:eastAsia="zh-CN"/>
        </w:rPr>
        <w:t>及《建筑与市政工程抗震通用规范》（GB55002-2021）</w:t>
      </w:r>
      <w:r>
        <w:rPr>
          <w:rFonts w:hint="default" w:ascii="Times New Roman" w:hAnsi="Times New Roman" w:cs="Times New Roman"/>
          <w:color w:val="auto"/>
        </w:rPr>
        <w:t>，该地区抗震设防烈度为7度，设计基本地震加速度为0.10g。</w:t>
      </w:r>
    </w:p>
    <w:p w14:paraId="307D3005">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2.3.5总图布置</w:t>
      </w:r>
    </w:p>
    <w:p w14:paraId="1636B3F5">
      <w:pPr>
        <w:pStyle w:val="6"/>
        <w:bidi w:val="0"/>
        <w:rPr>
          <w:rFonts w:hint="default" w:ascii="Times New Roman" w:hAnsi="Times New Roman" w:cs="Times New Roman"/>
          <w:color w:val="auto"/>
        </w:rPr>
      </w:pPr>
      <w:r>
        <w:rPr>
          <w:rFonts w:hint="default" w:ascii="Times New Roman" w:hAnsi="Times New Roman" w:cs="Times New Roman"/>
          <w:color w:val="auto"/>
        </w:rPr>
        <w:t>（1）总图布置</w:t>
      </w:r>
    </w:p>
    <w:p w14:paraId="729842B3">
      <w:pPr>
        <w:pStyle w:val="39"/>
        <w:bidi w:val="0"/>
        <w:rPr>
          <w:rFonts w:hint="default" w:ascii="Times New Roman" w:hAnsi="Times New Roman" w:cs="Times New Roman"/>
          <w:color w:val="auto"/>
        </w:rPr>
      </w:pPr>
      <w:r>
        <w:rPr>
          <w:rFonts w:hint="default" w:ascii="Times New Roman" w:hAnsi="Times New Roman" w:cs="Times New Roman"/>
          <w:color w:val="auto"/>
        </w:rPr>
        <w:t>全厂占地约230.9万</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rPr>
        <w:t>，生产区面积100万</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rPr>
        <w:t>。厂内中央干道从东向西贯穿整个厂区，和与其平行的其他三条大道将厂区划分为五大部分。具体布置如下：</w:t>
      </w:r>
    </w:p>
    <w:p w14:paraId="02267078">
      <w:pPr>
        <w:pStyle w:val="39"/>
        <w:bidi w:val="0"/>
        <w:rPr>
          <w:rFonts w:hint="default" w:ascii="Times New Roman" w:hAnsi="Times New Roman" w:cs="Times New Roman"/>
          <w:color w:val="auto"/>
        </w:rPr>
      </w:pPr>
      <w:r>
        <w:rPr>
          <w:rFonts w:hint="default" w:ascii="Times New Roman" w:hAnsi="Times New Roman" w:cs="Times New Roman"/>
          <w:color w:val="auto"/>
        </w:rPr>
        <w:t>紧邻中央干道南侧自东向西依次布置有仪器设备修理站、综合办公楼、生产调度中心、QHSE监督中心、安全（QHSE）管理部、氮气站（停用）、原水滤清站（停用）、水处理装置、消防水设施、化学药剂设施、第二给水加压泵站、第二循环水场、第二总变电站（石化变）、第二空压站、第二动力站（含动力脱硫脱硝装置、硫铵制备装置）、第二氮气站、危险废物贮存库等。</w:t>
      </w:r>
    </w:p>
    <w:p w14:paraId="7DEE3966">
      <w:pPr>
        <w:pStyle w:val="39"/>
        <w:bidi w:val="0"/>
        <w:rPr>
          <w:rFonts w:hint="default" w:ascii="Times New Roman" w:hAnsi="Times New Roman" w:cs="Times New Roman"/>
          <w:color w:val="auto"/>
        </w:rPr>
      </w:pPr>
      <w:r>
        <w:rPr>
          <w:rFonts w:hint="default" w:ascii="Times New Roman" w:hAnsi="Times New Roman" w:cs="Times New Roman"/>
          <w:color w:val="auto"/>
        </w:rPr>
        <w:t>紧邻中央干道北侧自东向西依次布置有石化专业应急救援站、中心化验室、15万吨/年催化重整装置、50万吨/年汽柴油加氢装置、11000N</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rPr>
        <w:t>/h制氢装置、220万吨/年常减压蒸馏装置（停产）、350万吨/年原料预处理减粘装置、110万吨/年重油催化裂化装置、50万吨/年汽油选择性加氢、100万吨/年柴油液相加氢等装置。</w:t>
      </w:r>
    </w:p>
    <w:p w14:paraId="17E1214C">
      <w:pPr>
        <w:pStyle w:val="39"/>
        <w:bidi w:val="0"/>
        <w:rPr>
          <w:rFonts w:hint="default" w:ascii="Times New Roman" w:hAnsi="Times New Roman" w:cs="Times New Roman"/>
          <w:color w:val="auto"/>
        </w:rPr>
      </w:pPr>
      <w:r>
        <w:rPr>
          <w:rFonts w:hint="default" w:ascii="Times New Roman" w:hAnsi="Times New Roman" w:cs="Times New Roman"/>
          <w:color w:val="auto"/>
        </w:rPr>
        <w:t>临近重整等装置区北侧自东向西依次为产品销售部、护卫大队、成品油汽车装车设施、露天堆场、供应站、全厂性仓库（停用）、16#船用燃料油罐区、3#新建柴油罐区、6#罐区、4#、5#半成品汽油罐区、2#加氢原料及半成品柴油罐区、1#原油罐区、105#原油罐区、13#催化原料罐区、14#重催油浆罐区。</w:t>
      </w:r>
    </w:p>
    <w:p w14:paraId="4ED2C26A">
      <w:pPr>
        <w:pStyle w:val="39"/>
        <w:bidi w:val="0"/>
        <w:rPr>
          <w:rFonts w:hint="default" w:ascii="Times New Roman" w:hAnsi="Times New Roman" w:cs="Times New Roman"/>
          <w:color w:val="auto"/>
        </w:rPr>
      </w:pPr>
      <w:r>
        <w:rPr>
          <w:rFonts w:hint="default" w:ascii="Times New Roman" w:hAnsi="Times New Roman" w:cs="Times New Roman"/>
          <w:color w:val="auto"/>
        </w:rPr>
        <w:t>原料及中间罐区北侧布置了1#火车装车台、2#火车卸车台、4#火车装车台，1万吨/年硫磺回收联合装置，40万吨/年延迟焦化装置（停产），20万吨/年气体分馏装置、15#汽柴油加氢原料罐区等设备设施。</w:t>
      </w:r>
    </w:p>
    <w:p w14:paraId="495BD127">
      <w:pPr>
        <w:pStyle w:val="6"/>
        <w:bidi w:val="0"/>
        <w:rPr>
          <w:rFonts w:hint="default" w:ascii="Times New Roman" w:hAnsi="Times New Roman" w:cs="Times New Roman"/>
          <w:color w:val="auto"/>
        </w:rPr>
      </w:pPr>
      <w:r>
        <w:rPr>
          <w:rFonts w:hint="default" w:ascii="Times New Roman" w:hAnsi="Times New Roman" w:cs="Times New Roman"/>
          <w:color w:val="auto"/>
        </w:rPr>
        <w:t>厂区最北侧自东向西依次布置有3#火车装车台、10#成品汽油罐区、9#成品柴油罐区、联合泵房、泡沫站、液化气装卸区、循环水泵房、液化气罐区、液化气装瓶站（停用）、轻烃泵房、换热器清洗场、原油卸车设施、高含盐污水处理设施、污油厂（停用）、软麻油厂（停用）、260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rPr>
        <w:t>/h第二污水处理场、双脱（产品精制）装置、MTBE装置尾气综合利用装置（停产）、4万吨/年MTBE装置、气柜设施、火炬设施。</w:t>
      </w:r>
    </w:p>
    <w:p w14:paraId="2419C038">
      <w:pPr>
        <w:pStyle w:val="6"/>
        <w:bidi w:val="0"/>
        <w:rPr>
          <w:rFonts w:hint="default" w:ascii="Times New Roman" w:hAnsi="Times New Roman" w:eastAsia="宋体" w:cs="Times New Roman"/>
          <w:color w:val="auto"/>
          <w:sz w:val="28"/>
          <w:lang w:val="zh-CN"/>
        </w:rPr>
      </w:pPr>
      <w:r>
        <w:rPr>
          <w:rFonts w:hint="default" w:ascii="Times New Roman" w:hAnsi="Times New Roman" w:cs="Times New Roman"/>
          <w:color w:val="auto"/>
          <w:lang w:val="en-US" w:eastAsia="zh-CN"/>
        </w:rPr>
        <w:t>拟建油气处理单元位于</w:t>
      </w:r>
      <w:r>
        <w:rPr>
          <w:rFonts w:hint="default" w:ascii="Times New Roman" w:hAnsi="Times New Roman" w:cs="Times New Roman"/>
          <w:color w:val="auto"/>
          <w:highlight w:val="none"/>
          <w:lang w:val="en-US" w:eastAsia="zh-CN"/>
        </w:rPr>
        <w:t>3#新建柴油罐区</w:t>
      </w:r>
      <w:r>
        <w:rPr>
          <w:rFonts w:hint="default" w:ascii="Times New Roman" w:hAnsi="Times New Roman" w:cs="Times New Roman"/>
          <w:color w:val="auto"/>
          <w:lang w:val="en-US" w:eastAsia="zh-CN"/>
        </w:rPr>
        <w:t>北侧，该项目油气处理拟采用撬装式结构，结构紧凑。</w:t>
      </w:r>
      <w:r>
        <w:rPr>
          <w:rFonts w:hint="eastAsia" w:ascii="Times New Roman" w:hAnsi="Times New Roman" w:eastAsia="宋体" w:cs="Times New Roman"/>
          <w:color w:val="auto"/>
          <w:sz w:val="28"/>
          <w:lang w:val="en-US" w:eastAsia="zh-CN"/>
        </w:rPr>
        <w:t>拟</w:t>
      </w:r>
      <w:r>
        <w:rPr>
          <w:rFonts w:hint="default" w:ascii="Times New Roman" w:hAnsi="Times New Roman" w:eastAsia="宋体" w:cs="Times New Roman"/>
          <w:color w:val="auto"/>
          <w:sz w:val="28"/>
          <w:lang w:val="zh-CN"/>
        </w:rPr>
        <w:t>建设施（含“低温柴油吸收单元”、“冷却-除雾”单元、</w:t>
      </w:r>
      <w:r>
        <w:rPr>
          <w:rFonts w:hint="eastAsia" w:ascii="Times New Roman" w:hAnsi="Times New Roman" w:eastAsia="宋体" w:cs="Times New Roman"/>
          <w:color w:val="auto"/>
          <w:sz w:val="28"/>
          <w:lang w:val="zh-CN"/>
        </w:rPr>
        <w:t>“</w:t>
      </w:r>
      <w:r>
        <w:rPr>
          <w:rFonts w:hint="default" w:ascii="Times New Roman" w:hAnsi="Times New Roman" w:eastAsia="宋体" w:cs="Times New Roman"/>
          <w:color w:val="auto"/>
          <w:sz w:val="28"/>
          <w:lang w:val="zh-CN"/>
        </w:rPr>
        <w:t>蓄热氧化单元</w:t>
      </w:r>
      <w:r>
        <w:rPr>
          <w:rFonts w:hint="eastAsia" w:ascii="Times New Roman" w:hAnsi="Times New Roman" w:eastAsia="宋体" w:cs="Times New Roman"/>
          <w:color w:val="auto"/>
          <w:sz w:val="28"/>
          <w:lang w:val="zh-CN"/>
        </w:rPr>
        <w:t>”</w:t>
      </w:r>
      <w:r>
        <w:rPr>
          <w:rFonts w:hint="default" w:ascii="Times New Roman" w:hAnsi="Times New Roman" w:eastAsia="宋体" w:cs="Times New Roman"/>
          <w:color w:val="auto"/>
          <w:sz w:val="28"/>
          <w:lang w:val="zh-CN"/>
        </w:rPr>
        <w:t>）与原有设施（含5000Nm</w:t>
      </w:r>
      <w:r>
        <w:rPr>
          <w:rFonts w:hint="default" w:ascii="Times New Roman" w:hAnsi="Times New Roman" w:eastAsia="宋体" w:cs="Times New Roman"/>
          <w:color w:val="auto"/>
          <w:sz w:val="28"/>
          <w:vertAlign w:val="superscript"/>
          <w:lang w:val="zh-CN"/>
        </w:rPr>
        <w:t>3</w:t>
      </w:r>
      <w:r>
        <w:rPr>
          <w:rFonts w:hint="default" w:ascii="Times New Roman" w:hAnsi="Times New Roman" w:eastAsia="宋体" w:cs="Times New Roman"/>
          <w:color w:val="auto"/>
          <w:sz w:val="28"/>
          <w:lang w:val="zh-CN"/>
        </w:rPr>
        <w:t>/h脱硫及总烃浓度均化-催化氧化单元、火车台油气分液聚结单元）</w:t>
      </w:r>
      <w:r>
        <w:rPr>
          <w:rFonts w:hint="eastAsia" w:cs="Times New Roman"/>
          <w:color w:val="auto"/>
          <w:sz w:val="28"/>
          <w:lang w:val="en-US" w:eastAsia="zh-CN"/>
        </w:rPr>
        <w:t>作为</w:t>
      </w:r>
      <w:r>
        <w:rPr>
          <w:rFonts w:hint="default" w:ascii="Times New Roman" w:hAnsi="Times New Roman" w:eastAsia="宋体" w:cs="Times New Roman"/>
          <w:color w:val="auto"/>
          <w:sz w:val="28"/>
          <w:lang w:val="zh-CN"/>
        </w:rPr>
        <w:t>一整套油气回收及处理单元。设备间的距离按照装置内设备布置。</w:t>
      </w:r>
    </w:p>
    <w:p w14:paraId="1F95C8F5">
      <w:pPr>
        <w:bidi w:val="0"/>
        <w:snapToGrid w:val="0"/>
        <w:spacing w:line="360" w:lineRule="auto"/>
        <w:ind w:firstLine="560" w:firstLineChars="200"/>
        <w:jc w:val="left"/>
        <w:rPr>
          <w:rFonts w:hint="default" w:ascii="Times New Roman" w:hAnsi="Times New Roman" w:eastAsia="宋体" w:cs="Times New Roman"/>
          <w:color w:val="auto"/>
          <w:lang w:val="en-US" w:eastAsia="zh-CN"/>
        </w:rPr>
      </w:pPr>
      <w:r>
        <w:rPr>
          <w:rFonts w:hint="eastAsia" w:ascii="Times New Roman" w:hAnsi="Times New Roman" w:cs="Times New Roman"/>
          <w:color w:val="auto"/>
          <w:sz w:val="28"/>
          <w:lang w:val="en-US" w:eastAsia="zh-CN"/>
        </w:rPr>
        <w:t>可研阶段未提供详细的新建油气处理单元的设备平面布置图，本项目新增液环压缩机（可燃气体压缩机）、蓄热氧化反应器（明火设备）与装置内其他设备设施的防火间距无法测量，</w:t>
      </w:r>
      <w:r>
        <w:rPr>
          <w:rFonts w:hint="eastAsia" w:cs="Times New Roman"/>
          <w:color w:val="auto"/>
          <w:sz w:val="28"/>
          <w:lang w:val="en-US" w:eastAsia="zh-CN"/>
        </w:rPr>
        <w:t>建议在下一步安全设施设计阶段严格按照满足</w:t>
      </w:r>
      <w:r>
        <w:rPr>
          <w:rFonts w:hint="default" w:ascii="Times New Roman" w:hAnsi="Times New Roman" w:cs="Times New Roman"/>
          <w:color w:val="auto"/>
          <w:sz w:val="28"/>
          <w:lang w:val="en-US" w:eastAsia="zh-CN"/>
        </w:rPr>
        <w:t>《石油化工企业设计防火标准（2018年版）》</w:t>
      </w:r>
      <w:r>
        <w:rPr>
          <w:rFonts w:hint="default" w:ascii="Times New Roman" w:hAnsi="Times New Roman" w:eastAsia="宋体" w:cs="Times New Roman"/>
          <w:color w:val="auto"/>
          <w:sz w:val="28"/>
          <w:lang w:val="en-US" w:eastAsia="zh-CN"/>
        </w:rPr>
        <w:t>（GB50160-2008）5.2.1</w:t>
      </w:r>
      <w:r>
        <w:rPr>
          <w:rFonts w:hint="eastAsia" w:ascii="Times New Roman" w:hAnsi="Times New Roman" w:cs="Times New Roman"/>
          <w:color w:val="auto"/>
          <w:sz w:val="28"/>
          <w:lang w:val="en-US" w:eastAsia="zh-CN"/>
        </w:rPr>
        <w:t>条</w:t>
      </w:r>
      <w:r>
        <w:rPr>
          <w:rFonts w:hint="eastAsia" w:cs="Times New Roman"/>
          <w:color w:val="auto"/>
          <w:sz w:val="28"/>
          <w:lang w:val="en-US" w:eastAsia="zh-CN"/>
        </w:rPr>
        <w:t>要求对</w:t>
      </w:r>
      <w:r>
        <w:rPr>
          <w:rFonts w:hint="eastAsia" w:ascii="Times New Roman" w:hAnsi="Times New Roman" w:cs="Times New Roman"/>
          <w:color w:val="auto"/>
          <w:sz w:val="28"/>
          <w:lang w:val="en-US" w:eastAsia="zh-CN"/>
        </w:rPr>
        <w:t>液环压缩机、蓄热氧化反应器</w:t>
      </w:r>
      <w:r>
        <w:rPr>
          <w:rFonts w:hint="eastAsia" w:cs="Times New Roman"/>
          <w:color w:val="auto"/>
          <w:sz w:val="28"/>
          <w:lang w:val="en-US" w:eastAsia="zh-CN"/>
        </w:rPr>
        <w:t>与</w:t>
      </w:r>
      <w:r>
        <w:rPr>
          <w:rFonts w:hint="eastAsia" w:ascii="Times New Roman" w:hAnsi="Times New Roman" w:cs="Times New Roman"/>
          <w:color w:val="auto"/>
          <w:sz w:val="28"/>
          <w:lang w:val="en-US" w:eastAsia="zh-CN"/>
        </w:rPr>
        <w:t>装置内其他设备设施</w:t>
      </w:r>
      <w:r>
        <w:rPr>
          <w:rFonts w:hint="eastAsia" w:cs="Times New Roman"/>
          <w:color w:val="auto"/>
          <w:sz w:val="28"/>
          <w:lang w:val="en-US" w:eastAsia="zh-CN"/>
        </w:rPr>
        <w:t>的距离进行详细设计。</w:t>
      </w:r>
    </w:p>
    <w:p w14:paraId="3361B3AB">
      <w:pPr>
        <w:pStyle w:val="6"/>
        <w:bidi w:val="0"/>
        <w:rPr>
          <w:rFonts w:hint="default" w:ascii="Times New Roman" w:hAnsi="Times New Roman" w:cs="Times New Roman"/>
          <w:color w:val="auto"/>
        </w:rPr>
      </w:pPr>
      <w:r>
        <w:rPr>
          <w:rFonts w:hint="default" w:ascii="Times New Roman" w:hAnsi="Times New Roman" w:cs="Times New Roman"/>
          <w:color w:val="auto"/>
        </w:rPr>
        <w:t>（2）竖向布置</w:t>
      </w:r>
    </w:p>
    <w:p w14:paraId="53D60F1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新建油气处理单元采用连续平坡式竖向布置方式。场地竖向布置总体上顺应原有场地的竖向。为满足通行需要，新建设施与周边地面连接采用车行铺砌，面积为65m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。车行地面结构为C30混凝土面层20cm，水泥稳定碎石基层厚30cm，基土夯实。</w:t>
      </w:r>
    </w:p>
    <w:p w14:paraId="14F1EF8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本项目场地雨水为有组织排放，雨水采用钢筋混凝土盖板沟收集，顺接到厂区周边原雨水系统，统一收集后汇入监控池检测。</w:t>
      </w:r>
    </w:p>
    <w:p w14:paraId="2B604C2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该项目竖向、雨水设施依托石油化工总厂现有设施，无新增。</w:t>
      </w:r>
    </w:p>
    <w:p w14:paraId="3E576E57">
      <w:pPr>
        <w:pStyle w:val="6"/>
        <w:bidi w:val="0"/>
        <w:rPr>
          <w:rFonts w:hint="default" w:ascii="Times New Roman" w:hAnsi="Times New Roman" w:cs="Times New Roman"/>
          <w:color w:val="auto"/>
        </w:rPr>
      </w:pPr>
      <w:r>
        <w:rPr>
          <w:rFonts w:hint="default" w:ascii="Times New Roman" w:hAnsi="Times New Roman" w:cs="Times New Roman"/>
          <w:color w:val="auto"/>
        </w:rPr>
        <w:t>（3）道路及出入口</w:t>
      </w:r>
    </w:p>
    <w:p w14:paraId="247834A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本项目利用原有设施消防道路，道路宽度均大于6m，道路路面内缘转弯半径大于12m，满足《石油化工企业设计防火标准（2018年版）》（GB50160-2008）的要求。</w:t>
      </w:r>
    </w:p>
    <w:p w14:paraId="59837726">
      <w:pPr>
        <w:pStyle w:val="3"/>
        <w:bidi w:val="0"/>
        <w:rPr>
          <w:rFonts w:hint="default" w:ascii="Times New Roman" w:hAnsi="Times New Roman" w:cs="Times New Roman"/>
          <w:color w:val="auto"/>
        </w:rPr>
      </w:pPr>
      <w:bookmarkStart w:id="23" w:name="_Toc17364"/>
      <w:r>
        <w:rPr>
          <w:rFonts w:hint="default" w:ascii="Times New Roman" w:hAnsi="Times New Roman" w:cs="Times New Roman"/>
          <w:color w:val="auto"/>
        </w:rPr>
        <w:t>项目涉及的主要物料品种名称、数量和</w:t>
      </w:r>
      <w:r>
        <w:rPr>
          <w:rFonts w:hint="default" w:ascii="Times New Roman" w:hAnsi="Times New Roman" w:cs="Times New Roman"/>
          <w:color w:val="auto"/>
          <w:lang w:val="en-US" w:eastAsia="zh-CN"/>
        </w:rPr>
        <w:t>浓度情况</w:t>
      </w:r>
      <w:bookmarkEnd w:id="23"/>
    </w:p>
    <w:p w14:paraId="7F55A030">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2.4.1 </w:t>
      </w:r>
      <w:r>
        <w:rPr>
          <w:rFonts w:hint="eastAsia" w:cs="Times New Roman"/>
          <w:color w:val="auto"/>
          <w:lang w:val="en-US" w:eastAsia="zh-CN"/>
        </w:rPr>
        <w:t>处理废气</w:t>
      </w:r>
    </w:p>
    <w:p w14:paraId="5784E485">
      <w:pPr>
        <w:pStyle w:val="6"/>
        <w:bidi w:val="0"/>
        <w:rPr>
          <w:rFonts w:hint="default" w:ascii="Times New Roman" w:hAnsi="Times New Roman" w:eastAsia="宋体" w:cs="Times New Roman"/>
          <w:color w:val="auto"/>
          <w:lang w:val="en-US" w:eastAsia="zh-CN"/>
        </w:rPr>
      </w:pPr>
      <w:r>
        <w:rPr>
          <w:rFonts w:hint="eastAsia"/>
          <w:b/>
          <w:bCs/>
        </w:rPr>
        <w:t>涉及企业机密，不予公开。</w:t>
      </w:r>
    </w:p>
    <w:p w14:paraId="6979A056">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2.4.2 </w:t>
      </w:r>
      <w:r>
        <w:rPr>
          <w:rFonts w:hint="eastAsia" w:cs="Times New Roman"/>
          <w:color w:val="auto"/>
          <w:lang w:val="en-US" w:eastAsia="zh-CN"/>
        </w:rPr>
        <w:t>处理后废气排放指标</w:t>
      </w:r>
    </w:p>
    <w:p w14:paraId="707E7CFA">
      <w:pPr>
        <w:pStyle w:val="6"/>
        <w:bidi w:val="0"/>
        <w:rPr>
          <w:rFonts w:hint="eastAsia" w:ascii="Times New Roman" w:hAnsi="Times New Roman" w:eastAsia="宋体" w:cs="Times New Roman"/>
          <w:color w:val="auto"/>
          <w:lang w:val="en-US" w:eastAsia="zh-CN"/>
        </w:rPr>
      </w:pPr>
      <w:r>
        <w:rPr>
          <w:rFonts w:hint="eastAsia" w:cs="Times New Roman"/>
          <w:color w:val="auto"/>
          <w:lang w:val="en-US" w:eastAsia="zh-CN"/>
        </w:rPr>
        <w:t>本项目</w:t>
      </w:r>
      <w:r>
        <w:rPr>
          <w:rFonts w:hint="default" w:ascii="Times New Roman" w:hAnsi="Times New Roman" w:cs="Times New Roman"/>
          <w:color w:val="auto"/>
          <w:lang w:val="en-US" w:eastAsia="zh-CN"/>
        </w:rPr>
        <w:t>待治理气体</w:t>
      </w:r>
      <w:r>
        <w:rPr>
          <w:rFonts w:hint="eastAsia" w:cs="Times New Roman"/>
          <w:color w:val="auto"/>
          <w:lang w:val="en-US" w:eastAsia="zh-CN"/>
        </w:rPr>
        <w:t>经过新建油气回收处置装置处理后，</w:t>
      </w:r>
      <w:r>
        <w:rPr>
          <w:rFonts w:ascii="Times New Roman" w:hAnsi="Times New Roman"/>
          <w:color w:val="auto"/>
          <w:szCs w:val="24"/>
        </w:rPr>
        <w:t>苯、甲苯、二甲苯、非甲烷总烃等</w:t>
      </w:r>
      <w:r>
        <w:rPr>
          <w:rFonts w:hint="eastAsia" w:ascii="Times New Roman" w:hAnsi="Times New Roman"/>
          <w:color w:val="auto"/>
          <w:szCs w:val="24"/>
        </w:rPr>
        <w:t>达到以下排放标准</w:t>
      </w:r>
      <w:r>
        <w:rPr>
          <w:rFonts w:hint="eastAsia" w:ascii="Times New Roman" w:hAnsi="Times New Roman"/>
          <w:color w:val="auto"/>
          <w:szCs w:val="24"/>
          <w:lang w:eastAsia="zh-CN"/>
        </w:rPr>
        <w:t>：</w:t>
      </w:r>
    </w:p>
    <w:p w14:paraId="238C0FB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苯：＜2mg/m</w:t>
      </w:r>
      <w:r>
        <w:rPr>
          <w:rFonts w:hint="default" w:ascii="Times New Roman" w:hAnsi="Times New Roman" w:cs="Times New Roman"/>
          <w:color w:val="auto"/>
          <w:vertAlign w:val="superscript"/>
          <w:lang w:val="en-US" w:eastAsia="zh-CN"/>
        </w:rPr>
        <w:t>3</w:t>
      </w:r>
    </w:p>
    <w:p w14:paraId="102CD41F">
      <w:pPr>
        <w:pStyle w:val="6"/>
        <w:bidi w:val="0"/>
        <w:rPr>
          <w:rFonts w:hint="default" w:ascii="Times New Roman" w:hAnsi="Times New Roman" w:cs="Times New Roman"/>
          <w:color w:val="auto"/>
          <w:vertAlign w:val="superscript"/>
          <w:lang w:val="en-US" w:eastAsia="zh-CN"/>
        </w:rPr>
      </w:pPr>
      <w:r>
        <w:rPr>
          <w:rFonts w:hint="default" w:ascii="Times New Roman" w:hAnsi="Times New Roman" w:cs="Times New Roman"/>
          <w:color w:val="auto"/>
          <w:lang w:val="en-US" w:eastAsia="zh-CN"/>
        </w:rPr>
        <w:t>甲苯：＜5mg/m</w:t>
      </w:r>
      <w:r>
        <w:rPr>
          <w:rFonts w:hint="default" w:ascii="Times New Roman" w:hAnsi="Times New Roman" w:cs="Times New Roman"/>
          <w:color w:val="auto"/>
          <w:vertAlign w:val="superscript"/>
          <w:lang w:val="en-US" w:eastAsia="zh-CN"/>
        </w:rPr>
        <w:t>3</w:t>
      </w:r>
    </w:p>
    <w:p w14:paraId="3A0D56B4">
      <w:pPr>
        <w:pStyle w:val="6"/>
        <w:bidi w:val="0"/>
        <w:rPr>
          <w:rFonts w:hint="default" w:ascii="Times New Roman" w:hAnsi="Times New Roman" w:cs="Times New Roman"/>
          <w:color w:val="auto"/>
          <w:vertAlign w:val="superscript"/>
          <w:lang w:val="en-US" w:eastAsia="zh-CN"/>
        </w:rPr>
      </w:pPr>
      <w:r>
        <w:rPr>
          <w:rFonts w:hint="default" w:ascii="Times New Roman" w:hAnsi="Times New Roman" w:cs="Times New Roman"/>
          <w:color w:val="auto"/>
          <w:lang w:val="en-US" w:eastAsia="zh-CN"/>
        </w:rPr>
        <w:t>二甲苯：＜8mg/m</w:t>
      </w:r>
      <w:r>
        <w:rPr>
          <w:rFonts w:hint="default" w:ascii="Times New Roman" w:hAnsi="Times New Roman" w:cs="Times New Roman"/>
          <w:color w:val="auto"/>
          <w:vertAlign w:val="superscript"/>
          <w:lang w:val="en-US" w:eastAsia="zh-CN"/>
        </w:rPr>
        <w:t>3</w:t>
      </w:r>
    </w:p>
    <w:p w14:paraId="2B11CB57">
      <w:pPr>
        <w:pStyle w:val="6"/>
        <w:bidi w:val="0"/>
        <w:rPr>
          <w:rFonts w:hint="default" w:ascii="Times New Roman" w:hAnsi="Times New Roman" w:cs="Times New Roman"/>
          <w:color w:val="auto"/>
          <w:vertAlign w:val="superscript"/>
          <w:lang w:val="en-US" w:eastAsia="zh-CN"/>
        </w:rPr>
      </w:pPr>
      <w:r>
        <w:rPr>
          <w:rFonts w:hint="default" w:ascii="Times New Roman" w:hAnsi="Times New Roman" w:cs="Times New Roman"/>
          <w:color w:val="auto"/>
          <w:lang w:val="en-US" w:eastAsia="zh-CN"/>
        </w:rPr>
        <w:t>非甲烷总烃：＜15mg/m</w:t>
      </w:r>
      <w:r>
        <w:rPr>
          <w:rFonts w:hint="default" w:ascii="Times New Roman" w:hAnsi="Times New Roman" w:cs="Times New Roman"/>
          <w:color w:val="auto"/>
          <w:vertAlign w:val="superscript"/>
          <w:lang w:val="en-US" w:eastAsia="zh-CN"/>
        </w:rPr>
        <w:t>3</w:t>
      </w:r>
    </w:p>
    <w:p w14:paraId="59129102">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非甲烷总烃去除效率：＞97%</w:t>
      </w:r>
    </w:p>
    <w:p w14:paraId="46F8BDB5">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2.4.3 辅助材料</w:t>
      </w:r>
    </w:p>
    <w:p w14:paraId="4DAF7896">
      <w:pPr>
        <w:pStyle w:val="33"/>
        <w:bidi w:val="0"/>
        <w:rPr>
          <w:rFonts w:hint="default" w:ascii="Times New Roman" w:hAnsi="Times New Roman" w:eastAsia="宋体" w:cs="Times New Roman"/>
          <w:color w:val="auto"/>
          <w:lang w:val="en-US" w:eastAsia="zh-CN"/>
        </w:rPr>
      </w:pPr>
      <w:r>
        <w:rPr>
          <w:rFonts w:hint="eastAsia"/>
          <w:b/>
          <w:bCs/>
        </w:rPr>
        <w:t>涉及企业机密，不予公开。</w:t>
      </w:r>
    </w:p>
    <w:p w14:paraId="54D163F6">
      <w:pPr>
        <w:pStyle w:val="3"/>
        <w:bidi w:val="0"/>
        <w:rPr>
          <w:rFonts w:hint="default" w:ascii="Times New Roman" w:hAnsi="Times New Roman" w:cs="Times New Roman"/>
          <w:color w:val="auto"/>
        </w:rPr>
      </w:pPr>
      <w:bookmarkStart w:id="24" w:name="_Toc10174"/>
      <w:r>
        <w:rPr>
          <w:rFonts w:hint="default" w:ascii="Times New Roman" w:hAnsi="Times New Roman" w:cs="Times New Roman"/>
          <w:color w:val="auto"/>
        </w:rPr>
        <w:t>项目工艺流程和主要装置和设施的布局及其上下游生产装置关系</w:t>
      </w:r>
      <w:bookmarkEnd w:id="24"/>
    </w:p>
    <w:p w14:paraId="1875DEB2">
      <w:pPr>
        <w:pStyle w:val="4"/>
        <w:bidi w:val="0"/>
        <w:rPr>
          <w:rFonts w:hint="default" w:ascii="Times New Roman" w:hAnsi="Times New Roman" w:cs="Times New Roman"/>
          <w:color w:val="auto"/>
        </w:rPr>
      </w:pPr>
      <w:r>
        <w:rPr>
          <w:rFonts w:hint="default" w:ascii="Times New Roman" w:hAnsi="Times New Roman" w:cs="Times New Roman"/>
          <w:color w:val="auto"/>
        </w:rPr>
        <w:t>2.5.1 工艺流程简述</w:t>
      </w:r>
    </w:p>
    <w:p w14:paraId="4DB45313">
      <w:pPr>
        <w:pStyle w:val="5"/>
        <w:bidi w:val="0"/>
        <w:rPr>
          <w:rFonts w:hint="default" w:ascii="Times New Roman" w:hAnsi="Times New Roman" w:eastAsia="宋体" w:cs="Times New Roman"/>
          <w:color w:val="auto"/>
          <w:lang w:eastAsia="zh-CN"/>
        </w:rPr>
      </w:pPr>
      <w:r>
        <w:rPr>
          <w:rFonts w:hint="default" w:ascii="Times New Roman" w:hAnsi="Times New Roman" w:cs="Times New Roman"/>
          <w:color w:val="auto"/>
        </w:rPr>
        <w:t>2.5.</w:t>
      </w:r>
      <w:r>
        <w:rPr>
          <w:rFonts w:hint="default" w:ascii="Times New Roman" w:hAnsi="Times New Roman" w:cs="Times New Roman"/>
          <w:color w:val="auto"/>
          <w:lang w:val="en-US" w:eastAsia="zh-CN"/>
        </w:rPr>
        <w:t>1.1</w:t>
      </w:r>
      <w:r>
        <w:rPr>
          <w:rFonts w:hint="default" w:ascii="Times New Roman" w:hAnsi="Times New Roman" w:cs="Times New Roman"/>
          <w:color w:val="auto"/>
        </w:rPr>
        <w:t xml:space="preserve"> 工艺</w:t>
      </w:r>
      <w:r>
        <w:rPr>
          <w:rFonts w:hint="default" w:ascii="Times New Roman" w:hAnsi="Times New Roman" w:cs="Times New Roman"/>
          <w:color w:val="auto"/>
          <w:lang w:val="en-US" w:eastAsia="zh-CN"/>
        </w:rPr>
        <w:t>原理</w:t>
      </w:r>
    </w:p>
    <w:p w14:paraId="0EDF6BBD">
      <w:pPr>
        <w:pStyle w:val="6"/>
        <w:bidi w:val="0"/>
        <w:rPr>
          <w:rFonts w:hint="default" w:ascii="Times New Roman" w:hAnsi="Times New Roman" w:cs="Times New Roman"/>
          <w:color w:val="auto"/>
        </w:rPr>
      </w:pPr>
      <w:r>
        <w:rPr>
          <w:rFonts w:hint="default" w:ascii="Times New Roman" w:hAnsi="Times New Roman" w:cs="Times New Roman"/>
          <w:color w:val="auto"/>
        </w:rPr>
        <w:t>油气中烃类物质与柴油吸收机理为相似相溶原理。“相似”是指溶质和溶剂在结构上相似，“相溶”是指溶质与溶剂彼此互溶。是由于极性分子间的电性作用，使得极性分子组成的溶质易溶于极性分子组成的溶剂，非极性分子组成的溶质易溶于非极性分子组成的溶剂，难溶于极性分子组成的溶剂。利用易吸收油气的有机溶剂（汽油、柴油）与油气接触，将其中的油气溶解从而达到脱除的目的。另外，在低温和高压下进行吸收，可增加低沸点有机物的吸收脱除率。</w:t>
      </w:r>
    </w:p>
    <w:p w14:paraId="6E29EF19">
      <w:pPr>
        <w:pStyle w:val="6"/>
        <w:bidi w:val="0"/>
        <w:rPr>
          <w:rFonts w:hint="default" w:ascii="Times New Roman" w:hAnsi="Times New Roman" w:cs="Times New Roman"/>
          <w:color w:val="auto"/>
        </w:rPr>
      </w:pPr>
      <w:r>
        <w:rPr>
          <w:rFonts w:hint="default" w:ascii="Times New Roman" w:hAnsi="Times New Roman" w:cs="Times New Roman"/>
          <w:color w:val="auto"/>
        </w:rPr>
        <w:t>在装车废气中，主要恶臭组分为硫醇、硫醚、二硫醚等有机硫化物，（硫化氢：4mg/m</w:t>
      </w:r>
      <w:r>
        <w:rPr>
          <w:rFonts w:hint="default" w:ascii="Times New Roman" w:hAnsi="Times New Roman" w:cs="Times New Roman"/>
          <w:color w:val="auto"/>
          <w:vertAlign w:val="superscript"/>
        </w:rPr>
        <w:t>3</w:t>
      </w:r>
      <w:r>
        <w:rPr>
          <w:rFonts w:hint="default" w:ascii="Times New Roman" w:hAnsi="Times New Roman" w:cs="Times New Roman"/>
          <w:color w:val="auto"/>
          <w:lang w:eastAsia="zh-CN"/>
        </w:rPr>
        <w:t>，</w:t>
      </w:r>
      <w:r>
        <w:rPr>
          <w:rFonts w:hint="default" w:ascii="Times New Roman" w:hAnsi="Times New Roman" w:cs="Times New Roman"/>
          <w:color w:val="auto"/>
        </w:rPr>
        <w:t>总硫：5mg/m</w:t>
      </w:r>
      <w:r>
        <w:rPr>
          <w:rFonts w:hint="default" w:ascii="Times New Roman" w:hAnsi="Times New Roman" w:cs="Times New Roman"/>
          <w:color w:val="auto"/>
          <w:vertAlign w:val="superscript"/>
        </w:rPr>
        <w:t>3</w:t>
      </w:r>
      <w:r>
        <w:rPr>
          <w:rFonts w:hint="default" w:ascii="Times New Roman" w:hAnsi="Times New Roman" w:cs="Times New Roman"/>
          <w:color w:val="auto"/>
        </w:rPr>
        <w:t>），在提到的组分中，甲硫醇沸点5.9℃，二甲二硫沸点109.7℃，易溶于醇、醚、烃类等，不溶于水，由于有机硫分子中的巯基与难于与水分子形成氢键，因此，有机硫难以溶于水，因此通过水溶性的净化剂对硫醇等有机硫化物净化效果不尽如人意，但有机硫化物是一种亲油性较强物质。在30℃时，二甲二硫的蒸气压为4.6kPa，在5℃时，其蒸气压1.17kPa，从通过降低温度，可有效减少有机硫化物的挥发浓度，另外有机硫化物更易溶于油品，通过降低吸收油品温度到0～15℃，在高效吸收塔内，可对废气中的有机硫化物完全吸收净化，从而达到脱臭目的。</w:t>
      </w:r>
    </w:p>
    <w:p w14:paraId="2A409227">
      <w:pPr>
        <w:pStyle w:val="6"/>
        <w:bidi w:val="0"/>
        <w:rPr>
          <w:rFonts w:hint="default" w:ascii="Times New Roman" w:hAnsi="Times New Roman" w:cs="Times New Roman"/>
          <w:color w:val="auto"/>
        </w:rPr>
      </w:pPr>
      <w:r>
        <w:rPr>
          <w:rFonts w:hint="default" w:ascii="Times New Roman" w:hAnsi="Times New Roman" w:cs="Times New Roman"/>
          <w:color w:val="auto"/>
        </w:rPr>
        <w:t>汽车装车台的汽油、柴油、MTBE装车油气，以及火车装车台的汽油、柴油装车油气、洗车油气经过引气后进入低温柴油吸收塔吸收，吸收压力0.2MPa，吸收温度5C~15°C，柴油经制冷机组降温后进入低温吸收塔，油气在柴油低温吸收塔内可回收各种VOCs，吸收塔出口设置有压力调节阀，操作人员可根据实际情况调节吸收压力。</w:t>
      </w:r>
    </w:p>
    <w:p w14:paraId="4B0869F6">
      <w:pPr>
        <w:pStyle w:val="6"/>
        <w:bidi w:val="0"/>
        <w:rPr>
          <w:rFonts w:hint="default" w:ascii="Times New Roman" w:hAnsi="Times New Roman" w:cs="Times New Roman"/>
          <w:color w:val="auto"/>
        </w:rPr>
      </w:pPr>
      <w:r>
        <w:rPr>
          <w:rFonts w:hint="default" w:ascii="Times New Roman" w:hAnsi="Times New Roman" w:cs="Times New Roman"/>
          <w:color w:val="auto"/>
        </w:rPr>
        <w:t>汽车装车站台和火车装车站台的船燃装车油气利用低温柴油吸收后的富吸收油冷却，然后经过除雾器，可脱除油气中的油雾和大分子VOCs。</w:t>
      </w:r>
    </w:p>
    <w:p w14:paraId="139269B0">
      <w:pPr>
        <w:pStyle w:val="6"/>
        <w:bidi w:val="0"/>
        <w:rPr>
          <w:rFonts w:hint="default" w:ascii="Times New Roman" w:hAnsi="Times New Roman" w:cs="Times New Roman"/>
          <w:color w:val="auto"/>
        </w:rPr>
      </w:pPr>
      <w:r>
        <w:rPr>
          <w:rFonts w:hint="default" w:ascii="Times New Roman" w:hAnsi="Times New Roman" w:cs="Times New Roman"/>
          <w:color w:val="auto"/>
        </w:rPr>
        <w:t>低温柴油吸收装置排放尾气与冷却-除雾装置排放尾气合并后，一部分尾气进入新建“脱硫及总烃浓度均化-蓄热氧化”装置进一步处理。首先在脱硫及总烃浓度均化罐内进行脱硫、混合和总烃浓度均化，再经过空气稀释，使油气总烃浓度降至3000mg/m</w:t>
      </w:r>
      <w:r>
        <w:rPr>
          <w:rFonts w:hint="default" w:ascii="Times New Roman" w:hAnsi="Times New Roman" w:cs="Times New Roman"/>
          <w:color w:val="auto"/>
          <w:vertAlign w:val="superscript"/>
        </w:rPr>
        <w:t>3</w:t>
      </w:r>
      <w:r>
        <w:rPr>
          <w:rFonts w:hint="default" w:ascii="Times New Roman" w:hAnsi="Times New Roman" w:cs="Times New Roman"/>
          <w:color w:val="auto"/>
        </w:rPr>
        <w:t>以下。然后，油气在风机的作用下进入蓄热氧化反应器的预热床层，与氧化反应室排气加温后的高温蓄热体进行热交换，废气被预热到反应启动温度约700℃，油气中的可燃组分与氧气发生氧化反应，生成CO</w:t>
      </w:r>
      <w:r>
        <w:rPr>
          <w:rFonts w:hint="default" w:ascii="Times New Roman" w:hAnsi="Times New Roman" w:cs="Times New Roman"/>
          <w:color w:val="auto"/>
          <w:vertAlign w:val="subscript"/>
        </w:rPr>
        <w:t>2</w:t>
      </w:r>
      <w:r>
        <w:rPr>
          <w:rFonts w:hint="default" w:ascii="Times New Roman" w:hAnsi="Times New Roman" w:cs="Times New Roman"/>
          <w:color w:val="auto"/>
        </w:rPr>
        <w:t>，H</w:t>
      </w:r>
      <w:r>
        <w:rPr>
          <w:rFonts w:hint="default" w:ascii="Times New Roman" w:hAnsi="Times New Roman" w:cs="Times New Roman"/>
          <w:color w:val="auto"/>
          <w:vertAlign w:val="subscript"/>
        </w:rPr>
        <w:t>2</w:t>
      </w:r>
      <w:r>
        <w:rPr>
          <w:rFonts w:hint="eastAsia" w:cs="Times New Roman"/>
          <w:color w:val="auto"/>
          <w:lang w:val="en-US" w:eastAsia="zh-CN"/>
        </w:rPr>
        <w:t>O</w:t>
      </w:r>
      <w:r>
        <w:rPr>
          <w:rFonts w:hint="default" w:ascii="Times New Roman" w:hAnsi="Times New Roman" w:cs="Times New Roman"/>
          <w:color w:val="auto"/>
        </w:rPr>
        <w:t>等气体，并释放出反应热；油气排出蓄热燃烧反应室的温度为850~950℃左右，其携带大量的热量，进入另一个蓄热床回收热能，用于对进进气油气进行加热；换热后的净化气通过排气筒达标排放。</w:t>
      </w:r>
    </w:p>
    <w:p w14:paraId="0529CE9D">
      <w:pPr>
        <w:pStyle w:val="6"/>
        <w:bidi w:val="0"/>
        <w:rPr>
          <w:rFonts w:hint="default" w:ascii="Times New Roman" w:hAnsi="Times New Roman" w:cs="Times New Roman"/>
          <w:color w:val="auto"/>
        </w:rPr>
      </w:pPr>
      <w:r>
        <w:rPr>
          <w:rFonts w:hint="default" w:ascii="Times New Roman" w:hAnsi="Times New Roman" w:cs="Times New Roman"/>
          <w:color w:val="auto"/>
        </w:rPr>
        <w:t>另一部分尾气进入现有“脱硫及总烃浓度均化-催化氧化”装置进一步深度达标处理。控制油气有机物（包括甲烷）浓度小于25%LEL，油气管线设置可燃气检测和氧含量监测。</w:t>
      </w:r>
    </w:p>
    <w:p w14:paraId="62F40D2E">
      <w:pPr>
        <w:pStyle w:val="6"/>
        <w:bidi w:val="0"/>
        <w:rPr>
          <w:rFonts w:hint="default" w:ascii="Times New Roman" w:hAnsi="Times New Roman" w:cs="Times New Roman"/>
          <w:color w:val="auto"/>
        </w:rPr>
      </w:pPr>
      <w:r>
        <w:rPr>
          <w:rFonts w:hint="default" w:ascii="Times New Roman" w:hAnsi="Times New Roman" w:cs="Times New Roman"/>
          <w:color w:val="auto"/>
        </w:rPr>
        <w:t>“低温柴油吸收”油气和“冷却除雾”油气去RTO和催化氧化装置的处理方式如下：</w:t>
      </w:r>
    </w:p>
    <w:p w14:paraId="2CD79F49">
      <w:pPr>
        <w:pStyle w:val="6"/>
        <w:bidi w:val="0"/>
        <w:rPr>
          <w:rFonts w:hint="default" w:ascii="Times New Roman" w:hAnsi="Times New Roman" w:cs="Times New Roman"/>
          <w:color w:val="auto"/>
        </w:rPr>
      </w:pPr>
      <w:r>
        <w:rPr>
          <w:rFonts w:hint="default" w:ascii="Times New Roman" w:hAnsi="Times New Roman" w:cs="Times New Roman"/>
          <w:color w:val="auto"/>
        </w:rPr>
        <w:t>（1）现有“低温柴油吸收”装置尾气全部进入RTO装置处理；</w:t>
      </w:r>
    </w:p>
    <w:p w14:paraId="615B12AE">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（2）新建“低温柴油吸收”油气和“冷却除雾”油气混合后，优先进入RTO装置处理，确保RTO装置的稳定运行，通过气量控制实施，其余油气进入现有催化氧化装置处理。</w:t>
      </w:r>
      <w:r>
        <w:rPr>
          <w:rFonts w:hint="eastAsia" w:cs="Times New Roman"/>
          <w:color w:val="auto"/>
          <w:lang w:val="en-US" w:eastAsia="zh-CN"/>
        </w:rPr>
        <w:t>新建RTO装置和现有催化氧化装置互为备用。</w:t>
      </w:r>
    </w:p>
    <w:p w14:paraId="49DEB59B">
      <w:pPr>
        <w:pStyle w:val="5"/>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2.5.</w:t>
      </w:r>
      <w:r>
        <w:rPr>
          <w:rFonts w:hint="default" w:ascii="Times New Roman" w:hAnsi="Times New Roman" w:cs="Times New Roman"/>
          <w:color w:val="auto"/>
          <w:lang w:val="en-US" w:eastAsia="zh-CN"/>
        </w:rPr>
        <w:t>1.2</w:t>
      </w:r>
      <w:r>
        <w:rPr>
          <w:rFonts w:hint="default" w:ascii="Times New Roman" w:hAnsi="Times New Roman" w:cs="Times New Roman"/>
          <w:color w:val="auto"/>
        </w:rPr>
        <w:t xml:space="preserve"> 工艺</w:t>
      </w:r>
      <w:r>
        <w:rPr>
          <w:rFonts w:hint="default" w:ascii="Times New Roman" w:hAnsi="Times New Roman" w:cs="Times New Roman"/>
          <w:color w:val="auto"/>
          <w:lang w:val="en-US" w:eastAsia="zh-CN"/>
        </w:rPr>
        <w:t>操作条件</w:t>
      </w:r>
    </w:p>
    <w:p w14:paraId="72DCF814">
      <w:pPr>
        <w:pStyle w:val="6"/>
        <w:bidi w:val="0"/>
        <w:rPr>
          <w:rFonts w:hint="eastAsia" w:eastAsia="宋体"/>
          <w:color w:val="auto"/>
          <w:lang w:eastAsia="zh-CN"/>
        </w:rPr>
      </w:pPr>
      <w:r>
        <w:rPr>
          <w:rFonts w:hint="eastAsia"/>
          <w:b/>
          <w:bCs/>
        </w:rPr>
        <w:t>涉及企业机密，不予公开。</w:t>
      </w:r>
    </w:p>
    <w:p w14:paraId="14A2824E">
      <w:pPr>
        <w:pStyle w:val="5"/>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2.5.</w:t>
      </w:r>
      <w:r>
        <w:rPr>
          <w:rFonts w:hint="default" w:ascii="Times New Roman" w:hAnsi="Times New Roman" w:cs="Times New Roman"/>
          <w:color w:val="auto"/>
          <w:lang w:val="en-US" w:eastAsia="zh-CN"/>
        </w:rPr>
        <w:t>1.3</w:t>
      </w:r>
      <w:r>
        <w:rPr>
          <w:rFonts w:hint="default" w:ascii="Times New Roman" w:hAnsi="Times New Roman" w:cs="Times New Roman"/>
          <w:color w:val="auto"/>
        </w:rPr>
        <w:t xml:space="preserve"> 工艺</w:t>
      </w:r>
      <w:r>
        <w:rPr>
          <w:rFonts w:hint="default" w:ascii="Times New Roman" w:hAnsi="Times New Roman" w:cs="Times New Roman"/>
          <w:color w:val="auto"/>
          <w:lang w:val="en-US" w:eastAsia="zh-CN"/>
        </w:rPr>
        <w:t>流程</w:t>
      </w:r>
    </w:p>
    <w:p w14:paraId="1B61E111">
      <w:pPr>
        <w:pStyle w:val="6"/>
        <w:bidi w:val="0"/>
        <w:rPr>
          <w:rFonts w:hint="default" w:ascii="Times New Roman" w:hAnsi="Times New Roman" w:cs="Times New Roman"/>
          <w:color w:val="auto"/>
          <w:lang w:eastAsia="zh-CN"/>
        </w:rPr>
      </w:pPr>
      <w:r>
        <w:rPr>
          <w:rFonts w:hint="eastAsia"/>
          <w:b/>
          <w:bCs/>
        </w:rPr>
        <w:t>涉及企业机密，不予公开。</w:t>
      </w:r>
    </w:p>
    <w:p w14:paraId="6B446886">
      <w:pPr>
        <w:pStyle w:val="4"/>
        <w:bidi w:val="0"/>
        <w:rPr>
          <w:rFonts w:hint="default" w:ascii="Times New Roman" w:hAnsi="Times New Roman" w:cs="Times New Roman"/>
          <w:color w:val="auto"/>
        </w:rPr>
      </w:pPr>
      <w:r>
        <w:rPr>
          <w:rFonts w:hint="default" w:ascii="Times New Roman" w:hAnsi="Times New Roman" w:cs="Times New Roman"/>
          <w:color w:val="auto"/>
        </w:rPr>
        <w:t>2.5.2 主要装置和设施（设备）布局及其上下游生产装置的关系</w:t>
      </w:r>
    </w:p>
    <w:p w14:paraId="78BEC8B5">
      <w:pPr>
        <w:pStyle w:val="6"/>
        <w:bidi w:val="0"/>
        <w:rPr>
          <w:rFonts w:hint="default" w:ascii="Times New Roman" w:hAnsi="Times New Roman" w:eastAsia="宋体"/>
          <w:b/>
          <w:bCs/>
          <w:lang w:val="zh-CN"/>
        </w:rPr>
      </w:pPr>
      <w:r>
        <w:rPr>
          <w:rFonts w:hint="default" w:ascii="Times New Roman" w:hAnsi="Times New Roman" w:eastAsia="宋体"/>
          <w:b/>
          <w:bCs/>
          <w:lang w:val="zh-CN"/>
        </w:rPr>
        <w:t>涉及企业机密，不予公开。</w:t>
      </w:r>
    </w:p>
    <w:p w14:paraId="6DDE40EC">
      <w:pPr>
        <w:pStyle w:val="4"/>
        <w:bidi w:val="0"/>
        <w:rPr>
          <w:rFonts w:hint="default" w:ascii="Times New Roman" w:hAnsi="Times New Roman" w:cs="Times New Roman"/>
          <w:color w:val="auto"/>
        </w:rPr>
      </w:pPr>
      <w:r>
        <w:rPr>
          <w:rFonts w:hint="default" w:ascii="Times New Roman" w:hAnsi="Times New Roman" w:cs="Times New Roman"/>
          <w:color w:val="auto"/>
        </w:rPr>
        <w:t>2.5.3 主要设备设施</w:t>
      </w:r>
    </w:p>
    <w:p w14:paraId="578F5600">
      <w:pPr>
        <w:pStyle w:val="6"/>
        <w:bidi w:val="0"/>
        <w:rPr>
          <w:rStyle w:val="34"/>
          <w:rFonts w:hint="default" w:ascii="Times New Roman" w:hAnsi="Times New Roman" w:cs="Times New Roman"/>
          <w:color w:val="auto"/>
        </w:rPr>
      </w:pPr>
      <w:r>
        <w:rPr>
          <w:rFonts w:hint="default" w:ascii="Times New Roman" w:hAnsi="Times New Roman" w:cs="Times New Roman"/>
          <w:color w:val="auto"/>
          <w:lang w:val="en-US" w:eastAsia="zh-CN"/>
        </w:rPr>
        <w:t>该项目新增油气处理单元</w:t>
      </w:r>
      <w:r>
        <w:rPr>
          <w:rFonts w:hint="default" w:ascii="Times New Roman" w:hAnsi="Times New Roman" w:cs="Times New Roman"/>
          <w:color w:val="auto"/>
          <w:lang w:eastAsia="zh-CN"/>
        </w:rPr>
        <w:t>，低温柴油吸收单元、汽车台“冷却-除雾”单元、火车台“冷却-除雾”单元和蓄热氧化单元为成套撬装装置</w:t>
      </w:r>
      <w:r>
        <w:rPr>
          <w:rFonts w:hint="default" w:ascii="Times New Roman" w:hAnsi="Times New Roman" w:cs="Times New Roman"/>
          <w:color w:val="auto"/>
          <w:lang w:val="en-US" w:eastAsia="zh-CN"/>
        </w:rPr>
        <w:t>，并新增3台油气</w:t>
      </w:r>
      <w:r>
        <w:rPr>
          <w:rFonts w:hint="default" w:ascii="Times New Roman" w:hAnsi="Times New Roman" w:cs="Times New Roman"/>
          <w:color w:val="auto"/>
          <w:lang w:eastAsia="zh-CN"/>
        </w:rPr>
        <w:t>输送风机。</w:t>
      </w:r>
    </w:p>
    <w:p w14:paraId="4E9F160C">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1）油气输送系统</w:t>
      </w:r>
    </w:p>
    <w:p w14:paraId="2EEF90C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表2.</w:t>
      </w:r>
      <w:r>
        <w:rPr>
          <w:rFonts w:hint="default" w:ascii="Times New Roman" w:hAnsi="Times New Roman" w:cs="Times New Roman"/>
          <w:color w:val="auto"/>
          <w:lang w:val="en-US" w:eastAsia="zh-CN"/>
        </w:rPr>
        <w:t>5</w:t>
      </w:r>
      <w:r>
        <w:rPr>
          <w:rFonts w:hint="default" w:ascii="Times New Roman" w:hAnsi="Times New Roman" w:cs="Times New Roman"/>
          <w:color w:val="auto"/>
        </w:rPr>
        <w:t xml:space="preserve">-2  </w:t>
      </w:r>
      <w:r>
        <w:rPr>
          <w:rFonts w:hint="default" w:ascii="Times New Roman" w:hAnsi="Times New Roman" w:cs="Times New Roman"/>
          <w:color w:val="auto"/>
          <w:lang w:val="en-US" w:eastAsia="zh-CN"/>
        </w:rPr>
        <w:t>主要工艺设备汇总</w:t>
      </w:r>
      <w:r>
        <w:rPr>
          <w:rFonts w:hint="default" w:ascii="Times New Roman" w:hAnsi="Times New Roman" w:cs="Times New Roman"/>
          <w:color w:val="auto"/>
        </w:rPr>
        <w:t>表</w:t>
      </w:r>
    </w:p>
    <w:tbl>
      <w:tblPr>
        <w:tblStyle w:val="20"/>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2"/>
        <w:gridCol w:w="1653"/>
        <w:gridCol w:w="1068"/>
        <w:gridCol w:w="907"/>
        <w:gridCol w:w="879"/>
        <w:gridCol w:w="3452"/>
        <w:gridCol w:w="1064"/>
      </w:tblGrid>
      <w:tr w14:paraId="6E71A1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98" w:type="pct"/>
            <w:noWrap w:val="0"/>
            <w:vAlign w:val="center"/>
          </w:tcPr>
          <w:p w14:paraId="4F8E8F56">
            <w:pPr>
              <w:pStyle w:val="31"/>
              <w:keepNext w:val="0"/>
              <w:keepLines w:val="0"/>
              <w:pageBreakBefore w:val="0"/>
              <w:widowControl w:val="0"/>
              <w:kinsoku/>
              <w:wordWrap/>
              <w:overflowPunct/>
              <w:topLinePunct w:val="0"/>
              <w:autoSpaceDE/>
              <w:autoSpaceDN/>
              <w:bidi w:val="0"/>
              <w:adjustRightInd/>
              <w:snapToGrid/>
              <w:spacing w:line="40" w:lineRule="atLeast"/>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879" w:type="pct"/>
            <w:noWrap w:val="0"/>
            <w:vAlign w:val="center"/>
          </w:tcPr>
          <w:p w14:paraId="60F407F2">
            <w:pPr>
              <w:pStyle w:val="31"/>
              <w:bidi w:val="0"/>
              <w:rPr>
                <w:rFonts w:hint="default" w:ascii="Times New Roman" w:hAnsi="Times New Roman" w:cs="Times New Roman"/>
                <w:b/>
                <w:bCs/>
                <w:color w:val="auto"/>
              </w:rPr>
            </w:pPr>
            <w:r>
              <w:rPr>
                <w:rFonts w:hint="default" w:ascii="Times New Roman" w:hAnsi="Times New Roman" w:cs="Times New Roman"/>
                <w:b/>
                <w:bCs/>
                <w:color w:val="auto"/>
                <w:lang w:val="en-US" w:eastAsia="zh-CN"/>
              </w:rPr>
              <w:t>设备</w:t>
            </w:r>
            <w:r>
              <w:rPr>
                <w:rFonts w:hint="default" w:ascii="Times New Roman" w:hAnsi="Times New Roman" w:cs="Times New Roman"/>
                <w:b/>
                <w:bCs/>
                <w:color w:val="auto"/>
              </w:rPr>
              <w:t>名称</w:t>
            </w:r>
          </w:p>
        </w:tc>
        <w:tc>
          <w:tcPr>
            <w:tcW w:w="567" w:type="pct"/>
            <w:noWrap w:val="0"/>
            <w:vAlign w:val="center"/>
          </w:tcPr>
          <w:p w14:paraId="01045707">
            <w:pPr>
              <w:pStyle w:val="31"/>
              <w:bidi w:val="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位号</w:t>
            </w:r>
          </w:p>
        </w:tc>
        <w:tc>
          <w:tcPr>
            <w:tcW w:w="482" w:type="pct"/>
            <w:noWrap w:val="0"/>
            <w:vAlign w:val="center"/>
          </w:tcPr>
          <w:p w14:paraId="05257F29">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数量（台）</w:t>
            </w:r>
          </w:p>
        </w:tc>
        <w:tc>
          <w:tcPr>
            <w:tcW w:w="467" w:type="pct"/>
            <w:noWrap w:val="0"/>
            <w:vAlign w:val="center"/>
          </w:tcPr>
          <w:p w14:paraId="56573603">
            <w:pPr>
              <w:pStyle w:val="31"/>
              <w:bidi w:val="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介质</w:t>
            </w:r>
          </w:p>
        </w:tc>
        <w:tc>
          <w:tcPr>
            <w:tcW w:w="1837" w:type="pct"/>
            <w:noWrap w:val="0"/>
            <w:vAlign w:val="center"/>
          </w:tcPr>
          <w:p w14:paraId="6AF7A299">
            <w:pPr>
              <w:pStyle w:val="31"/>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规格参数</w:t>
            </w:r>
          </w:p>
        </w:tc>
        <w:tc>
          <w:tcPr>
            <w:tcW w:w="566" w:type="pct"/>
            <w:noWrap w:val="0"/>
            <w:vAlign w:val="center"/>
          </w:tcPr>
          <w:p w14:paraId="71A6F706">
            <w:pPr>
              <w:pStyle w:val="31"/>
              <w:bidi w:val="0"/>
              <w:rPr>
                <w:rFonts w:hint="default" w:ascii="Times New Roman" w:hAnsi="Times New Roman" w:cs="Times New Roman"/>
                <w:b/>
                <w:bCs/>
                <w:color w:val="auto"/>
                <w:lang w:eastAsia="zh-CN"/>
              </w:rPr>
            </w:pPr>
            <w:r>
              <w:rPr>
                <w:rFonts w:hint="default" w:ascii="Times New Roman" w:hAnsi="Times New Roman" w:cs="Times New Roman"/>
                <w:b/>
                <w:bCs/>
                <w:color w:val="auto"/>
                <w:lang w:val="en-US" w:eastAsia="zh-CN"/>
              </w:rPr>
              <w:t>备注</w:t>
            </w:r>
          </w:p>
        </w:tc>
      </w:tr>
      <w:tr w14:paraId="475DB1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98" w:type="pct"/>
            <w:noWrap w:val="0"/>
            <w:vAlign w:val="center"/>
          </w:tcPr>
          <w:p w14:paraId="6D82E42F">
            <w:pPr>
              <w:pStyle w:val="31"/>
              <w:bidi w:val="0"/>
              <w:jc w:val="center"/>
              <w:rPr>
                <w:rFonts w:hint="default" w:ascii="Times New Roman" w:hAnsi="Times New Roman" w:cs="Times New Roman"/>
                <w:color w:val="auto"/>
              </w:rPr>
            </w:pPr>
            <w:r>
              <w:rPr>
                <w:rFonts w:hint="default" w:ascii="Times New Roman" w:hAnsi="Times New Roman" w:cs="Times New Roman"/>
                <w:color w:val="auto"/>
              </w:rPr>
              <w:t>1</w:t>
            </w:r>
          </w:p>
        </w:tc>
        <w:tc>
          <w:tcPr>
            <w:tcW w:w="879" w:type="pct"/>
            <w:noWrap w:val="0"/>
            <w:vAlign w:val="center"/>
          </w:tcPr>
          <w:p w14:paraId="6097AF7D">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油气输送风机</w:t>
            </w:r>
          </w:p>
        </w:tc>
        <w:tc>
          <w:tcPr>
            <w:tcW w:w="567" w:type="pct"/>
            <w:noWrap w:val="0"/>
            <w:vAlign w:val="center"/>
          </w:tcPr>
          <w:p w14:paraId="619C302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K-001</w:t>
            </w:r>
          </w:p>
        </w:tc>
        <w:tc>
          <w:tcPr>
            <w:tcW w:w="482" w:type="pct"/>
            <w:noWrap w:val="0"/>
            <w:vAlign w:val="center"/>
          </w:tcPr>
          <w:p w14:paraId="1B42894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467" w:type="pct"/>
            <w:noWrap w:val="0"/>
            <w:vAlign w:val="center"/>
          </w:tcPr>
          <w:p w14:paraId="1CDAD32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油气</w:t>
            </w:r>
          </w:p>
        </w:tc>
        <w:tc>
          <w:tcPr>
            <w:tcW w:w="1837" w:type="pct"/>
            <w:noWrap w:val="0"/>
            <w:vAlign w:val="center"/>
          </w:tcPr>
          <w:p w14:paraId="4195E291">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流量500m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/h，出口压力6.5KPa</w:t>
            </w:r>
          </w:p>
        </w:tc>
        <w:tc>
          <w:tcPr>
            <w:tcW w:w="566" w:type="pct"/>
            <w:noWrap w:val="0"/>
            <w:vAlign w:val="center"/>
          </w:tcPr>
          <w:p w14:paraId="0D8987B4">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新增</w:t>
            </w:r>
          </w:p>
        </w:tc>
      </w:tr>
      <w:tr w14:paraId="05F54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98" w:type="pct"/>
            <w:noWrap w:val="0"/>
            <w:vAlign w:val="center"/>
          </w:tcPr>
          <w:p w14:paraId="6F3769CA">
            <w:pPr>
              <w:pStyle w:val="31"/>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w:t>
            </w:r>
          </w:p>
        </w:tc>
        <w:tc>
          <w:tcPr>
            <w:tcW w:w="879" w:type="pct"/>
            <w:noWrap w:val="0"/>
            <w:vAlign w:val="center"/>
          </w:tcPr>
          <w:p w14:paraId="3C5443A1">
            <w:pPr>
              <w:pStyle w:val="31"/>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油气输送风机</w:t>
            </w:r>
          </w:p>
        </w:tc>
        <w:tc>
          <w:tcPr>
            <w:tcW w:w="567" w:type="pct"/>
            <w:noWrap w:val="0"/>
            <w:vAlign w:val="center"/>
          </w:tcPr>
          <w:p w14:paraId="455C06B3">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K-002</w:t>
            </w:r>
          </w:p>
        </w:tc>
        <w:tc>
          <w:tcPr>
            <w:tcW w:w="482" w:type="pct"/>
            <w:noWrap w:val="0"/>
            <w:vAlign w:val="center"/>
          </w:tcPr>
          <w:p w14:paraId="36F947D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467" w:type="pct"/>
            <w:noWrap w:val="0"/>
            <w:vAlign w:val="center"/>
          </w:tcPr>
          <w:p w14:paraId="7EE5CA41">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油气</w:t>
            </w:r>
          </w:p>
        </w:tc>
        <w:tc>
          <w:tcPr>
            <w:tcW w:w="1837" w:type="pct"/>
            <w:noWrap w:val="0"/>
            <w:vAlign w:val="center"/>
          </w:tcPr>
          <w:p w14:paraId="12DB002E">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流量1000m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/h，出口压力5.0KPa</w:t>
            </w:r>
          </w:p>
        </w:tc>
        <w:tc>
          <w:tcPr>
            <w:tcW w:w="566" w:type="pct"/>
            <w:noWrap w:val="0"/>
            <w:vAlign w:val="center"/>
          </w:tcPr>
          <w:p w14:paraId="3CE80A62">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新增</w:t>
            </w:r>
          </w:p>
        </w:tc>
      </w:tr>
      <w:tr w14:paraId="0015B8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198" w:type="pct"/>
            <w:noWrap w:val="0"/>
            <w:vAlign w:val="center"/>
          </w:tcPr>
          <w:p w14:paraId="623B7670">
            <w:pPr>
              <w:pStyle w:val="31"/>
              <w:bidi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w:t>
            </w:r>
          </w:p>
        </w:tc>
        <w:tc>
          <w:tcPr>
            <w:tcW w:w="879" w:type="pct"/>
            <w:noWrap w:val="0"/>
            <w:vAlign w:val="center"/>
          </w:tcPr>
          <w:p w14:paraId="7C40AF37">
            <w:pPr>
              <w:pStyle w:val="31"/>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油气输送风机</w:t>
            </w:r>
          </w:p>
        </w:tc>
        <w:tc>
          <w:tcPr>
            <w:tcW w:w="567" w:type="pct"/>
            <w:noWrap w:val="0"/>
            <w:vAlign w:val="center"/>
          </w:tcPr>
          <w:p w14:paraId="0C280305">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K-003</w:t>
            </w:r>
          </w:p>
        </w:tc>
        <w:tc>
          <w:tcPr>
            <w:tcW w:w="482" w:type="pct"/>
            <w:noWrap w:val="0"/>
            <w:vAlign w:val="center"/>
          </w:tcPr>
          <w:p w14:paraId="76C478A3">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467" w:type="pct"/>
            <w:noWrap w:val="0"/>
            <w:vAlign w:val="center"/>
          </w:tcPr>
          <w:p w14:paraId="5013ADA8">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油气</w:t>
            </w:r>
          </w:p>
        </w:tc>
        <w:tc>
          <w:tcPr>
            <w:tcW w:w="1837" w:type="pct"/>
            <w:noWrap w:val="0"/>
            <w:vAlign w:val="center"/>
          </w:tcPr>
          <w:p w14:paraId="68410221">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流量500m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/h，出口压力6.5KPa</w:t>
            </w:r>
          </w:p>
        </w:tc>
        <w:tc>
          <w:tcPr>
            <w:tcW w:w="566" w:type="pct"/>
            <w:noWrap w:val="0"/>
            <w:vAlign w:val="center"/>
          </w:tcPr>
          <w:p w14:paraId="6332CDCC">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新增</w:t>
            </w:r>
          </w:p>
        </w:tc>
      </w:tr>
    </w:tbl>
    <w:p w14:paraId="4FF4909D">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2）油气回收及处理装置</w:t>
      </w:r>
    </w:p>
    <w:p w14:paraId="46D92F78">
      <w:pPr>
        <w:pStyle w:val="6"/>
        <w:bidi w:val="0"/>
        <w:rPr>
          <w:rFonts w:hint="default" w:ascii="Times New Roman" w:hAnsi="Times New Roman" w:eastAsia="宋体" w:cs="Times New Roman"/>
          <w:color w:val="auto"/>
          <w:lang w:val="en-US" w:eastAsia="zh-CN"/>
        </w:rPr>
      </w:pPr>
      <w:r>
        <w:rPr>
          <w:rFonts w:hint="eastAsia"/>
          <w:b/>
          <w:bCs/>
        </w:rPr>
        <w:t>涉及企业机密，不予公开。</w:t>
      </w:r>
    </w:p>
    <w:p w14:paraId="0A611B61">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val="en-US" w:eastAsia="zh-CN"/>
        </w:rPr>
      </w:pPr>
      <w:r>
        <w:rPr>
          <w:rFonts w:hint="eastAsia" w:cs="Times New Roman"/>
          <w:color w:val="auto"/>
          <w:lang w:val="en-US" w:eastAsia="zh-CN"/>
        </w:rPr>
        <w:t>3）</w:t>
      </w:r>
      <w:r>
        <w:rPr>
          <w:rFonts w:hint="default" w:ascii="Times New Roman" w:hAnsi="Times New Roman" w:cs="Times New Roman"/>
          <w:color w:val="auto"/>
          <w:lang w:val="en-US" w:eastAsia="zh-CN"/>
        </w:rPr>
        <w:t>主要仪表设备、材料</w:t>
      </w:r>
    </w:p>
    <w:p w14:paraId="43A07C3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表2.</w:t>
      </w:r>
      <w:r>
        <w:rPr>
          <w:rFonts w:hint="default" w:ascii="Times New Roman" w:hAnsi="Times New Roman" w:cs="Times New Roman"/>
          <w:color w:val="auto"/>
          <w:lang w:val="en-US" w:eastAsia="zh-CN"/>
        </w:rPr>
        <w:t>5</w:t>
      </w:r>
      <w:r>
        <w:rPr>
          <w:rFonts w:hint="default" w:ascii="Times New Roman" w:hAnsi="Times New Roman" w:cs="Times New Roman"/>
          <w:color w:val="auto"/>
        </w:rPr>
        <w:t>-</w:t>
      </w:r>
      <w:r>
        <w:rPr>
          <w:rFonts w:hint="eastAsia" w:cs="Times New Roman"/>
          <w:color w:val="auto"/>
          <w:lang w:val="en-US" w:eastAsia="zh-CN"/>
        </w:rPr>
        <w:t>5</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主要仪表设备、材料汇总</w:t>
      </w:r>
      <w:r>
        <w:rPr>
          <w:rFonts w:hint="default" w:ascii="Times New Roman" w:hAnsi="Times New Roman" w:cs="Times New Roman"/>
          <w:color w:val="auto"/>
        </w:rPr>
        <w:t>表</w:t>
      </w:r>
    </w:p>
    <w:tbl>
      <w:tblPr>
        <w:tblStyle w:val="37"/>
        <w:tblW w:w="501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79"/>
        <w:gridCol w:w="2889"/>
        <w:gridCol w:w="4038"/>
        <w:gridCol w:w="1437"/>
      </w:tblGrid>
      <w:tr w14:paraId="00718D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7" w:hRule="atLeast"/>
          <w:tblHeader/>
        </w:trPr>
        <w:tc>
          <w:tcPr>
            <w:tcW w:w="475" w:type="pct"/>
            <w:tcBorders>
              <w:tl2br w:val="nil"/>
              <w:tr2bl w:val="nil"/>
            </w:tcBorders>
            <w:vAlign w:val="center"/>
          </w:tcPr>
          <w:p w14:paraId="667DFBE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562" w:type="pct"/>
            <w:tcBorders>
              <w:tl2br w:val="nil"/>
              <w:tr2bl w:val="nil"/>
            </w:tcBorders>
            <w:vAlign w:val="center"/>
          </w:tcPr>
          <w:p w14:paraId="32DB1A5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2183" w:type="pct"/>
            <w:tcBorders>
              <w:tl2br w:val="nil"/>
              <w:tr2bl w:val="nil"/>
            </w:tcBorders>
            <w:vAlign w:val="center"/>
          </w:tcPr>
          <w:p w14:paraId="4DD83F9B">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规格型号</w:t>
            </w:r>
          </w:p>
        </w:tc>
        <w:tc>
          <w:tcPr>
            <w:tcW w:w="777" w:type="pct"/>
            <w:tcBorders>
              <w:tl2br w:val="nil"/>
              <w:tr2bl w:val="nil"/>
            </w:tcBorders>
            <w:vAlign w:val="center"/>
          </w:tcPr>
          <w:p w14:paraId="0571F1D3">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数量</w:t>
            </w:r>
          </w:p>
        </w:tc>
      </w:tr>
      <w:tr w14:paraId="29A9FCB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75" w:type="pct"/>
            <w:tcBorders>
              <w:tl2br w:val="nil"/>
              <w:tr2bl w:val="nil"/>
            </w:tcBorders>
            <w:vAlign w:val="center"/>
          </w:tcPr>
          <w:p w14:paraId="51A2828A">
            <w:pPr>
              <w:pStyle w:val="31"/>
              <w:bidi w:val="0"/>
              <w:rPr>
                <w:rFonts w:hint="default" w:ascii="Times New Roman" w:hAnsi="Times New Roman" w:cs="Times New Roman"/>
                <w:color w:val="auto"/>
              </w:rPr>
            </w:pPr>
            <w:r>
              <w:rPr>
                <w:rFonts w:hint="default" w:ascii="Times New Roman" w:hAnsi="Times New Roman" w:cs="Times New Roman"/>
                <w:color w:val="auto"/>
              </w:rPr>
              <w:t>1</w:t>
            </w:r>
          </w:p>
        </w:tc>
        <w:tc>
          <w:tcPr>
            <w:tcW w:w="1562" w:type="pct"/>
            <w:tcBorders>
              <w:tl2br w:val="nil"/>
              <w:tr2bl w:val="nil"/>
            </w:tcBorders>
            <w:vAlign w:val="center"/>
          </w:tcPr>
          <w:p w14:paraId="67DDA1B5">
            <w:pPr>
              <w:pStyle w:val="31"/>
              <w:bidi w:val="0"/>
              <w:rPr>
                <w:rFonts w:hint="default" w:ascii="Times New Roman" w:hAnsi="Times New Roman" w:cs="Times New Roman"/>
                <w:color w:val="auto"/>
              </w:rPr>
            </w:pPr>
            <w:r>
              <w:rPr>
                <w:rFonts w:hint="default" w:ascii="Times New Roman" w:hAnsi="Times New Roman" w:cs="Times New Roman"/>
                <w:color w:val="auto"/>
              </w:rPr>
              <w:t>铠装热电阻</w:t>
            </w:r>
          </w:p>
        </w:tc>
        <w:tc>
          <w:tcPr>
            <w:tcW w:w="2183" w:type="pct"/>
            <w:tcBorders>
              <w:tl2br w:val="nil"/>
              <w:tr2bl w:val="nil"/>
            </w:tcBorders>
            <w:vAlign w:val="center"/>
          </w:tcPr>
          <w:p w14:paraId="29481694">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68C152BF">
            <w:pPr>
              <w:pStyle w:val="31"/>
              <w:bidi w:val="0"/>
              <w:rPr>
                <w:rFonts w:hint="default" w:ascii="Times New Roman" w:hAnsi="Times New Roman" w:cs="Times New Roman"/>
                <w:color w:val="auto"/>
              </w:rPr>
            </w:pPr>
            <w:r>
              <w:rPr>
                <w:rFonts w:hint="default" w:ascii="Times New Roman" w:hAnsi="Times New Roman" w:cs="Times New Roman"/>
                <w:color w:val="auto"/>
              </w:rPr>
              <w:t>2支</w:t>
            </w:r>
          </w:p>
        </w:tc>
      </w:tr>
      <w:tr w14:paraId="214CEA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tcBorders>
              <w:tl2br w:val="nil"/>
              <w:tr2bl w:val="nil"/>
            </w:tcBorders>
            <w:vAlign w:val="center"/>
          </w:tcPr>
          <w:p w14:paraId="75AFDC1A">
            <w:pPr>
              <w:pStyle w:val="31"/>
              <w:bidi w:val="0"/>
              <w:rPr>
                <w:rFonts w:hint="default" w:ascii="Times New Roman" w:hAnsi="Times New Roman" w:cs="Times New Roman"/>
                <w:color w:val="auto"/>
              </w:rPr>
            </w:pPr>
            <w:r>
              <w:rPr>
                <w:rFonts w:hint="default" w:ascii="Times New Roman" w:hAnsi="Times New Roman" w:cs="Times New Roman"/>
                <w:color w:val="auto"/>
              </w:rPr>
              <w:t>2</w:t>
            </w:r>
          </w:p>
        </w:tc>
        <w:tc>
          <w:tcPr>
            <w:tcW w:w="1562" w:type="pct"/>
            <w:tcBorders>
              <w:tl2br w:val="nil"/>
              <w:tr2bl w:val="nil"/>
            </w:tcBorders>
            <w:vAlign w:val="center"/>
          </w:tcPr>
          <w:p w14:paraId="67F949A3">
            <w:pPr>
              <w:pStyle w:val="31"/>
              <w:bidi w:val="0"/>
              <w:rPr>
                <w:rFonts w:hint="default" w:ascii="Times New Roman" w:hAnsi="Times New Roman" w:cs="Times New Roman"/>
                <w:color w:val="auto"/>
              </w:rPr>
            </w:pPr>
            <w:r>
              <w:rPr>
                <w:rFonts w:hint="default" w:ascii="Times New Roman" w:hAnsi="Times New Roman" w:cs="Times New Roman"/>
                <w:color w:val="auto"/>
              </w:rPr>
              <w:t>不锈钢膜盒压力表</w:t>
            </w:r>
          </w:p>
        </w:tc>
        <w:tc>
          <w:tcPr>
            <w:tcW w:w="2183" w:type="pct"/>
            <w:tcBorders>
              <w:tl2br w:val="nil"/>
              <w:tr2bl w:val="nil"/>
            </w:tcBorders>
            <w:vAlign w:val="center"/>
          </w:tcPr>
          <w:p w14:paraId="6AD33421">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6A739D0E">
            <w:pPr>
              <w:pStyle w:val="31"/>
              <w:bidi w:val="0"/>
              <w:rPr>
                <w:rFonts w:hint="default" w:ascii="Times New Roman" w:hAnsi="Times New Roman" w:cs="Times New Roman"/>
                <w:color w:val="auto"/>
              </w:rPr>
            </w:pPr>
            <w:r>
              <w:rPr>
                <w:rFonts w:hint="default" w:ascii="Times New Roman" w:hAnsi="Times New Roman" w:cs="Times New Roman"/>
                <w:color w:val="auto"/>
              </w:rPr>
              <w:t>3块</w:t>
            </w:r>
          </w:p>
        </w:tc>
      </w:tr>
      <w:tr w14:paraId="1A72D1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475" w:type="pct"/>
            <w:tcBorders>
              <w:tl2br w:val="nil"/>
              <w:tr2bl w:val="nil"/>
            </w:tcBorders>
            <w:vAlign w:val="center"/>
          </w:tcPr>
          <w:p w14:paraId="10F150DB">
            <w:pPr>
              <w:pStyle w:val="31"/>
              <w:bidi w:val="0"/>
              <w:rPr>
                <w:rFonts w:hint="default" w:ascii="Times New Roman" w:hAnsi="Times New Roman" w:cs="Times New Roman"/>
                <w:color w:val="auto"/>
              </w:rPr>
            </w:pPr>
            <w:r>
              <w:rPr>
                <w:rFonts w:hint="default" w:ascii="Times New Roman" w:hAnsi="Times New Roman" w:cs="Times New Roman"/>
                <w:color w:val="auto"/>
              </w:rPr>
              <w:t>3</w:t>
            </w:r>
          </w:p>
        </w:tc>
        <w:tc>
          <w:tcPr>
            <w:tcW w:w="1562" w:type="pct"/>
            <w:tcBorders>
              <w:tl2br w:val="nil"/>
              <w:tr2bl w:val="nil"/>
            </w:tcBorders>
            <w:vAlign w:val="center"/>
          </w:tcPr>
          <w:p w14:paraId="3D01502B">
            <w:pPr>
              <w:pStyle w:val="31"/>
              <w:bidi w:val="0"/>
              <w:rPr>
                <w:rFonts w:hint="default" w:ascii="Times New Roman" w:hAnsi="Times New Roman" w:cs="Times New Roman"/>
                <w:color w:val="auto"/>
              </w:rPr>
            </w:pPr>
            <w:r>
              <w:rPr>
                <w:rFonts w:hint="default" w:ascii="Times New Roman" w:hAnsi="Times New Roman" w:cs="Times New Roman"/>
                <w:color w:val="auto"/>
              </w:rPr>
              <w:t>智能差压变送器</w:t>
            </w:r>
          </w:p>
        </w:tc>
        <w:tc>
          <w:tcPr>
            <w:tcW w:w="2183" w:type="pct"/>
            <w:tcBorders>
              <w:tl2br w:val="nil"/>
              <w:tr2bl w:val="nil"/>
            </w:tcBorders>
            <w:vAlign w:val="center"/>
          </w:tcPr>
          <w:p w14:paraId="641DD2B1">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5272C7C0">
            <w:pPr>
              <w:pStyle w:val="31"/>
              <w:bidi w:val="0"/>
              <w:rPr>
                <w:rFonts w:hint="default" w:ascii="Times New Roman" w:hAnsi="Times New Roman" w:cs="Times New Roman"/>
                <w:color w:val="auto"/>
              </w:rPr>
            </w:pPr>
            <w:r>
              <w:rPr>
                <w:rFonts w:hint="default" w:ascii="Times New Roman" w:hAnsi="Times New Roman" w:cs="Times New Roman"/>
                <w:color w:val="auto"/>
              </w:rPr>
              <w:t>9台</w:t>
            </w:r>
          </w:p>
        </w:tc>
      </w:tr>
      <w:tr w14:paraId="05A0D7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tcBorders>
              <w:tl2br w:val="nil"/>
              <w:tr2bl w:val="nil"/>
            </w:tcBorders>
            <w:vAlign w:val="center"/>
          </w:tcPr>
          <w:p w14:paraId="0221DE5C">
            <w:pPr>
              <w:pStyle w:val="31"/>
              <w:bidi w:val="0"/>
              <w:rPr>
                <w:rFonts w:hint="default" w:ascii="Times New Roman" w:hAnsi="Times New Roman" w:cs="Times New Roman"/>
                <w:color w:val="auto"/>
              </w:rPr>
            </w:pPr>
            <w:r>
              <w:rPr>
                <w:rFonts w:hint="default" w:ascii="Times New Roman" w:hAnsi="Times New Roman" w:cs="Times New Roman"/>
                <w:color w:val="auto"/>
              </w:rPr>
              <w:t>4</w:t>
            </w:r>
          </w:p>
        </w:tc>
        <w:tc>
          <w:tcPr>
            <w:tcW w:w="1562" w:type="pct"/>
            <w:tcBorders>
              <w:tl2br w:val="nil"/>
              <w:tr2bl w:val="nil"/>
            </w:tcBorders>
            <w:vAlign w:val="center"/>
          </w:tcPr>
          <w:p w14:paraId="06E88D24">
            <w:pPr>
              <w:pStyle w:val="31"/>
              <w:bidi w:val="0"/>
              <w:rPr>
                <w:rFonts w:hint="default" w:ascii="Times New Roman" w:hAnsi="Times New Roman" w:cs="Times New Roman"/>
                <w:color w:val="auto"/>
              </w:rPr>
            </w:pPr>
            <w:r>
              <w:rPr>
                <w:rFonts w:hint="default" w:ascii="Times New Roman" w:hAnsi="Times New Roman" w:cs="Times New Roman"/>
                <w:color w:val="auto"/>
              </w:rPr>
              <w:t>智能压力变送器</w:t>
            </w:r>
          </w:p>
        </w:tc>
        <w:tc>
          <w:tcPr>
            <w:tcW w:w="2183" w:type="pct"/>
            <w:tcBorders>
              <w:tl2br w:val="nil"/>
              <w:tr2bl w:val="nil"/>
            </w:tcBorders>
            <w:vAlign w:val="center"/>
          </w:tcPr>
          <w:p w14:paraId="34BDD953">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0C8E3034">
            <w:pPr>
              <w:pStyle w:val="31"/>
              <w:bidi w:val="0"/>
              <w:rPr>
                <w:rFonts w:hint="default" w:ascii="Times New Roman" w:hAnsi="Times New Roman" w:cs="Times New Roman"/>
                <w:color w:val="auto"/>
              </w:rPr>
            </w:pPr>
            <w:r>
              <w:rPr>
                <w:rFonts w:hint="default" w:ascii="Times New Roman" w:hAnsi="Times New Roman" w:cs="Times New Roman"/>
                <w:color w:val="auto"/>
              </w:rPr>
              <w:t>2台</w:t>
            </w:r>
          </w:p>
        </w:tc>
      </w:tr>
      <w:tr w14:paraId="118367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475" w:type="pct"/>
            <w:tcBorders>
              <w:tl2br w:val="nil"/>
              <w:tr2bl w:val="nil"/>
            </w:tcBorders>
            <w:vAlign w:val="center"/>
          </w:tcPr>
          <w:p w14:paraId="30CD3791">
            <w:pPr>
              <w:pStyle w:val="31"/>
              <w:bidi w:val="0"/>
              <w:rPr>
                <w:rFonts w:hint="default" w:ascii="Times New Roman" w:hAnsi="Times New Roman" w:cs="Times New Roman"/>
                <w:color w:val="auto"/>
              </w:rPr>
            </w:pPr>
            <w:r>
              <w:rPr>
                <w:rFonts w:hint="default" w:ascii="Times New Roman" w:hAnsi="Times New Roman" w:cs="Times New Roman"/>
                <w:color w:val="auto"/>
              </w:rPr>
              <w:t>5</w:t>
            </w:r>
          </w:p>
        </w:tc>
        <w:tc>
          <w:tcPr>
            <w:tcW w:w="1562" w:type="pct"/>
            <w:tcBorders>
              <w:tl2br w:val="nil"/>
              <w:tr2bl w:val="nil"/>
            </w:tcBorders>
            <w:vAlign w:val="center"/>
          </w:tcPr>
          <w:p w14:paraId="0D213F26">
            <w:pPr>
              <w:pStyle w:val="31"/>
              <w:bidi w:val="0"/>
              <w:rPr>
                <w:rFonts w:hint="default" w:ascii="Times New Roman" w:hAnsi="Times New Roman" w:cs="Times New Roman"/>
                <w:color w:val="auto"/>
              </w:rPr>
            </w:pPr>
            <w:r>
              <w:rPr>
                <w:rFonts w:hint="default" w:ascii="Times New Roman" w:hAnsi="Times New Roman" w:cs="Times New Roman"/>
                <w:color w:val="auto"/>
              </w:rPr>
              <w:t>电磁流量计</w:t>
            </w:r>
          </w:p>
        </w:tc>
        <w:tc>
          <w:tcPr>
            <w:tcW w:w="2183" w:type="pct"/>
            <w:tcBorders>
              <w:tl2br w:val="nil"/>
              <w:tr2bl w:val="nil"/>
            </w:tcBorders>
            <w:vAlign w:val="center"/>
          </w:tcPr>
          <w:p w14:paraId="679DC650">
            <w:pPr>
              <w:pStyle w:val="31"/>
              <w:bidi w:val="0"/>
              <w:rPr>
                <w:rFonts w:hint="default" w:ascii="Times New Roman" w:hAnsi="Times New Roman" w:cs="Times New Roman"/>
                <w:color w:val="auto"/>
              </w:rPr>
            </w:pPr>
            <w:r>
              <w:rPr>
                <w:rFonts w:hint="default" w:ascii="Times New Roman" w:hAnsi="Times New Roman" w:cs="Times New Roman"/>
                <w:color w:val="auto"/>
              </w:rPr>
              <w:t>DN200</w:t>
            </w:r>
          </w:p>
        </w:tc>
        <w:tc>
          <w:tcPr>
            <w:tcW w:w="777" w:type="pct"/>
            <w:tcBorders>
              <w:tl2br w:val="nil"/>
              <w:tr2bl w:val="nil"/>
            </w:tcBorders>
            <w:vAlign w:val="center"/>
          </w:tcPr>
          <w:p w14:paraId="5B30E4B8">
            <w:pPr>
              <w:pStyle w:val="31"/>
              <w:bidi w:val="0"/>
              <w:rPr>
                <w:rFonts w:hint="default" w:ascii="Times New Roman" w:hAnsi="Times New Roman" w:cs="Times New Roman"/>
                <w:color w:val="auto"/>
              </w:rPr>
            </w:pPr>
            <w:r>
              <w:rPr>
                <w:rFonts w:hint="default" w:ascii="Times New Roman" w:hAnsi="Times New Roman" w:cs="Times New Roman"/>
                <w:color w:val="auto"/>
              </w:rPr>
              <w:t>2台</w:t>
            </w:r>
          </w:p>
        </w:tc>
      </w:tr>
      <w:tr w14:paraId="5CD34D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restart"/>
            <w:tcBorders>
              <w:tl2br w:val="nil"/>
              <w:tr2bl w:val="nil"/>
            </w:tcBorders>
            <w:vAlign w:val="center"/>
          </w:tcPr>
          <w:p w14:paraId="14299DA7">
            <w:pPr>
              <w:pStyle w:val="31"/>
              <w:bidi w:val="0"/>
              <w:rPr>
                <w:rFonts w:hint="default" w:ascii="Times New Roman" w:hAnsi="Times New Roman" w:cs="Times New Roman"/>
                <w:color w:val="auto"/>
              </w:rPr>
            </w:pPr>
            <w:r>
              <w:rPr>
                <w:rFonts w:hint="default" w:ascii="Times New Roman" w:hAnsi="Times New Roman" w:cs="Times New Roman"/>
                <w:color w:val="auto"/>
              </w:rPr>
              <w:t>6</w:t>
            </w:r>
          </w:p>
        </w:tc>
        <w:tc>
          <w:tcPr>
            <w:tcW w:w="1562" w:type="pct"/>
            <w:vMerge w:val="restart"/>
            <w:tcBorders>
              <w:tl2br w:val="nil"/>
              <w:tr2bl w:val="nil"/>
            </w:tcBorders>
            <w:vAlign w:val="center"/>
          </w:tcPr>
          <w:p w14:paraId="22CE6960">
            <w:pPr>
              <w:pStyle w:val="31"/>
              <w:bidi w:val="0"/>
              <w:rPr>
                <w:rFonts w:hint="default" w:ascii="Times New Roman" w:hAnsi="Times New Roman" w:cs="Times New Roman"/>
                <w:color w:val="auto"/>
              </w:rPr>
            </w:pPr>
            <w:r>
              <w:rPr>
                <w:rFonts w:hint="default" w:ascii="Times New Roman" w:hAnsi="Times New Roman" w:cs="Times New Roman"/>
                <w:color w:val="auto"/>
              </w:rPr>
              <w:t>涡街流量计</w:t>
            </w:r>
          </w:p>
        </w:tc>
        <w:tc>
          <w:tcPr>
            <w:tcW w:w="2183" w:type="pct"/>
            <w:tcBorders>
              <w:tl2br w:val="nil"/>
              <w:tr2bl w:val="nil"/>
            </w:tcBorders>
            <w:vAlign w:val="center"/>
          </w:tcPr>
          <w:p w14:paraId="3EF7159D">
            <w:pPr>
              <w:pStyle w:val="31"/>
              <w:bidi w:val="0"/>
              <w:rPr>
                <w:rFonts w:hint="default" w:ascii="Times New Roman" w:hAnsi="Times New Roman" w:cs="Times New Roman"/>
                <w:color w:val="auto"/>
              </w:rPr>
            </w:pPr>
            <w:r>
              <w:rPr>
                <w:rFonts w:hint="default" w:ascii="Times New Roman" w:hAnsi="Times New Roman" w:cs="Times New Roman"/>
                <w:color w:val="auto"/>
              </w:rPr>
              <w:t>DN150</w:t>
            </w:r>
          </w:p>
        </w:tc>
        <w:tc>
          <w:tcPr>
            <w:tcW w:w="777" w:type="pct"/>
            <w:tcBorders>
              <w:tl2br w:val="nil"/>
              <w:tr2bl w:val="nil"/>
            </w:tcBorders>
            <w:vAlign w:val="center"/>
          </w:tcPr>
          <w:p w14:paraId="29090723">
            <w:pPr>
              <w:pStyle w:val="31"/>
              <w:bidi w:val="0"/>
              <w:rPr>
                <w:rFonts w:hint="default" w:ascii="Times New Roman" w:hAnsi="Times New Roman" w:cs="Times New Roman"/>
                <w:color w:val="auto"/>
              </w:rPr>
            </w:pPr>
            <w:r>
              <w:rPr>
                <w:rFonts w:hint="default" w:ascii="Times New Roman" w:hAnsi="Times New Roman" w:cs="Times New Roman"/>
                <w:color w:val="auto"/>
              </w:rPr>
              <w:t>1台</w:t>
            </w:r>
          </w:p>
        </w:tc>
      </w:tr>
      <w:tr w14:paraId="0A3391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continue"/>
            <w:tcBorders>
              <w:tl2br w:val="nil"/>
              <w:tr2bl w:val="nil"/>
            </w:tcBorders>
            <w:vAlign w:val="center"/>
          </w:tcPr>
          <w:p w14:paraId="77B7172B">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0DB664B6">
            <w:pPr>
              <w:pStyle w:val="31"/>
              <w:bidi w:val="0"/>
              <w:rPr>
                <w:rFonts w:hint="default" w:ascii="Times New Roman" w:hAnsi="Times New Roman" w:cs="Times New Roman"/>
                <w:color w:val="auto"/>
              </w:rPr>
            </w:pPr>
          </w:p>
        </w:tc>
        <w:tc>
          <w:tcPr>
            <w:tcW w:w="2183" w:type="pct"/>
            <w:tcBorders>
              <w:tl2br w:val="nil"/>
              <w:tr2bl w:val="nil"/>
            </w:tcBorders>
            <w:vAlign w:val="center"/>
          </w:tcPr>
          <w:p w14:paraId="70590719">
            <w:pPr>
              <w:pStyle w:val="31"/>
              <w:bidi w:val="0"/>
              <w:rPr>
                <w:rFonts w:hint="default" w:ascii="Times New Roman" w:hAnsi="Times New Roman" w:cs="Times New Roman"/>
                <w:color w:val="auto"/>
              </w:rPr>
            </w:pPr>
            <w:r>
              <w:rPr>
                <w:rFonts w:hint="default" w:ascii="Times New Roman" w:hAnsi="Times New Roman" w:cs="Times New Roman"/>
                <w:color w:val="auto"/>
              </w:rPr>
              <w:t>DN200</w:t>
            </w:r>
          </w:p>
        </w:tc>
        <w:tc>
          <w:tcPr>
            <w:tcW w:w="777" w:type="pct"/>
            <w:tcBorders>
              <w:tl2br w:val="nil"/>
              <w:tr2bl w:val="nil"/>
            </w:tcBorders>
            <w:vAlign w:val="center"/>
          </w:tcPr>
          <w:p w14:paraId="28288D54">
            <w:pPr>
              <w:pStyle w:val="31"/>
              <w:bidi w:val="0"/>
              <w:rPr>
                <w:rFonts w:hint="default" w:ascii="Times New Roman" w:hAnsi="Times New Roman" w:cs="Times New Roman"/>
                <w:color w:val="auto"/>
              </w:rPr>
            </w:pPr>
            <w:r>
              <w:rPr>
                <w:rFonts w:hint="default" w:ascii="Times New Roman" w:hAnsi="Times New Roman" w:cs="Times New Roman"/>
                <w:color w:val="auto"/>
              </w:rPr>
              <w:t>3台</w:t>
            </w:r>
          </w:p>
        </w:tc>
      </w:tr>
      <w:tr w14:paraId="40538A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475" w:type="pct"/>
            <w:tcBorders>
              <w:tl2br w:val="nil"/>
              <w:tr2bl w:val="nil"/>
            </w:tcBorders>
            <w:vAlign w:val="center"/>
          </w:tcPr>
          <w:p w14:paraId="68938AF7">
            <w:pPr>
              <w:pStyle w:val="31"/>
              <w:bidi w:val="0"/>
              <w:rPr>
                <w:rFonts w:hint="default" w:ascii="Times New Roman" w:hAnsi="Times New Roman" w:cs="Times New Roman"/>
                <w:color w:val="auto"/>
              </w:rPr>
            </w:pPr>
            <w:r>
              <w:rPr>
                <w:rFonts w:hint="default" w:ascii="Times New Roman" w:hAnsi="Times New Roman" w:cs="Times New Roman"/>
                <w:color w:val="auto"/>
              </w:rPr>
              <w:t>7</w:t>
            </w:r>
          </w:p>
        </w:tc>
        <w:tc>
          <w:tcPr>
            <w:tcW w:w="1562" w:type="pct"/>
            <w:tcBorders>
              <w:tl2br w:val="nil"/>
              <w:tr2bl w:val="nil"/>
            </w:tcBorders>
            <w:vAlign w:val="center"/>
          </w:tcPr>
          <w:p w14:paraId="02239FE5">
            <w:pPr>
              <w:pStyle w:val="31"/>
              <w:bidi w:val="0"/>
              <w:rPr>
                <w:rFonts w:hint="default" w:ascii="Times New Roman" w:hAnsi="Times New Roman" w:cs="Times New Roman"/>
                <w:color w:val="auto"/>
              </w:rPr>
            </w:pPr>
            <w:r>
              <w:rPr>
                <w:rFonts w:hint="default" w:ascii="Times New Roman" w:hAnsi="Times New Roman" w:cs="Times New Roman"/>
                <w:color w:val="auto"/>
              </w:rPr>
              <w:t>可燃气体检测器</w:t>
            </w:r>
          </w:p>
        </w:tc>
        <w:tc>
          <w:tcPr>
            <w:tcW w:w="2183" w:type="pct"/>
            <w:tcBorders>
              <w:tl2br w:val="nil"/>
              <w:tr2bl w:val="nil"/>
            </w:tcBorders>
            <w:vAlign w:val="center"/>
          </w:tcPr>
          <w:p w14:paraId="5AF34293">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6108C99F">
            <w:pPr>
              <w:pStyle w:val="31"/>
              <w:bidi w:val="0"/>
              <w:rPr>
                <w:rFonts w:hint="default" w:ascii="Times New Roman" w:hAnsi="Times New Roman" w:cs="Times New Roman"/>
                <w:color w:val="auto"/>
              </w:rPr>
            </w:pPr>
            <w:r>
              <w:rPr>
                <w:rFonts w:hint="default" w:ascii="Times New Roman" w:hAnsi="Times New Roman" w:cs="Times New Roman"/>
                <w:color w:val="auto"/>
              </w:rPr>
              <w:t>6台</w:t>
            </w:r>
          </w:p>
        </w:tc>
      </w:tr>
      <w:tr w14:paraId="101388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475" w:type="pct"/>
            <w:vMerge w:val="restart"/>
            <w:tcBorders>
              <w:tl2br w:val="nil"/>
              <w:tr2bl w:val="nil"/>
            </w:tcBorders>
            <w:vAlign w:val="center"/>
          </w:tcPr>
          <w:p w14:paraId="08A0B5B7">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8</w:t>
            </w:r>
          </w:p>
        </w:tc>
        <w:tc>
          <w:tcPr>
            <w:tcW w:w="1562" w:type="pct"/>
            <w:vMerge w:val="restart"/>
            <w:tcBorders>
              <w:tl2br w:val="nil"/>
              <w:tr2bl w:val="nil"/>
            </w:tcBorders>
            <w:vAlign w:val="center"/>
          </w:tcPr>
          <w:p w14:paraId="7E333907">
            <w:pPr>
              <w:pStyle w:val="31"/>
              <w:bidi w:val="0"/>
              <w:rPr>
                <w:rFonts w:hint="default" w:ascii="Times New Roman" w:hAnsi="Times New Roman" w:cs="Times New Roman"/>
                <w:color w:val="auto"/>
              </w:rPr>
            </w:pPr>
            <w:r>
              <w:rPr>
                <w:rFonts w:hint="default" w:ascii="Times New Roman" w:hAnsi="Times New Roman" w:cs="Times New Roman"/>
                <w:color w:val="auto"/>
              </w:rPr>
              <w:t>调节阀</w:t>
            </w:r>
          </w:p>
        </w:tc>
        <w:tc>
          <w:tcPr>
            <w:tcW w:w="2183" w:type="pct"/>
            <w:tcBorders>
              <w:tl2br w:val="nil"/>
              <w:tr2bl w:val="nil"/>
            </w:tcBorders>
            <w:vAlign w:val="center"/>
          </w:tcPr>
          <w:p w14:paraId="44F3CA90">
            <w:pPr>
              <w:pStyle w:val="31"/>
              <w:bidi w:val="0"/>
              <w:rPr>
                <w:rFonts w:hint="default" w:ascii="Times New Roman" w:hAnsi="Times New Roman" w:cs="Times New Roman"/>
                <w:color w:val="auto"/>
              </w:rPr>
            </w:pPr>
            <w:r>
              <w:rPr>
                <w:rFonts w:hint="default" w:ascii="Times New Roman" w:hAnsi="Times New Roman" w:cs="Times New Roman"/>
                <w:color w:val="auto"/>
              </w:rPr>
              <w:t>DN150  阀体材质：碳钢</w:t>
            </w:r>
          </w:p>
        </w:tc>
        <w:tc>
          <w:tcPr>
            <w:tcW w:w="777" w:type="pct"/>
            <w:tcBorders>
              <w:tl2br w:val="nil"/>
              <w:tr2bl w:val="nil"/>
            </w:tcBorders>
            <w:vAlign w:val="center"/>
          </w:tcPr>
          <w:p w14:paraId="7D585C00">
            <w:pPr>
              <w:pStyle w:val="31"/>
              <w:bidi w:val="0"/>
              <w:rPr>
                <w:rFonts w:hint="default" w:ascii="Times New Roman" w:hAnsi="Times New Roman" w:cs="Times New Roman"/>
                <w:color w:val="auto"/>
              </w:rPr>
            </w:pPr>
            <w:r>
              <w:rPr>
                <w:rFonts w:hint="default" w:ascii="Times New Roman" w:hAnsi="Times New Roman" w:cs="Times New Roman"/>
                <w:color w:val="auto"/>
              </w:rPr>
              <w:t>1台</w:t>
            </w:r>
          </w:p>
        </w:tc>
      </w:tr>
      <w:tr w14:paraId="701041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continue"/>
            <w:tcBorders>
              <w:tl2br w:val="nil"/>
              <w:tr2bl w:val="nil"/>
            </w:tcBorders>
            <w:vAlign w:val="center"/>
          </w:tcPr>
          <w:p w14:paraId="7685B54E">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3D29B6F5">
            <w:pPr>
              <w:pStyle w:val="31"/>
              <w:bidi w:val="0"/>
              <w:rPr>
                <w:rFonts w:hint="default" w:ascii="Times New Roman" w:hAnsi="Times New Roman" w:cs="Times New Roman"/>
                <w:color w:val="auto"/>
              </w:rPr>
            </w:pPr>
          </w:p>
        </w:tc>
        <w:tc>
          <w:tcPr>
            <w:tcW w:w="2183" w:type="pct"/>
            <w:tcBorders>
              <w:tl2br w:val="nil"/>
              <w:tr2bl w:val="nil"/>
            </w:tcBorders>
            <w:vAlign w:val="center"/>
          </w:tcPr>
          <w:p w14:paraId="512FD43A">
            <w:pPr>
              <w:pStyle w:val="31"/>
              <w:bidi w:val="0"/>
              <w:rPr>
                <w:rFonts w:hint="default" w:ascii="Times New Roman" w:hAnsi="Times New Roman" w:cs="Times New Roman"/>
                <w:color w:val="auto"/>
              </w:rPr>
            </w:pPr>
            <w:r>
              <w:rPr>
                <w:rFonts w:hint="default" w:ascii="Times New Roman" w:hAnsi="Times New Roman" w:cs="Times New Roman"/>
                <w:color w:val="auto"/>
              </w:rPr>
              <w:t>DN200  阀体材质：碳钢</w:t>
            </w:r>
          </w:p>
        </w:tc>
        <w:tc>
          <w:tcPr>
            <w:tcW w:w="777" w:type="pct"/>
            <w:tcBorders>
              <w:tl2br w:val="nil"/>
              <w:tr2bl w:val="nil"/>
            </w:tcBorders>
            <w:vAlign w:val="center"/>
          </w:tcPr>
          <w:p w14:paraId="77E25830">
            <w:pPr>
              <w:pStyle w:val="31"/>
              <w:bidi w:val="0"/>
              <w:rPr>
                <w:rFonts w:hint="default" w:ascii="Times New Roman" w:hAnsi="Times New Roman" w:cs="Times New Roman"/>
                <w:color w:val="auto"/>
              </w:rPr>
            </w:pPr>
            <w:r>
              <w:rPr>
                <w:rFonts w:hint="default" w:ascii="Times New Roman" w:hAnsi="Times New Roman" w:cs="Times New Roman"/>
                <w:color w:val="auto"/>
              </w:rPr>
              <w:t>2台</w:t>
            </w:r>
          </w:p>
        </w:tc>
      </w:tr>
      <w:tr w14:paraId="7018CF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restart"/>
            <w:tcBorders>
              <w:tl2br w:val="nil"/>
              <w:tr2bl w:val="nil"/>
            </w:tcBorders>
            <w:vAlign w:val="center"/>
          </w:tcPr>
          <w:p w14:paraId="44BEEA95">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9</w:t>
            </w:r>
          </w:p>
        </w:tc>
        <w:tc>
          <w:tcPr>
            <w:tcW w:w="1562" w:type="pct"/>
            <w:vMerge w:val="restart"/>
            <w:tcBorders>
              <w:tl2br w:val="nil"/>
              <w:tr2bl w:val="nil"/>
            </w:tcBorders>
            <w:vAlign w:val="center"/>
          </w:tcPr>
          <w:p w14:paraId="7E3AF59C">
            <w:pPr>
              <w:pStyle w:val="31"/>
              <w:bidi w:val="0"/>
              <w:rPr>
                <w:rFonts w:hint="default" w:ascii="Times New Roman" w:hAnsi="Times New Roman" w:cs="Times New Roman"/>
                <w:color w:val="auto"/>
              </w:rPr>
            </w:pPr>
            <w:r>
              <w:rPr>
                <w:rFonts w:hint="default" w:ascii="Times New Roman" w:hAnsi="Times New Roman" w:cs="Times New Roman"/>
                <w:color w:val="auto"/>
              </w:rPr>
              <w:t>气动切断闸阀</w:t>
            </w:r>
          </w:p>
          <w:p w14:paraId="27045FD8">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rPr>
              <w:t>配电磁阀及回讯</w:t>
            </w:r>
            <w:r>
              <w:rPr>
                <w:rFonts w:hint="default" w:ascii="Times New Roman" w:hAnsi="Times New Roman" w:cs="Times New Roman"/>
                <w:color w:val="auto"/>
                <w:lang w:eastAsia="zh-CN"/>
              </w:rPr>
              <w:t>）</w:t>
            </w:r>
          </w:p>
        </w:tc>
        <w:tc>
          <w:tcPr>
            <w:tcW w:w="2183" w:type="pct"/>
            <w:tcBorders>
              <w:tl2br w:val="nil"/>
              <w:tr2bl w:val="nil"/>
            </w:tcBorders>
            <w:vAlign w:val="center"/>
          </w:tcPr>
          <w:p w14:paraId="21F3C828">
            <w:pPr>
              <w:pStyle w:val="31"/>
              <w:bidi w:val="0"/>
              <w:rPr>
                <w:rFonts w:hint="default" w:ascii="Times New Roman" w:hAnsi="Times New Roman" w:cs="Times New Roman"/>
                <w:color w:val="auto"/>
              </w:rPr>
            </w:pPr>
            <w:r>
              <w:rPr>
                <w:rFonts w:hint="default" w:ascii="Times New Roman" w:hAnsi="Times New Roman" w:cs="Times New Roman"/>
                <w:color w:val="auto"/>
              </w:rPr>
              <w:t>DN150  阀体材质：碳钢</w:t>
            </w:r>
          </w:p>
        </w:tc>
        <w:tc>
          <w:tcPr>
            <w:tcW w:w="777" w:type="pct"/>
            <w:tcBorders>
              <w:tl2br w:val="nil"/>
              <w:tr2bl w:val="nil"/>
            </w:tcBorders>
            <w:vAlign w:val="center"/>
          </w:tcPr>
          <w:p w14:paraId="09257739">
            <w:pPr>
              <w:pStyle w:val="31"/>
              <w:bidi w:val="0"/>
              <w:rPr>
                <w:rFonts w:hint="default" w:ascii="Times New Roman" w:hAnsi="Times New Roman" w:cs="Times New Roman"/>
                <w:color w:val="auto"/>
              </w:rPr>
            </w:pPr>
            <w:r>
              <w:rPr>
                <w:rFonts w:hint="default" w:ascii="Times New Roman" w:hAnsi="Times New Roman" w:cs="Times New Roman"/>
                <w:color w:val="auto"/>
              </w:rPr>
              <w:t>2台</w:t>
            </w:r>
          </w:p>
        </w:tc>
      </w:tr>
      <w:tr w14:paraId="7715EC7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475" w:type="pct"/>
            <w:vMerge w:val="continue"/>
            <w:tcBorders>
              <w:tl2br w:val="nil"/>
              <w:tr2bl w:val="nil"/>
            </w:tcBorders>
            <w:vAlign w:val="center"/>
          </w:tcPr>
          <w:p w14:paraId="7EDB37C3">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0FBC386B">
            <w:pPr>
              <w:pStyle w:val="31"/>
              <w:bidi w:val="0"/>
              <w:rPr>
                <w:rFonts w:hint="default" w:ascii="Times New Roman" w:hAnsi="Times New Roman" w:cs="Times New Roman"/>
                <w:color w:val="auto"/>
              </w:rPr>
            </w:pPr>
          </w:p>
        </w:tc>
        <w:tc>
          <w:tcPr>
            <w:tcW w:w="2183" w:type="pct"/>
            <w:tcBorders>
              <w:tl2br w:val="nil"/>
              <w:tr2bl w:val="nil"/>
            </w:tcBorders>
            <w:vAlign w:val="center"/>
          </w:tcPr>
          <w:p w14:paraId="40740780">
            <w:pPr>
              <w:pStyle w:val="31"/>
              <w:bidi w:val="0"/>
              <w:rPr>
                <w:rFonts w:hint="default" w:ascii="Times New Roman" w:hAnsi="Times New Roman" w:cs="Times New Roman"/>
                <w:color w:val="auto"/>
              </w:rPr>
            </w:pPr>
            <w:r>
              <w:rPr>
                <w:rFonts w:hint="default" w:ascii="Times New Roman" w:hAnsi="Times New Roman" w:cs="Times New Roman"/>
                <w:color w:val="auto"/>
              </w:rPr>
              <w:t>DN200  阀体材质：碳钢</w:t>
            </w:r>
          </w:p>
        </w:tc>
        <w:tc>
          <w:tcPr>
            <w:tcW w:w="777" w:type="pct"/>
            <w:tcBorders>
              <w:tl2br w:val="nil"/>
              <w:tr2bl w:val="nil"/>
            </w:tcBorders>
            <w:vAlign w:val="center"/>
          </w:tcPr>
          <w:p w14:paraId="7E8490C3">
            <w:pPr>
              <w:pStyle w:val="31"/>
              <w:bidi w:val="0"/>
              <w:rPr>
                <w:rFonts w:hint="default" w:ascii="Times New Roman" w:hAnsi="Times New Roman" w:cs="Times New Roman"/>
                <w:color w:val="auto"/>
              </w:rPr>
            </w:pPr>
            <w:r>
              <w:rPr>
                <w:rFonts w:hint="default" w:ascii="Times New Roman" w:hAnsi="Times New Roman" w:cs="Times New Roman"/>
                <w:color w:val="auto"/>
              </w:rPr>
              <w:t>3台</w:t>
            </w:r>
          </w:p>
        </w:tc>
      </w:tr>
      <w:tr w14:paraId="0154C4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restart"/>
            <w:tcBorders>
              <w:tl2br w:val="nil"/>
              <w:tr2bl w:val="nil"/>
            </w:tcBorders>
            <w:vAlign w:val="center"/>
          </w:tcPr>
          <w:p w14:paraId="08E006E6">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rPr>
              <w:t>1</w:t>
            </w:r>
            <w:r>
              <w:rPr>
                <w:rFonts w:hint="default" w:ascii="Times New Roman" w:hAnsi="Times New Roman" w:cs="Times New Roman"/>
                <w:color w:val="auto"/>
                <w:lang w:val="en-US" w:eastAsia="zh-CN"/>
              </w:rPr>
              <w:t>0</w:t>
            </w:r>
          </w:p>
        </w:tc>
        <w:tc>
          <w:tcPr>
            <w:tcW w:w="1562" w:type="pct"/>
            <w:vMerge w:val="restart"/>
            <w:tcBorders>
              <w:tl2br w:val="nil"/>
              <w:tr2bl w:val="nil"/>
            </w:tcBorders>
            <w:vAlign w:val="center"/>
          </w:tcPr>
          <w:p w14:paraId="17EA8737">
            <w:pPr>
              <w:pStyle w:val="31"/>
              <w:bidi w:val="0"/>
              <w:rPr>
                <w:rFonts w:hint="default" w:ascii="Times New Roman" w:hAnsi="Times New Roman" w:cs="Times New Roman"/>
                <w:color w:val="auto"/>
              </w:rPr>
            </w:pPr>
            <w:r>
              <w:rPr>
                <w:rFonts w:hint="default" w:ascii="Times New Roman" w:hAnsi="Times New Roman" w:cs="Times New Roman"/>
                <w:color w:val="auto"/>
              </w:rPr>
              <w:t>计算机电缆</w:t>
            </w:r>
          </w:p>
        </w:tc>
        <w:tc>
          <w:tcPr>
            <w:tcW w:w="2183" w:type="pct"/>
            <w:tcBorders>
              <w:tl2br w:val="nil"/>
              <w:tr2bl w:val="nil"/>
            </w:tcBorders>
            <w:vAlign w:val="center"/>
          </w:tcPr>
          <w:p w14:paraId="298393E9">
            <w:pPr>
              <w:pStyle w:val="31"/>
              <w:bidi w:val="0"/>
              <w:rPr>
                <w:rFonts w:hint="default" w:ascii="Times New Roman" w:hAnsi="Times New Roman" w:cs="Times New Roman"/>
                <w:color w:val="auto"/>
              </w:rPr>
            </w:pPr>
            <w:r>
              <w:rPr>
                <w:rFonts w:hint="default" w:ascii="Times New Roman" w:hAnsi="Times New Roman" w:cs="Times New Roman"/>
                <w:color w:val="auto"/>
              </w:rPr>
              <w:t>2×2.5mm</w:t>
            </w:r>
            <w:r>
              <w:rPr>
                <w:rFonts w:hint="default" w:ascii="Times New Roman" w:hAnsi="Times New Roman" w:cs="Times New Roman"/>
                <w:color w:val="auto"/>
                <w:vertAlign w:val="superscript"/>
              </w:rPr>
              <w:t>2</w:t>
            </w:r>
          </w:p>
        </w:tc>
        <w:tc>
          <w:tcPr>
            <w:tcW w:w="777" w:type="pct"/>
            <w:tcBorders>
              <w:tl2br w:val="nil"/>
              <w:tr2bl w:val="nil"/>
            </w:tcBorders>
            <w:vAlign w:val="center"/>
          </w:tcPr>
          <w:p w14:paraId="4185971D">
            <w:pPr>
              <w:pStyle w:val="31"/>
              <w:bidi w:val="0"/>
              <w:rPr>
                <w:rFonts w:hint="default" w:ascii="Times New Roman" w:hAnsi="Times New Roman" w:cs="Times New Roman"/>
                <w:color w:val="auto"/>
              </w:rPr>
            </w:pPr>
            <w:r>
              <w:rPr>
                <w:rFonts w:hint="default" w:ascii="Times New Roman" w:hAnsi="Times New Roman" w:cs="Times New Roman"/>
                <w:color w:val="auto"/>
              </w:rPr>
              <w:t>2000米</w:t>
            </w:r>
          </w:p>
        </w:tc>
      </w:tr>
      <w:tr w14:paraId="44C8DDB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continue"/>
            <w:tcBorders>
              <w:tl2br w:val="nil"/>
              <w:tr2bl w:val="nil"/>
            </w:tcBorders>
            <w:vAlign w:val="center"/>
          </w:tcPr>
          <w:p w14:paraId="508805F1">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6AF6A5CF">
            <w:pPr>
              <w:pStyle w:val="31"/>
              <w:bidi w:val="0"/>
              <w:rPr>
                <w:rFonts w:hint="default" w:ascii="Times New Roman" w:hAnsi="Times New Roman" w:cs="Times New Roman"/>
                <w:color w:val="auto"/>
              </w:rPr>
            </w:pPr>
          </w:p>
        </w:tc>
        <w:tc>
          <w:tcPr>
            <w:tcW w:w="2183" w:type="pct"/>
            <w:tcBorders>
              <w:tl2br w:val="nil"/>
              <w:tr2bl w:val="nil"/>
            </w:tcBorders>
            <w:vAlign w:val="center"/>
          </w:tcPr>
          <w:p w14:paraId="3F490F08">
            <w:pPr>
              <w:pStyle w:val="31"/>
              <w:bidi w:val="0"/>
              <w:rPr>
                <w:rFonts w:hint="default" w:ascii="Times New Roman" w:hAnsi="Times New Roman" w:cs="Times New Roman"/>
                <w:color w:val="auto"/>
              </w:rPr>
            </w:pPr>
            <w:r>
              <w:rPr>
                <w:rFonts w:hint="default" w:ascii="Times New Roman" w:hAnsi="Times New Roman" w:cs="Times New Roman"/>
                <w:color w:val="auto"/>
              </w:rPr>
              <w:t>2×1.5mm</w:t>
            </w:r>
            <w:r>
              <w:rPr>
                <w:rFonts w:hint="default" w:ascii="Times New Roman" w:hAnsi="Times New Roman" w:cs="Times New Roman"/>
                <w:color w:val="auto"/>
                <w:vertAlign w:val="superscript"/>
              </w:rPr>
              <w:t>2</w:t>
            </w:r>
          </w:p>
        </w:tc>
        <w:tc>
          <w:tcPr>
            <w:tcW w:w="777" w:type="pct"/>
            <w:tcBorders>
              <w:tl2br w:val="nil"/>
              <w:tr2bl w:val="nil"/>
            </w:tcBorders>
            <w:vAlign w:val="center"/>
          </w:tcPr>
          <w:p w14:paraId="7F05FE86">
            <w:pPr>
              <w:pStyle w:val="31"/>
              <w:bidi w:val="0"/>
              <w:rPr>
                <w:rFonts w:hint="default" w:ascii="Times New Roman" w:hAnsi="Times New Roman" w:cs="Times New Roman"/>
                <w:color w:val="auto"/>
              </w:rPr>
            </w:pPr>
            <w:r>
              <w:rPr>
                <w:rFonts w:hint="default" w:ascii="Times New Roman" w:hAnsi="Times New Roman" w:cs="Times New Roman"/>
                <w:color w:val="auto"/>
              </w:rPr>
              <w:t>17000米</w:t>
            </w:r>
          </w:p>
        </w:tc>
      </w:tr>
      <w:tr w14:paraId="31127D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475" w:type="pct"/>
            <w:vMerge w:val="continue"/>
            <w:tcBorders>
              <w:tl2br w:val="nil"/>
              <w:tr2bl w:val="nil"/>
            </w:tcBorders>
            <w:vAlign w:val="center"/>
          </w:tcPr>
          <w:p w14:paraId="67176503">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76519E2D">
            <w:pPr>
              <w:pStyle w:val="31"/>
              <w:bidi w:val="0"/>
              <w:rPr>
                <w:rFonts w:hint="default" w:ascii="Times New Roman" w:hAnsi="Times New Roman" w:cs="Times New Roman"/>
                <w:color w:val="auto"/>
              </w:rPr>
            </w:pPr>
          </w:p>
        </w:tc>
        <w:tc>
          <w:tcPr>
            <w:tcW w:w="2183" w:type="pct"/>
            <w:tcBorders>
              <w:tl2br w:val="nil"/>
              <w:tr2bl w:val="nil"/>
            </w:tcBorders>
            <w:vAlign w:val="center"/>
          </w:tcPr>
          <w:p w14:paraId="1E1BCA8A">
            <w:pPr>
              <w:pStyle w:val="31"/>
              <w:bidi w:val="0"/>
              <w:rPr>
                <w:rFonts w:hint="default" w:ascii="Times New Roman" w:hAnsi="Times New Roman" w:cs="Times New Roman"/>
                <w:color w:val="auto"/>
              </w:rPr>
            </w:pPr>
            <w:r>
              <w:rPr>
                <w:rFonts w:hint="default" w:ascii="Times New Roman" w:hAnsi="Times New Roman" w:cs="Times New Roman"/>
                <w:color w:val="auto"/>
              </w:rPr>
              <w:t>3×1.5mm</w:t>
            </w:r>
            <w:r>
              <w:rPr>
                <w:rFonts w:hint="default" w:ascii="Times New Roman" w:hAnsi="Times New Roman" w:cs="Times New Roman"/>
                <w:color w:val="auto"/>
                <w:vertAlign w:val="superscript"/>
              </w:rPr>
              <w:t>2</w:t>
            </w:r>
          </w:p>
        </w:tc>
        <w:tc>
          <w:tcPr>
            <w:tcW w:w="777" w:type="pct"/>
            <w:tcBorders>
              <w:tl2br w:val="nil"/>
              <w:tr2bl w:val="nil"/>
            </w:tcBorders>
            <w:vAlign w:val="center"/>
          </w:tcPr>
          <w:p w14:paraId="31ADF2D4">
            <w:pPr>
              <w:pStyle w:val="31"/>
              <w:bidi w:val="0"/>
              <w:rPr>
                <w:rFonts w:hint="default" w:ascii="Times New Roman" w:hAnsi="Times New Roman" w:cs="Times New Roman"/>
                <w:color w:val="auto"/>
              </w:rPr>
            </w:pPr>
            <w:r>
              <w:rPr>
                <w:rFonts w:hint="default" w:ascii="Times New Roman" w:hAnsi="Times New Roman" w:cs="Times New Roman"/>
                <w:color w:val="auto"/>
              </w:rPr>
              <w:t>3600米</w:t>
            </w:r>
          </w:p>
        </w:tc>
      </w:tr>
      <w:tr w14:paraId="07A24E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vMerge w:val="continue"/>
            <w:tcBorders>
              <w:tl2br w:val="nil"/>
              <w:tr2bl w:val="nil"/>
            </w:tcBorders>
            <w:vAlign w:val="center"/>
          </w:tcPr>
          <w:p w14:paraId="19A264B0">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72CF7D3E">
            <w:pPr>
              <w:pStyle w:val="31"/>
              <w:bidi w:val="0"/>
              <w:rPr>
                <w:rFonts w:hint="default" w:ascii="Times New Roman" w:hAnsi="Times New Roman" w:cs="Times New Roman"/>
                <w:color w:val="auto"/>
              </w:rPr>
            </w:pPr>
          </w:p>
        </w:tc>
        <w:tc>
          <w:tcPr>
            <w:tcW w:w="2183" w:type="pct"/>
            <w:tcBorders>
              <w:tl2br w:val="nil"/>
              <w:tr2bl w:val="nil"/>
            </w:tcBorders>
            <w:vAlign w:val="center"/>
          </w:tcPr>
          <w:p w14:paraId="4DE5C089">
            <w:pPr>
              <w:pStyle w:val="31"/>
              <w:bidi w:val="0"/>
              <w:rPr>
                <w:rFonts w:hint="default" w:ascii="Times New Roman" w:hAnsi="Times New Roman" w:cs="Times New Roman"/>
                <w:color w:val="auto"/>
              </w:rPr>
            </w:pPr>
            <w:r>
              <w:rPr>
                <w:rFonts w:hint="default" w:ascii="Times New Roman" w:hAnsi="Times New Roman" w:cs="Times New Roman"/>
                <w:color w:val="auto"/>
              </w:rPr>
              <w:t>12×2×2.5mm</w:t>
            </w:r>
            <w:r>
              <w:rPr>
                <w:rFonts w:hint="default" w:ascii="Times New Roman" w:hAnsi="Times New Roman" w:cs="Times New Roman"/>
                <w:color w:val="auto"/>
                <w:vertAlign w:val="superscript"/>
              </w:rPr>
              <w:t>2</w:t>
            </w:r>
          </w:p>
        </w:tc>
        <w:tc>
          <w:tcPr>
            <w:tcW w:w="777" w:type="pct"/>
            <w:tcBorders>
              <w:tl2br w:val="nil"/>
              <w:tr2bl w:val="nil"/>
            </w:tcBorders>
            <w:vAlign w:val="center"/>
          </w:tcPr>
          <w:p w14:paraId="70544276">
            <w:pPr>
              <w:pStyle w:val="31"/>
              <w:bidi w:val="0"/>
              <w:rPr>
                <w:rFonts w:hint="default" w:ascii="Times New Roman" w:hAnsi="Times New Roman" w:cs="Times New Roman"/>
                <w:color w:val="auto"/>
              </w:rPr>
            </w:pPr>
            <w:r>
              <w:rPr>
                <w:rFonts w:hint="default" w:ascii="Times New Roman" w:hAnsi="Times New Roman" w:cs="Times New Roman"/>
                <w:color w:val="auto"/>
              </w:rPr>
              <w:t>3000米</w:t>
            </w:r>
          </w:p>
        </w:tc>
      </w:tr>
      <w:tr w14:paraId="5668A1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475" w:type="pct"/>
            <w:vMerge w:val="continue"/>
            <w:tcBorders>
              <w:tl2br w:val="nil"/>
              <w:tr2bl w:val="nil"/>
            </w:tcBorders>
            <w:vAlign w:val="center"/>
          </w:tcPr>
          <w:p w14:paraId="3D37D9C3">
            <w:pPr>
              <w:pStyle w:val="31"/>
              <w:bidi w:val="0"/>
              <w:rPr>
                <w:rFonts w:hint="default" w:ascii="Times New Roman" w:hAnsi="Times New Roman" w:cs="Times New Roman"/>
                <w:color w:val="auto"/>
              </w:rPr>
            </w:pPr>
          </w:p>
        </w:tc>
        <w:tc>
          <w:tcPr>
            <w:tcW w:w="1562" w:type="pct"/>
            <w:vMerge w:val="continue"/>
            <w:tcBorders>
              <w:tl2br w:val="nil"/>
              <w:tr2bl w:val="nil"/>
            </w:tcBorders>
            <w:vAlign w:val="center"/>
          </w:tcPr>
          <w:p w14:paraId="666DD16E">
            <w:pPr>
              <w:pStyle w:val="31"/>
              <w:bidi w:val="0"/>
              <w:rPr>
                <w:rFonts w:hint="default" w:ascii="Times New Roman" w:hAnsi="Times New Roman" w:cs="Times New Roman"/>
                <w:color w:val="auto"/>
              </w:rPr>
            </w:pPr>
          </w:p>
        </w:tc>
        <w:tc>
          <w:tcPr>
            <w:tcW w:w="2183" w:type="pct"/>
            <w:tcBorders>
              <w:tl2br w:val="nil"/>
              <w:tr2bl w:val="nil"/>
            </w:tcBorders>
            <w:vAlign w:val="center"/>
          </w:tcPr>
          <w:p w14:paraId="0F26AC70">
            <w:pPr>
              <w:pStyle w:val="31"/>
              <w:bidi w:val="0"/>
              <w:rPr>
                <w:rFonts w:hint="default" w:ascii="Times New Roman" w:hAnsi="Times New Roman" w:cs="Times New Roman"/>
                <w:color w:val="auto"/>
              </w:rPr>
            </w:pPr>
            <w:r>
              <w:rPr>
                <w:rFonts w:hint="default" w:ascii="Times New Roman" w:hAnsi="Times New Roman" w:cs="Times New Roman"/>
                <w:color w:val="auto"/>
              </w:rPr>
              <w:t>12×2×1.5mm</w:t>
            </w:r>
            <w:r>
              <w:rPr>
                <w:rFonts w:hint="default" w:ascii="Times New Roman" w:hAnsi="Times New Roman" w:cs="Times New Roman"/>
                <w:color w:val="auto"/>
                <w:vertAlign w:val="superscript"/>
              </w:rPr>
              <w:t>2</w:t>
            </w:r>
          </w:p>
        </w:tc>
        <w:tc>
          <w:tcPr>
            <w:tcW w:w="777" w:type="pct"/>
            <w:tcBorders>
              <w:tl2br w:val="nil"/>
              <w:tr2bl w:val="nil"/>
            </w:tcBorders>
            <w:vAlign w:val="center"/>
          </w:tcPr>
          <w:p w14:paraId="78C8A170">
            <w:pPr>
              <w:pStyle w:val="31"/>
              <w:bidi w:val="0"/>
              <w:rPr>
                <w:rFonts w:hint="default" w:ascii="Times New Roman" w:hAnsi="Times New Roman" w:cs="Times New Roman"/>
                <w:color w:val="auto"/>
              </w:rPr>
            </w:pPr>
            <w:r>
              <w:rPr>
                <w:rFonts w:hint="default" w:ascii="Times New Roman" w:hAnsi="Times New Roman" w:cs="Times New Roman"/>
                <w:color w:val="auto"/>
              </w:rPr>
              <w:t>6000米</w:t>
            </w:r>
          </w:p>
        </w:tc>
      </w:tr>
      <w:tr w14:paraId="23D9E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tcBorders>
              <w:tl2br w:val="nil"/>
              <w:tr2bl w:val="nil"/>
            </w:tcBorders>
            <w:vAlign w:val="center"/>
          </w:tcPr>
          <w:p w14:paraId="19684987">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rPr>
              <w:t>1</w:t>
            </w:r>
            <w:r>
              <w:rPr>
                <w:rFonts w:hint="default" w:ascii="Times New Roman" w:hAnsi="Times New Roman" w:cs="Times New Roman"/>
                <w:color w:val="auto"/>
                <w:lang w:val="en-US" w:eastAsia="zh-CN"/>
              </w:rPr>
              <w:t>1</w:t>
            </w:r>
          </w:p>
        </w:tc>
        <w:tc>
          <w:tcPr>
            <w:tcW w:w="1562" w:type="pct"/>
            <w:tcBorders>
              <w:tl2br w:val="nil"/>
              <w:tr2bl w:val="nil"/>
            </w:tcBorders>
            <w:vAlign w:val="center"/>
          </w:tcPr>
          <w:p w14:paraId="56FC2C5E">
            <w:pPr>
              <w:pStyle w:val="31"/>
              <w:bidi w:val="0"/>
              <w:rPr>
                <w:rFonts w:hint="default" w:ascii="Times New Roman" w:hAnsi="Times New Roman" w:cs="Times New Roman"/>
                <w:color w:val="auto"/>
              </w:rPr>
            </w:pPr>
            <w:r>
              <w:rPr>
                <w:rFonts w:hint="default" w:ascii="Times New Roman" w:hAnsi="Times New Roman" w:cs="Times New Roman"/>
                <w:color w:val="auto"/>
              </w:rPr>
              <w:t>镀锌焊接钢管</w:t>
            </w:r>
          </w:p>
        </w:tc>
        <w:tc>
          <w:tcPr>
            <w:tcW w:w="2183" w:type="pct"/>
            <w:tcBorders>
              <w:tl2br w:val="nil"/>
              <w:tr2bl w:val="nil"/>
            </w:tcBorders>
            <w:vAlign w:val="center"/>
          </w:tcPr>
          <w:p w14:paraId="4C791536">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79F11358">
            <w:pPr>
              <w:pStyle w:val="31"/>
              <w:bidi w:val="0"/>
              <w:rPr>
                <w:rFonts w:hint="default" w:ascii="Times New Roman" w:hAnsi="Times New Roman" w:cs="Times New Roman"/>
                <w:color w:val="auto"/>
              </w:rPr>
            </w:pPr>
            <w:r>
              <w:rPr>
                <w:rFonts w:hint="default" w:ascii="Times New Roman" w:hAnsi="Times New Roman" w:cs="Times New Roman"/>
                <w:color w:val="auto"/>
              </w:rPr>
              <w:t>2000米</w:t>
            </w:r>
          </w:p>
        </w:tc>
      </w:tr>
      <w:tr w14:paraId="571480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475" w:type="pct"/>
            <w:tcBorders>
              <w:tl2br w:val="nil"/>
              <w:tr2bl w:val="nil"/>
            </w:tcBorders>
            <w:vAlign w:val="center"/>
          </w:tcPr>
          <w:p w14:paraId="57AB0EF8">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rPr>
              <w:t>1</w:t>
            </w:r>
            <w:r>
              <w:rPr>
                <w:rFonts w:hint="default" w:ascii="Times New Roman" w:hAnsi="Times New Roman" w:cs="Times New Roman"/>
                <w:color w:val="auto"/>
                <w:lang w:val="en-US" w:eastAsia="zh-CN"/>
              </w:rPr>
              <w:t>2</w:t>
            </w:r>
          </w:p>
        </w:tc>
        <w:tc>
          <w:tcPr>
            <w:tcW w:w="1562" w:type="pct"/>
            <w:tcBorders>
              <w:tl2br w:val="nil"/>
              <w:tr2bl w:val="nil"/>
            </w:tcBorders>
            <w:vAlign w:val="center"/>
          </w:tcPr>
          <w:p w14:paraId="29644295">
            <w:pPr>
              <w:pStyle w:val="31"/>
              <w:bidi w:val="0"/>
              <w:rPr>
                <w:rFonts w:hint="default" w:ascii="Times New Roman" w:hAnsi="Times New Roman" w:cs="Times New Roman"/>
                <w:color w:val="auto"/>
              </w:rPr>
            </w:pPr>
            <w:r>
              <w:rPr>
                <w:rFonts w:hint="default" w:ascii="Times New Roman" w:hAnsi="Times New Roman" w:cs="Times New Roman"/>
                <w:color w:val="auto"/>
              </w:rPr>
              <w:t>不锈钢管</w:t>
            </w:r>
          </w:p>
        </w:tc>
        <w:tc>
          <w:tcPr>
            <w:tcW w:w="2183" w:type="pct"/>
            <w:tcBorders>
              <w:tl2br w:val="nil"/>
              <w:tr2bl w:val="nil"/>
            </w:tcBorders>
            <w:vAlign w:val="center"/>
          </w:tcPr>
          <w:p w14:paraId="08134BF4">
            <w:pPr>
              <w:pStyle w:val="31"/>
              <w:bidi w:val="0"/>
              <w:rPr>
                <w:rFonts w:hint="default" w:ascii="Times New Roman" w:hAnsi="Times New Roman" w:cs="Times New Roman"/>
                <w:color w:val="auto"/>
              </w:rPr>
            </w:pPr>
            <w:r>
              <w:rPr>
                <w:rFonts w:hint="default" w:ascii="Times New Roman" w:hAnsi="Times New Roman" w:cs="Times New Roman"/>
                <w:color w:val="auto"/>
              </w:rPr>
              <w:t>φ 12×1.5</w:t>
            </w:r>
          </w:p>
        </w:tc>
        <w:tc>
          <w:tcPr>
            <w:tcW w:w="777" w:type="pct"/>
            <w:tcBorders>
              <w:tl2br w:val="nil"/>
              <w:tr2bl w:val="nil"/>
            </w:tcBorders>
            <w:vAlign w:val="center"/>
          </w:tcPr>
          <w:p w14:paraId="191A7B7E">
            <w:pPr>
              <w:pStyle w:val="31"/>
              <w:bidi w:val="0"/>
              <w:rPr>
                <w:rFonts w:hint="default" w:ascii="Times New Roman" w:hAnsi="Times New Roman" w:cs="Times New Roman"/>
                <w:color w:val="auto"/>
              </w:rPr>
            </w:pPr>
            <w:r>
              <w:rPr>
                <w:rFonts w:hint="default" w:ascii="Times New Roman" w:hAnsi="Times New Roman" w:cs="Times New Roman"/>
                <w:color w:val="auto"/>
              </w:rPr>
              <w:t>60米</w:t>
            </w:r>
          </w:p>
        </w:tc>
      </w:tr>
      <w:tr w14:paraId="2629B1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1C73F7F9">
            <w:pPr>
              <w:pStyle w:val="31"/>
              <w:bidi w:val="0"/>
              <w:rPr>
                <w:rFonts w:hint="default" w:ascii="Times New Roman" w:hAnsi="Times New Roman" w:eastAsia="宋体" w:cs="Times New Roman"/>
                <w:color w:val="auto"/>
                <w:lang w:eastAsia="zh-CN"/>
              </w:rPr>
            </w:pPr>
            <w:r>
              <w:rPr>
                <w:rFonts w:hint="default" w:ascii="Times New Roman" w:hAnsi="Times New Roman" w:cs="Times New Roman"/>
                <w:color w:val="auto"/>
              </w:rPr>
              <w:t>1</w:t>
            </w:r>
            <w:r>
              <w:rPr>
                <w:rFonts w:hint="default" w:ascii="Times New Roman" w:hAnsi="Times New Roman" w:cs="Times New Roman"/>
                <w:color w:val="auto"/>
                <w:lang w:val="en-US" w:eastAsia="zh-CN"/>
              </w:rPr>
              <w:t>3</w:t>
            </w:r>
          </w:p>
        </w:tc>
        <w:tc>
          <w:tcPr>
            <w:tcW w:w="1562" w:type="pct"/>
            <w:tcBorders>
              <w:tl2br w:val="nil"/>
              <w:tr2bl w:val="nil"/>
            </w:tcBorders>
            <w:vAlign w:val="center"/>
          </w:tcPr>
          <w:p w14:paraId="1E74040D">
            <w:pPr>
              <w:pStyle w:val="31"/>
              <w:bidi w:val="0"/>
              <w:rPr>
                <w:rFonts w:hint="default" w:ascii="Times New Roman" w:hAnsi="Times New Roman" w:cs="Times New Roman"/>
                <w:color w:val="auto"/>
              </w:rPr>
            </w:pPr>
            <w:r>
              <w:rPr>
                <w:rFonts w:hint="default" w:ascii="Times New Roman" w:hAnsi="Times New Roman" w:cs="Times New Roman"/>
                <w:color w:val="auto"/>
              </w:rPr>
              <w:t>承插焊闸阀</w:t>
            </w:r>
          </w:p>
        </w:tc>
        <w:tc>
          <w:tcPr>
            <w:tcW w:w="2183" w:type="pct"/>
            <w:tcBorders>
              <w:tl2br w:val="nil"/>
              <w:tr2bl w:val="nil"/>
            </w:tcBorders>
            <w:vAlign w:val="center"/>
          </w:tcPr>
          <w:p w14:paraId="3C4CC245">
            <w:pPr>
              <w:pStyle w:val="31"/>
              <w:bidi w:val="0"/>
              <w:rPr>
                <w:rFonts w:hint="default" w:ascii="Times New Roman" w:hAnsi="Times New Roman" w:cs="Times New Roman"/>
                <w:color w:val="auto"/>
              </w:rPr>
            </w:pPr>
            <w:r>
              <w:rPr>
                <w:rFonts w:hint="default" w:ascii="Times New Roman" w:hAnsi="Times New Roman" w:cs="Times New Roman"/>
                <w:color w:val="auto"/>
              </w:rPr>
              <w:t>DN15  不锈钢</w:t>
            </w:r>
          </w:p>
        </w:tc>
        <w:tc>
          <w:tcPr>
            <w:tcW w:w="777" w:type="pct"/>
            <w:tcBorders>
              <w:tl2br w:val="nil"/>
              <w:tr2bl w:val="nil"/>
            </w:tcBorders>
            <w:vAlign w:val="center"/>
          </w:tcPr>
          <w:p w14:paraId="508F2896">
            <w:pPr>
              <w:pStyle w:val="31"/>
              <w:bidi w:val="0"/>
              <w:rPr>
                <w:rFonts w:hint="default" w:ascii="Times New Roman" w:hAnsi="Times New Roman" w:cs="Times New Roman"/>
                <w:color w:val="auto"/>
              </w:rPr>
            </w:pPr>
            <w:r>
              <w:rPr>
                <w:rFonts w:hint="default" w:ascii="Times New Roman" w:hAnsi="Times New Roman" w:cs="Times New Roman"/>
                <w:color w:val="auto"/>
              </w:rPr>
              <w:t>20个</w:t>
            </w:r>
          </w:p>
        </w:tc>
      </w:tr>
      <w:tr w14:paraId="37A18B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6975470F">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14</w:t>
            </w:r>
          </w:p>
        </w:tc>
        <w:tc>
          <w:tcPr>
            <w:tcW w:w="1562" w:type="pct"/>
            <w:tcBorders>
              <w:tl2br w:val="nil"/>
              <w:tr2bl w:val="nil"/>
            </w:tcBorders>
            <w:vAlign w:val="center"/>
          </w:tcPr>
          <w:p w14:paraId="62597FD9">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气源球阀</w:t>
            </w:r>
          </w:p>
        </w:tc>
        <w:tc>
          <w:tcPr>
            <w:tcW w:w="2183" w:type="pct"/>
            <w:tcBorders>
              <w:tl2br w:val="nil"/>
              <w:tr2bl w:val="nil"/>
            </w:tcBorders>
            <w:vAlign w:val="center"/>
          </w:tcPr>
          <w:p w14:paraId="60C43B6A">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1/2”</w:t>
            </w:r>
          </w:p>
        </w:tc>
        <w:tc>
          <w:tcPr>
            <w:tcW w:w="777" w:type="pct"/>
            <w:tcBorders>
              <w:tl2br w:val="nil"/>
              <w:tr2bl w:val="nil"/>
            </w:tcBorders>
            <w:vAlign w:val="center"/>
          </w:tcPr>
          <w:p w14:paraId="7B058D24">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10个</w:t>
            </w:r>
          </w:p>
        </w:tc>
      </w:tr>
      <w:tr w14:paraId="2A72C0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2A0F8559">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15</w:t>
            </w:r>
          </w:p>
        </w:tc>
        <w:tc>
          <w:tcPr>
            <w:tcW w:w="1562" w:type="pct"/>
            <w:tcBorders>
              <w:tl2br w:val="nil"/>
              <w:tr2bl w:val="nil"/>
            </w:tcBorders>
            <w:vAlign w:val="center"/>
          </w:tcPr>
          <w:p w14:paraId="27EF5C3B">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电缆槽</w:t>
            </w:r>
          </w:p>
        </w:tc>
        <w:tc>
          <w:tcPr>
            <w:tcW w:w="2183" w:type="pct"/>
            <w:tcBorders>
              <w:tl2br w:val="nil"/>
              <w:tr2bl w:val="nil"/>
            </w:tcBorders>
            <w:vAlign w:val="center"/>
          </w:tcPr>
          <w:p w14:paraId="0E325B6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硬质铝镁合金</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600×300mm</w:t>
            </w:r>
          </w:p>
        </w:tc>
        <w:tc>
          <w:tcPr>
            <w:tcW w:w="777" w:type="pct"/>
            <w:tcBorders>
              <w:tl2br w:val="nil"/>
              <w:tr2bl w:val="nil"/>
            </w:tcBorders>
            <w:vAlign w:val="center"/>
          </w:tcPr>
          <w:p w14:paraId="49081696">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300米</w:t>
            </w:r>
          </w:p>
        </w:tc>
      </w:tr>
      <w:tr w14:paraId="0D52E4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685A4E8D">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16</w:t>
            </w:r>
          </w:p>
        </w:tc>
        <w:tc>
          <w:tcPr>
            <w:tcW w:w="1562" w:type="pct"/>
            <w:tcBorders>
              <w:tl2br w:val="nil"/>
              <w:tr2bl w:val="nil"/>
            </w:tcBorders>
            <w:vAlign w:val="center"/>
          </w:tcPr>
          <w:p w14:paraId="2766D952">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镀锌槽钢</w:t>
            </w:r>
          </w:p>
        </w:tc>
        <w:tc>
          <w:tcPr>
            <w:tcW w:w="2183" w:type="pct"/>
            <w:tcBorders>
              <w:tl2br w:val="nil"/>
              <w:tr2bl w:val="nil"/>
            </w:tcBorders>
            <w:vAlign w:val="center"/>
          </w:tcPr>
          <w:p w14:paraId="2CD7A5AA">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10#</w:t>
            </w:r>
          </w:p>
        </w:tc>
        <w:tc>
          <w:tcPr>
            <w:tcW w:w="777" w:type="pct"/>
            <w:tcBorders>
              <w:tl2br w:val="nil"/>
              <w:tr2bl w:val="nil"/>
            </w:tcBorders>
            <w:vAlign w:val="center"/>
          </w:tcPr>
          <w:p w14:paraId="47C0A172">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660米</w:t>
            </w:r>
          </w:p>
        </w:tc>
      </w:tr>
      <w:tr w14:paraId="773AF1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11D68F03">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17</w:t>
            </w:r>
          </w:p>
        </w:tc>
        <w:tc>
          <w:tcPr>
            <w:tcW w:w="1562" w:type="pct"/>
            <w:tcBorders>
              <w:tl2br w:val="nil"/>
              <w:tr2bl w:val="nil"/>
            </w:tcBorders>
            <w:vAlign w:val="center"/>
          </w:tcPr>
          <w:p w14:paraId="275E0B27">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镀锌角钢</w:t>
            </w:r>
          </w:p>
        </w:tc>
        <w:tc>
          <w:tcPr>
            <w:tcW w:w="2183" w:type="pct"/>
            <w:tcBorders>
              <w:tl2br w:val="nil"/>
              <w:tr2bl w:val="nil"/>
            </w:tcBorders>
            <w:vAlign w:val="center"/>
          </w:tcPr>
          <w:p w14:paraId="0754613F">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∠50×50×5</w:t>
            </w:r>
          </w:p>
        </w:tc>
        <w:tc>
          <w:tcPr>
            <w:tcW w:w="777" w:type="pct"/>
            <w:tcBorders>
              <w:tl2br w:val="nil"/>
              <w:tr2bl w:val="nil"/>
            </w:tcBorders>
            <w:vAlign w:val="center"/>
          </w:tcPr>
          <w:p w14:paraId="46B6D53E">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300米</w:t>
            </w:r>
          </w:p>
        </w:tc>
      </w:tr>
      <w:tr w14:paraId="127196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5F5B242C">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18</w:t>
            </w:r>
          </w:p>
        </w:tc>
        <w:tc>
          <w:tcPr>
            <w:tcW w:w="1562" w:type="pct"/>
            <w:tcBorders>
              <w:tl2br w:val="nil"/>
              <w:tr2bl w:val="nil"/>
            </w:tcBorders>
            <w:vAlign w:val="center"/>
          </w:tcPr>
          <w:p w14:paraId="1E00A757">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安全栅</w:t>
            </w:r>
          </w:p>
        </w:tc>
        <w:tc>
          <w:tcPr>
            <w:tcW w:w="2183" w:type="pct"/>
            <w:tcBorders>
              <w:tl2br w:val="nil"/>
              <w:tr2bl w:val="nil"/>
            </w:tcBorders>
            <w:vAlign w:val="center"/>
          </w:tcPr>
          <w:p w14:paraId="56C9A7C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777" w:type="pct"/>
            <w:tcBorders>
              <w:tl2br w:val="nil"/>
              <w:tr2bl w:val="nil"/>
            </w:tcBorders>
            <w:vAlign w:val="center"/>
          </w:tcPr>
          <w:p w14:paraId="79F8EB2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128块</w:t>
            </w:r>
          </w:p>
        </w:tc>
      </w:tr>
      <w:tr w14:paraId="08EF66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495D9118">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19</w:t>
            </w:r>
          </w:p>
        </w:tc>
        <w:tc>
          <w:tcPr>
            <w:tcW w:w="1562" w:type="pct"/>
            <w:tcBorders>
              <w:tl2br w:val="nil"/>
              <w:tr2bl w:val="nil"/>
            </w:tcBorders>
            <w:vAlign w:val="center"/>
          </w:tcPr>
          <w:p w14:paraId="6EC908F6">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16#罐区DCS系统扩容</w:t>
            </w:r>
          </w:p>
        </w:tc>
        <w:tc>
          <w:tcPr>
            <w:tcW w:w="2183" w:type="pct"/>
            <w:tcBorders>
              <w:tl2br w:val="nil"/>
              <w:tr2bl w:val="nil"/>
            </w:tcBorders>
            <w:vAlign w:val="center"/>
          </w:tcPr>
          <w:p w14:paraId="578DC30A">
            <w:pPr>
              <w:pStyle w:val="31"/>
              <w:bidi w:val="0"/>
              <w:rPr>
                <w:rFonts w:hint="default" w:ascii="Times New Roman" w:hAnsi="Times New Roman" w:cs="Times New Roman"/>
                <w:color w:val="auto"/>
              </w:rPr>
            </w:pPr>
            <w:r>
              <w:rPr>
                <w:rFonts w:hint="default" w:ascii="Times New Roman" w:hAnsi="Times New Roman" w:cs="Times New Roman"/>
                <w:color w:val="auto"/>
              </w:rPr>
              <w:t>AI</w:t>
            </w:r>
            <w:r>
              <w:rPr>
                <w:rFonts w:hint="default" w:ascii="Times New Roman" w:hAnsi="Times New Roman" w:cs="Times New Roman"/>
                <w:color w:val="auto"/>
                <w:lang w:eastAsia="zh-CN"/>
              </w:rPr>
              <w:t>（</w:t>
            </w:r>
            <w:r>
              <w:rPr>
                <w:rFonts w:hint="default" w:ascii="Times New Roman" w:hAnsi="Times New Roman" w:cs="Times New Roman"/>
                <w:color w:val="auto"/>
              </w:rPr>
              <w:t>R</w:t>
            </w:r>
            <w:r>
              <w:rPr>
                <w:rFonts w:hint="default" w:ascii="Times New Roman" w:hAnsi="Times New Roman" w:cs="Times New Roman"/>
                <w:color w:val="auto"/>
                <w:lang w:eastAsia="zh-CN"/>
              </w:rPr>
              <w:t>）</w:t>
            </w:r>
            <w:r>
              <w:rPr>
                <w:rFonts w:hint="default" w:ascii="Times New Roman" w:hAnsi="Times New Roman" w:cs="Times New Roman"/>
                <w:color w:val="auto"/>
              </w:rPr>
              <w:t>：36点；AO</w:t>
            </w:r>
            <w:r>
              <w:rPr>
                <w:rFonts w:hint="default" w:ascii="Times New Roman" w:hAnsi="Times New Roman" w:cs="Times New Roman"/>
                <w:color w:val="auto"/>
                <w:lang w:eastAsia="zh-CN"/>
              </w:rPr>
              <w:t>（</w:t>
            </w:r>
            <w:r>
              <w:rPr>
                <w:rFonts w:hint="default" w:ascii="Times New Roman" w:hAnsi="Times New Roman" w:cs="Times New Roman"/>
                <w:color w:val="auto"/>
              </w:rPr>
              <w:t>R</w:t>
            </w:r>
            <w:r>
              <w:rPr>
                <w:rFonts w:hint="default" w:ascii="Times New Roman" w:hAnsi="Times New Roman" w:cs="Times New Roman"/>
                <w:color w:val="auto"/>
                <w:lang w:eastAsia="zh-CN"/>
              </w:rPr>
              <w:t>）</w:t>
            </w:r>
            <w:r>
              <w:rPr>
                <w:rFonts w:hint="default" w:ascii="Times New Roman" w:hAnsi="Times New Roman" w:cs="Times New Roman"/>
                <w:color w:val="auto"/>
              </w:rPr>
              <w:t>：20点AI：72点；</w:t>
            </w:r>
          </w:p>
          <w:p w14:paraId="0EEA6E55">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DO：160点；DI：114点</w:t>
            </w:r>
          </w:p>
        </w:tc>
        <w:tc>
          <w:tcPr>
            <w:tcW w:w="777" w:type="pct"/>
            <w:tcBorders>
              <w:tl2br w:val="nil"/>
              <w:tr2bl w:val="nil"/>
            </w:tcBorders>
            <w:vAlign w:val="center"/>
          </w:tcPr>
          <w:p w14:paraId="3D0D4877">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1套</w:t>
            </w:r>
          </w:p>
        </w:tc>
      </w:tr>
      <w:tr w14:paraId="06281A0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475" w:type="pct"/>
            <w:tcBorders>
              <w:tl2br w:val="nil"/>
              <w:tr2bl w:val="nil"/>
            </w:tcBorders>
            <w:vAlign w:val="center"/>
          </w:tcPr>
          <w:p w14:paraId="2C05812C">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20</w:t>
            </w:r>
          </w:p>
        </w:tc>
        <w:tc>
          <w:tcPr>
            <w:tcW w:w="1562" w:type="pct"/>
            <w:tcBorders>
              <w:tl2br w:val="nil"/>
              <w:tr2bl w:val="nil"/>
            </w:tcBorders>
            <w:vAlign w:val="center"/>
          </w:tcPr>
          <w:p w14:paraId="6563A312">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16#罐区GDS系统</w:t>
            </w:r>
          </w:p>
        </w:tc>
        <w:tc>
          <w:tcPr>
            <w:tcW w:w="2183" w:type="pct"/>
            <w:tcBorders>
              <w:tl2br w:val="nil"/>
              <w:tr2bl w:val="nil"/>
            </w:tcBorders>
            <w:vAlign w:val="center"/>
          </w:tcPr>
          <w:p w14:paraId="535DC095">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 xml:space="preserve">AI：16点 </w:t>
            </w:r>
          </w:p>
        </w:tc>
        <w:tc>
          <w:tcPr>
            <w:tcW w:w="777" w:type="pct"/>
            <w:tcBorders>
              <w:tl2br w:val="nil"/>
              <w:tr2bl w:val="nil"/>
            </w:tcBorders>
            <w:vAlign w:val="center"/>
          </w:tcPr>
          <w:p w14:paraId="790118B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1套</w:t>
            </w:r>
          </w:p>
        </w:tc>
      </w:tr>
    </w:tbl>
    <w:p w14:paraId="377E08F7">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val="en-US" w:eastAsia="zh-CN"/>
        </w:rPr>
      </w:pPr>
      <w:r>
        <w:rPr>
          <w:rFonts w:hint="eastAsia" w:cs="Times New Roman"/>
          <w:color w:val="auto"/>
          <w:lang w:val="en-US" w:eastAsia="zh-CN"/>
        </w:rPr>
        <w:t>4</w:t>
      </w:r>
      <w:r>
        <w:rPr>
          <w:rFonts w:hint="default" w:ascii="Times New Roman" w:hAnsi="Times New Roman" w:cs="Times New Roman"/>
          <w:color w:val="auto"/>
          <w:lang w:val="en-US" w:eastAsia="zh-CN"/>
        </w:rPr>
        <w:t>）主要管道</w:t>
      </w:r>
    </w:p>
    <w:p w14:paraId="548153C5">
      <w:pPr>
        <w:pStyle w:val="6"/>
        <w:bidi w:val="0"/>
        <w:rPr>
          <w:rFonts w:hint="default" w:ascii="Times New Roman" w:hAnsi="Times New Roman" w:cs="Times New Roman"/>
          <w:color w:val="auto"/>
          <w:lang w:val="en-US" w:eastAsia="zh-CN"/>
        </w:rPr>
      </w:pPr>
      <w:r>
        <w:rPr>
          <w:rFonts w:hint="eastAsia"/>
          <w:b/>
          <w:bCs/>
        </w:rPr>
        <w:t>涉及企业机密，不予公开。</w:t>
      </w:r>
    </w:p>
    <w:p w14:paraId="2C3C5334">
      <w:pPr>
        <w:pStyle w:val="3"/>
        <w:bidi w:val="0"/>
        <w:rPr>
          <w:rFonts w:hint="default" w:ascii="Times New Roman" w:hAnsi="Times New Roman" w:cs="Times New Roman"/>
          <w:color w:val="auto"/>
        </w:rPr>
      </w:pPr>
      <w:bookmarkStart w:id="25" w:name="_Toc25820"/>
      <w:r>
        <w:rPr>
          <w:rFonts w:hint="default" w:ascii="Times New Roman" w:hAnsi="Times New Roman" w:cs="Times New Roman"/>
          <w:color w:val="auto"/>
        </w:rPr>
        <w:t>建设项目公用工程及辅助设施</w:t>
      </w:r>
      <w:bookmarkEnd w:id="25"/>
    </w:p>
    <w:p w14:paraId="02C9AFEB">
      <w:pPr>
        <w:pStyle w:val="4"/>
        <w:bidi w:val="0"/>
        <w:rPr>
          <w:rFonts w:hint="default" w:ascii="Times New Roman" w:hAnsi="Times New Roman" w:cs="Times New Roman"/>
          <w:color w:val="auto"/>
        </w:rPr>
      </w:pPr>
      <w:r>
        <w:rPr>
          <w:rFonts w:hint="default" w:ascii="Times New Roman" w:hAnsi="Times New Roman" w:cs="Times New Roman"/>
          <w:color w:val="auto"/>
        </w:rPr>
        <w:t>2.6.1 供配电系统</w:t>
      </w:r>
    </w:p>
    <w:p w14:paraId="6871363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供电负荷要求</w:t>
      </w:r>
    </w:p>
    <w:p w14:paraId="728E87A4">
      <w:pPr>
        <w:pStyle w:val="6"/>
        <w:bidi w:val="0"/>
        <w:rPr>
          <w:rFonts w:hint="default" w:ascii="Times New Roman" w:hAnsi="Times New Roman" w:cs="Times New Roman"/>
          <w:color w:val="auto"/>
          <w:lang w:eastAsia="zh-CN"/>
        </w:rPr>
      </w:pPr>
      <w:r>
        <w:rPr>
          <w:rFonts w:hint="default" w:ascii="Times New Roman" w:hAnsi="Times New Roman" w:cs="Times New Roman"/>
          <w:color w:val="auto"/>
        </w:rPr>
        <w:t>根据《供配电系统设计规范》（GB50052-2009）第</w:t>
      </w:r>
      <w:r>
        <w:rPr>
          <w:rFonts w:hint="default" w:ascii="Times New Roman" w:hAnsi="Times New Roman" w:cs="Times New Roman"/>
          <w:color w:val="auto"/>
          <w:lang w:val="en-US" w:eastAsia="zh-CN"/>
        </w:rPr>
        <w:t>3.0.1</w:t>
      </w:r>
      <w:r>
        <w:rPr>
          <w:rFonts w:hint="default" w:ascii="Times New Roman" w:hAnsi="Times New Roman" w:cs="Times New Roman"/>
          <w:color w:val="auto"/>
        </w:rPr>
        <w:t>条的规定，</w:t>
      </w:r>
      <w:r>
        <w:rPr>
          <w:rFonts w:hint="default" w:ascii="Times New Roman" w:hAnsi="Times New Roman" w:cs="Times New Roman"/>
          <w:color w:val="auto"/>
          <w:lang w:eastAsia="zh-CN"/>
        </w:rPr>
        <w:t>该项目</w:t>
      </w:r>
      <w:r>
        <w:rPr>
          <w:color w:val="auto"/>
        </w:rPr>
        <w:t>生产作业</w:t>
      </w:r>
      <w:r>
        <w:rPr>
          <w:rFonts w:hint="eastAsia"/>
          <w:color w:val="auto"/>
          <w:lang w:val="en-US" w:eastAsia="zh-CN"/>
        </w:rPr>
        <w:t>的</w:t>
      </w:r>
      <w:r>
        <w:rPr>
          <w:rFonts w:hint="default" w:ascii="Times New Roman" w:hAnsi="Times New Roman" w:cs="Times New Roman"/>
          <w:color w:val="auto"/>
          <w:lang w:eastAsia="zh-CN"/>
        </w:rPr>
        <w:t>用电负荷属于二级负荷，</w:t>
      </w:r>
      <w:r>
        <w:rPr>
          <w:rFonts w:hint="default" w:ascii="Times New Roman" w:hAnsi="Times New Roman" w:cs="Times New Roman"/>
          <w:color w:val="auto"/>
          <w:lang w:val="en-US" w:eastAsia="zh-CN"/>
        </w:rPr>
        <w:t>用电设备380/220V，计算负荷为489.5kW，电气负荷情况见下表2.6-1；</w:t>
      </w:r>
      <w:r>
        <w:rPr>
          <w:rFonts w:hint="default" w:ascii="Times New Roman" w:hAnsi="Times New Roman" w:cs="Times New Roman"/>
          <w:color w:val="auto"/>
          <w:lang w:eastAsia="zh-CN"/>
        </w:rPr>
        <w:t>该项目</w:t>
      </w:r>
      <w:r>
        <w:rPr>
          <w:rFonts w:hint="default" w:ascii="Times New Roman" w:hAnsi="Times New Roman" w:cs="Times New Roman"/>
          <w:color w:val="auto"/>
        </w:rPr>
        <w:t>依托的消防系统供电负荷等级为一级负荷；</w:t>
      </w:r>
      <w:r>
        <w:rPr>
          <w:rFonts w:hint="eastAsia"/>
          <w:color w:val="auto"/>
          <w:lang w:val="en-US" w:eastAsia="zh-CN"/>
        </w:rPr>
        <w:t>该</w:t>
      </w:r>
      <w:r>
        <w:rPr>
          <w:color w:val="auto"/>
        </w:rPr>
        <w:t>项目</w:t>
      </w:r>
      <w:r>
        <w:rPr>
          <w:rFonts w:hint="eastAsia"/>
          <w:color w:val="auto"/>
          <w:lang w:val="en-US"/>
        </w:rPr>
        <w:t>依托</w:t>
      </w:r>
      <w:r>
        <w:rPr>
          <w:color w:val="auto"/>
        </w:rPr>
        <w:t>的DCS控制系统</w:t>
      </w:r>
      <w:r>
        <w:rPr>
          <w:rFonts w:hint="eastAsia"/>
          <w:color w:val="auto"/>
          <w:lang w:eastAsia="zh-CN"/>
        </w:rPr>
        <w:t>、</w:t>
      </w:r>
      <w:r>
        <w:rPr>
          <w:rFonts w:ascii="Times New Roman" w:hAnsi="Times New Roman"/>
          <w:color w:val="auto"/>
          <w:szCs w:val="24"/>
        </w:rPr>
        <w:t>GDS系统</w:t>
      </w:r>
      <w:r>
        <w:rPr>
          <w:rFonts w:hint="eastAsia" w:ascii="Times New Roman" w:hAnsi="Times New Roman"/>
          <w:color w:val="auto"/>
          <w:szCs w:val="24"/>
          <w:lang w:eastAsia="zh-CN"/>
        </w:rPr>
        <w:t>、</w:t>
      </w:r>
      <w:r>
        <w:rPr>
          <w:color w:val="auto"/>
        </w:rPr>
        <w:t>火灾自动报警系统</w:t>
      </w:r>
      <w:r>
        <w:rPr>
          <w:rFonts w:hint="eastAsia" w:ascii="Times New Roman" w:hAnsi="Times New Roman"/>
          <w:color w:val="auto"/>
          <w:szCs w:val="24"/>
          <w:lang w:eastAsia="zh-CN"/>
        </w:rPr>
        <w:t>，</w:t>
      </w:r>
      <w:r>
        <w:rPr>
          <w:color w:val="auto"/>
        </w:rPr>
        <w:t>新增的可燃气体报警系统、仪表电源用电等为一级负荷中的特别重要负荷</w:t>
      </w:r>
      <w:r>
        <w:rPr>
          <w:rFonts w:hint="eastAsia"/>
          <w:color w:val="auto"/>
          <w:lang w:eastAsia="zh-CN"/>
        </w:rPr>
        <w:t>；</w:t>
      </w:r>
      <w:r>
        <w:rPr>
          <w:rFonts w:hint="eastAsia"/>
          <w:color w:val="auto"/>
          <w:lang w:val="en-US" w:eastAsia="zh-CN"/>
        </w:rPr>
        <w:t>照明等</w:t>
      </w:r>
      <w:r>
        <w:rPr>
          <w:rFonts w:hint="default" w:ascii="Times New Roman" w:hAnsi="Times New Roman" w:cs="Times New Roman"/>
          <w:color w:val="auto"/>
        </w:rPr>
        <w:t>辅助设施为三级负荷</w:t>
      </w:r>
      <w:r>
        <w:rPr>
          <w:rFonts w:hint="default" w:ascii="Times New Roman" w:hAnsi="Times New Roman" w:cs="Times New Roman"/>
          <w:color w:val="auto"/>
          <w:lang w:eastAsia="zh-CN"/>
        </w:rPr>
        <w:t>。</w:t>
      </w:r>
    </w:p>
    <w:p w14:paraId="3EB6510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供电电源及设备</w:t>
      </w:r>
    </w:p>
    <w:p w14:paraId="0054D7B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新增低压配电柜安装在16#罐区配电室内。16#罐区配电室现有的两台500kVA变压器拟更新为1250kVA的变压器，变压器基础重新制作，变压器进线电缆利旧原有电缆；配电室内两台进线柜，一台母联柜，低压进线桥和低压联络桥进行更新，其余配电柜更新母线排。</w:t>
      </w:r>
    </w:p>
    <w:p w14:paraId="7534499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本项目新增油气处理单元用电设备电源均引自16#罐区配电室内新增低压配电柜。</w:t>
      </w:r>
    </w:p>
    <w:p w14:paraId="14EF7B1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新增风机K-001/002电源均引自油库变电所，油库变电所内新增一面低压开关柜，安装在备用位置。新增低压柜与原有开关柜采用柜间母线桥连接，新增低压柜做基础开洞。本项目新增风机K-003电源引自轻烃变电所内备用回路，需更新低压柜抽屉。</w:t>
      </w:r>
    </w:p>
    <w:p w14:paraId="4402A90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（3）配电线路</w:t>
      </w:r>
    </w:p>
    <w:p w14:paraId="470448C2">
      <w:pPr>
        <w:pStyle w:val="6"/>
        <w:bidi w:val="0"/>
        <w:rPr>
          <w:rFonts w:hint="default" w:ascii="Times New Roman" w:hAnsi="Times New Roman" w:cs="Times New Roman"/>
          <w:color w:val="auto"/>
          <w:highlight w:val="yellow"/>
          <w:lang w:val="zh-CN"/>
        </w:rPr>
      </w:pPr>
      <w:r>
        <w:rPr>
          <w:rFonts w:hint="default" w:ascii="Times New Roman" w:hAnsi="Times New Roman" w:cs="Times New Roman"/>
          <w:color w:val="auto"/>
          <w:lang w:val="en-US" w:eastAsia="zh-CN"/>
        </w:rPr>
        <w:t>敷设方式为采用交联聚乙烯绝缘阻燃电缆沿新增电缆桥架敷设，出电缆桥架后穿钢管埋地敷设至用电设备。新增电缆桥架约为250米。</w:t>
      </w:r>
    </w:p>
    <w:p w14:paraId="672E2AC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（4）照明方式及其配电</w:t>
      </w:r>
    </w:p>
    <w:p w14:paraId="3758F28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防爆照明配电箱、照明灯具等电气设备均由成套设备厂家配套提供。</w:t>
      </w:r>
    </w:p>
    <w:p w14:paraId="6ADDC168">
      <w:pPr>
        <w:pStyle w:val="4"/>
        <w:bidi w:val="0"/>
        <w:rPr>
          <w:rFonts w:hint="default" w:ascii="Times New Roman" w:hAnsi="Times New Roman" w:cs="Times New Roman"/>
          <w:color w:val="auto"/>
        </w:rPr>
      </w:pPr>
      <w:r>
        <w:rPr>
          <w:rFonts w:hint="default" w:ascii="Times New Roman" w:hAnsi="Times New Roman" w:cs="Times New Roman"/>
          <w:color w:val="auto"/>
        </w:rPr>
        <w:t>2.6.2 给排水系统</w:t>
      </w:r>
    </w:p>
    <w:p w14:paraId="3144661B">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（1）给水</w:t>
      </w:r>
      <w:r>
        <w:rPr>
          <w:rFonts w:hint="default" w:ascii="Times New Roman" w:hAnsi="Times New Roman" w:cs="Times New Roman"/>
          <w:color w:val="auto"/>
          <w:lang w:val="en-US" w:eastAsia="zh-CN"/>
        </w:rPr>
        <w:t>系统</w:t>
      </w:r>
    </w:p>
    <w:p w14:paraId="4695B637">
      <w:pPr>
        <w:pStyle w:val="6"/>
        <w:bidi w:val="0"/>
        <w:rPr>
          <w:rFonts w:hint="default" w:ascii="Times New Roman" w:hAnsi="Times New Roman" w:cs="Times New Roman"/>
          <w:color w:val="auto"/>
        </w:rPr>
      </w:pPr>
      <w:r>
        <w:rPr>
          <w:rFonts w:hint="eastAsia"/>
          <w:b/>
          <w:bCs/>
        </w:rPr>
        <w:t>涉及企业机密，不予公开。</w:t>
      </w:r>
    </w:p>
    <w:p w14:paraId="2E088387">
      <w:pPr>
        <w:pStyle w:val="6"/>
        <w:bidi w:val="0"/>
        <w:rPr>
          <w:rFonts w:hint="default" w:ascii="Times New Roman" w:hAnsi="Times New Roman" w:cs="Times New Roman"/>
          <w:color w:val="auto"/>
        </w:rPr>
      </w:pPr>
      <w:r>
        <w:rPr>
          <w:rFonts w:hint="default" w:ascii="Times New Roman" w:hAnsi="Times New Roman" w:cs="Times New Roman"/>
          <w:color w:val="auto"/>
        </w:rPr>
        <w:t>本项目新建柴油吸收单元及RTO单元位于</w:t>
      </w:r>
      <w:r>
        <w:rPr>
          <w:rFonts w:hint="eastAsia"/>
          <w:color w:val="auto"/>
          <w:lang w:val="en-US" w:eastAsia="zh-CN"/>
        </w:rPr>
        <w:t>石油化工总厂</w:t>
      </w:r>
      <w:r>
        <w:rPr>
          <w:rFonts w:hint="default" w:ascii="Times New Roman" w:hAnsi="Times New Roman" w:cs="Times New Roman"/>
          <w:color w:val="auto"/>
        </w:rPr>
        <w:t>3#新建柴油罐区北侧空地，现有的油气回收装置南侧和东侧。该项目附近已建有新鲜水管网，可作为本项目新鲜水水源。</w:t>
      </w:r>
    </w:p>
    <w:p w14:paraId="706425BC">
      <w:pPr>
        <w:pStyle w:val="6"/>
        <w:bidi w:val="0"/>
        <w:rPr>
          <w:rFonts w:hint="default" w:ascii="Times New Roman" w:hAnsi="Times New Roman" w:cs="Times New Roman"/>
          <w:color w:val="auto"/>
        </w:rPr>
      </w:pPr>
      <w:r>
        <w:rPr>
          <w:rFonts w:hint="default" w:ascii="Times New Roman" w:hAnsi="Times New Roman" w:cs="Times New Roman"/>
          <w:color w:val="auto"/>
        </w:rPr>
        <w:t>（2）循环水</w:t>
      </w:r>
    </w:p>
    <w:p w14:paraId="23F366D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rPr>
        <w:t>本项目需要循环水量150m</w:t>
      </w:r>
      <w:r>
        <w:rPr>
          <w:rFonts w:hint="default" w:ascii="Times New Roman" w:hAnsi="Times New Roman" w:cs="Times New Roman"/>
          <w:color w:val="auto"/>
          <w:vertAlign w:val="superscript"/>
        </w:rPr>
        <w:t>3</w:t>
      </w:r>
      <w:r>
        <w:rPr>
          <w:rFonts w:hint="default" w:ascii="Times New Roman" w:hAnsi="Times New Roman" w:cs="Times New Roman"/>
          <w:color w:val="auto"/>
        </w:rPr>
        <w:t>/h，</w:t>
      </w:r>
      <w:r>
        <w:rPr>
          <w:rFonts w:hint="eastAsia"/>
          <w:b/>
          <w:bCs/>
        </w:rPr>
        <w:t>涉及企业机密，不予公开。</w:t>
      </w:r>
      <w:r>
        <w:rPr>
          <w:rFonts w:hint="default" w:ascii="Times New Roman" w:hAnsi="Times New Roman" w:cs="Times New Roman"/>
          <w:color w:val="auto"/>
          <w:lang w:val="en-US" w:eastAsia="zh-CN"/>
        </w:rPr>
        <w:t>石油化工总厂</w:t>
      </w:r>
      <w:r>
        <w:rPr>
          <w:rFonts w:hint="default" w:ascii="Times New Roman" w:hAnsi="Times New Roman" w:cs="Times New Roman"/>
          <w:color w:val="auto"/>
        </w:rPr>
        <w:t>新鲜水的</w:t>
      </w:r>
      <w:r>
        <w:rPr>
          <w:rFonts w:hint="default" w:ascii="Times New Roman" w:hAnsi="Times New Roman" w:cs="Times New Roman"/>
          <w:color w:val="auto"/>
          <w:lang w:val="en-US" w:eastAsia="zh-CN"/>
        </w:rPr>
        <w:t>供给能力能满足</w:t>
      </w:r>
      <w:r>
        <w:rPr>
          <w:rFonts w:hint="default" w:ascii="Times New Roman" w:hAnsi="Times New Roman" w:cs="Times New Roman"/>
          <w:color w:val="auto"/>
          <w:lang w:eastAsia="zh-CN"/>
        </w:rPr>
        <w:t>该项目</w:t>
      </w:r>
      <w:r>
        <w:rPr>
          <w:rFonts w:hint="default" w:ascii="Times New Roman" w:hAnsi="Times New Roman" w:cs="Times New Roman"/>
          <w:color w:val="auto"/>
        </w:rPr>
        <w:t>的需求</w:t>
      </w:r>
      <w:r>
        <w:rPr>
          <w:rFonts w:hint="eastAsia" w:cs="Times New Roman"/>
          <w:color w:val="auto"/>
          <w:lang w:eastAsia="zh-CN"/>
        </w:rPr>
        <w:t>。</w:t>
      </w:r>
    </w:p>
    <w:p w14:paraId="2AC5A0D9">
      <w:pPr>
        <w:pStyle w:val="6"/>
        <w:numPr>
          <w:ilvl w:val="0"/>
          <w:numId w:val="4"/>
        </w:numPr>
        <w:bidi w:val="0"/>
        <w:ind w:left="0" w:leftChars="0" w:firstLine="560" w:firstLineChars="2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消防用水</w:t>
      </w:r>
    </w:p>
    <w:p w14:paraId="12DB9F9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项目消防用水量为</w:t>
      </w:r>
      <w:r>
        <w:rPr>
          <w:rFonts w:hint="default" w:ascii="Times New Roman" w:hAnsi="Times New Roman" w:cs="Times New Roman"/>
          <w:color w:val="auto"/>
          <w:kern w:val="0"/>
          <w:sz w:val="28"/>
          <w:szCs w:val="28"/>
          <w:lang w:val="en-US" w:eastAsia="zh-CN" w:bidi="ar"/>
        </w:rPr>
        <w:t>360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（具体计算过程见2.6.6），消防水依托石油化工总厂消防水系统。</w:t>
      </w:r>
    </w:p>
    <w:p w14:paraId="37E6C902">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）排水</w:t>
      </w:r>
      <w:r>
        <w:rPr>
          <w:rFonts w:hint="default" w:ascii="Times New Roman" w:hAnsi="Times New Roman" w:cs="Times New Roman"/>
          <w:color w:val="auto"/>
          <w:lang w:val="en-US" w:eastAsia="zh-CN"/>
        </w:rPr>
        <w:t>系统</w:t>
      </w:r>
    </w:p>
    <w:p w14:paraId="5C409953">
      <w:pPr>
        <w:pStyle w:val="6"/>
        <w:bidi w:val="0"/>
        <w:rPr>
          <w:rFonts w:hint="default" w:ascii="Times New Roman" w:hAnsi="Times New Roman" w:cs="Times New Roman"/>
          <w:color w:val="auto"/>
        </w:rPr>
      </w:pPr>
      <w:r>
        <w:rPr>
          <w:rFonts w:hint="default" w:ascii="Times New Roman" w:hAnsi="Times New Roman" w:cs="Times New Roman"/>
          <w:color w:val="auto"/>
        </w:rPr>
        <w:t>排水系统包括：</w:t>
      </w:r>
      <w:r>
        <w:rPr>
          <w:rFonts w:hint="default" w:ascii="Times New Roman" w:hAnsi="Times New Roman" w:cs="Times New Roman"/>
          <w:color w:val="auto"/>
          <w:lang w:val="en-US" w:eastAsia="zh-CN"/>
        </w:rPr>
        <w:t>生活污水、生产污水、雨水等</w:t>
      </w:r>
      <w:r>
        <w:rPr>
          <w:rFonts w:hint="default" w:ascii="Times New Roman" w:hAnsi="Times New Roman" w:cs="Times New Roman"/>
          <w:color w:val="auto"/>
        </w:rPr>
        <w:t>。</w:t>
      </w:r>
    </w:p>
    <w:p w14:paraId="366780E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1）生活污水</w:t>
      </w:r>
    </w:p>
    <w:p w14:paraId="41F10A8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该项目在3#新建柴油罐区北侧预留地内建设，无新增定员，不涉及新增生活污水。</w:t>
      </w:r>
    </w:p>
    <w:p w14:paraId="0C26C3F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2）生产污水</w:t>
      </w:r>
    </w:p>
    <w:p w14:paraId="30E5621D">
      <w:pPr>
        <w:pStyle w:val="6"/>
        <w:bidi w:val="0"/>
        <w:rPr>
          <w:rFonts w:hint="default" w:ascii="Times New Roman" w:hAnsi="Times New Roman" w:cs="Times New Roman"/>
          <w:color w:val="auto"/>
          <w:highlight w:val="none"/>
        </w:rPr>
      </w:pPr>
      <w:r>
        <w:rPr>
          <w:rFonts w:hint="default" w:ascii="Times New Roman" w:hAnsi="Times New Roman" w:cs="Times New Roman"/>
          <w:color w:val="auto"/>
          <w:lang w:val="en-US" w:eastAsia="zh-CN"/>
        </w:rPr>
        <w:t>本项目新建柴油吸收单元及RTO单元排水量为6m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/次，排放形式为间断排放，水质为含油污水。新建油气处理单元周边已有含油污水管网，管径为DN250，管网上设有排水井。本项目新建单元排水就近自流接至已有排水管网。</w:t>
      </w:r>
      <w:r>
        <w:rPr>
          <w:rFonts w:hint="eastAsia"/>
          <w:b/>
          <w:bCs/>
        </w:rPr>
        <w:t>涉及企业机密，不予公开。</w:t>
      </w:r>
      <w:r>
        <w:rPr>
          <w:rFonts w:hint="default" w:ascii="Times New Roman" w:hAnsi="Times New Roman" w:cs="Times New Roman"/>
          <w:color w:val="auto"/>
          <w:highlight w:val="none"/>
        </w:rPr>
        <w:t>其污水处理能力能够满足新装置需要。</w:t>
      </w:r>
    </w:p>
    <w:p w14:paraId="7F7A187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3）雨水</w:t>
      </w:r>
    </w:p>
    <w:p w14:paraId="3DC7C3AD">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本项目场地雨水为有组织排放，雨水采用钢筋混凝土盖板沟收集，顺接到厂区周边原雨水系统，统一收集后汇入监控池检测。</w:t>
      </w:r>
    </w:p>
    <w:p w14:paraId="1746CA80">
      <w:pPr>
        <w:pStyle w:val="4"/>
        <w:bidi w:val="0"/>
        <w:rPr>
          <w:rFonts w:hint="default" w:ascii="Times New Roman" w:hAnsi="Times New Roman" w:cs="Times New Roman"/>
          <w:color w:val="auto"/>
        </w:rPr>
      </w:pPr>
      <w:r>
        <w:rPr>
          <w:rFonts w:hint="default" w:ascii="Times New Roman" w:hAnsi="Times New Roman" w:cs="Times New Roman"/>
          <w:color w:val="auto"/>
        </w:rPr>
        <w:t>2.6.</w:t>
      </w:r>
      <w:r>
        <w:rPr>
          <w:rFonts w:hint="default" w:ascii="Times New Roman" w:hAnsi="Times New Roman" w:cs="Times New Roman"/>
          <w:color w:val="auto"/>
          <w:lang w:val="en-US" w:eastAsia="zh-CN"/>
        </w:rPr>
        <w:t>3</w:t>
      </w:r>
      <w:r>
        <w:rPr>
          <w:rFonts w:hint="default" w:ascii="Times New Roman" w:hAnsi="Times New Roman" w:cs="Times New Roman"/>
          <w:color w:val="auto"/>
        </w:rPr>
        <w:t xml:space="preserve"> 防雷、防静电接地</w:t>
      </w:r>
    </w:p>
    <w:p w14:paraId="62FAC0B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保护接地、防雷接地、防静电接地共用一个接地系统，并与其它系统单元的接地网联成一个整体，其接地系统的接地电阻按不大于4欧姆设计。</w:t>
      </w:r>
    </w:p>
    <w:p w14:paraId="0D3DB12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储运管架、电气设备正常不带电金属外壳、电缆支架及金属框架设保护接地，新增机泵、操作柱、动力箱及电动阀接地采用接地线就近引入单元接地网。</w:t>
      </w:r>
    </w:p>
    <w:p w14:paraId="3F672779">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接地装置以水平接地体为主，局部地方打接地极。接地极采用50</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50</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5的镀锌角钢；接地干线采用-50</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5的镀锌扁钢。</w:t>
      </w:r>
    </w:p>
    <w:p w14:paraId="64034BC3">
      <w:pPr>
        <w:pStyle w:val="4"/>
        <w:spacing w:before="0" w:beforeLines="0" w:after="0" w:afterLine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 xml:space="preserve"> 供</w:t>
      </w:r>
      <w:r>
        <w:rPr>
          <w:rFonts w:hint="default" w:ascii="Times New Roman" w:hAnsi="Times New Roman" w:cs="Times New Roman"/>
          <w:color w:val="auto"/>
          <w:sz w:val="28"/>
          <w:szCs w:val="28"/>
          <w:lang w:val="en-US" w:eastAsia="zh-CN"/>
        </w:rPr>
        <w:t>气</w:t>
      </w:r>
      <w:r>
        <w:rPr>
          <w:rFonts w:hint="default" w:ascii="Times New Roman" w:hAnsi="Times New Roman" w:cs="Times New Roman"/>
          <w:color w:val="auto"/>
          <w:sz w:val="28"/>
          <w:szCs w:val="28"/>
        </w:rPr>
        <w:t>系统</w:t>
      </w:r>
    </w:p>
    <w:p w14:paraId="35E4205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氮气</w:t>
      </w:r>
    </w:p>
    <w:p w14:paraId="6EE246C6">
      <w:pPr>
        <w:pStyle w:val="6"/>
        <w:bidi w:val="0"/>
        <w:rPr>
          <w:rFonts w:hint="default" w:ascii="Times New Roman" w:hAnsi="Times New Roman" w:cs="Times New Roman"/>
          <w:color w:val="auto"/>
        </w:rPr>
      </w:pPr>
      <w:r>
        <w:rPr>
          <w:rFonts w:hint="eastAsia"/>
          <w:b/>
          <w:bCs/>
        </w:rPr>
        <w:t>涉及企业机密，不予公开。</w:t>
      </w:r>
    </w:p>
    <w:p w14:paraId="7D36D1C7">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该项目</w:t>
      </w:r>
      <w:r>
        <w:rPr>
          <w:rFonts w:hint="default" w:ascii="Times New Roman" w:hAnsi="Times New Roman" w:cs="Times New Roman"/>
          <w:color w:val="auto"/>
        </w:rPr>
        <w:t>所需的氮气消耗约200N</w:t>
      </w:r>
      <w:r>
        <w:rPr>
          <w:rFonts w:hint="default" w:ascii="Times New Roman" w:hAnsi="Times New Roman" w:cs="Times New Roman"/>
          <w:color w:val="auto"/>
          <w:lang w:eastAsia="zh-CN"/>
        </w:rPr>
        <w:t>m³</w:t>
      </w:r>
      <w:r>
        <w:rPr>
          <w:rFonts w:hint="default" w:ascii="Times New Roman" w:hAnsi="Times New Roman" w:cs="Times New Roman"/>
          <w:color w:val="auto"/>
        </w:rPr>
        <w:t>/a间断量，仅在开停工时使用，氮气供应依托现有装置。氮气供给能力能够满足需要。</w:t>
      </w:r>
    </w:p>
    <w:p w14:paraId="7D64B13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仪表风</w:t>
      </w:r>
    </w:p>
    <w:p w14:paraId="60D6D690">
      <w:pPr>
        <w:pStyle w:val="6"/>
        <w:ind w:firstLine="560"/>
        <w:rPr>
          <w:rFonts w:hint="default" w:ascii="Times New Roman" w:hAnsi="Times New Roman" w:cs="Times New Roman"/>
          <w:color w:val="auto"/>
          <w:lang w:val="en-US"/>
        </w:rPr>
      </w:pPr>
      <w:r>
        <w:rPr>
          <w:rFonts w:hint="eastAsia"/>
          <w:b/>
          <w:bCs/>
        </w:rPr>
        <w:t>涉及企业机密，不予公开。</w:t>
      </w:r>
    </w:p>
    <w:p w14:paraId="1211F606">
      <w:pPr>
        <w:pStyle w:val="6"/>
        <w:bidi w:val="0"/>
        <w:rPr>
          <w:rFonts w:hint="default" w:ascii="Times New Roman" w:hAnsi="Times New Roman" w:cs="Times New Roman"/>
          <w:color w:val="auto"/>
          <w:lang w:eastAsia="zh-CN"/>
        </w:rPr>
      </w:pPr>
      <w:r>
        <w:rPr>
          <w:rFonts w:hint="default" w:ascii="Times New Roman" w:hAnsi="Times New Roman" w:eastAsia="宋体" w:cs="Times New Roman"/>
          <w:color w:val="auto"/>
          <w:sz w:val="28"/>
          <w:szCs w:val="28"/>
        </w:rPr>
        <w:t>目前空压站总供风能力404Nm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/min，</w:t>
      </w:r>
      <w:r>
        <w:rPr>
          <w:rFonts w:hint="default" w:ascii="Times New Roman" w:hAnsi="Times New Roman" w:cs="Times New Roman"/>
          <w:color w:val="auto"/>
          <w:lang w:eastAsia="zh-CN"/>
        </w:rPr>
        <w:t>其余装置总用量</w:t>
      </w:r>
      <w:r>
        <w:rPr>
          <w:rFonts w:hint="default" w:ascii="Times New Roman" w:hAnsi="Times New Roman" w:eastAsia="宋体" w:cs="Times New Roman"/>
          <w:color w:val="auto"/>
          <w:sz w:val="28"/>
          <w:szCs w:val="28"/>
        </w:rPr>
        <w:t>为133Nm</w:t>
      </w:r>
      <w:r>
        <w:rPr>
          <w:rFonts w:hint="default" w:ascii="Times New Roman" w:hAnsi="Times New Roman" w:eastAsia="宋体" w:cs="Times New Roman"/>
          <w:color w:val="auto"/>
          <w:sz w:val="28"/>
          <w:szCs w:val="28"/>
          <w:vertAlign w:val="superscript"/>
        </w:rPr>
        <w:t>3</w:t>
      </w:r>
      <w:r>
        <w:rPr>
          <w:rFonts w:hint="default" w:ascii="Times New Roman" w:hAnsi="Times New Roman" w:eastAsia="宋体" w:cs="Times New Roman"/>
          <w:color w:val="auto"/>
          <w:sz w:val="28"/>
          <w:szCs w:val="28"/>
        </w:rPr>
        <w:t>/min，</w:t>
      </w:r>
      <w:r>
        <w:rPr>
          <w:rFonts w:hint="default" w:ascii="Times New Roman" w:hAnsi="Times New Roman" w:cs="Times New Roman"/>
          <w:color w:val="auto"/>
          <w:lang w:eastAsia="zh-CN"/>
        </w:rPr>
        <w:t>该项目</w:t>
      </w:r>
      <w:r>
        <w:rPr>
          <w:rFonts w:hint="default" w:ascii="Times New Roman" w:hAnsi="Times New Roman" w:cs="Times New Roman"/>
          <w:color w:val="auto"/>
          <w:lang w:val="en-US" w:eastAsia="zh-CN"/>
        </w:rPr>
        <w:t>所需仪表风为60m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w:t>
      </w:r>
      <w:r>
        <w:rPr>
          <w:rFonts w:hint="default" w:ascii="Times New Roman" w:hAnsi="Times New Roman" w:cs="Times New Roman"/>
          <w:color w:val="auto"/>
          <w:lang w:eastAsia="zh-CN"/>
        </w:rPr>
        <w:t>供气能力能够满足项目需求。</w:t>
      </w:r>
    </w:p>
    <w:p w14:paraId="49D6AF6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瓦斯气</w:t>
      </w:r>
    </w:p>
    <w:p w14:paraId="7294E92D">
      <w:pPr>
        <w:pStyle w:val="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本项目瓦斯气主要用于加热器燃烧，消耗量为63Nm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/h（间歇量）</w:t>
      </w:r>
      <w:r>
        <w:rPr>
          <w:rFonts w:hint="eastAsia" w:cs="Times New Roman"/>
          <w:color w:val="auto"/>
          <w:highlight w:val="none"/>
          <w:lang w:val="en-US" w:eastAsia="zh-CN"/>
        </w:rPr>
        <w:t>，</w:t>
      </w:r>
      <w:r>
        <w:rPr>
          <w:rFonts w:hint="default" w:ascii="Times New Roman" w:hAnsi="Times New Roman" w:cs="Times New Roman"/>
          <w:color w:val="auto"/>
          <w:lang w:val="en-US" w:eastAsia="zh-CN"/>
        </w:rPr>
        <w:t>瓦斯气</w:t>
      </w:r>
      <w:r>
        <w:rPr>
          <w:rFonts w:hint="default" w:ascii="Times New Roman" w:hAnsi="Times New Roman" w:cs="Times New Roman"/>
          <w:color w:val="auto"/>
        </w:rPr>
        <w:t>供给能力能够满足需要。</w:t>
      </w:r>
      <w:r>
        <w:rPr>
          <w:rFonts w:hint="default" w:ascii="Times New Roman" w:hAnsi="Times New Roman" w:cs="Times New Roman"/>
          <w:color w:val="auto"/>
          <w:highlight w:val="none"/>
          <w:lang w:val="en-US" w:eastAsia="zh-CN"/>
        </w:rPr>
        <w:t>瓦斯气自制氢装置处瓦斯线主管接口引入本项目装置区。</w:t>
      </w:r>
    </w:p>
    <w:p w14:paraId="5ACC1F30">
      <w:pPr>
        <w:pStyle w:val="4"/>
        <w:bidi w:val="0"/>
        <w:rPr>
          <w:rFonts w:hint="default" w:ascii="Times New Roman" w:hAnsi="Times New Roman" w:eastAsia="黑体" w:cs="Times New Roman"/>
          <w:color w:val="auto"/>
          <w:lang w:val="en-US" w:eastAsia="zh-CN"/>
        </w:rPr>
      </w:pPr>
      <w:r>
        <w:rPr>
          <w:rFonts w:hint="default" w:ascii="Times New Roman" w:hAnsi="Times New Roman" w:cs="Times New Roman"/>
          <w:color w:val="auto"/>
        </w:rPr>
        <w:t>2.6.</w:t>
      </w:r>
      <w:r>
        <w:rPr>
          <w:rFonts w:hint="default" w:ascii="Times New Roman" w:hAnsi="Times New Roman" w:cs="Times New Roman"/>
          <w:color w:val="auto"/>
          <w:lang w:val="en-US" w:eastAsia="zh-CN"/>
        </w:rPr>
        <w:t>5</w:t>
      </w:r>
      <w:r>
        <w:rPr>
          <w:rFonts w:hint="default" w:ascii="Times New Roman" w:hAnsi="Times New Roman" w:cs="Times New Roman"/>
          <w:color w:val="auto"/>
        </w:rPr>
        <w:t xml:space="preserve"> 采暖</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通风、保温</w:t>
      </w:r>
    </w:p>
    <w:p w14:paraId="7443EA4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该工程未新建建筑物，不需要采暖。</w:t>
      </w:r>
    </w:p>
    <w:p w14:paraId="03ACAE84">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本项目设备均为露天布置，通风良好。</w:t>
      </w:r>
    </w:p>
    <w:p w14:paraId="3E5ED217">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本项目依托的配电室、控制室等建筑物采用空调、换气扇进行采暖通风及空气调节。</w:t>
      </w:r>
    </w:p>
    <w:p w14:paraId="3F74975C">
      <w:pPr>
        <w:pStyle w:val="4"/>
        <w:spacing w:before="120" w:after="12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rPr>
        <w:t xml:space="preserve"> 消防系统</w:t>
      </w:r>
    </w:p>
    <w:p w14:paraId="2152BB3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w:t>
      </w:r>
      <w:r>
        <w:rPr>
          <w:rFonts w:hint="default" w:ascii="Times New Roman" w:hAnsi="Times New Roman" w:cs="Times New Roman"/>
          <w:color w:val="auto"/>
        </w:rPr>
        <w:t>依托厂区内原有消防系统</w:t>
      </w:r>
      <w:r>
        <w:rPr>
          <w:rFonts w:hint="default" w:ascii="Times New Roman" w:hAnsi="Times New Roman" w:cs="Times New Roman"/>
          <w:color w:val="auto"/>
          <w:lang w:eastAsia="zh-CN"/>
        </w:rPr>
        <w:t>。</w:t>
      </w:r>
    </w:p>
    <w:p w14:paraId="6B04AFA0">
      <w:pPr>
        <w:pStyle w:val="6"/>
        <w:bidi w:val="0"/>
        <w:rPr>
          <w:rFonts w:hint="default" w:ascii="Times New Roman" w:hAnsi="Times New Roman" w:cs="Times New Roman"/>
          <w:color w:val="auto"/>
        </w:rPr>
      </w:pPr>
      <w:r>
        <w:rPr>
          <w:rFonts w:hint="default" w:ascii="Times New Roman" w:hAnsi="Times New Roman" w:cs="Times New Roman"/>
          <w:color w:val="auto"/>
        </w:rPr>
        <w:t>（1）消防依托</w:t>
      </w:r>
    </w:p>
    <w:p w14:paraId="50CA1476">
      <w:pPr>
        <w:pStyle w:val="6"/>
        <w:bidi w:val="0"/>
        <w:rPr>
          <w:rFonts w:hint="default" w:ascii="Times New Roman" w:hAnsi="Times New Roman" w:cs="Times New Roman"/>
          <w:color w:val="auto"/>
        </w:rPr>
      </w:pPr>
      <w:r>
        <w:rPr>
          <w:rFonts w:hint="default" w:ascii="Times New Roman" w:hAnsi="Times New Roman" w:cs="Times New Roman"/>
          <w:color w:val="auto"/>
        </w:rPr>
        <w:t>1）消防站</w:t>
      </w:r>
    </w:p>
    <w:p w14:paraId="45EEDC38">
      <w:pPr>
        <w:pStyle w:val="6"/>
        <w:keepNext w:val="0"/>
        <w:keepLines w:val="0"/>
        <w:pageBreakBefore w:val="0"/>
        <w:widowControl/>
        <w:numPr>
          <w:ilvl w:val="0"/>
          <w:numId w:val="5"/>
        </w:numPr>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石油化工总厂应急消防依托驻厂的石化专业应急救援站，设三个执勤分队，每队执勤人数12人，实行消防气防合并24小时执勤制度，消防车辆配备情况见下表。</w:t>
      </w:r>
    </w:p>
    <w:p w14:paraId="68FE50D5">
      <w:pPr>
        <w:pStyle w:val="6"/>
        <w:bidi w:val="0"/>
        <w:rPr>
          <w:rFonts w:hint="default"/>
          <w:b/>
          <w:bCs/>
          <w:lang w:val="en-US" w:eastAsia="zh-CN"/>
        </w:rPr>
      </w:pPr>
      <w:r>
        <w:rPr>
          <w:rFonts w:hint="eastAsia"/>
          <w:b/>
          <w:bCs/>
        </w:rPr>
        <w:t>涉及企业机密，不予公开。</w:t>
      </w:r>
    </w:p>
    <w:p w14:paraId="1896C208">
      <w:pPr>
        <w:pStyle w:val="6"/>
        <w:keepNext w:val="0"/>
        <w:keepLines w:val="0"/>
        <w:pageBreakBefore w:val="0"/>
        <w:widowControl/>
        <w:numPr>
          <w:ilvl w:val="0"/>
          <w:numId w:val="5"/>
        </w:numPr>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气防站</w:t>
      </w:r>
    </w:p>
    <w:p w14:paraId="32D9758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气防站设于应急救援站内，现有气防车1辆，兼职管理人员1人，兼职气防员6人，随消防战斗班24h执勤，并配置相应的装备器材。气防站装备配置见下表。</w:t>
      </w:r>
      <w:r>
        <w:rPr>
          <w:rFonts w:hint="eastAsia"/>
          <w:b/>
          <w:bCs/>
        </w:rPr>
        <w:t>涉及企业机密，不予公开。</w:t>
      </w:r>
    </w:p>
    <w:p w14:paraId="3C487AA5">
      <w:pPr>
        <w:pStyle w:val="6"/>
        <w:keepNext w:val="0"/>
        <w:keepLines w:val="0"/>
        <w:pageBreakBefore w:val="0"/>
        <w:widowControl/>
        <w:numPr>
          <w:ilvl w:val="0"/>
          <w:numId w:val="5"/>
        </w:numPr>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消防水</w:t>
      </w:r>
    </w:p>
    <w:p w14:paraId="0D1AFCE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①消防水用量</w:t>
      </w:r>
    </w:p>
    <w:p w14:paraId="50C91E3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根据《石油化工企业设计防火标准（2018年版）》（GB50160-2008）8.4.3条规定，辅助生产设施的消防水量可按50L/s计算，火灾延续供水时间，不宜小于2h。</w:t>
      </w:r>
    </w:p>
    <w:p w14:paraId="19FAA95E">
      <w:pPr>
        <w:pStyle w:val="6"/>
        <w:bidi w:val="0"/>
        <w:rPr>
          <w:rFonts w:hint="default" w:ascii="Times New Roman" w:hAnsi="Times New Roman" w:eastAsia="宋体" w:cs="Times New Roman"/>
          <w:color w:val="auto"/>
          <w:kern w:val="0"/>
          <w:sz w:val="28"/>
          <w:szCs w:val="28"/>
          <w:lang w:val="en-US" w:eastAsia="zh-CN" w:bidi="ar"/>
        </w:rPr>
      </w:pPr>
      <w:r>
        <w:rPr>
          <w:rFonts w:hint="default" w:ascii="Times New Roman" w:hAnsi="Times New Roman" w:eastAsia="宋体" w:cs="Times New Roman"/>
          <w:color w:val="auto"/>
          <w:kern w:val="0"/>
          <w:sz w:val="28"/>
          <w:szCs w:val="28"/>
          <w:lang w:val="en-US" w:eastAsia="zh-CN" w:bidi="ar"/>
        </w:rPr>
        <w:t>本项目</w:t>
      </w:r>
      <w:r>
        <w:rPr>
          <w:rFonts w:hint="default" w:ascii="Times New Roman" w:hAnsi="Times New Roman" w:cs="Times New Roman"/>
          <w:color w:val="auto"/>
          <w:kern w:val="0"/>
          <w:sz w:val="28"/>
          <w:szCs w:val="28"/>
          <w:lang w:val="en-US" w:eastAsia="zh-CN" w:bidi="ar"/>
        </w:rPr>
        <w:t>取</w:t>
      </w:r>
      <w:r>
        <w:rPr>
          <w:rFonts w:hint="default" w:ascii="Times New Roman" w:hAnsi="Times New Roman" w:eastAsia="宋体" w:cs="Times New Roman"/>
          <w:color w:val="auto"/>
          <w:kern w:val="0"/>
          <w:sz w:val="28"/>
          <w:szCs w:val="28"/>
          <w:lang w:val="en-US" w:eastAsia="zh-CN" w:bidi="ar"/>
        </w:rPr>
        <w:t>消防水量为50L/s，火灾延续时间为2h，一次消防用水量为360m</w:t>
      </w:r>
      <w:r>
        <w:rPr>
          <w:rFonts w:hint="default" w:ascii="Times New Roman" w:hAnsi="Times New Roman" w:cs="Times New Roman"/>
          <w:color w:val="auto"/>
          <w:kern w:val="0"/>
          <w:sz w:val="28"/>
          <w:szCs w:val="28"/>
          <w:vertAlign w:val="superscript"/>
          <w:lang w:val="en-US" w:eastAsia="zh-CN" w:bidi="ar"/>
        </w:rPr>
        <w:t>3</w:t>
      </w:r>
      <w:r>
        <w:rPr>
          <w:rFonts w:hint="default" w:ascii="Times New Roman" w:hAnsi="Times New Roman" w:eastAsia="宋体" w:cs="Times New Roman"/>
          <w:color w:val="auto"/>
          <w:kern w:val="0"/>
          <w:sz w:val="28"/>
          <w:szCs w:val="28"/>
          <w:lang w:val="en-US" w:eastAsia="zh-CN" w:bidi="ar"/>
        </w:rPr>
        <w:t>。依托</w:t>
      </w:r>
      <w:r>
        <w:rPr>
          <w:rFonts w:hint="eastAsia" w:cs="Times New Roman"/>
          <w:color w:val="auto"/>
          <w:kern w:val="0"/>
          <w:sz w:val="28"/>
          <w:szCs w:val="28"/>
          <w:lang w:val="en-US" w:eastAsia="zh-CN" w:bidi="ar"/>
        </w:rPr>
        <w:t>厂区</w:t>
      </w:r>
      <w:r>
        <w:rPr>
          <w:rFonts w:hint="default" w:ascii="Times New Roman" w:hAnsi="Times New Roman" w:eastAsia="宋体" w:cs="Times New Roman"/>
          <w:color w:val="auto"/>
          <w:kern w:val="0"/>
          <w:sz w:val="28"/>
          <w:szCs w:val="28"/>
          <w:lang w:val="en-US" w:eastAsia="zh-CN" w:bidi="ar"/>
        </w:rPr>
        <w:t>现有消防水系统，依托已建消火栓。</w:t>
      </w:r>
    </w:p>
    <w:p w14:paraId="7CACD4B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该项目消防依托厂区原有消防系统。</w:t>
      </w:r>
      <w:r>
        <w:rPr>
          <w:rFonts w:hint="eastAsia"/>
          <w:b/>
          <w:bCs/>
        </w:rPr>
        <w:t>涉及企业机密，不予公开。</w:t>
      </w:r>
    </w:p>
    <w:p w14:paraId="0EFC8618">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灭火器</w:t>
      </w:r>
    </w:p>
    <w:p w14:paraId="0D63E4D1">
      <w:pPr>
        <w:pStyle w:val="6"/>
        <w:bidi w:val="0"/>
        <w:rPr>
          <w:rFonts w:hint="default" w:ascii="Times New Roman" w:hAnsi="Times New Roman" w:cs="Times New Roman"/>
          <w:color w:val="auto"/>
        </w:rPr>
      </w:pPr>
      <w:r>
        <w:rPr>
          <w:rFonts w:hint="default" w:ascii="Times New Roman" w:hAnsi="Times New Roman" w:cs="Times New Roman"/>
          <w:color w:val="auto"/>
        </w:rPr>
        <w:t>按《建筑灭火器配置设计规范》（GB50140-2005），根据工艺装置的火灾危险等级，在工艺装置区</w:t>
      </w:r>
      <w:r>
        <w:rPr>
          <w:rFonts w:hint="default" w:ascii="Times New Roman" w:hAnsi="Times New Roman" w:cs="Times New Roman"/>
          <w:color w:val="auto"/>
          <w:lang w:val="en-US" w:eastAsia="zh-CN"/>
        </w:rPr>
        <w:t>拟</w:t>
      </w:r>
      <w:r>
        <w:rPr>
          <w:rFonts w:hint="default" w:ascii="Times New Roman" w:hAnsi="Times New Roman" w:cs="Times New Roman"/>
          <w:color w:val="auto"/>
        </w:rPr>
        <w:t>设置移动式干粉灭火器，用以扑灭初期小型火灾。</w:t>
      </w:r>
    </w:p>
    <w:p w14:paraId="6A3151B6">
      <w:pPr>
        <w:keepNext w:val="0"/>
        <w:keepLines w:val="0"/>
        <w:pageBreakBefore w:val="0"/>
        <w:widowControl w:val="0"/>
        <w:kinsoku/>
        <w:wordWrap/>
        <w:overflowPunct/>
        <w:topLinePunct w:val="0"/>
        <w:autoSpaceDE/>
        <w:autoSpaceDN/>
        <w:bidi w:val="0"/>
        <w:adjustRightInd w:val="0"/>
        <w:snapToGrid w:val="0"/>
        <w:spacing w:beforeLines="0" w:afterLines="0"/>
        <w:ind w:firstLine="0" w:firstLine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表2.</w:t>
      </w:r>
      <w:r>
        <w:rPr>
          <w:rFonts w:hint="default" w:ascii="Times New Roman" w:hAnsi="Times New Roman" w:eastAsia="宋体" w:cs="Times New Roman"/>
          <w:b/>
          <w:color w:val="auto"/>
          <w:sz w:val="24"/>
          <w:szCs w:val="24"/>
          <w:lang w:val="en-US" w:eastAsia="zh-CN"/>
        </w:rPr>
        <w:t>6</w:t>
      </w:r>
      <w:r>
        <w:rPr>
          <w:rFonts w:hint="default" w:ascii="Times New Roman" w:hAnsi="Times New Roman" w:eastAsia="宋体" w:cs="Times New Roman"/>
          <w:b/>
          <w:color w:val="auto"/>
          <w:sz w:val="24"/>
          <w:szCs w:val="24"/>
        </w:rPr>
        <w:t>-</w:t>
      </w:r>
      <w:r>
        <w:rPr>
          <w:rFonts w:hint="eastAsia" w:ascii="Times New Roman" w:hAnsi="Times New Roman" w:eastAsia="宋体" w:cs="Times New Roman"/>
          <w:b/>
          <w:color w:val="auto"/>
          <w:sz w:val="24"/>
          <w:szCs w:val="24"/>
          <w:lang w:val="en-US" w:eastAsia="zh-CN"/>
        </w:rPr>
        <w:t>5</w:t>
      </w:r>
      <w:r>
        <w:rPr>
          <w:rFonts w:hint="default"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color w:val="auto"/>
          <w:sz w:val="24"/>
          <w:szCs w:val="24"/>
        </w:rPr>
        <w:t>灭火器布置一览表</w:t>
      </w:r>
    </w:p>
    <w:tbl>
      <w:tblPr>
        <w:tblStyle w:val="20"/>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18"/>
        <w:gridCol w:w="2471"/>
        <w:gridCol w:w="2721"/>
        <w:gridCol w:w="1474"/>
        <w:gridCol w:w="1813"/>
      </w:tblGrid>
      <w:tr w14:paraId="44EDDF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489" w:type="pct"/>
            <w:noWrap/>
            <w:vAlign w:val="center"/>
          </w:tcPr>
          <w:p w14:paraId="5C8B871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314" w:type="pct"/>
            <w:noWrap/>
            <w:vAlign w:val="center"/>
          </w:tcPr>
          <w:p w14:paraId="246F37CD">
            <w:pPr>
              <w:pStyle w:val="31"/>
              <w:bidi w:val="0"/>
              <w:rPr>
                <w:rFonts w:hint="default" w:ascii="Times New Roman" w:hAnsi="Times New Roman" w:eastAsia="宋体" w:cs="Times New Roman"/>
                <w:b/>
                <w:bCs/>
                <w:color w:val="auto"/>
                <w:lang w:eastAsia="zh-CN"/>
              </w:rPr>
            </w:pPr>
            <w:r>
              <w:rPr>
                <w:rFonts w:hint="default" w:ascii="Times New Roman" w:hAnsi="Times New Roman" w:cs="Times New Roman"/>
                <w:b/>
                <w:bCs/>
                <w:color w:val="auto"/>
                <w:lang w:val="en-US" w:eastAsia="zh-CN"/>
              </w:rPr>
              <w:t>名称</w:t>
            </w:r>
          </w:p>
        </w:tc>
        <w:tc>
          <w:tcPr>
            <w:tcW w:w="1447" w:type="pct"/>
            <w:noWrap/>
            <w:vAlign w:val="center"/>
          </w:tcPr>
          <w:p w14:paraId="17677572">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规格型号</w:t>
            </w:r>
          </w:p>
        </w:tc>
        <w:tc>
          <w:tcPr>
            <w:tcW w:w="784" w:type="pct"/>
            <w:noWrap/>
            <w:vAlign w:val="center"/>
          </w:tcPr>
          <w:p w14:paraId="2DCD77CB">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数量（具）</w:t>
            </w:r>
          </w:p>
        </w:tc>
        <w:tc>
          <w:tcPr>
            <w:tcW w:w="964" w:type="pct"/>
            <w:noWrap/>
            <w:vAlign w:val="center"/>
          </w:tcPr>
          <w:p w14:paraId="468AEE54">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备注</w:t>
            </w:r>
          </w:p>
        </w:tc>
      </w:tr>
      <w:tr w14:paraId="75C954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89" w:type="pct"/>
            <w:noWrap/>
            <w:vAlign w:val="center"/>
          </w:tcPr>
          <w:p w14:paraId="5A8588DA">
            <w:pPr>
              <w:pStyle w:val="31"/>
              <w:bidi w:val="0"/>
              <w:rPr>
                <w:rFonts w:hint="default" w:ascii="Times New Roman" w:hAnsi="Times New Roman" w:cs="Times New Roman"/>
                <w:color w:val="auto"/>
              </w:rPr>
            </w:pPr>
            <w:r>
              <w:rPr>
                <w:rFonts w:hint="default" w:ascii="Times New Roman" w:hAnsi="Times New Roman" w:cs="Times New Roman"/>
                <w:color w:val="auto"/>
              </w:rPr>
              <w:t>1</w:t>
            </w:r>
          </w:p>
        </w:tc>
        <w:tc>
          <w:tcPr>
            <w:tcW w:w="1314" w:type="pct"/>
            <w:noWrap/>
            <w:vAlign w:val="center"/>
          </w:tcPr>
          <w:p w14:paraId="1B110446">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手提式灭火器</w:t>
            </w:r>
          </w:p>
        </w:tc>
        <w:tc>
          <w:tcPr>
            <w:tcW w:w="1447" w:type="pct"/>
            <w:noWrap/>
            <w:vAlign w:val="center"/>
          </w:tcPr>
          <w:p w14:paraId="4A13D825">
            <w:pPr>
              <w:pStyle w:val="31"/>
              <w:bidi w:val="0"/>
              <w:rPr>
                <w:rFonts w:hint="default" w:ascii="Times New Roman" w:hAnsi="Times New Roman" w:cs="Times New Roman"/>
                <w:color w:val="auto"/>
              </w:rPr>
            </w:pPr>
            <w:r>
              <w:rPr>
                <w:rFonts w:hint="default" w:ascii="Times New Roman" w:hAnsi="Times New Roman" w:eastAsia="Times New Roman" w:cs="Times New Roman"/>
                <w:color w:val="auto"/>
                <w:sz w:val="21"/>
                <w:szCs w:val="21"/>
                <w:lang w:val="zh-CN"/>
              </w:rPr>
              <w:t>MF/ABC8</w:t>
            </w:r>
          </w:p>
        </w:tc>
        <w:tc>
          <w:tcPr>
            <w:tcW w:w="784" w:type="pct"/>
            <w:noWrap/>
            <w:vAlign w:val="center"/>
          </w:tcPr>
          <w:p w14:paraId="58A36DF8">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12</w:t>
            </w:r>
          </w:p>
        </w:tc>
        <w:tc>
          <w:tcPr>
            <w:tcW w:w="964" w:type="pct"/>
            <w:noWrap/>
            <w:vAlign w:val="center"/>
          </w:tcPr>
          <w:p w14:paraId="63141673">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配6个灭火器箱</w:t>
            </w:r>
          </w:p>
        </w:tc>
      </w:tr>
    </w:tbl>
    <w:p w14:paraId="11A05493">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火灾报警系统</w:t>
      </w:r>
    </w:p>
    <w:p w14:paraId="7B9F4E39">
      <w:pPr>
        <w:pStyle w:val="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火灾自动报警系统由火灾报警控制器、火灾探测器、手动报警按钮、火灾警报装置、消防电源、其他辅助功能装置以及线路等组成。</w:t>
      </w:r>
    </w:p>
    <w:p w14:paraId="7E299DEB">
      <w:pPr>
        <w:pStyle w:val="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本项目利旧原有火灾报警设备。</w:t>
      </w:r>
    </w:p>
    <w:p w14:paraId="3E8BFF56">
      <w:pPr>
        <w:pStyle w:val="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（4）可燃气体报警器</w:t>
      </w:r>
    </w:p>
    <w:p w14:paraId="4FF55D54">
      <w:pPr>
        <w:pStyle w:val="6"/>
        <w:bidi w:val="0"/>
        <w:rPr>
          <w:rFonts w:hint="default" w:ascii="Times New Roman" w:hAnsi="Times New Roman" w:cs="Times New Roman"/>
          <w:color w:val="auto"/>
          <w:highlight w:val="none"/>
          <w:lang w:eastAsia="zh-CN"/>
        </w:rPr>
      </w:pPr>
      <w:r>
        <w:rPr>
          <w:rFonts w:hint="default" w:ascii="Times New Roman" w:hAnsi="Times New Roman" w:cs="Times New Roman"/>
          <w:color w:val="auto"/>
          <w:lang w:val="en-US" w:eastAsia="zh-CN"/>
        </w:rPr>
        <w:t>该项目拟设置6台可燃气体探测器，</w:t>
      </w:r>
      <w:r>
        <w:rPr>
          <w:rFonts w:hint="default" w:ascii="Times New Roman" w:hAnsi="Times New Roman" w:cs="Times New Roman"/>
          <w:color w:val="auto"/>
          <w:highlight w:val="none"/>
          <w:lang w:eastAsia="zh-CN"/>
        </w:rPr>
        <w:t>可研阶段未</w:t>
      </w:r>
      <w:r>
        <w:rPr>
          <w:rFonts w:hint="default" w:ascii="Times New Roman" w:hAnsi="Times New Roman" w:cs="Times New Roman"/>
          <w:color w:val="auto"/>
          <w:highlight w:val="none"/>
          <w:lang w:val="en-US" w:eastAsia="zh-CN"/>
        </w:rPr>
        <w:t>详细说明可燃气体探测器的型号、高低报值及信号传输情况</w:t>
      </w:r>
      <w:r>
        <w:rPr>
          <w:rFonts w:hint="default" w:ascii="Times New Roman" w:hAnsi="Times New Roman" w:cs="Times New Roman"/>
          <w:color w:val="auto"/>
          <w:highlight w:val="none"/>
          <w:lang w:eastAsia="zh-CN"/>
        </w:rPr>
        <w:t>，本次评价在第7.</w:t>
      </w:r>
      <w:r>
        <w:rPr>
          <w:rFonts w:hint="default" w:ascii="Times New Roman" w:hAnsi="Times New Roman" w:cs="Times New Roman"/>
          <w:color w:val="auto"/>
          <w:highlight w:val="none"/>
          <w:lang w:val="en-US" w:eastAsia="zh-CN"/>
        </w:rPr>
        <w:t>1.2</w:t>
      </w:r>
      <w:r>
        <w:rPr>
          <w:rFonts w:hint="default" w:ascii="Times New Roman" w:hAnsi="Times New Roman" w:cs="Times New Roman"/>
          <w:color w:val="auto"/>
          <w:highlight w:val="none"/>
          <w:lang w:eastAsia="zh-CN"/>
        </w:rPr>
        <w:t>节补充的安全对策措施中提出了相关要求。</w:t>
      </w:r>
    </w:p>
    <w:p w14:paraId="1BF06325">
      <w:pPr>
        <w:pStyle w:val="4"/>
        <w:bidi w:val="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lang w:val="en-US" w:eastAsia="zh-CN"/>
        </w:rPr>
        <w:t>7</w:t>
      </w:r>
      <w:r>
        <w:rPr>
          <w:rFonts w:hint="default" w:ascii="Times New Roman" w:hAnsi="Times New Roman" w:cs="Times New Roman"/>
          <w:color w:val="auto"/>
          <w:sz w:val="28"/>
          <w:szCs w:val="28"/>
        </w:rPr>
        <w:t xml:space="preserve"> 自动控制</w:t>
      </w:r>
    </w:p>
    <w:p w14:paraId="7F7D5F8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eastAsia" w:cs="Times New Roman"/>
          <w:color w:val="auto"/>
          <w:lang w:val="en-US" w:eastAsia="zh-CN"/>
        </w:rPr>
        <w:t>概述</w:t>
      </w:r>
    </w:p>
    <w:p w14:paraId="784B754E">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本项目</w:t>
      </w:r>
      <w:r>
        <w:rPr>
          <w:rFonts w:hint="default" w:ascii="Times New Roman" w:hAnsi="Times New Roman" w:cs="Times New Roman"/>
          <w:color w:val="auto"/>
          <w:lang w:eastAsia="zh-CN"/>
        </w:rPr>
        <w:t>通过DCS系统对生产过程进行集中操作、集中管理和分散控制。新增仪表信号就近引入16#罐区的DCS系统</w:t>
      </w:r>
      <w:r>
        <w:rPr>
          <w:rFonts w:hint="eastAsia" w:cs="Times New Roman"/>
          <w:color w:val="auto"/>
          <w:lang w:eastAsia="zh-CN"/>
        </w:rPr>
        <w:t>，最终上传至石油化工总厂中心控制室，该控制室抗爆，</w:t>
      </w:r>
      <w:r>
        <w:rPr>
          <w:rFonts w:hint="default" w:ascii="Times New Roman" w:hAnsi="Times New Roman" w:cs="Times New Roman"/>
          <w:color w:val="auto"/>
          <w:lang w:val="en-US" w:eastAsia="zh-CN"/>
        </w:rPr>
        <w:t>本次新建拟</w:t>
      </w:r>
      <w:r>
        <w:rPr>
          <w:rFonts w:hint="default" w:ascii="Times New Roman" w:hAnsi="Times New Roman" w:cs="Times New Roman"/>
          <w:color w:val="auto"/>
          <w:lang w:eastAsia="zh-CN"/>
        </w:rPr>
        <w:t>对DCS系统进行扩容。</w:t>
      </w:r>
    </w:p>
    <w:p w14:paraId="05799CD2">
      <w:pPr>
        <w:pStyle w:val="6"/>
        <w:bidi w:val="0"/>
        <w:rPr>
          <w:rFonts w:hint="default" w:ascii="Times New Roman" w:hAnsi="Times New Roman" w:cs="Times New Roman"/>
          <w:color w:val="auto"/>
          <w:highlight w:val="none"/>
        </w:rPr>
      </w:pPr>
      <w:r>
        <w:rPr>
          <w:rFonts w:hint="default" w:ascii="Times New Roman" w:hAnsi="Times New Roman" w:cs="Times New Roman"/>
          <w:color w:val="auto"/>
          <w:lang w:eastAsia="zh-CN"/>
        </w:rPr>
        <w:t>可燃气体检测报警系统采用独立GDS系统，在中控室设置GDS显示操作站，监视装置内的可燃气体/有毒气体。</w:t>
      </w:r>
      <w:r>
        <w:rPr>
          <w:rFonts w:hint="default" w:ascii="Times New Roman" w:hAnsi="Times New Roman" w:cs="Times New Roman"/>
          <w:color w:val="auto"/>
          <w:highlight w:val="none"/>
        </w:rPr>
        <w:t>GDS系统的设置应符合</w:t>
      </w:r>
      <w:r>
        <w:rPr>
          <w:rFonts w:hint="default" w:ascii="Times New Roman" w:hAnsi="Times New Roman" w:cs="Times New Roman"/>
          <w:color w:val="auto"/>
          <w:highlight w:val="none"/>
          <w:lang w:eastAsia="zh-CN"/>
        </w:rPr>
        <w:t>《石油化工可燃气体和有毒气体检测报警设计标准》（</w:t>
      </w:r>
      <w:r>
        <w:rPr>
          <w:rFonts w:hint="default" w:ascii="Times New Roman" w:hAnsi="Times New Roman" w:cs="Times New Roman"/>
          <w:color w:val="auto"/>
          <w:highlight w:val="none"/>
        </w:rPr>
        <w:t>GB/T 50493-2019</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相关规定。</w:t>
      </w:r>
    </w:p>
    <w:p w14:paraId="122C3F85">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主要仪表选型</w:t>
      </w:r>
    </w:p>
    <w:p w14:paraId="1A5F677C">
      <w:pPr>
        <w:pStyle w:val="6"/>
        <w:bidi w:val="0"/>
        <w:rPr>
          <w:rFonts w:hint="default" w:ascii="Times New Roman" w:hAnsi="Times New Roman" w:eastAsia="宋体" w:cs="Times New Roman"/>
          <w:color w:val="auto"/>
          <w:lang w:val="en-US" w:eastAsia="zh-CN"/>
        </w:rPr>
      </w:pPr>
      <w:r>
        <w:rPr>
          <w:rFonts w:hint="eastAsia" w:cs="Times New Roman"/>
          <w:color w:val="auto"/>
          <w:lang w:val="en-US" w:eastAsia="zh-CN"/>
        </w:rPr>
        <w:t>1</w:t>
      </w:r>
      <w:r>
        <w:rPr>
          <w:rFonts w:hint="default" w:ascii="Times New Roman" w:hAnsi="Times New Roman" w:cs="Times New Roman"/>
          <w:color w:val="auto"/>
          <w:lang w:val="en-US" w:eastAsia="zh-CN"/>
        </w:rPr>
        <w:t>）选型方案</w:t>
      </w:r>
    </w:p>
    <w:p w14:paraId="0803D281">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①</w:t>
      </w:r>
      <w:r>
        <w:rPr>
          <w:rFonts w:hint="default" w:ascii="Times New Roman" w:hAnsi="Times New Roman" w:cs="Times New Roman"/>
          <w:color w:val="auto"/>
          <w:lang w:val="en-US" w:eastAsia="zh-CN"/>
        </w:rPr>
        <w:t>温度仪表</w:t>
      </w:r>
    </w:p>
    <w:p w14:paraId="4C5CD2FA">
      <w:pPr>
        <w:pStyle w:val="6"/>
        <w:bidi w:val="0"/>
        <w:rPr>
          <w:rFonts w:hint="default" w:ascii="Times New Roman" w:hAnsi="Times New Roman" w:cs="Times New Roman"/>
          <w:color w:val="auto"/>
        </w:rPr>
      </w:pPr>
      <w:r>
        <w:rPr>
          <w:rFonts w:hint="default" w:ascii="Times New Roman" w:hAnsi="Times New Roman" w:cs="Times New Roman"/>
          <w:color w:val="auto"/>
        </w:rPr>
        <w:t>就地温度指示仪表选用带外保护套管的万向型双金属温度计，刻度盘直径一般宜选用100mm。需远传的温度测量宜选用铠装热电阻/热电偶。</w:t>
      </w:r>
    </w:p>
    <w:p w14:paraId="556368F6">
      <w:pPr>
        <w:pStyle w:val="6"/>
        <w:bidi w:val="0"/>
        <w:rPr>
          <w:rFonts w:hint="default" w:ascii="Times New Roman" w:hAnsi="Times New Roman" w:cs="Times New Roman"/>
          <w:color w:val="auto"/>
        </w:rPr>
      </w:pPr>
      <w:r>
        <w:rPr>
          <w:rFonts w:hint="default" w:ascii="Times New Roman" w:hAnsi="Times New Roman" w:cs="Times New Roman"/>
          <w:color w:val="auto"/>
        </w:rPr>
        <w:t>保护套管材料根据介质条件而定，最低材质为316SS，采用法兰与工艺连接，公称压力与管道等级相同。</w:t>
      </w:r>
    </w:p>
    <w:p w14:paraId="0F0170BA">
      <w:pPr>
        <w:pStyle w:val="6"/>
        <w:bidi w:val="0"/>
        <w:rPr>
          <w:rFonts w:hint="default" w:ascii="Times New Roman" w:hAnsi="Times New Roman" w:cs="Times New Roman"/>
          <w:color w:val="auto"/>
        </w:rPr>
      </w:pPr>
      <w:r>
        <w:rPr>
          <w:rFonts w:hint="default" w:ascii="Times New Roman" w:hAnsi="Times New Roman" w:cs="Times New Roman"/>
          <w:color w:val="auto"/>
        </w:rPr>
        <w:t>热电阻/热电偶的信号经带温变功能的隔离式安全栅与DCS的输入卡件连接。</w:t>
      </w:r>
    </w:p>
    <w:p w14:paraId="4A417D96">
      <w:pPr>
        <w:pStyle w:val="6"/>
        <w:bidi w:val="0"/>
        <w:rPr>
          <w:rFonts w:hint="default" w:ascii="Times New Roman" w:hAnsi="Times New Roman" w:cs="Times New Roman"/>
          <w:color w:val="auto"/>
        </w:rPr>
      </w:pPr>
      <w:r>
        <w:rPr>
          <w:rFonts w:hint="default" w:ascii="Times New Roman" w:hAnsi="Times New Roman" w:cs="Times New Roman"/>
          <w:color w:val="auto"/>
        </w:rPr>
        <w:t>为减少测温元件的种类，测温元件优先选用符合IEC60584标准的“K”型热电偶或采用符合IEC60751标准Pt100热电阻，热电阻采用三线制。</w:t>
      </w:r>
    </w:p>
    <w:p w14:paraId="3A5BC8E4">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②压力仪表</w:t>
      </w:r>
    </w:p>
    <w:p w14:paraId="77817FDC">
      <w:pPr>
        <w:pStyle w:val="6"/>
        <w:bidi w:val="0"/>
        <w:rPr>
          <w:rFonts w:hint="default" w:ascii="Times New Roman" w:hAnsi="Times New Roman" w:cs="Times New Roman"/>
          <w:color w:val="auto"/>
        </w:rPr>
      </w:pPr>
      <w:r>
        <w:rPr>
          <w:rFonts w:hint="default" w:ascii="Times New Roman" w:hAnsi="Times New Roman" w:cs="Times New Roman"/>
          <w:color w:val="auto"/>
        </w:rPr>
        <w:t>一般情况下，压力表宜选用表壳直径100mm；精度不低于1.5级。</w:t>
      </w:r>
    </w:p>
    <w:p w14:paraId="103D0C39">
      <w:pPr>
        <w:pStyle w:val="6"/>
        <w:bidi w:val="0"/>
        <w:rPr>
          <w:rFonts w:hint="default" w:ascii="Times New Roman" w:hAnsi="Times New Roman" w:cs="Times New Roman"/>
          <w:color w:val="auto"/>
        </w:rPr>
      </w:pPr>
      <w:r>
        <w:rPr>
          <w:rFonts w:hint="default" w:ascii="Times New Roman" w:hAnsi="Times New Roman" w:cs="Times New Roman"/>
          <w:color w:val="auto"/>
        </w:rPr>
        <w:t>就地压力指示仪表一般采用“YTS”系列不锈钢压力表。压力≥40kPa以上时</w:t>
      </w:r>
      <w:r>
        <w:rPr>
          <w:rFonts w:hint="default" w:ascii="Times New Roman" w:hAnsi="Times New Roman" w:cs="Times New Roman"/>
          <w:color w:val="auto"/>
          <w:lang w:eastAsia="zh-CN"/>
        </w:rPr>
        <w:t>，</w:t>
      </w:r>
      <w:r>
        <w:rPr>
          <w:rFonts w:hint="default" w:ascii="Times New Roman" w:hAnsi="Times New Roman" w:cs="Times New Roman"/>
          <w:color w:val="auto"/>
        </w:rPr>
        <w:t>选用弹簧管压力表；压力＜40kPa以下时</w:t>
      </w:r>
      <w:r>
        <w:rPr>
          <w:rFonts w:hint="default" w:ascii="Times New Roman" w:hAnsi="Times New Roman" w:cs="Times New Roman"/>
          <w:color w:val="auto"/>
          <w:lang w:eastAsia="zh-CN"/>
        </w:rPr>
        <w:t>，</w:t>
      </w:r>
      <w:r>
        <w:rPr>
          <w:rFonts w:hint="default" w:ascii="Times New Roman" w:hAnsi="Times New Roman" w:cs="Times New Roman"/>
          <w:color w:val="auto"/>
        </w:rPr>
        <w:t>选用膜盒压力表，特殊介质可选用隔膜压力表；有振动场合的压力表选用耐振压力表。</w:t>
      </w:r>
    </w:p>
    <w:p w14:paraId="2BA90F7B">
      <w:pPr>
        <w:pStyle w:val="6"/>
        <w:bidi w:val="0"/>
        <w:rPr>
          <w:rFonts w:hint="default" w:ascii="Times New Roman" w:hAnsi="Times New Roman" w:cs="Times New Roman"/>
          <w:color w:val="auto"/>
        </w:rPr>
      </w:pPr>
      <w:r>
        <w:rPr>
          <w:rFonts w:hint="default" w:ascii="Times New Roman" w:hAnsi="Times New Roman" w:cs="Times New Roman"/>
          <w:color w:val="auto"/>
        </w:rPr>
        <w:t>压力、差压远传选用智能型压力、差压变送器</w:t>
      </w:r>
      <w:r>
        <w:rPr>
          <w:rFonts w:hint="default" w:ascii="Times New Roman" w:hAnsi="Times New Roman" w:cs="Times New Roman"/>
          <w:color w:val="auto"/>
          <w:lang w:eastAsia="zh-CN"/>
        </w:rPr>
        <w:t>（</w:t>
      </w:r>
      <w:r>
        <w:rPr>
          <w:rFonts w:hint="default" w:ascii="Times New Roman" w:hAnsi="Times New Roman" w:cs="Times New Roman"/>
          <w:color w:val="auto"/>
        </w:rPr>
        <w:t>4-20mADC标准信号叠加HART协议</w:t>
      </w:r>
      <w:r>
        <w:rPr>
          <w:rFonts w:hint="default" w:ascii="Times New Roman" w:hAnsi="Times New Roman" w:cs="Times New Roman"/>
          <w:color w:val="auto"/>
          <w:lang w:eastAsia="zh-CN"/>
        </w:rPr>
        <w:t>）</w:t>
      </w:r>
      <w:r>
        <w:rPr>
          <w:rFonts w:hint="default" w:ascii="Times New Roman" w:hAnsi="Times New Roman" w:cs="Times New Roman"/>
          <w:color w:val="auto"/>
        </w:rPr>
        <w:t>，测量压差或微压力选用差压变送器。</w:t>
      </w:r>
    </w:p>
    <w:p w14:paraId="5DA72E6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③调节阀</w:t>
      </w:r>
    </w:p>
    <w:p w14:paraId="13057EC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调节阀由薄膜或气缸执行机构操作，直通或角型阀体，优先选用等百分比特性，线性或近似等百分比特性（偏心旋转阀）也可采用。</w:t>
      </w:r>
    </w:p>
    <w:p w14:paraId="7A52F9C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8”和8”以下的调节阀优先选用Globe调节阀（单/双座和套筒式），10”及以上口径、低差压场合采用偏心旋转阀、双偏心蝶阀。</w:t>
      </w:r>
    </w:p>
    <w:p w14:paraId="4659642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阀体材料应符合工艺介质要求，连接法兰等级应与管道专业管路标准级别相适应。阀体材料一般参照管道等级规定来确定。</w:t>
      </w:r>
    </w:p>
    <w:p w14:paraId="503DDE2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阀内组件和阀座材料通常应为316SS。高差压或其它特殊场合，材料应经硬化处理或选用相应的合适材料。</w:t>
      </w:r>
    </w:p>
    <w:p w14:paraId="6A8D693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操作温度低于+200℃密封填料可选用聚四氟乙烯人字型填料或聚四氟乙烯混合填料。操作温度为200℃或更高应选用石墨填料。</w:t>
      </w:r>
    </w:p>
    <w:p w14:paraId="60F5000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a）低压切断阀可选用闸阀或球阀，压力低且口径≥14″的场合可用三偏心蝶阀。</w:t>
      </w:r>
    </w:p>
    <w:p w14:paraId="2410C71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b）切断阀优先采用气动单作用气缸执行机构，对于口径≥10″或采用单作用气缸执行机构有困难的切断阀也可采用双作用气缸执行机构。</w:t>
      </w:r>
    </w:p>
    <w:p w14:paraId="386E625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c）切断应带有阀位回讯开关，回讯开关优先选用机械式。</w:t>
      </w:r>
    </w:p>
    <w:p w14:paraId="2DA0C6A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d）电磁阀应选用24VDC供电，长期带电型，低功耗，隔爆型，材质为不锈钢。</w:t>
      </w:r>
    </w:p>
    <w:p w14:paraId="2EAC75A9">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④分析仪表</w:t>
      </w:r>
    </w:p>
    <w:p w14:paraId="6D5D2CF0">
      <w:pPr>
        <w:pStyle w:val="6"/>
        <w:bidi w:val="0"/>
        <w:rPr>
          <w:rFonts w:hint="default" w:ascii="Times New Roman" w:hAnsi="Times New Roman" w:cs="Times New Roman"/>
          <w:color w:val="auto"/>
        </w:rPr>
      </w:pPr>
      <w:r>
        <w:rPr>
          <w:rFonts w:hint="default" w:ascii="Times New Roman" w:hAnsi="Times New Roman" w:cs="Times New Roman"/>
          <w:color w:val="auto"/>
        </w:rPr>
        <w:t>可燃气体检测器选用催化燃烧式，自然扩散型。</w:t>
      </w:r>
    </w:p>
    <w:p w14:paraId="397AF6C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仪表的防爆</w:t>
      </w:r>
    </w:p>
    <w:p w14:paraId="4364892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本项目仪表优先采用本安型，无本安型时采用隔爆型，防爆等级不低于iaIIBT4或dIIBT4。</w:t>
      </w:r>
    </w:p>
    <w:p w14:paraId="6701C00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现场接线箱采用增安型，防爆等级为ExeII</w:t>
      </w:r>
      <w:r>
        <w:rPr>
          <w:rFonts w:hint="eastAsia" w:cs="Times New Roman"/>
          <w:color w:val="auto"/>
          <w:lang w:val="en-US" w:eastAsia="zh-CN"/>
        </w:rPr>
        <w:t>B</w:t>
      </w:r>
      <w:r>
        <w:rPr>
          <w:rFonts w:hint="default" w:ascii="Times New Roman" w:hAnsi="Times New Roman" w:cs="Times New Roman"/>
          <w:color w:val="auto"/>
          <w:lang w:val="en-US" w:eastAsia="zh-CN"/>
        </w:rPr>
        <w:t>T4。</w:t>
      </w:r>
    </w:p>
    <w:p w14:paraId="12C31CC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仪表的防护</w:t>
      </w:r>
    </w:p>
    <w:p w14:paraId="0DE1070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现场仪表、接线箱、接线盒的防护等级不低于IP65。</w:t>
      </w:r>
    </w:p>
    <w:p w14:paraId="03FA3C0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安装在地下工作井中的仪表，在下雨过程中或管道介质泄漏时会积水或积液时，仪表的防护等级选用IP68。</w:t>
      </w:r>
    </w:p>
    <w:p w14:paraId="70ECE3EC">
      <w:pPr>
        <w:pStyle w:val="4"/>
        <w:bidi w:val="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lang w:val="en-US" w:eastAsia="zh-CN"/>
        </w:rPr>
        <w:t>8</w:t>
      </w:r>
      <w:r>
        <w:rPr>
          <w:rFonts w:hint="default" w:ascii="Times New Roman" w:hAnsi="Times New Roman" w:cs="Times New Roman"/>
          <w:color w:val="auto"/>
          <w:sz w:val="28"/>
          <w:szCs w:val="28"/>
        </w:rPr>
        <w:t>电信工程</w:t>
      </w:r>
    </w:p>
    <w:p w14:paraId="67F3ED3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扩音对讲系统</w:t>
      </w:r>
    </w:p>
    <w:p w14:paraId="56C2B5C6">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为满足本单元装置区内巡检人员生产联系的需要，本单元设置扩音对讲系统。现场设备由扩音对讲电话机、扬声器等组成。当出现紧急情况时，扩音对讲系统作为消防应急广播使用，切换至消防应急广播状态，出现危险情况时，警报会中断正在进行的语音广播，火警铃声会中断其他声音。救生指导能准确、有针对性地传达给处于危险的人员，室外装置火灾警报同样利用扩音对讲系统的广播功能实现。</w:t>
      </w:r>
    </w:p>
    <w:p w14:paraId="159DF5D6">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本项目利旧原有扩音对讲设备</w:t>
      </w:r>
      <w:r>
        <w:rPr>
          <w:rFonts w:hint="eastAsia" w:cs="Times New Roman"/>
          <w:color w:val="auto"/>
          <w:lang w:val="en-US" w:eastAsia="zh-CN"/>
        </w:rPr>
        <w:t>和系统</w:t>
      </w:r>
      <w:r>
        <w:rPr>
          <w:rFonts w:hint="default" w:ascii="Times New Roman" w:hAnsi="Times New Roman" w:cs="Times New Roman"/>
          <w:color w:val="auto"/>
          <w:lang w:eastAsia="zh-CN"/>
        </w:rPr>
        <w:t>。</w:t>
      </w:r>
    </w:p>
    <w:p w14:paraId="3350666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电视监控系统</w:t>
      </w:r>
    </w:p>
    <w:p w14:paraId="4700B82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为在装置出现泄漏或发生故障时能及时发现和处理，避免事故扩大或发生次生事故，在新增</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0000Nm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/h蓄热氧化单元、</w:t>
      </w:r>
      <w:r>
        <w:rPr>
          <w:rFonts w:hint="eastAsia" w:cs="Times New Roman"/>
          <w:color w:val="auto"/>
          <w:lang w:val="en-US" w:eastAsia="zh-CN"/>
        </w:rPr>
        <w:t>1</w:t>
      </w:r>
      <w:r>
        <w:rPr>
          <w:rFonts w:hint="default" w:ascii="Times New Roman" w:hAnsi="Times New Roman" w:cs="Times New Roman"/>
          <w:color w:val="auto"/>
          <w:lang w:eastAsia="zh-CN"/>
        </w:rPr>
        <w:t>500Nm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/h低温柴油吸收单元、汽车台500Nm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/h冷却-除雾单元、火车台500Nm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/h冷却-除雾单元、分析小屋及烟囱检测平台各设置1套防爆摄像机，以实现对装置内设备运行情况的监控。</w:t>
      </w:r>
    </w:p>
    <w:p w14:paraId="757A6983">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摄像机监控信号采用单模光缆接入</w:t>
      </w:r>
      <w:r>
        <w:rPr>
          <w:rFonts w:hint="default" w:ascii="Times New Roman" w:hAnsi="Times New Roman" w:cs="Times New Roman"/>
          <w:color w:val="auto"/>
          <w:lang w:val="en-US" w:eastAsia="zh-CN"/>
        </w:rPr>
        <w:t>16#</w:t>
      </w:r>
      <w:r>
        <w:rPr>
          <w:rFonts w:hint="default" w:ascii="Times New Roman" w:hAnsi="Times New Roman" w:cs="Times New Roman"/>
          <w:color w:val="auto"/>
          <w:lang w:eastAsia="zh-CN"/>
        </w:rPr>
        <w:t>罐区机柜室内电视监控机柜，通过网络传输上网，在授权的计算机终端上，可以观看图像，控制操作摄像机。电视监控电源引自监控机柜。</w:t>
      </w:r>
    </w:p>
    <w:p w14:paraId="6EC21E4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电信线路</w:t>
      </w:r>
    </w:p>
    <w:p w14:paraId="447CC8E3">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室外电（光）缆敷设方式以沿仪表槽盒敷设为主，局部穿钢管明敷设。</w:t>
      </w:r>
    </w:p>
    <w:p w14:paraId="705183B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主要电信材料表</w:t>
      </w:r>
    </w:p>
    <w:p w14:paraId="6B3A8AE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本项目涉及主要电信设备材料见下表2.6-</w:t>
      </w:r>
      <w:r>
        <w:rPr>
          <w:rFonts w:hint="eastAsia" w:cs="Times New Roman"/>
          <w:color w:val="auto"/>
          <w:lang w:val="en-US" w:eastAsia="zh-CN"/>
        </w:rPr>
        <w:t>6</w:t>
      </w:r>
      <w:r>
        <w:rPr>
          <w:rFonts w:hint="default" w:ascii="Times New Roman" w:hAnsi="Times New Roman" w:cs="Times New Roman"/>
          <w:color w:val="auto"/>
          <w:lang w:val="en-US" w:eastAsia="zh-CN"/>
        </w:rPr>
        <w:t>。</w:t>
      </w:r>
    </w:p>
    <w:p w14:paraId="530E0ED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表2.6-</w:t>
      </w:r>
      <w:r>
        <w:rPr>
          <w:rFonts w:hint="eastAsia" w:cs="Times New Roman"/>
          <w:color w:val="auto"/>
          <w:lang w:val="en-US" w:eastAsia="zh-CN"/>
        </w:rPr>
        <w:t>6</w:t>
      </w:r>
      <w:r>
        <w:rPr>
          <w:rFonts w:hint="default" w:ascii="Times New Roman" w:hAnsi="Times New Roman" w:cs="Times New Roman"/>
          <w:color w:val="auto"/>
          <w:lang w:val="en-US" w:eastAsia="zh-CN"/>
        </w:rPr>
        <w:t xml:space="preserve">  主要电信设备材料一览表</w:t>
      </w:r>
    </w:p>
    <w:tbl>
      <w:tblPr>
        <w:tblStyle w:val="37"/>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2571"/>
        <w:gridCol w:w="4753"/>
        <w:gridCol w:w="1889"/>
      </w:tblGrid>
      <w:tr w14:paraId="0003D5C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9" w:hRule="atLeast"/>
          <w:tblHeader/>
        </w:trPr>
        <w:tc>
          <w:tcPr>
            <w:tcW w:w="1395" w:type="pct"/>
            <w:tcBorders>
              <w:tl2br w:val="nil"/>
              <w:tr2bl w:val="nil"/>
            </w:tcBorders>
            <w:vAlign w:val="center"/>
          </w:tcPr>
          <w:p w14:paraId="01365EC3">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2579" w:type="pct"/>
            <w:tcBorders>
              <w:tl2br w:val="nil"/>
              <w:tr2bl w:val="nil"/>
            </w:tcBorders>
            <w:vAlign w:val="center"/>
          </w:tcPr>
          <w:p w14:paraId="5FE81648">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规格型号</w:t>
            </w:r>
          </w:p>
        </w:tc>
        <w:tc>
          <w:tcPr>
            <w:tcW w:w="1025" w:type="pct"/>
            <w:tcBorders>
              <w:tl2br w:val="nil"/>
              <w:tr2bl w:val="nil"/>
            </w:tcBorders>
            <w:vAlign w:val="center"/>
          </w:tcPr>
          <w:p w14:paraId="3144F9C3">
            <w:pPr>
              <w:pStyle w:val="31"/>
              <w:bidi w:val="0"/>
              <w:rPr>
                <w:rFonts w:hint="default" w:ascii="Times New Roman" w:hAnsi="Times New Roman" w:cs="Times New Roman"/>
                <w:color w:val="auto"/>
              </w:rPr>
            </w:pPr>
            <w:r>
              <w:rPr>
                <w:rFonts w:hint="default" w:ascii="Times New Roman" w:hAnsi="Times New Roman" w:cs="Times New Roman"/>
                <w:b/>
                <w:bCs/>
                <w:color w:val="auto"/>
              </w:rPr>
              <w:t>数量</w:t>
            </w:r>
          </w:p>
        </w:tc>
      </w:tr>
      <w:tr w14:paraId="239572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395" w:type="pct"/>
            <w:tcBorders>
              <w:tl2br w:val="nil"/>
              <w:tr2bl w:val="nil"/>
            </w:tcBorders>
            <w:vAlign w:val="center"/>
          </w:tcPr>
          <w:p w14:paraId="00D94367">
            <w:pPr>
              <w:pStyle w:val="31"/>
              <w:bidi w:val="0"/>
              <w:rPr>
                <w:rFonts w:hint="default" w:ascii="Times New Roman" w:hAnsi="Times New Roman" w:cs="Times New Roman"/>
                <w:color w:val="auto"/>
              </w:rPr>
            </w:pPr>
            <w:r>
              <w:rPr>
                <w:rFonts w:hint="default" w:ascii="Times New Roman" w:hAnsi="Times New Roman" w:cs="Times New Roman"/>
                <w:color w:val="auto"/>
              </w:rPr>
              <w:t>防爆球型网络摄像机</w:t>
            </w:r>
          </w:p>
        </w:tc>
        <w:tc>
          <w:tcPr>
            <w:tcW w:w="2579" w:type="pct"/>
            <w:tcBorders>
              <w:tl2br w:val="nil"/>
              <w:tr2bl w:val="nil"/>
            </w:tcBorders>
            <w:vAlign w:val="center"/>
          </w:tcPr>
          <w:p w14:paraId="0EC98915">
            <w:pPr>
              <w:pStyle w:val="31"/>
              <w:bidi w:val="0"/>
              <w:rPr>
                <w:rFonts w:hint="default" w:ascii="Times New Roman" w:hAnsi="Times New Roman" w:cs="Times New Roman"/>
                <w:color w:val="auto"/>
              </w:rPr>
            </w:pPr>
            <w:r>
              <w:rPr>
                <w:rFonts w:hint="default" w:ascii="Times New Roman" w:hAnsi="Times New Roman" w:cs="Times New Roman"/>
                <w:color w:val="auto"/>
              </w:rPr>
              <w:t>1080P，dIIBT4，IP65</w:t>
            </w:r>
          </w:p>
        </w:tc>
        <w:tc>
          <w:tcPr>
            <w:tcW w:w="1025" w:type="pct"/>
            <w:tcBorders>
              <w:tl2br w:val="nil"/>
              <w:tr2bl w:val="nil"/>
            </w:tcBorders>
            <w:vAlign w:val="center"/>
          </w:tcPr>
          <w:p w14:paraId="65434B2B">
            <w:pPr>
              <w:pStyle w:val="31"/>
              <w:bidi w:val="0"/>
              <w:rPr>
                <w:rFonts w:hint="default" w:ascii="Times New Roman" w:hAnsi="Times New Roman" w:cs="Times New Roman"/>
                <w:color w:val="auto"/>
              </w:rPr>
            </w:pPr>
            <w:r>
              <w:rPr>
                <w:rFonts w:hint="default" w:ascii="Times New Roman" w:hAnsi="Times New Roman" w:cs="Times New Roman"/>
                <w:color w:val="auto"/>
              </w:rPr>
              <w:t>6台</w:t>
            </w:r>
          </w:p>
        </w:tc>
      </w:tr>
      <w:tr w14:paraId="5433EF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395" w:type="pct"/>
            <w:tcBorders>
              <w:tl2br w:val="nil"/>
              <w:tr2bl w:val="nil"/>
            </w:tcBorders>
            <w:vAlign w:val="center"/>
          </w:tcPr>
          <w:p w14:paraId="2B44433C">
            <w:pPr>
              <w:pStyle w:val="31"/>
              <w:bidi w:val="0"/>
              <w:rPr>
                <w:rFonts w:hint="default" w:ascii="Times New Roman" w:hAnsi="Times New Roman" w:cs="Times New Roman"/>
                <w:color w:val="auto"/>
              </w:rPr>
            </w:pPr>
            <w:r>
              <w:rPr>
                <w:rFonts w:hint="default" w:ascii="Times New Roman" w:hAnsi="Times New Roman" w:cs="Times New Roman"/>
                <w:color w:val="auto"/>
              </w:rPr>
              <w:t>防爆设备箱</w:t>
            </w:r>
          </w:p>
        </w:tc>
        <w:tc>
          <w:tcPr>
            <w:tcW w:w="2579" w:type="pct"/>
            <w:tcBorders>
              <w:tl2br w:val="nil"/>
              <w:tr2bl w:val="nil"/>
            </w:tcBorders>
            <w:vAlign w:val="center"/>
          </w:tcPr>
          <w:p w14:paraId="430CC76D">
            <w:pPr>
              <w:pStyle w:val="31"/>
              <w:bidi w:val="0"/>
              <w:rPr>
                <w:rFonts w:hint="default" w:ascii="Times New Roman" w:hAnsi="Times New Roman" w:cs="Times New Roman"/>
                <w:color w:val="auto"/>
              </w:rPr>
            </w:pPr>
            <w:r>
              <w:rPr>
                <w:rFonts w:hint="default" w:ascii="Times New Roman" w:hAnsi="Times New Roman" w:cs="Times New Roman"/>
                <w:color w:val="auto"/>
              </w:rPr>
              <w:t>内装德力西控制开关、瑞斯康达百兆收发器</w:t>
            </w:r>
            <w:r>
              <w:rPr>
                <w:rFonts w:hint="default" w:ascii="Times New Roman" w:hAnsi="Times New Roman" w:cs="Times New Roman"/>
                <w:color w:val="auto"/>
                <w:lang w:eastAsia="zh-CN"/>
              </w:rPr>
              <w:t>（</w:t>
            </w:r>
            <w:r>
              <w:rPr>
                <w:rFonts w:hint="default" w:ascii="Times New Roman" w:hAnsi="Times New Roman" w:cs="Times New Roman"/>
                <w:color w:val="auto"/>
              </w:rPr>
              <w:t>设备箱内一个，电视监控机柜一个</w:t>
            </w:r>
            <w:r>
              <w:rPr>
                <w:rFonts w:hint="default" w:ascii="Times New Roman" w:hAnsi="Times New Roman" w:cs="Times New Roman"/>
                <w:color w:val="auto"/>
                <w:lang w:eastAsia="zh-CN"/>
              </w:rPr>
              <w:t>）</w:t>
            </w:r>
            <w:r>
              <w:rPr>
                <w:rFonts w:hint="default" w:ascii="Times New Roman" w:hAnsi="Times New Roman" w:cs="Times New Roman"/>
                <w:color w:val="auto"/>
              </w:rPr>
              <w:t>、避雷器等</w:t>
            </w:r>
          </w:p>
        </w:tc>
        <w:tc>
          <w:tcPr>
            <w:tcW w:w="1025" w:type="pct"/>
            <w:tcBorders>
              <w:tl2br w:val="nil"/>
              <w:tr2bl w:val="nil"/>
            </w:tcBorders>
            <w:vAlign w:val="center"/>
          </w:tcPr>
          <w:p w14:paraId="244B0CCC">
            <w:pPr>
              <w:pStyle w:val="31"/>
              <w:bidi w:val="0"/>
              <w:rPr>
                <w:rFonts w:hint="default" w:ascii="Times New Roman" w:hAnsi="Times New Roman" w:cs="Times New Roman"/>
                <w:color w:val="auto"/>
              </w:rPr>
            </w:pPr>
            <w:r>
              <w:rPr>
                <w:rFonts w:hint="default" w:ascii="Times New Roman" w:hAnsi="Times New Roman" w:cs="Times New Roman"/>
                <w:color w:val="auto"/>
              </w:rPr>
              <w:t>6台</w:t>
            </w:r>
          </w:p>
        </w:tc>
      </w:tr>
      <w:tr w14:paraId="133D6CB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395" w:type="pct"/>
            <w:tcBorders>
              <w:tl2br w:val="nil"/>
              <w:tr2bl w:val="nil"/>
            </w:tcBorders>
            <w:vAlign w:val="center"/>
          </w:tcPr>
          <w:p w14:paraId="04E7DEC5">
            <w:pPr>
              <w:pStyle w:val="31"/>
              <w:bidi w:val="0"/>
              <w:rPr>
                <w:rFonts w:hint="default" w:ascii="Times New Roman" w:hAnsi="Times New Roman" w:cs="Times New Roman"/>
                <w:color w:val="auto"/>
              </w:rPr>
            </w:pPr>
            <w:r>
              <w:rPr>
                <w:rFonts w:hint="default" w:ascii="Times New Roman" w:hAnsi="Times New Roman" w:cs="Times New Roman"/>
                <w:color w:val="auto"/>
              </w:rPr>
              <w:t>防爆挠性管</w:t>
            </w:r>
          </w:p>
        </w:tc>
        <w:tc>
          <w:tcPr>
            <w:tcW w:w="2579" w:type="pct"/>
            <w:tcBorders>
              <w:tl2br w:val="nil"/>
              <w:tr2bl w:val="nil"/>
            </w:tcBorders>
            <w:vAlign w:val="center"/>
          </w:tcPr>
          <w:p w14:paraId="15EC0AF0">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1025" w:type="pct"/>
            <w:tcBorders>
              <w:tl2br w:val="nil"/>
              <w:tr2bl w:val="nil"/>
            </w:tcBorders>
            <w:vAlign w:val="center"/>
          </w:tcPr>
          <w:p w14:paraId="354309E6">
            <w:pPr>
              <w:pStyle w:val="31"/>
              <w:bidi w:val="0"/>
              <w:rPr>
                <w:rFonts w:hint="default" w:ascii="Times New Roman" w:hAnsi="Times New Roman" w:cs="Times New Roman"/>
                <w:color w:val="auto"/>
              </w:rPr>
            </w:pPr>
            <w:r>
              <w:rPr>
                <w:rFonts w:hint="default" w:ascii="Times New Roman" w:hAnsi="Times New Roman" w:cs="Times New Roman"/>
                <w:color w:val="auto"/>
              </w:rPr>
              <w:t>24根</w:t>
            </w:r>
          </w:p>
        </w:tc>
      </w:tr>
      <w:tr w14:paraId="3D1232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395" w:type="pct"/>
            <w:tcBorders>
              <w:tl2br w:val="nil"/>
              <w:tr2bl w:val="nil"/>
            </w:tcBorders>
            <w:vAlign w:val="center"/>
          </w:tcPr>
          <w:p w14:paraId="2C60D8E4">
            <w:pPr>
              <w:pStyle w:val="31"/>
              <w:bidi w:val="0"/>
              <w:rPr>
                <w:rFonts w:hint="default" w:ascii="Times New Roman" w:hAnsi="Times New Roman" w:cs="Times New Roman"/>
                <w:color w:val="auto"/>
              </w:rPr>
            </w:pPr>
            <w:r>
              <w:rPr>
                <w:rFonts w:hint="default" w:ascii="Times New Roman" w:hAnsi="Times New Roman" w:cs="Times New Roman"/>
                <w:color w:val="auto"/>
              </w:rPr>
              <w:t>电视监控用单模光缆</w:t>
            </w:r>
          </w:p>
        </w:tc>
        <w:tc>
          <w:tcPr>
            <w:tcW w:w="2579" w:type="pct"/>
            <w:tcBorders>
              <w:tl2br w:val="nil"/>
              <w:tr2bl w:val="nil"/>
            </w:tcBorders>
            <w:vAlign w:val="center"/>
          </w:tcPr>
          <w:p w14:paraId="237CD7ED">
            <w:pPr>
              <w:pStyle w:val="31"/>
              <w:bidi w:val="0"/>
              <w:rPr>
                <w:rFonts w:hint="default" w:ascii="Times New Roman" w:hAnsi="Times New Roman" w:cs="Times New Roman"/>
                <w:color w:val="auto"/>
              </w:rPr>
            </w:pPr>
            <w:r>
              <w:rPr>
                <w:rFonts w:hint="default" w:ascii="Times New Roman" w:hAnsi="Times New Roman" w:cs="Times New Roman"/>
                <w:color w:val="auto"/>
              </w:rPr>
              <w:t>4芯</w:t>
            </w:r>
          </w:p>
        </w:tc>
        <w:tc>
          <w:tcPr>
            <w:tcW w:w="1025" w:type="pct"/>
            <w:tcBorders>
              <w:tl2br w:val="nil"/>
              <w:tr2bl w:val="nil"/>
            </w:tcBorders>
            <w:vAlign w:val="center"/>
          </w:tcPr>
          <w:p w14:paraId="5A517FAF">
            <w:pPr>
              <w:pStyle w:val="31"/>
              <w:bidi w:val="0"/>
              <w:rPr>
                <w:rFonts w:hint="default" w:ascii="Times New Roman" w:hAnsi="Times New Roman" w:cs="Times New Roman"/>
                <w:color w:val="auto"/>
              </w:rPr>
            </w:pPr>
            <w:r>
              <w:rPr>
                <w:rFonts w:hint="default" w:ascii="Times New Roman" w:hAnsi="Times New Roman" w:cs="Times New Roman"/>
                <w:color w:val="auto"/>
              </w:rPr>
              <w:t>1800米</w:t>
            </w:r>
          </w:p>
        </w:tc>
      </w:tr>
      <w:tr w14:paraId="3F5760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395" w:type="pct"/>
            <w:tcBorders>
              <w:tl2br w:val="nil"/>
              <w:tr2bl w:val="nil"/>
            </w:tcBorders>
            <w:vAlign w:val="center"/>
          </w:tcPr>
          <w:p w14:paraId="0C036E7A">
            <w:pPr>
              <w:pStyle w:val="31"/>
              <w:bidi w:val="0"/>
              <w:rPr>
                <w:rFonts w:hint="default" w:ascii="Times New Roman" w:hAnsi="Times New Roman" w:cs="Times New Roman"/>
                <w:color w:val="auto"/>
              </w:rPr>
            </w:pPr>
            <w:r>
              <w:rPr>
                <w:rFonts w:hint="default" w:ascii="Times New Roman" w:hAnsi="Times New Roman" w:cs="Times New Roman"/>
                <w:color w:val="auto"/>
              </w:rPr>
              <w:t>电源电缆</w:t>
            </w:r>
          </w:p>
        </w:tc>
        <w:tc>
          <w:tcPr>
            <w:tcW w:w="2579" w:type="pct"/>
            <w:tcBorders>
              <w:tl2br w:val="nil"/>
              <w:tr2bl w:val="nil"/>
            </w:tcBorders>
            <w:vAlign w:val="center"/>
          </w:tcPr>
          <w:p w14:paraId="5F041285">
            <w:pPr>
              <w:pStyle w:val="31"/>
              <w:bidi w:val="0"/>
              <w:rPr>
                <w:rFonts w:hint="default" w:ascii="Times New Roman" w:hAnsi="Times New Roman" w:cs="Times New Roman"/>
                <w:color w:val="auto"/>
              </w:rPr>
            </w:pPr>
            <w:r>
              <w:rPr>
                <w:rFonts w:hint="default" w:ascii="Times New Roman" w:hAnsi="Times New Roman" w:cs="Times New Roman"/>
                <w:color w:val="auto"/>
              </w:rPr>
              <w:t>ZR-RVVP-3x2.5mm</w:t>
            </w:r>
            <w:r>
              <w:rPr>
                <w:rFonts w:hint="default" w:ascii="Times New Roman" w:hAnsi="Times New Roman" w:cs="Times New Roman"/>
                <w:color w:val="auto"/>
                <w:vertAlign w:val="superscript"/>
              </w:rPr>
              <w:t>2</w:t>
            </w:r>
          </w:p>
        </w:tc>
        <w:tc>
          <w:tcPr>
            <w:tcW w:w="1025" w:type="pct"/>
            <w:tcBorders>
              <w:tl2br w:val="nil"/>
              <w:tr2bl w:val="nil"/>
            </w:tcBorders>
            <w:vAlign w:val="center"/>
          </w:tcPr>
          <w:p w14:paraId="6EBF4015">
            <w:pPr>
              <w:pStyle w:val="31"/>
              <w:bidi w:val="0"/>
              <w:rPr>
                <w:rFonts w:hint="default" w:ascii="Times New Roman" w:hAnsi="Times New Roman" w:cs="Times New Roman"/>
                <w:color w:val="auto"/>
              </w:rPr>
            </w:pPr>
            <w:r>
              <w:rPr>
                <w:rFonts w:hint="default" w:ascii="Times New Roman" w:hAnsi="Times New Roman" w:cs="Times New Roman"/>
                <w:color w:val="auto"/>
              </w:rPr>
              <w:t>1800米</w:t>
            </w:r>
          </w:p>
        </w:tc>
      </w:tr>
      <w:tr w14:paraId="6ABFF1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395" w:type="pct"/>
            <w:tcBorders>
              <w:tl2br w:val="nil"/>
              <w:tr2bl w:val="nil"/>
            </w:tcBorders>
            <w:vAlign w:val="center"/>
          </w:tcPr>
          <w:p w14:paraId="11FFFE49">
            <w:pPr>
              <w:pStyle w:val="31"/>
              <w:bidi w:val="0"/>
              <w:rPr>
                <w:rFonts w:hint="default" w:ascii="Times New Roman" w:hAnsi="Times New Roman" w:cs="Times New Roman"/>
                <w:color w:val="auto"/>
              </w:rPr>
            </w:pPr>
            <w:r>
              <w:rPr>
                <w:rFonts w:hint="default" w:ascii="Times New Roman" w:hAnsi="Times New Roman" w:cs="Times New Roman"/>
                <w:color w:val="auto"/>
              </w:rPr>
              <w:t>防爆穿线盒</w:t>
            </w:r>
          </w:p>
        </w:tc>
        <w:tc>
          <w:tcPr>
            <w:tcW w:w="2579" w:type="pct"/>
            <w:tcBorders>
              <w:tl2br w:val="nil"/>
              <w:tr2bl w:val="nil"/>
            </w:tcBorders>
            <w:vAlign w:val="center"/>
          </w:tcPr>
          <w:p w14:paraId="32807B15">
            <w:pPr>
              <w:pStyle w:val="31"/>
              <w:bidi w:val="0"/>
              <w:rPr>
                <w:rFonts w:hint="default" w:ascii="Times New Roman" w:hAnsi="Times New Roman" w:cs="Times New Roman"/>
                <w:color w:val="auto"/>
              </w:rPr>
            </w:pPr>
            <w:r>
              <w:rPr>
                <w:rFonts w:hint="default" w:ascii="Times New Roman" w:hAnsi="Times New Roman" w:cs="Times New Roman"/>
                <w:color w:val="auto"/>
              </w:rPr>
              <w:t>DN20 弯通</w:t>
            </w:r>
          </w:p>
        </w:tc>
        <w:tc>
          <w:tcPr>
            <w:tcW w:w="1025" w:type="pct"/>
            <w:tcBorders>
              <w:tl2br w:val="nil"/>
              <w:tr2bl w:val="nil"/>
            </w:tcBorders>
            <w:vAlign w:val="center"/>
          </w:tcPr>
          <w:p w14:paraId="0EED1F1D">
            <w:pPr>
              <w:pStyle w:val="31"/>
              <w:bidi w:val="0"/>
              <w:rPr>
                <w:rFonts w:hint="default" w:ascii="Times New Roman" w:hAnsi="Times New Roman" w:cs="Times New Roman"/>
                <w:color w:val="auto"/>
              </w:rPr>
            </w:pPr>
            <w:r>
              <w:rPr>
                <w:rFonts w:hint="default" w:ascii="Times New Roman" w:hAnsi="Times New Roman" w:cs="Times New Roman"/>
                <w:color w:val="auto"/>
              </w:rPr>
              <w:t>12个</w:t>
            </w:r>
          </w:p>
        </w:tc>
      </w:tr>
      <w:tr w14:paraId="2A7A5C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95" w:type="pct"/>
            <w:tcBorders>
              <w:tl2br w:val="nil"/>
              <w:tr2bl w:val="nil"/>
            </w:tcBorders>
            <w:vAlign w:val="center"/>
          </w:tcPr>
          <w:p w14:paraId="3BD10D99">
            <w:pPr>
              <w:pStyle w:val="31"/>
              <w:bidi w:val="0"/>
              <w:rPr>
                <w:rFonts w:hint="default" w:ascii="Times New Roman" w:hAnsi="Times New Roman" w:cs="Times New Roman"/>
                <w:color w:val="auto"/>
              </w:rPr>
            </w:pPr>
            <w:r>
              <w:rPr>
                <w:rFonts w:hint="default" w:ascii="Times New Roman" w:hAnsi="Times New Roman" w:cs="Times New Roman"/>
                <w:color w:val="auto"/>
              </w:rPr>
              <w:t>防爆穿线盒</w:t>
            </w:r>
          </w:p>
        </w:tc>
        <w:tc>
          <w:tcPr>
            <w:tcW w:w="2579" w:type="pct"/>
            <w:tcBorders>
              <w:tl2br w:val="nil"/>
              <w:tr2bl w:val="nil"/>
            </w:tcBorders>
            <w:vAlign w:val="center"/>
          </w:tcPr>
          <w:p w14:paraId="5E7FE8F0">
            <w:pPr>
              <w:pStyle w:val="31"/>
              <w:bidi w:val="0"/>
              <w:rPr>
                <w:rFonts w:hint="default" w:ascii="Times New Roman" w:hAnsi="Times New Roman" w:cs="Times New Roman"/>
                <w:color w:val="auto"/>
              </w:rPr>
            </w:pPr>
            <w:r>
              <w:rPr>
                <w:rFonts w:hint="default" w:ascii="Times New Roman" w:hAnsi="Times New Roman" w:cs="Times New Roman"/>
                <w:color w:val="auto"/>
              </w:rPr>
              <w:t>DN20 直通</w:t>
            </w:r>
          </w:p>
        </w:tc>
        <w:tc>
          <w:tcPr>
            <w:tcW w:w="1025" w:type="pct"/>
            <w:tcBorders>
              <w:tl2br w:val="nil"/>
              <w:tr2bl w:val="nil"/>
            </w:tcBorders>
            <w:vAlign w:val="center"/>
          </w:tcPr>
          <w:p w14:paraId="3AEC9887">
            <w:pPr>
              <w:pStyle w:val="31"/>
              <w:bidi w:val="0"/>
              <w:rPr>
                <w:rFonts w:hint="default" w:ascii="Times New Roman" w:hAnsi="Times New Roman" w:cs="Times New Roman"/>
                <w:color w:val="auto"/>
              </w:rPr>
            </w:pPr>
            <w:r>
              <w:rPr>
                <w:rFonts w:hint="default" w:ascii="Times New Roman" w:hAnsi="Times New Roman" w:cs="Times New Roman"/>
                <w:color w:val="auto"/>
              </w:rPr>
              <w:t>20个</w:t>
            </w:r>
          </w:p>
        </w:tc>
      </w:tr>
      <w:tr w14:paraId="694656C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95" w:type="pct"/>
            <w:tcBorders>
              <w:tl2br w:val="nil"/>
              <w:tr2bl w:val="nil"/>
            </w:tcBorders>
            <w:vAlign w:val="center"/>
          </w:tcPr>
          <w:p w14:paraId="6D37BF1B">
            <w:pPr>
              <w:pStyle w:val="31"/>
              <w:bidi w:val="0"/>
              <w:rPr>
                <w:rFonts w:hint="default" w:ascii="Times New Roman" w:hAnsi="Times New Roman" w:cs="Times New Roman"/>
                <w:color w:val="auto"/>
              </w:rPr>
            </w:pPr>
            <w:r>
              <w:rPr>
                <w:rFonts w:hint="default" w:ascii="Times New Roman" w:hAnsi="Times New Roman" w:cs="Times New Roman"/>
                <w:color w:val="auto"/>
              </w:rPr>
              <w:t>其它安装用镀锌钢材</w:t>
            </w:r>
          </w:p>
        </w:tc>
        <w:tc>
          <w:tcPr>
            <w:tcW w:w="2579" w:type="pct"/>
            <w:tcBorders>
              <w:tl2br w:val="nil"/>
              <w:tr2bl w:val="nil"/>
            </w:tcBorders>
            <w:vAlign w:val="center"/>
          </w:tcPr>
          <w:p w14:paraId="6A88DFBD">
            <w:pPr>
              <w:pStyle w:val="31"/>
              <w:bidi w:val="0"/>
              <w:rPr>
                <w:rFonts w:hint="default" w:ascii="Times New Roman" w:hAnsi="Times New Roman" w:cs="Times New Roman"/>
                <w:color w:val="auto"/>
              </w:rPr>
            </w:pPr>
            <w:r>
              <w:rPr>
                <w:rFonts w:hint="default" w:ascii="Times New Roman" w:hAnsi="Times New Roman" w:cs="Times New Roman"/>
                <w:color w:val="auto"/>
              </w:rPr>
              <w:t>角钢、钢管等</w:t>
            </w:r>
          </w:p>
        </w:tc>
        <w:tc>
          <w:tcPr>
            <w:tcW w:w="1025" w:type="pct"/>
            <w:tcBorders>
              <w:tl2br w:val="nil"/>
              <w:tr2bl w:val="nil"/>
            </w:tcBorders>
            <w:vAlign w:val="center"/>
          </w:tcPr>
          <w:p w14:paraId="443FE556">
            <w:pPr>
              <w:pStyle w:val="31"/>
              <w:bidi w:val="0"/>
              <w:rPr>
                <w:rFonts w:hint="default" w:ascii="Times New Roman" w:hAnsi="Times New Roman" w:cs="Times New Roman"/>
                <w:color w:val="auto"/>
              </w:rPr>
            </w:pPr>
            <w:r>
              <w:rPr>
                <w:rFonts w:hint="default" w:ascii="Times New Roman" w:hAnsi="Times New Roman" w:cs="Times New Roman"/>
                <w:color w:val="auto"/>
              </w:rPr>
              <w:t>1吨</w:t>
            </w:r>
          </w:p>
        </w:tc>
      </w:tr>
    </w:tbl>
    <w:p w14:paraId="365AFA6A">
      <w:pPr>
        <w:pStyle w:val="4"/>
        <w:keepNext w:val="0"/>
        <w:keepLines w:val="0"/>
        <w:pageBreakBefore w:val="0"/>
        <w:widowControl w:val="0"/>
        <w:kinsoku/>
        <w:wordWrap/>
        <w:overflowPunct/>
        <w:topLinePunct w:val="0"/>
        <w:autoSpaceDE/>
        <w:autoSpaceDN/>
        <w:bidi w:val="0"/>
        <w:adjustRightInd w:val="0"/>
        <w:snapToGrid w:val="0"/>
        <w:spacing w:before="157" w:beforeLines="50" w:after="0" w:afterLines="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lang w:val="en-US" w:eastAsia="zh-CN"/>
        </w:rPr>
        <w:t>9</w:t>
      </w:r>
      <w:r>
        <w:rPr>
          <w:rFonts w:hint="default" w:ascii="Times New Roman" w:hAnsi="Times New Roman" w:cs="Times New Roman"/>
          <w:color w:val="auto"/>
          <w:sz w:val="28"/>
          <w:szCs w:val="28"/>
        </w:rPr>
        <w:t xml:space="preserve"> 建构筑物</w:t>
      </w:r>
    </w:p>
    <w:p w14:paraId="455E902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（1）建筑结构</w:t>
      </w:r>
    </w:p>
    <w:p w14:paraId="631BFB7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1）新建油气处理单元（撬装结构）</w:t>
      </w:r>
    </w:p>
    <w:p w14:paraId="618283A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撬装设施基础采用钢筋混泥土基础，平面尺寸15×15m（1座）；平面尺寸14×7m（1座）；平面尺寸10×3m（2座）。埋深1.0m，高出地面0.2米；采用天然地基（基坑开挖后遇回填土及松软土层需清除后用级配砂石换填至设计标高，由于持力层压缩模量较小，基底处理厚度不应小于0.6m）。</w:t>
      </w:r>
    </w:p>
    <w:p w14:paraId="0483D61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2）风机基础</w:t>
      </w:r>
    </w:p>
    <w:p w14:paraId="63F19D5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风机基础采用钢筋混泥土基础一座，平面尺寸2.2×1.8m、2.5×3.0m，埋深1.0m，高出地面0.2m；采用天然地基（基坑开挖后遇回填土及松软土层需清除后用级配砂石换填至设计标高，由于持力层压缩模量较小，基底处理厚度不应小于0.6m）。</w:t>
      </w:r>
    </w:p>
    <w:p w14:paraId="26AE112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3）管架</w:t>
      </w:r>
    </w:p>
    <w:p w14:paraId="3771A1B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独立管架6m高，采用钢结构（立柱HW250×250）共20个，基础采用钢筋混凝土（埋深1.5m，底面尺寸1.5×1.5）。采用天然地基（基坑开挖后遇回填土及松软土层需清除后用级配砂石换填至设计标高，由于持力层压缩模量较小，基底处理厚度不应小于0.6m）。</w:t>
      </w:r>
    </w:p>
    <w:p w14:paraId="2CD87A9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系统管架在原管廊位置处插空新建40榀（立柱HW300×300），长度约240m，高度5m。基础采用换填处理后的天然地基（2m×2m，埋深2m）。</w:t>
      </w:r>
    </w:p>
    <w:p w14:paraId="3D9010F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4）净化排气筒采样平台</w:t>
      </w:r>
    </w:p>
    <w:p w14:paraId="7D78276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拟新增净化排气筒采样平台一座，高度10m，采用钢结构框架形式，立柱HW250×250，轴线尺寸4m×3m。待基础施工完成后地面硬化需按原地面做法恢复。</w:t>
      </w:r>
    </w:p>
    <w:p w14:paraId="28B3970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5）电缆桥架、变压器</w:t>
      </w:r>
    </w:p>
    <w:p w14:paraId="3B32948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新增电缆桥架，总长度约209m，采用钢结构。更换变压器，需拆除原变压器基础，并新建变压器基础。</w:t>
      </w:r>
    </w:p>
    <w:p w14:paraId="54DA8181">
      <w:pPr>
        <w:pStyle w:val="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（2）建构筑物防腐</w:t>
      </w:r>
    </w:p>
    <w:p w14:paraId="3AD7596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地面以下基础表面及垫层顶面涂刷环氧沥青或环氧硅氟改性丙烯酸脂肪族聚氨酯（防腐型），厚度不小于500um。</w:t>
      </w:r>
    </w:p>
    <w:p w14:paraId="5A364B99">
      <w:pPr>
        <w:pStyle w:val="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（3）建构筑物防火</w:t>
      </w:r>
    </w:p>
    <w:p w14:paraId="7E74B93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本项目防爆危险区内的管架需做防火处理，耐火极限不小于2h。</w:t>
      </w:r>
    </w:p>
    <w:p w14:paraId="0369EE1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（4）建（构）筑物抗震</w:t>
      </w:r>
    </w:p>
    <w:p w14:paraId="1D496BD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根据《建筑抗震设计规范（2016年版）》（GB50011-2010）的规定，项目所在地区地震烈度为7度，加速度为0.10g。</w:t>
      </w:r>
    </w:p>
    <w:p w14:paraId="2BA01DBC">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本项目建构筑物抗震设防拟按照《建筑工程抗震设防分类标准》（GB50223-2008）和《石油化工建（构）筑物抗震设防分类标准》（GB50453-2008）的要求设计抗震设防设施，本工程为抗震设防烈度为7度，抗震设防类别为丙类，钢筋砼结构抗震等级为三级。</w:t>
      </w:r>
      <w:r>
        <w:rPr>
          <w:rFonts w:hint="default" w:ascii="Times New Roman" w:hAnsi="Times New Roman" w:cs="Times New Roman"/>
          <w:color w:val="auto"/>
        </w:rPr>
        <w:t>主要建构筑物情况见表2.</w:t>
      </w:r>
      <w:r>
        <w:rPr>
          <w:rFonts w:hint="default" w:ascii="Times New Roman" w:hAnsi="Times New Roman" w:cs="Times New Roman"/>
          <w:color w:val="auto"/>
          <w:lang w:val="en-US" w:eastAsia="zh-CN"/>
        </w:rPr>
        <w:t>6</w:t>
      </w:r>
      <w:r>
        <w:rPr>
          <w:rFonts w:hint="default" w:ascii="Times New Roman" w:hAnsi="Times New Roman" w:cs="Times New Roman"/>
          <w:color w:val="auto"/>
        </w:rPr>
        <w:t>-</w:t>
      </w:r>
      <w:r>
        <w:rPr>
          <w:rFonts w:hint="eastAsia" w:cs="Times New Roman"/>
          <w:color w:val="auto"/>
          <w:lang w:val="en-US" w:eastAsia="zh-CN"/>
        </w:rPr>
        <w:t>7</w:t>
      </w:r>
      <w:r>
        <w:rPr>
          <w:rFonts w:hint="default" w:ascii="Times New Roman" w:hAnsi="Times New Roman" w:cs="Times New Roman"/>
          <w:color w:val="auto"/>
        </w:rPr>
        <w:t>。</w:t>
      </w:r>
    </w:p>
    <w:p w14:paraId="3BFCE0C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表2.6-</w:t>
      </w:r>
      <w:r>
        <w:rPr>
          <w:rFonts w:hint="eastAsia" w:ascii="Times New Roman" w:hAnsi="Times New Roman" w:eastAsia="宋体" w:cs="Times New Roman"/>
          <w:color w:val="auto"/>
          <w:lang w:val="en-US" w:eastAsia="zh-CN"/>
        </w:rPr>
        <w:t>7</w:t>
      </w:r>
      <w:r>
        <w:rPr>
          <w:rFonts w:hint="default" w:ascii="Times New Roman" w:hAnsi="Times New Roman" w:eastAsia="宋体" w:cs="Times New Roman"/>
          <w:color w:val="auto"/>
          <w:lang w:val="en-US" w:eastAsia="zh-CN"/>
        </w:rPr>
        <w:t xml:space="preserve">  建构筑物汇总表</w:t>
      </w:r>
    </w:p>
    <w:tbl>
      <w:tblPr>
        <w:tblStyle w:val="2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324"/>
        <w:gridCol w:w="828"/>
        <w:gridCol w:w="1019"/>
        <w:gridCol w:w="2611"/>
        <w:gridCol w:w="1417"/>
        <w:gridCol w:w="637"/>
      </w:tblGrid>
      <w:tr w14:paraId="6D270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blHeader/>
          <w:jc w:val="center"/>
        </w:trPr>
        <w:tc>
          <w:tcPr>
            <w:tcW w:w="300" w:type="pct"/>
            <w:vMerge w:val="restart"/>
            <w:tcBorders>
              <w:tl2br w:val="nil"/>
              <w:tr2bl w:val="nil"/>
            </w:tcBorders>
            <w:noWrap w:val="0"/>
            <w:vAlign w:val="center"/>
          </w:tcPr>
          <w:p w14:paraId="57DE4FAE">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235" w:type="pct"/>
            <w:vMerge w:val="restart"/>
            <w:tcBorders>
              <w:tl2br w:val="nil"/>
              <w:tr2bl w:val="nil"/>
            </w:tcBorders>
            <w:noWrap w:val="0"/>
            <w:vAlign w:val="center"/>
          </w:tcPr>
          <w:p w14:paraId="32F861EB">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构筑物名称</w:t>
            </w:r>
          </w:p>
        </w:tc>
        <w:tc>
          <w:tcPr>
            <w:tcW w:w="439" w:type="pct"/>
            <w:vMerge w:val="restart"/>
            <w:tcBorders>
              <w:tl2br w:val="nil"/>
              <w:tr2bl w:val="nil"/>
            </w:tcBorders>
            <w:noWrap w:val="0"/>
            <w:vAlign w:val="center"/>
          </w:tcPr>
          <w:p w14:paraId="7CAAB851">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数量</w:t>
            </w:r>
          </w:p>
        </w:tc>
        <w:tc>
          <w:tcPr>
            <w:tcW w:w="542" w:type="pct"/>
            <w:vMerge w:val="restart"/>
            <w:tcBorders>
              <w:tl2br w:val="nil"/>
              <w:tr2bl w:val="nil"/>
            </w:tcBorders>
            <w:noWrap w:val="0"/>
            <w:vAlign w:val="center"/>
          </w:tcPr>
          <w:p w14:paraId="244C6351">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抗震设防类别</w:t>
            </w:r>
          </w:p>
        </w:tc>
        <w:tc>
          <w:tcPr>
            <w:tcW w:w="2142" w:type="pct"/>
            <w:gridSpan w:val="2"/>
            <w:tcBorders>
              <w:tl2br w:val="nil"/>
              <w:tr2bl w:val="nil"/>
            </w:tcBorders>
            <w:noWrap w:val="0"/>
            <w:vAlign w:val="center"/>
          </w:tcPr>
          <w:p w14:paraId="1F638FB3">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构筑物特征</w:t>
            </w:r>
          </w:p>
        </w:tc>
        <w:tc>
          <w:tcPr>
            <w:tcW w:w="339" w:type="pct"/>
            <w:vMerge w:val="restart"/>
            <w:tcBorders>
              <w:tl2br w:val="nil"/>
              <w:tr2bl w:val="nil"/>
            </w:tcBorders>
            <w:noWrap w:val="0"/>
            <w:vAlign w:val="center"/>
          </w:tcPr>
          <w:p w14:paraId="6A70C0C4">
            <w:pPr>
              <w:pStyle w:val="31"/>
              <w:bidi w:val="0"/>
              <w:rPr>
                <w:rFonts w:hint="default" w:ascii="Times New Roman" w:hAnsi="Times New Roman" w:cs="Times New Roman"/>
                <w:color w:val="auto"/>
              </w:rPr>
            </w:pPr>
            <w:r>
              <w:rPr>
                <w:rFonts w:hint="default" w:ascii="Times New Roman" w:hAnsi="Times New Roman" w:cs="Times New Roman"/>
                <w:b/>
                <w:bCs/>
                <w:color w:val="auto"/>
              </w:rPr>
              <w:t>备注</w:t>
            </w:r>
          </w:p>
        </w:tc>
      </w:tr>
      <w:tr w14:paraId="651244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blHeader/>
          <w:jc w:val="center"/>
        </w:trPr>
        <w:tc>
          <w:tcPr>
            <w:tcW w:w="300" w:type="pct"/>
            <w:vMerge w:val="continue"/>
            <w:tcBorders>
              <w:tl2br w:val="nil"/>
              <w:tr2bl w:val="nil"/>
            </w:tcBorders>
            <w:noWrap w:val="0"/>
            <w:vAlign w:val="center"/>
          </w:tcPr>
          <w:p w14:paraId="77510E24">
            <w:pPr>
              <w:pStyle w:val="31"/>
              <w:bidi w:val="0"/>
              <w:rPr>
                <w:rFonts w:hint="default" w:ascii="Times New Roman" w:hAnsi="Times New Roman" w:cs="Times New Roman"/>
                <w:b/>
                <w:bCs/>
                <w:color w:val="auto"/>
              </w:rPr>
            </w:pPr>
          </w:p>
        </w:tc>
        <w:tc>
          <w:tcPr>
            <w:tcW w:w="1235" w:type="pct"/>
            <w:vMerge w:val="continue"/>
            <w:tcBorders>
              <w:tl2br w:val="nil"/>
              <w:tr2bl w:val="nil"/>
            </w:tcBorders>
            <w:noWrap w:val="0"/>
            <w:vAlign w:val="center"/>
          </w:tcPr>
          <w:p w14:paraId="07126D1C">
            <w:pPr>
              <w:pStyle w:val="31"/>
              <w:bidi w:val="0"/>
              <w:rPr>
                <w:rFonts w:hint="default" w:ascii="Times New Roman" w:hAnsi="Times New Roman" w:cs="Times New Roman"/>
                <w:b/>
                <w:bCs/>
                <w:color w:val="auto"/>
              </w:rPr>
            </w:pPr>
          </w:p>
        </w:tc>
        <w:tc>
          <w:tcPr>
            <w:tcW w:w="439" w:type="pct"/>
            <w:vMerge w:val="continue"/>
            <w:tcBorders>
              <w:tl2br w:val="nil"/>
              <w:tr2bl w:val="nil"/>
            </w:tcBorders>
            <w:noWrap w:val="0"/>
            <w:vAlign w:val="center"/>
          </w:tcPr>
          <w:p w14:paraId="01E07574">
            <w:pPr>
              <w:pStyle w:val="31"/>
              <w:bidi w:val="0"/>
              <w:rPr>
                <w:rFonts w:hint="default" w:ascii="Times New Roman" w:hAnsi="Times New Roman" w:cs="Times New Roman"/>
                <w:b/>
                <w:bCs/>
                <w:color w:val="auto"/>
              </w:rPr>
            </w:pPr>
          </w:p>
        </w:tc>
        <w:tc>
          <w:tcPr>
            <w:tcW w:w="542" w:type="pct"/>
            <w:vMerge w:val="continue"/>
            <w:tcBorders>
              <w:tl2br w:val="nil"/>
              <w:tr2bl w:val="nil"/>
            </w:tcBorders>
            <w:noWrap w:val="0"/>
            <w:vAlign w:val="center"/>
          </w:tcPr>
          <w:p w14:paraId="1CBBABB4">
            <w:pPr>
              <w:pStyle w:val="31"/>
              <w:bidi w:val="0"/>
              <w:rPr>
                <w:rFonts w:hint="default" w:ascii="Times New Roman" w:hAnsi="Times New Roman" w:cs="Times New Roman"/>
                <w:b/>
                <w:bCs/>
                <w:color w:val="auto"/>
              </w:rPr>
            </w:pPr>
          </w:p>
        </w:tc>
        <w:tc>
          <w:tcPr>
            <w:tcW w:w="1388" w:type="pct"/>
            <w:tcBorders>
              <w:tl2br w:val="nil"/>
              <w:tr2bl w:val="nil"/>
            </w:tcBorders>
            <w:noWrap w:val="0"/>
            <w:vAlign w:val="center"/>
          </w:tcPr>
          <w:p w14:paraId="53291F9B">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结构型式</w:t>
            </w:r>
          </w:p>
        </w:tc>
        <w:tc>
          <w:tcPr>
            <w:tcW w:w="753" w:type="pct"/>
            <w:tcBorders>
              <w:tl2br w:val="nil"/>
              <w:tr2bl w:val="nil"/>
            </w:tcBorders>
            <w:noWrap w:val="0"/>
            <w:vAlign w:val="center"/>
          </w:tcPr>
          <w:p w14:paraId="79DC38A0">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地基类型</w:t>
            </w:r>
          </w:p>
        </w:tc>
        <w:tc>
          <w:tcPr>
            <w:tcW w:w="339" w:type="pct"/>
            <w:vMerge w:val="continue"/>
            <w:tcBorders>
              <w:tl2br w:val="nil"/>
              <w:tr2bl w:val="nil"/>
            </w:tcBorders>
            <w:noWrap w:val="0"/>
            <w:vAlign w:val="center"/>
          </w:tcPr>
          <w:p w14:paraId="4E4DE190">
            <w:pPr>
              <w:pStyle w:val="31"/>
              <w:bidi w:val="0"/>
              <w:rPr>
                <w:rFonts w:hint="default" w:ascii="Times New Roman" w:hAnsi="Times New Roman" w:cs="Times New Roman"/>
                <w:color w:val="auto"/>
              </w:rPr>
            </w:pPr>
          </w:p>
        </w:tc>
      </w:tr>
      <w:tr w14:paraId="02EF6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0" w:type="pct"/>
            <w:tcBorders>
              <w:tl2br w:val="nil"/>
              <w:tr2bl w:val="nil"/>
            </w:tcBorders>
            <w:noWrap w:val="0"/>
            <w:vAlign w:val="center"/>
          </w:tcPr>
          <w:p w14:paraId="44A6E18B">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w:t>
            </w:r>
          </w:p>
        </w:tc>
        <w:tc>
          <w:tcPr>
            <w:tcW w:w="1235" w:type="pct"/>
            <w:tcBorders>
              <w:tl2br w:val="nil"/>
              <w:tr2bl w:val="nil"/>
            </w:tcBorders>
            <w:noWrap w:val="0"/>
            <w:vAlign w:val="center"/>
          </w:tcPr>
          <w:p w14:paraId="43D076CA">
            <w:pPr>
              <w:pStyle w:val="31"/>
              <w:bidi w:val="0"/>
              <w:rPr>
                <w:rFonts w:hint="default" w:ascii="Times New Roman" w:hAnsi="Times New Roman" w:cs="Times New Roman"/>
                <w:color w:val="auto"/>
              </w:rPr>
            </w:pPr>
            <w:r>
              <w:rPr>
                <w:rFonts w:hint="default" w:ascii="Times New Roman" w:hAnsi="Times New Roman" w:cs="Times New Roman"/>
                <w:color w:val="auto"/>
              </w:rPr>
              <w:t>新建油气处理单元（撬装结构）</w:t>
            </w:r>
          </w:p>
        </w:tc>
        <w:tc>
          <w:tcPr>
            <w:tcW w:w="439" w:type="pct"/>
            <w:tcBorders>
              <w:tl2br w:val="nil"/>
              <w:tr2bl w:val="nil"/>
            </w:tcBorders>
            <w:noWrap w:val="0"/>
            <w:vAlign w:val="center"/>
          </w:tcPr>
          <w:p w14:paraId="1D38232B">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1座</w:t>
            </w:r>
          </w:p>
        </w:tc>
        <w:tc>
          <w:tcPr>
            <w:tcW w:w="542" w:type="pct"/>
            <w:tcBorders>
              <w:tl2br w:val="nil"/>
              <w:tr2bl w:val="nil"/>
            </w:tcBorders>
            <w:noWrap w:val="0"/>
            <w:vAlign w:val="center"/>
          </w:tcPr>
          <w:p w14:paraId="3AD6D576">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丙类</w:t>
            </w:r>
          </w:p>
        </w:tc>
        <w:tc>
          <w:tcPr>
            <w:tcW w:w="1388" w:type="pct"/>
            <w:tcBorders>
              <w:tl2br w:val="nil"/>
              <w:tr2bl w:val="nil"/>
            </w:tcBorders>
            <w:noWrap w:val="0"/>
            <w:vAlign w:val="center"/>
          </w:tcPr>
          <w:p w14:paraId="7313A586">
            <w:pPr>
              <w:pStyle w:val="31"/>
              <w:bidi w:val="0"/>
              <w:rPr>
                <w:rFonts w:hint="default" w:ascii="Times New Roman" w:hAnsi="Times New Roman" w:cs="Times New Roman"/>
                <w:color w:val="auto"/>
              </w:rPr>
            </w:pPr>
            <w:r>
              <w:rPr>
                <w:rFonts w:hint="default" w:ascii="Times New Roman" w:hAnsi="Times New Roman" w:cs="Times New Roman"/>
                <w:color w:val="auto"/>
              </w:rPr>
              <w:t>钢筋混泥土基础</w:t>
            </w:r>
          </w:p>
        </w:tc>
        <w:tc>
          <w:tcPr>
            <w:tcW w:w="753" w:type="pct"/>
            <w:tcBorders>
              <w:tl2br w:val="nil"/>
              <w:tr2bl w:val="nil"/>
            </w:tcBorders>
            <w:noWrap w:val="0"/>
            <w:vAlign w:val="center"/>
          </w:tcPr>
          <w:p w14:paraId="26C4816D">
            <w:pPr>
              <w:pStyle w:val="31"/>
              <w:bidi w:val="0"/>
              <w:rPr>
                <w:rFonts w:hint="default" w:ascii="Times New Roman" w:hAnsi="Times New Roman" w:cs="Times New Roman"/>
                <w:color w:val="auto"/>
              </w:rPr>
            </w:pPr>
            <w:r>
              <w:rPr>
                <w:rFonts w:hint="default" w:ascii="Times New Roman" w:hAnsi="Times New Roman" w:cs="Times New Roman"/>
                <w:color w:val="auto"/>
              </w:rPr>
              <w:t>天然地基</w:t>
            </w:r>
          </w:p>
        </w:tc>
        <w:tc>
          <w:tcPr>
            <w:tcW w:w="339" w:type="pct"/>
            <w:tcBorders>
              <w:tl2br w:val="nil"/>
              <w:tr2bl w:val="nil"/>
            </w:tcBorders>
            <w:noWrap w:val="0"/>
            <w:vAlign w:val="center"/>
          </w:tcPr>
          <w:p w14:paraId="0709EAE7">
            <w:pPr>
              <w:pStyle w:val="31"/>
              <w:bidi w:val="0"/>
              <w:rPr>
                <w:rFonts w:hint="default" w:ascii="Times New Roman" w:hAnsi="Times New Roman" w:cs="Times New Roman"/>
                <w:color w:val="auto"/>
              </w:rPr>
            </w:pPr>
          </w:p>
        </w:tc>
      </w:tr>
      <w:tr w14:paraId="3E20B7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300" w:type="pct"/>
            <w:tcBorders>
              <w:tl2br w:val="nil"/>
              <w:tr2bl w:val="nil"/>
            </w:tcBorders>
            <w:noWrap w:val="0"/>
            <w:vAlign w:val="center"/>
          </w:tcPr>
          <w:p w14:paraId="2F80E50E">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235" w:type="pct"/>
            <w:tcBorders>
              <w:tl2br w:val="nil"/>
              <w:tr2bl w:val="nil"/>
            </w:tcBorders>
            <w:noWrap w:val="0"/>
            <w:vAlign w:val="center"/>
          </w:tcPr>
          <w:p w14:paraId="7EAD6D80">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风机基础</w:t>
            </w:r>
          </w:p>
        </w:tc>
        <w:tc>
          <w:tcPr>
            <w:tcW w:w="439" w:type="pct"/>
            <w:tcBorders>
              <w:tl2br w:val="nil"/>
              <w:tr2bl w:val="nil"/>
            </w:tcBorders>
            <w:noWrap w:val="0"/>
            <w:vAlign w:val="center"/>
          </w:tcPr>
          <w:p w14:paraId="6ECC006C">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1座</w:t>
            </w:r>
          </w:p>
        </w:tc>
        <w:tc>
          <w:tcPr>
            <w:tcW w:w="542" w:type="pct"/>
            <w:tcBorders>
              <w:tl2br w:val="nil"/>
              <w:tr2bl w:val="nil"/>
            </w:tcBorders>
            <w:noWrap w:val="0"/>
            <w:vAlign w:val="center"/>
          </w:tcPr>
          <w:p w14:paraId="205D2211">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丙类</w:t>
            </w:r>
          </w:p>
        </w:tc>
        <w:tc>
          <w:tcPr>
            <w:tcW w:w="1388" w:type="pct"/>
            <w:tcBorders>
              <w:tl2br w:val="nil"/>
              <w:tr2bl w:val="nil"/>
            </w:tcBorders>
            <w:noWrap w:val="0"/>
            <w:vAlign w:val="center"/>
          </w:tcPr>
          <w:p w14:paraId="7CB1A89A">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钢筋混凝土基础</w:t>
            </w:r>
          </w:p>
        </w:tc>
        <w:tc>
          <w:tcPr>
            <w:tcW w:w="753" w:type="pct"/>
            <w:tcBorders>
              <w:tl2br w:val="nil"/>
              <w:tr2bl w:val="nil"/>
            </w:tcBorders>
            <w:noWrap w:val="0"/>
            <w:vAlign w:val="center"/>
          </w:tcPr>
          <w:p w14:paraId="166BBBE6">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天然地基</w:t>
            </w:r>
          </w:p>
        </w:tc>
        <w:tc>
          <w:tcPr>
            <w:tcW w:w="339" w:type="pct"/>
            <w:tcBorders>
              <w:tl2br w:val="nil"/>
              <w:tr2bl w:val="nil"/>
            </w:tcBorders>
            <w:noWrap w:val="0"/>
            <w:vAlign w:val="center"/>
          </w:tcPr>
          <w:p w14:paraId="506362C7">
            <w:pPr>
              <w:pStyle w:val="31"/>
              <w:bidi w:val="0"/>
              <w:rPr>
                <w:rFonts w:hint="default" w:ascii="Times New Roman" w:hAnsi="Times New Roman" w:cs="Times New Roman"/>
                <w:color w:val="auto"/>
              </w:rPr>
            </w:pPr>
          </w:p>
        </w:tc>
      </w:tr>
      <w:tr w14:paraId="69113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tcBorders>
              <w:tl2br w:val="nil"/>
              <w:tr2bl w:val="nil"/>
            </w:tcBorders>
            <w:noWrap w:val="0"/>
            <w:vAlign w:val="center"/>
          </w:tcPr>
          <w:p w14:paraId="1F5D1E97">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p>
        </w:tc>
        <w:tc>
          <w:tcPr>
            <w:tcW w:w="1235" w:type="pct"/>
            <w:tcBorders>
              <w:tl2br w:val="nil"/>
              <w:tr2bl w:val="nil"/>
            </w:tcBorders>
            <w:noWrap w:val="0"/>
            <w:vAlign w:val="center"/>
          </w:tcPr>
          <w:p w14:paraId="0AAFDAAB">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净化排气筒采样平台</w:t>
            </w:r>
          </w:p>
        </w:tc>
        <w:tc>
          <w:tcPr>
            <w:tcW w:w="439" w:type="pct"/>
            <w:tcBorders>
              <w:tl2br w:val="nil"/>
              <w:tr2bl w:val="nil"/>
            </w:tcBorders>
            <w:noWrap w:val="0"/>
            <w:vAlign w:val="center"/>
          </w:tcPr>
          <w:p w14:paraId="356899DE">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1座</w:t>
            </w:r>
          </w:p>
        </w:tc>
        <w:tc>
          <w:tcPr>
            <w:tcW w:w="542" w:type="pct"/>
            <w:tcBorders>
              <w:tl2br w:val="nil"/>
              <w:tr2bl w:val="nil"/>
            </w:tcBorders>
            <w:noWrap w:val="0"/>
            <w:vAlign w:val="center"/>
          </w:tcPr>
          <w:p w14:paraId="7000F4D0">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丙类</w:t>
            </w:r>
          </w:p>
        </w:tc>
        <w:tc>
          <w:tcPr>
            <w:tcW w:w="1388" w:type="pct"/>
            <w:tcBorders>
              <w:tl2br w:val="nil"/>
              <w:tr2bl w:val="nil"/>
            </w:tcBorders>
            <w:noWrap w:val="0"/>
            <w:vAlign w:val="center"/>
          </w:tcPr>
          <w:p w14:paraId="5F359E2B">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钢结构框架形式</w:t>
            </w:r>
          </w:p>
        </w:tc>
        <w:tc>
          <w:tcPr>
            <w:tcW w:w="753" w:type="pct"/>
            <w:tcBorders>
              <w:tl2br w:val="nil"/>
              <w:tr2bl w:val="nil"/>
            </w:tcBorders>
            <w:noWrap w:val="0"/>
            <w:vAlign w:val="center"/>
          </w:tcPr>
          <w:p w14:paraId="2158050F">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339" w:type="pct"/>
            <w:tcBorders>
              <w:tl2br w:val="nil"/>
              <w:tr2bl w:val="nil"/>
            </w:tcBorders>
            <w:noWrap w:val="0"/>
            <w:vAlign w:val="center"/>
          </w:tcPr>
          <w:p w14:paraId="3E7D9D72">
            <w:pPr>
              <w:pStyle w:val="31"/>
              <w:bidi w:val="0"/>
              <w:rPr>
                <w:rFonts w:hint="default" w:ascii="Times New Roman" w:hAnsi="Times New Roman" w:cs="Times New Roman"/>
                <w:color w:val="auto"/>
              </w:rPr>
            </w:pPr>
          </w:p>
        </w:tc>
      </w:tr>
      <w:tr w14:paraId="79441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tcBorders>
              <w:tl2br w:val="nil"/>
              <w:tr2bl w:val="nil"/>
            </w:tcBorders>
            <w:noWrap w:val="0"/>
            <w:vAlign w:val="center"/>
          </w:tcPr>
          <w:p w14:paraId="1994C8D3">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1235" w:type="pct"/>
            <w:tcBorders>
              <w:tl2br w:val="nil"/>
              <w:tr2bl w:val="nil"/>
            </w:tcBorders>
            <w:noWrap w:val="0"/>
            <w:vAlign w:val="center"/>
          </w:tcPr>
          <w:p w14:paraId="11D6037F">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val="en-US" w:eastAsia="zh-CN"/>
              </w:rPr>
              <w:t>独立</w:t>
            </w:r>
            <w:r>
              <w:rPr>
                <w:rFonts w:hint="default" w:ascii="Times New Roman" w:hAnsi="Times New Roman" w:cs="Times New Roman"/>
                <w:color w:val="auto"/>
              </w:rPr>
              <w:t>管架</w:t>
            </w:r>
          </w:p>
        </w:tc>
        <w:tc>
          <w:tcPr>
            <w:tcW w:w="439" w:type="pct"/>
            <w:tcBorders>
              <w:tl2br w:val="nil"/>
              <w:tr2bl w:val="nil"/>
            </w:tcBorders>
            <w:noWrap w:val="0"/>
            <w:vAlign w:val="center"/>
          </w:tcPr>
          <w:p w14:paraId="54389881">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20个</w:t>
            </w:r>
          </w:p>
        </w:tc>
        <w:tc>
          <w:tcPr>
            <w:tcW w:w="542" w:type="pct"/>
            <w:tcBorders>
              <w:tl2br w:val="nil"/>
              <w:tr2bl w:val="nil"/>
            </w:tcBorders>
            <w:noWrap w:val="0"/>
            <w:vAlign w:val="center"/>
          </w:tcPr>
          <w:p w14:paraId="02ECEF06">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丙类</w:t>
            </w:r>
          </w:p>
        </w:tc>
        <w:tc>
          <w:tcPr>
            <w:tcW w:w="1388" w:type="pct"/>
            <w:tcBorders>
              <w:tl2br w:val="nil"/>
              <w:tr2bl w:val="nil"/>
            </w:tcBorders>
            <w:noWrap w:val="0"/>
            <w:vAlign w:val="center"/>
          </w:tcPr>
          <w:p w14:paraId="6352DDB4">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钢筋混凝土基础、钢结构</w:t>
            </w:r>
          </w:p>
        </w:tc>
        <w:tc>
          <w:tcPr>
            <w:tcW w:w="753" w:type="pct"/>
            <w:tcBorders>
              <w:tl2br w:val="nil"/>
              <w:tr2bl w:val="nil"/>
            </w:tcBorders>
            <w:noWrap w:val="0"/>
            <w:vAlign w:val="center"/>
          </w:tcPr>
          <w:p w14:paraId="037A9C0F">
            <w:pPr>
              <w:pStyle w:val="31"/>
              <w:bidi w:val="0"/>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天然地基</w:t>
            </w:r>
          </w:p>
        </w:tc>
        <w:tc>
          <w:tcPr>
            <w:tcW w:w="339" w:type="pct"/>
            <w:tcBorders>
              <w:tl2br w:val="nil"/>
              <w:tr2bl w:val="nil"/>
            </w:tcBorders>
            <w:noWrap w:val="0"/>
            <w:vAlign w:val="center"/>
          </w:tcPr>
          <w:p w14:paraId="5A3C9592">
            <w:pPr>
              <w:pStyle w:val="31"/>
              <w:bidi w:val="0"/>
              <w:rPr>
                <w:rFonts w:hint="default" w:ascii="Times New Roman" w:hAnsi="Times New Roman" w:cs="Times New Roman"/>
                <w:color w:val="auto"/>
              </w:rPr>
            </w:pPr>
          </w:p>
        </w:tc>
      </w:tr>
      <w:tr w14:paraId="1EC32B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tcBorders>
              <w:tl2br w:val="nil"/>
              <w:tr2bl w:val="nil"/>
            </w:tcBorders>
            <w:noWrap w:val="0"/>
            <w:vAlign w:val="center"/>
          </w:tcPr>
          <w:p w14:paraId="6359BD4C">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1235" w:type="pct"/>
            <w:tcBorders>
              <w:tl2br w:val="nil"/>
              <w:tr2bl w:val="nil"/>
            </w:tcBorders>
            <w:noWrap w:val="0"/>
            <w:vAlign w:val="center"/>
          </w:tcPr>
          <w:p w14:paraId="4647EEB6">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系统管架</w:t>
            </w:r>
          </w:p>
        </w:tc>
        <w:tc>
          <w:tcPr>
            <w:tcW w:w="439" w:type="pct"/>
            <w:tcBorders>
              <w:tl2br w:val="nil"/>
              <w:tr2bl w:val="nil"/>
            </w:tcBorders>
            <w:noWrap w:val="0"/>
            <w:vAlign w:val="center"/>
          </w:tcPr>
          <w:p w14:paraId="2E98E25A">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40榀</w:t>
            </w:r>
          </w:p>
        </w:tc>
        <w:tc>
          <w:tcPr>
            <w:tcW w:w="542" w:type="pct"/>
            <w:tcBorders>
              <w:tl2br w:val="nil"/>
              <w:tr2bl w:val="nil"/>
            </w:tcBorders>
            <w:noWrap w:val="0"/>
            <w:vAlign w:val="center"/>
          </w:tcPr>
          <w:p w14:paraId="472DEBA4">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1388" w:type="pct"/>
            <w:tcBorders>
              <w:tl2br w:val="nil"/>
              <w:tr2bl w:val="nil"/>
            </w:tcBorders>
            <w:noWrap w:val="0"/>
            <w:vAlign w:val="center"/>
          </w:tcPr>
          <w:p w14:paraId="07C25149">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753" w:type="pct"/>
            <w:tcBorders>
              <w:tl2br w:val="nil"/>
              <w:tr2bl w:val="nil"/>
            </w:tcBorders>
            <w:noWrap w:val="0"/>
            <w:vAlign w:val="center"/>
          </w:tcPr>
          <w:p w14:paraId="3B58EF96">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换填处理后的天然地基</w:t>
            </w:r>
          </w:p>
        </w:tc>
        <w:tc>
          <w:tcPr>
            <w:tcW w:w="339" w:type="pct"/>
            <w:tcBorders>
              <w:tl2br w:val="nil"/>
              <w:tr2bl w:val="nil"/>
            </w:tcBorders>
            <w:noWrap w:val="0"/>
            <w:vAlign w:val="center"/>
          </w:tcPr>
          <w:p w14:paraId="6372F2FA">
            <w:pPr>
              <w:pStyle w:val="31"/>
              <w:bidi w:val="0"/>
              <w:rPr>
                <w:rFonts w:hint="default" w:ascii="Times New Roman" w:hAnsi="Times New Roman" w:cs="Times New Roman"/>
                <w:color w:val="auto"/>
              </w:rPr>
            </w:pPr>
          </w:p>
        </w:tc>
      </w:tr>
    </w:tbl>
    <w:p w14:paraId="41038C58">
      <w:pPr>
        <w:pStyle w:val="3"/>
        <w:bidi w:val="0"/>
        <w:rPr>
          <w:rFonts w:hint="default" w:ascii="Times New Roman" w:hAnsi="Times New Roman" w:cs="Times New Roman"/>
          <w:color w:val="auto"/>
        </w:rPr>
      </w:pPr>
      <w:bookmarkStart w:id="26" w:name="_Toc548"/>
      <w:bookmarkStart w:id="27" w:name="_Toc509842598"/>
      <w:bookmarkStart w:id="28" w:name="_Toc224606034"/>
      <w:bookmarkStart w:id="29" w:name="_Toc246385250"/>
      <w:bookmarkStart w:id="30" w:name="_Toc228243677"/>
      <w:r>
        <w:rPr>
          <w:rFonts w:hint="default" w:ascii="Times New Roman" w:hAnsi="Times New Roman" w:cs="Times New Roman"/>
          <w:color w:val="auto"/>
        </w:rPr>
        <w:t>安全投入</w:t>
      </w:r>
      <w:bookmarkEnd w:id="26"/>
      <w:bookmarkEnd w:id="27"/>
    </w:p>
    <w:p w14:paraId="7490FAE6">
      <w:pPr>
        <w:pStyle w:val="6"/>
        <w:bidi w:val="0"/>
        <w:rPr>
          <w:rFonts w:hint="default" w:ascii="Times New Roman" w:hAnsi="Times New Roman" w:cs="Times New Roman"/>
          <w:color w:val="auto"/>
        </w:rPr>
      </w:pPr>
      <w:bookmarkStart w:id="31" w:name="_Toc509842599"/>
      <w:r>
        <w:rPr>
          <w:rFonts w:hint="eastAsia"/>
          <w:b/>
          <w:bCs/>
        </w:rPr>
        <w:t>涉及企业机密，不予公开。</w:t>
      </w:r>
    </w:p>
    <w:p w14:paraId="311E90BB">
      <w:pPr>
        <w:pStyle w:val="3"/>
        <w:bidi w:val="0"/>
        <w:rPr>
          <w:rFonts w:hint="default" w:ascii="Times New Roman" w:hAnsi="Times New Roman" w:cs="Times New Roman"/>
          <w:color w:val="auto"/>
        </w:rPr>
      </w:pPr>
      <w:bookmarkStart w:id="32" w:name="_Toc16084"/>
      <w:r>
        <w:rPr>
          <w:rFonts w:hint="default" w:ascii="Times New Roman" w:hAnsi="Times New Roman" w:cs="Times New Roman"/>
          <w:color w:val="auto"/>
          <w:lang w:eastAsia="zh-CN"/>
        </w:rPr>
        <w:t>该项目</w:t>
      </w:r>
      <w:r>
        <w:rPr>
          <w:rFonts w:hint="default" w:ascii="Times New Roman" w:hAnsi="Times New Roman" w:cs="Times New Roman"/>
          <w:color w:val="auto"/>
        </w:rPr>
        <w:t>劳动定员及安全管理</w:t>
      </w:r>
      <w:bookmarkEnd w:id="31"/>
      <w:bookmarkEnd w:id="32"/>
    </w:p>
    <w:p w14:paraId="39BCF549">
      <w:pPr>
        <w:pStyle w:val="4"/>
        <w:bidi w:val="0"/>
        <w:rPr>
          <w:rFonts w:hint="default" w:ascii="Times New Roman" w:hAnsi="Times New Roman" w:cs="Times New Roman"/>
          <w:color w:val="auto"/>
        </w:rPr>
      </w:pPr>
      <w:r>
        <w:rPr>
          <w:rFonts w:hint="default" w:ascii="Times New Roman" w:hAnsi="Times New Roman" w:cs="Times New Roman"/>
          <w:color w:val="auto"/>
        </w:rPr>
        <w:t>2.</w:t>
      </w:r>
      <w:r>
        <w:rPr>
          <w:rFonts w:hint="eastAsia" w:cs="Times New Roman"/>
          <w:color w:val="auto"/>
          <w:lang w:val="en-US" w:eastAsia="zh-CN"/>
        </w:rPr>
        <w:t>8</w:t>
      </w:r>
      <w:r>
        <w:rPr>
          <w:rFonts w:hint="default" w:ascii="Times New Roman" w:hAnsi="Times New Roman" w:cs="Times New Roman"/>
          <w:color w:val="auto"/>
        </w:rPr>
        <w:t xml:space="preserve">.1 </w:t>
      </w:r>
      <w:r>
        <w:rPr>
          <w:rFonts w:hint="default" w:ascii="Times New Roman" w:hAnsi="Times New Roman" w:cs="Times New Roman"/>
          <w:color w:val="auto"/>
          <w:lang w:val="en-US" w:eastAsia="zh-CN"/>
        </w:rPr>
        <w:t>项目</w:t>
      </w:r>
      <w:r>
        <w:rPr>
          <w:rFonts w:hint="default" w:ascii="Times New Roman" w:hAnsi="Times New Roman" w:cs="Times New Roman"/>
          <w:color w:val="auto"/>
        </w:rPr>
        <w:t>定员情况</w:t>
      </w:r>
    </w:p>
    <w:p w14:paraId="5DB1F1C7">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本工程在</w:t>
      </w:r>
      <w:r>
        <w:rPr>
          <w:rFonts w:hint="default" w:ascii="Times New Roman" w:hAnsi="Times New Roman" w:cs="Times New Roman"/>
          <w:color w:val="auto"/>
          <w:lang w:val="en-US" w:eastAsia="zh-CN"/>
        </w:rPr>
        <w:t>3#新建柴油罐区北侧预留空地进行建设</w:t>
      </w:r>
      <w:r>
        <w:rPr>
          <w:rFonts w:hint="default" w:ascii="Times New Roman" w:hAnsi="Times New Roman" w:cs="Times New Roman"/>
          <w:color w:val="auto"/>
        </w:rPr>
        <w:t>，操作人员全部由</w:t>
      </w:r>
      <w:r>
        <w:rPr>
          <w:rFonts w:hint="default" w:ascii="Times New Roman" w:hAnsi="Times New Roman" w:cs="Times New Roman"/>
          <w:color w:val="auto"/>
          <w:lang w:val="en-US" w:eastAsia="zh-CN"/>
        </w:rPr>
        <w:t>储运二部</w:t>
      </w:r>
      <w:r>
        <w:rPr>
          <w:rFonts w:hint="default" w:ascii="Times New Roman" w:hAnsi="Times New Roman" w:cs="Times New Roman"/>
          <w:color w:val="auto"/>
        </w:rPr>
        <w:t>现有人员兼任，由</w:t>
      </w:r>
      <w:r>
        <w:rPr>
          <w:rFonts w:hint="eastAsia"/>
          <w:color w:val="auto"/>
          <w:lang w:val="en-US" w:eastAsia="zh-CN"/>
        </w:rPr>
        <w:t>石油化工总厂</w:t>
      </w:r>
      <w:r>
        <w:rPr>
          <w:rFonts w:hint="default" w:ascii="Times New Roman" w:hAnsi="Times New Roman" w:cs="Times New Roman"/>
          <w:color w:val="auto"/>
        </w:rPr>
        <w:t>统一调配，不新增定员</w:t>
      </w:r>
      <w:r>
        <w:rPr>
          <w:rFonts w:hint="default" w:ascii="Times New Roman" w:hAnsi="Times New Roman" w:cs="Times New Roman"/>
          <w:color w:val="auto"/>
          <w:lang w:eastAsia="zh-CN"/>
        </w:rPr>
        <w:t>。</w:t>
      </w:r>
    </w:p>
    <w:p w14:paraId="46371FE2">
      <w:pPr>
        <w:pStyle w:val="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w:t>
      </w:r>
      <w:r>
        <w:rPr>
          <w:rFonts w:hint="eastAsia" w:cs="Times New Roman"/>
          <w:color w:val="auto"/>
          <w:sz w:val="28"/>
          <w:szCs w:val="28"/>
          <w:lang w:val="en-US" w:eastAsia="zh-CN"/>
        </w:rPr>
        <w:t>8</w:t>
      </w:r>
      <w:r>
        <w:rPr>
          <w:rFonts w:hint="default" w:ascii="Times New Roman" w:hAnsi="Times New Roman" w:cs="Times New Roman"/>
          <w:color w:val="auto"/>
          <w:sz w:val="28"/>
          <w:szCs w:val="28"/>
        </w:rPr>
        <w:t xml:space="preserve">.2 </w:t>
      </w:r>
      <w:r>
        <w:rPr>
          <w:rFonts w:hint="default" w:ascii="Times New Roman" w:hAnsi="Times New Roman" w:cs="Times New Roman"/>
          <w:color w:val="auto"/>
          <w:sz w:val="28"/>
          <w:szCs w:val="28"/>
          <w:lang w:val="en-US" w:eastAsia="zh-CN"/>
        </w:rPr>
        <w:t>项目</w:t>
      </w:r>
      <w:r>
        <w:rPr>
          <w:rFonts w:hint="default" w:ascii="Times New Roman" w:hAnsi="Times New Roman" w:eastAsia="黑体" w:cs="Times New Roman"/>
          <w:color w:val="auto"/>
          <w:sz w:val="28"/>
          <w:szCs w:val="28"/>
        </w:rPr>
        <w:t>安全生产管理情况</w:t>
      </w:r>
    </w:p>
    <w:p w14:paraId="6A6076BE">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该项目</w:t>
      </w:r>
      <w:r>
        <w:rPr>
          <w:rFonts w:hint="default" w:ascii="Times New Roman" w:hAnsi="Times New Roman" w:cs="Times New Roman"/>
          <w:color w:val="auto"/>
        </w:rPr>
        <w:t>安全管理依托厂区</w:t>
      </w:r>
      <w:r>
        <w:rPr>
          <w:rFonts w:hint="default" w:ascii="Times New Roman" w:hAnsi="Times New Roman" w:cs="Times New Roman"/>
          <w:color w:val="auto"/>
          <w:lang w:val="en-US" w:eastAsia="zh-CN"/>
        </w:rPr>
        <w:t>储运二部</w:t>
      </w:r>
      <w:r>
        <w:rPr>
          <w:rFonts w:hint="default" w:ascii="Times New Roman" w:hAnsi="Times New Roman" w:cs="Times New Roman"/>
          <w:color w:val="auto"/>
        </w:rPr>
        <w:t>原有安全管理组织机构，详见2.1.</w:t>
      </w:r>
      <w:r>
        <w:rPr>
          <w:rFonts w:hint="eastAsia" w:cs="Times New Roman"/>
          <w:color w:val="auto"/>
          <w:lang w:val="en-US" w:eastAsia="zh-CN"/>
        </w:rPr>
        <w:t>3</w:t>
      </w:r>
      <w:r>
        <w:rPr>
          <w:rFonts w:hint="default" w:ascii="Times New Roman" w:hAnsi="Times New Roman" w:cs="Times New Roman"/>
          <w:color w:val="auto"/>
        </w:rPr>
        <w:t>章节。</w:t>
      </w:r>
      <w:r>
        <w:rPr>
          <w:rFonts w:hint="default" w:ascii="Times New Roman" w:hAnsi="Times New Roman" w:cs="Times New Roman"/>
          <w:color w:val="auto"/>
          <w:highlight w:val="none"/>
          <w:lang w:val="en-US" w:eastAsia="zh-CN"/>
        </w:rPr>
        <w:t>储运二部</w:t>
      </w:r>
      <w:r>
        <w:rPr>
          <w:rFonts w:hint="default" w:ascii="Times New Roman" w:hAnsi="Times New Roman" w:cs="Times New Roman"/>
          <w:color w:val="auto"/>
          <w:highlight w:val="none"/>
        </w:rPr>
        <w:t>现配备有</w:t>
      </w:r>
      <w:r>
        <w:rPr>
          <w:rFonts w:hint="default" w:ascii="Times New Roman" w:hAnsi="Times New Roman" w:cs="Times New Roman"/>
          <w:color w:val="auto"/>
          <w:highlight w:val="none"/>
          <w:lang w:val="en-US" w:eastAsia="zh-CN"/>
        </w:rPr>
        <w:t>专</w:t>
      </w:r>
      <w:r>
        <w:rPr>
          <w:rFonts w:hint="default" w:ascii="Times New Roman" w:hAnsi="Times New Roman" w:cs="Times New Roman"/>
          <w:color w:val="auto"/>
          <w:highlight w:val="none"/>
        </w:rPr>
        <w:t>职安全</w:t>
      </w:r>
      <w:r>
        <w:rPr>
          <w:rFonts w:hint="default" w:ascii="Times New Roman" w:hAnsi="Times New Roman" w:cs="Times New Roman"/>
          <w:color w:val="auto"/>
          <w:highlight w:val="none"/>
          <w:lang w:val="en-US" w:eastAsia="zh-CN"/>
        </w:rPr>
        <w:t>管理人员</w:t>
      </w:r>
      <w:r>
        <w:rPr>
          <w:rFonts w:hint="eastAsia" w:cs="Times New Roman"/>
          <w:color w:val="auto"/>
          <w:highlight w:val="none"/>
          <w:lang w:val="en-US" w:eastAsia="zh-CN"/>
        </w:rPr>
        <w:t>2</w:t>
      </w:r>
      <w:r>
        <w:rPr>
          <w:rFonts w:hint="default" w:ascii="Times New Roman" w:hAnsi="Times New Roman" w:cs="Times New Roman"/>
          <w:color w:val="auto"/>
          <w:highlight w:val="none"/>
        </w:rPr>
        <w:t>名，各班组设有兼职安全员。</w:t>
      </w:r>
      <w:r>
        <w:rPr>
          <w:rFonts w:hint="default" w:ascii="Times New Roman" w:hAnsi="Times New Roman" w:cs="Times New Roman"/>
          <w:color w:val="auto"/>
        </w:rPr>
        <w:t>企业形成了横向到边，纵向到底的公司、车间、班组的三级安全管理网络机构。</w:t>
      </w:r>
      <w:r>
        <w:rPr>
          <w:rFonts w:hint="eastAsia" w:cs="Times New Roman"/>
          <w:color w:val="auto"/>
          <w:lang w:val="en-US" w:eastAsia="zh-CN"/>
        </w:rPr>
        <w:t>储运二部</w:t>
      </w:r>
      <w:r>
        <w:rPr>
          <w:rFonts w:hint="default" w:ascii="Times New Roman" w:hAnsi="Times New Roman" w:cs="Times New Roman"/>
          <w:color w:val="auto"/>
        </w:rPr>
        <w:t>制定有完善的岗位安全责任制及车间安全管理制度，安全管理体系完善。</w:t>
      </w:r>
    </w:p>
    <w:bookmarkEnd w:id="28"/>
    <w:bookmarkEnd w:id="29"/>
    <w:bookmarkEnd w:id="30"/>
    <w:p w14:paraId="61C37D38">
      <w:pPr>
        <w:pStyle w:val="6"/>
        <w:bidi w:val="0"/>
        <w:rPr>
          <w:rFonts w:hint="default" w:ascii="Times New Roman" w:hAnsi="Times New Roman" w:cs="Times New Roman"/>
          <w:color w:val="auto"/>
        </w:rPr>
        <w:sectPr>
          <w:pgSz w:w="11906" w:h="16838"/>
          <w:pgMar w:top="1417" w:right="1134" w:bottom="1134" w:left="1587" w:header="720" w:footer="454" w:gutter="0"/>
          <w:pgBorders>
            <w:top w:val="none" w:sz="0" w:space="0"/>
            <w:left w:val="none" w:sz="0" w:space="0"/>
            <w:bottom w:val="none" w:sz="0" w:space="0"/>
            <w:right w:val="none" w:sz="0" w:space="0"/>
          </w:pgBorders>
          <w:lnNumType w:countBy="0" w:distance="360"/>
          <w:cols w:space="720" w:num="1"/>
          <w:docGrid w:type="lines" w:linePitch="312" w:charSpace="0"/>
        </w:sectPr>
      </w:pPr>
    </w:p>
    <w:p w14:paraId="19B217C7">
      <w:pPr>
        <w:pStyle w:val="17"/>
        <w:bidi w:val="0"/>
        <w:rPr>
          <w:rFonts w:hint="default" w:ascii="Times New Roman" w:hAnsi="Times New Roman" w:cs="Times New Roman"/>
          <w:color w:val="auto"/>
        </w:rPr>
      </w:pPr>
      <w:bookmarkStart w:id="33" w:name="_Toc21462"/>
      <w:r>
        <w:rPr>
          <w:rFonts w:hint="default" w:ascii="Times New Roman" w:hAnsi="Times New Roman" w:cs="Times New Roman"/>
          <w:color w:val="auto"/>
        </w:rPr>
        <w:t>危险、有害因素辨识结果</w:t>
      </w:r>
      <w:bookmarkEnd w:id="33"/>
    </w:p>
    <w:p w14:paraId="4C57133A">
      <w:pPr>
        <w:pStyle w:val="3"/>
        <w:bidi w:val="0"/>
        <w:rPr>
          <w:rFonts w:hint="default" w:ascii="Times New Roman" w:hAnsi="Times New Roman" w:cs="Times New Roman"/>
          <w:color w:val="auto"/>
        </w:rPr>
      </w:pPr>
      <w:bookmarkStart w:id="34" w:name="_Toc312475616"/>
      <w:bookmarkStart w:id="35" w:name="_Toc334711524"/>
      <w:bookmarkStart w:id="36" w:name="_Toc306626342"/>
      <w:bookmarkStart w:id="37" w:name="_Toc365004219"/>
      <w:bookmarkStart w:id="38" w:name="_Toc343587697"/>
      <w:bookmarkStart w:id="39" w:name="_Toc306627538"/>
      <w:bookmarkStart w:id="40" w:name="_Toc336610748"/>
      <w:bookmarkStart w:id="41" w:name="_Toc22927"/>
      <w:r>
        <w:rPr>
          <w:rFonts w:hint="default" w:ascii="Times New Roman" w:hAnsi="Times New Roman" w:cs="Times New Roman"/>
          <w:color w:val="auto"/>
        </w:rPr>
        <w:t>物质的</w:t>
      </w:r>
      <w:bookmarkEnd w:id="34"/>
      <w:bookmarkEnd w:id="35"/>
      <w:bookmarkEnd w:id="36"/>
      <w:bookmarkEnd w:id="37"/>
      <w:bookmarkEnd w:id="38"/>
      <w:bookmarkEnd w:id="39"/>
      <w:bookmarkEnd w:id="40"/>
      <w:r>
        <w:rPr>
          <w:rFonts w:hint="default" w:ascii="Times New Roman" w:hAnsi="Times New Roman" w:cs="Times New Roman"/>
          <w:color w:val="auto"/>
        </w:rPr>
        <w:t>危险、有害特性</w:t>
      </w:r>
      <w:bookmarkEnd w:id="41"/>
    </w:p>
    <w:p w14:paraId="448BD851">
      <w:pPr>
        <w:pStyle w:val="4"/>
        <w:bidi w:val="0"/>
        <w:rPr>
          <w:rFonts w:hint="default" w:ascii="Times New Roman" w:hAnsi="Times New Roman" w:cs="Times New Roman"/>
          <w:color w:val="auto"/>
        </w:rPr>
      </w:pPr>
      <w:r>
        <w:rPr>
          <w:rFonts w:hint="default" w:ascii="Times New Roman" w:hAnsi="Times New Roman" w:cs="Times New Roman"/>
          <w:color w:val="auto"/>
        </w:rPr>
        <w:t>3.1.1项目存在的危险有害物质分类及主要危险、有害特性</w:t>
      </w:r>
    </w:p>
    <w:p w14:paraId="17E7F310">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w:t>
      </w:r>
      <w:r>
        <w:rPr>
          <w:rFonts w:hint="eastAsia" w:cs="Times New Roman"/>
          <w:color w:val="auto"/>
          <w:lang w:val="en-US" w:eastAsia="zh-CN"/>
        </w:rPr>
        <w:t>项目</w:t>
      </w:r>
      <w:r>
        <w:rPr>
          <w:rFonts w:hint="default" w:ascii="Times New Roman" w:hAnsi="Times New Roman" w:cs="Times New Roman"/>
          <w:color w:val="auto"/>
          <w:lang w:eastAsia="zh-CN"/>
        </w:rPr>
        <w:t>危险、有害物质为油气</w:t>
      </w:r>
      <w:r>
        <w:rPr>
          <w:rFonts w:hint="eastAsia" w:cs="Times New Roman"/>
          <w:color w:val="auto"/>
          <w:lang w:eastAsia="zh-CN"/>
        </w:rPr>
        <w:t>（</w:t>
      </w:r>
      <w:r>
        <w:rPr>
          <w:rFonts w:hint="eastAsia" w:cs="Times New Roman"/>
          <w:color w:val="auto"/>
          <w:lang w:val="en-US" w:eastAsia="zh-CN"/>
        </w:rPr>
        <w:t>主要成分就是甲烷、非甲烷总烃、苯系物、MTBE、硫化氢等</w:t>
      </w:r>
      <w:r>
        <w:rPr>
          <w:rFonts w:hint="eastAsia" w:cs="Times New Roman"/>
          <w:color w:val="auto"/>
          <w:lang w:eastAsia="zh-CN"/>
        </w:rPr>
        <w:t>）、柴油、</w:t>
      </w:r>
      <w:r>
        <w:rPr>
          <w:rFonts w:hint="default" w:ascii="Times New Roman" w:hAnsi="Times New Roman" w:cs="Times New Roman"/>
          <w:color w:val="auto"/>
          <w:lang w:eastAsia="zh-CN"/>
        </w:rPr>
        <w:t>压缩氮气</w:t>
      </w:r>
      <w:r>
        <w:rPr>
          <w:rFonts w:hint="eastAsia" w:cs="Times New Roman"/>
          <w:color w:val="auto"/>
          <w:lang w:eastAsia="zh-CN"/>
        </w:rPr>
        <w:t>、</w:t>
      </w:r>
      <w:r>
        <w:rPr>
          <w:rFonts w:hint="default" w:ascii="Times New Roman" w:hAnsi="Times New Roman" w:cs="Times New Roman"/>
          <w:color w:val="auto"/>
          <w:lang w:eastAsia="zh-CN"/>
        </w:rPr>
        <w:t>氟利昂R22</w:t>
      </w:r>
      <w:r>
        <w:rPr>
          <w:rFonts w:hint="eastAsia" w:cs="Times New Roman"/>
          <w:color w:val="auto"/>
          <w:lang w:val="en-US" w:eastAsia="zh-CN"/>
        </w:rPr>
        <w:t>等</w:t>
      </w:r>
      <w:r>
        <w:rPr>
          <w:rFonts w:hint="eastAsia" w:cs="Times New Roman"/>
          <w:color w:val="auto"/>
          <w:lang w:eastAsia="zh-CN"/>
        </w:rPr>
        <w:t>。</w:t>
      </w:r>
    </w:p>
    <w:p w14:paraId="10EE2F7F">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根据</w:t>
      </w:r>
      <w:r>
        <w:rPr>
          <w:rFonts w:hint="default" w:ascii="Times New Roman" w:hAnsi="Times New Roman" w:cs="Times New Roman"/>
          <w:color w:val="auto"/>
          <w:lang w:val="en-US" w:eastAsia="zh-CN"/>
        </w:rPr>
        <w:t>《危险化学品目录（2015年版）》（原国家安全生产监督管理局等十部门公告2015年第5号，应急管理部</w:t>
      </w:r>
      <w:r>
        <w:rPr>
          <w:rFonts w:hint="default" w:ascii="Times New Roman" w:hAnsi="Times New Roman" w:cs="Times New Roman"/>
          <w:color w:val="auto"/>
          <w:lang w:eastAsia="zh-CN"/>
        </w:rPr>
        <w:t>等十部委公告</w:t>
      </w:r>
      <w:r>
        <w:rPr>
          <w:rFonts w:hint="default" w:ascii="Times New Roman" w:hAnsi="Times New Roman" w:cs="Times New Roman"/>
          <w:color w:val="auto"/>
          <w:lang w:val="en-US" w:eastAsia="zh-CN"/>
        </w:rPr>
        <w:t>2022</w:t>
      </w:r>
      <w:r>
        <w:rPr>
          <w:rFonts w:hint="default" w:ascii="Times New Roman" w:hAnsi="Times New Roman" w:cs="Times New Roman"/>
          <w:color w:val="auto"/>
          <w:lang w:eastAsia="zh-CN"/>
        </w:rPr>
        <w:t>年第</w:t>
      </w:r>
      <w:r>
        <w:rPr>
          <w:rFonts w:hint="default" w:ascii="Times New Roman" w:hAnsi="Times New Roman" w:cs="Times New Roman"/>
          <w:color w:val="auto"/>
          <w:lang w:val="en-US" w:eastAsia="zh-CN"/>
        </w:rPr>
        <w:t>8</w:t>
      </w:r>
      <w:r>
        <w:rPr>
          <w:rFonts w:hint="default" w:ascii="Times New Roman" w:hAnsi="Times New Roman" w:cs="Times New Roman"/>
          <w:color w:val="auto"/>
          <w:lang w:eastAsia="zh-CN"/>
        </w:rPr>
        <w:t>号</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，本项目涉及的危险化学品主要包括：苯、</w:t>
      </w:r>
      <w:r>
        <w:rPr>
          <w:rFonts w:hint="default" w:ascii="Times New Roman" w:hAnsi="Times New Roman" w:cs="Times New Roman"/>
          <w:color w:val="auto"/>
          <w:lang w:val="en-US" w:eastAsia="zh-CN"/>
        </w:rPr>
        <w:t>柴油、</w:t>
      </w:r>
      <w:r>
        <w:rPr>
          <w:rFonts w:hint="default" w:ascii="Times New Roman" w:hAnsi="Times New Roman" w:cs="Times New Roman"/>
          <w:color w:val="auto"/>
          <w:lang w:eastAsia="zh-CN"/>
        </w:rPr>
        <w:t>硫化氢、甲烷、甲苯、</w:t>
      </w:r>
      <w:r>
        <w:rPr>
          <w:rFonts w:hint="default" w:ascii="Times New Roman" w:hAnsi="Times New Roman" w:cs="Times New Roman"/>
          <w:color w:val="auto"/>
          <w:lang w:val="en-US" w:eastAsia="zh-CN"/>
        </w:rPr>
        <w:t>二甲苯、</w:t>
      </w:r>
      <w:r>
        <w:rPr>
          <w:rFonts w:hint="eastAsia" w:cs="Times New Roman"/>
          <w:color w:val="auto"/>
          <w:lang w:val="en-US" w:eastAsia="zh-CN"/>
        </w:rPr>
        <w:t>MTBE、</w:t>
      </w:r>
      <w:r>
        <w:rPr>
          <w:rFonts w:hint="default" w:ascii="Times New Roman" w:hAnsi="Times New Roman" w:cs="Times New Roman"/>
          <w:color w:val="auto"/>
          <w:lang w:eastAsia="zh-CN"/>
        </w:rPr>
        <w:t>压缩氮气、氟利昂R22。</w:t>
      </w:r>
    </w:p>
    <w:p w14:paraId="07AFAD9B">
      <w:pPr>
        <w:pStyle w:val="6"/>
        <w:bidi w:val="0"/>
        <w:rPr>
          <w:rFonts w:hint="default" w:ascii="Times New Roman" w:hAnsi="Times New Roman" w:cs="Times New Roman"/>
          <w:color w:val="auto"/>
        </w:rPr>
      </w:pPr>
      <w:r>
        <w:rPr>
          <w:rFonts w:hint="default" w:ascii="Times New Roman" w:hAnsi="Times New Roman" w:cs="Times New Roman"/>
          <w:color w:val="auto"/>
        </w:rPr>
        <w:t>根据</w:t>
      </w:r>
      <w:r>
        <w:rPr>
          <w:rFonts w:hint="default" w:ascii="Times New Roman" w:hAnsi="Times New Roman" w:cs="Times New Roman"/>
          <w:color w:val="auto"/>
          <w:lang w:val="en-US" w:eastAsia="zh-CN"/>
        </w:rPr>
        <w:t>《危险化学品目录（2015年版）》（原国家安全生产监督管理局等十部门公告2015年第5号，应急管理部</w:t>
      </w:r>
      <w:r>
        <w:rPr>
          <w:rFonts w:hint="default" w:ascii="Times New Roman" w:hAnsi="Times New Roman" w:cs="Times New Roman"/>
          <w:color w:val="auto"/>
          <w:lang w:eastAsia="zh-CN"/>
        </w:rPr>
        <w:t>等十部委公告</w:t>
      </w:r>
      <w:r>
        <w:rPr>
          <w:rFonts w:hint="default" w:ascii="Times New Roman" w:hAnsi="Times New Roman" w:cs="Times New Roman"/>
          <w:color w:val="auto"/>
          <w:lang w:val="en-US" w:eastAsia="zh-CN"/>
        </w:rPr>
        <w:t>2022</w:t>
      </w:r>
      <w:r>
        <w:rPr>
          <w:rFonts w:hint="default" w:ascii="Times New Roman" w:hAnsi="Times New Roman" w:cs="Times New Roman"/>
          <w:color w:val="auto"/>
          <w:lang w:eastAsia="zh-CN"/>
        </w:rPr>
        <w:t>年第</w:t>
      </w:r>
      <w:r>
        <w:rPr>
          <w:rFonts w:hint="default" w:ascii="Times New Roman" w:hAnsi="Times New Roman" w:cs="Times New Roman"/>
          <w:color w:val="auto"/>
          <w:lang w:val="en-US" w:eastAsia="zh-CN"/>
        </w:rPr>
        <w:t>8</w:t>
      </w:r>
      <w:r>
        <w:rPr>
          <w:rFonts w:hint="default" w:ascii="Times New Roman" w:hAnsi="Times New Roman" w:cs="Times New Roman"/>
          <w:color w:val="auto"/>
          <w:lang w:eastAsia="zh-CN"/>
        </w:rPr>
        <w:t>号</w:t>
      </w:r>
      <w:r>
        <w:rPr>
          <w:rFonts w:hint="default" w:ascii="Times New Roman" w:hAnsi="Times New Roman" w:cs="Times New Roman"/>
          <w:color w:val="auto"/>
          <w:lang w:val="en-US" w:eastAsia="zh-CN"/>
        </w:rPr>
        <w:t>）</w:t>
      </w:r>
      <w:r>
        <w:rPr>
          <w:rFonts w:hint="default" w:ascii="Times New Roman" w:hAnsi="Times New Roman" w:cs="Times New Roman"/>
          <w:color w:val="auto"/>
        </w:rPr>
        <w:t>的规定，</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不涉及剧毒化学品。</w:t>
      </w:r>
    </w:p>
    <w:p w14:paraId="215BDA8D">
      <w:pPr>
        <w:pStyle w:val="6"/>
        <w:bidi w:val="0"/>
        <w:rPr>
          <w:rFonts w:hint="default" w:ascii="Times New Roman" w:hAnsi="Times New Roman" w:cs="Times New Roman"/>
          <w:color w:val="auto"/>
        </w:rPr>
      </w:pPr>
      <w:r>
        <w:rPr>
          <w:rFonts w:hint="default" w:ascii="Times New Roman" w:hAnsi="Times New Roman" w:cs="Times New Roman"/>
          <w:color w:val="auto"/>
        </w:rPr>
        <w:t>根据《高毒物品目录》（2013年版），</w:t>
      </w:r>
      <w:r>
        <w:rPr>
          <w:rFonts w:hint="default" w:ascii="Times New Roman" w:hAnsi="Times New Roman" w:cs="Times New Roman"/>
          <w:color w:val="auto"/>
          <w:kern w:val="0"/>
          <w:sz w:val="28"/>
          <w:szCs w:val="28"/>
          <w:lang w:bidi="ar"/>
        </w:rPr>
        <w:t>本项目涉及的硫化氢、苯</w:t>
      </w:r>
      <w:r>
        <w:rPr>
          <w:rFonts w:hint="default" w:ascii="Times New Roman" w:hAnsi="Times New Roman" w:cs="Times New Roman"/>
          <w:color w:val="auto"/>
          <w:kern w:val="0"/>
          <w:sz w:val="28"/>
          <w:szCs w:val="28"/>
          <w:lang w:val="en-US" w:eastAsia="zh-CN" w:bidi="ar"/>
        </w:rPr>
        <w:t>属于</w:t>
      </w:r>
      <w:r>
        <w:rPr>
          <w:rFonts w:hint="default" w:ascii="Times New Roman" w:hAnsi="Times New Roman" w:cs="Times New Roman"/>
          <w:color w:val="auto"/>
        </w:rPr>
        <w:t>高毒物品。</w:t>
      </w:r>
    </w:p>
    <w:p w14:paraId="6AC21A8A">
      <w:pPr>
        <w:pStyle w:val="6"/>
        <w:bidi w:val="0"/>
        <w:rPr>
          <w:rFonts w:hint="default" w:ascii="Times New Roman" w:hAnsi="Times New Roman" w:cs="Times New Roman"/>
          <w:color w:val="auto"/>
        </w:rPr>
      </w:pPr>
      <w:r>
        <w:rPr>
          <w:rFonts w:hint="default" w:ascii="Times New Roman" w:hAnsi="Times New Roman" w:cs="Times New Roman"/>
          <w:color w:val="auto"/>
        </w:rPr>
        <w:t>根据《各类监控化学品名录》（工信部令[2020]52号），</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不涉及监控化学品。</w:t>
      </w:r>
    </w:p>
    <w:p w14:paraId="42EE0808">
      <w:pPr>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rPr>
        <w:t>根据《易制毒化学品管理条例》（国务院令[2005]第445号，国务院令第703号修订，国办函[2021]58号补充）的规定，</w:t>
      </w:r>
      <w:r>
        <w:rPr>
          <w:rFonts w:hint="default" w:ascii="Times New Roman" w:hAnsi="Times New Roman" w:cs="Times New Roman"/>
          <w:color w:val="auto"/>
          <w:sz w:val="28"/>
          <w:szCs w:val="28"/>
        </w:rPr>
        <w:t>甲苯是第三类易制毒化学品。</w:t>
      </w:r>
    </w:p>
    <w:p w14:paraId="0EE5A56D">
      <w:pPr>
        <w:pStyle w:val="6"/>
        <w:bidi w:val="0"/>
        <w:rPr>
          <w:rFonts w:hint="default" w:ascii="Times New Roman" w:hAnsi="Times New Roman" w:cs="Times New Roman"/>
          <w:color w:val="auto"/>
        </w:rPr>
      </w:pPr>
      <w:r>
        <w:rPr>
          <w:rFonts w:hint="default" w:ascii="Times New Roman" w:hAnsi="Times New Roman" w:cs="Times New Roman"/>
          <w:color w:val="auto"/>
        </w:rPr>
        <w:t>根据《易制爆危险化学品名录》（2017年版，公安部），</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不涉及易制爆化学品。</w:t>
      </w:r>
    </w:p>
    <w:p w14:paraId="4CBAE7CD">
      <w:pPr>
        <w:pStyle w:val="6"/>
        <w:bidi w:val="0"/>
        <w:rPr>
          <w:rFonts w:hint="default" w:ascii="Times New Roman" w:hAnsi="Times New Roman" w:cs="Times New Roman"/>
          <w:color w:val="auto"/>
        </w:rPr>
      </w:pPr>
      <w:r>
        <w:rPr>
          <w:rFonts w:hint="default" w:ascii="Times New Roman" w:hAnsi="Times New Roman" w:cs="Times New Roman"/>
          <w:color w:val="auto"/>
        </w:rPr>
        <w:t>根据《重点监管的危险化学品名录》（2013年完整版），本项目中甲烷、硫化氢、苯、甲苯</w:t>
      </w:r>
      <w:r>
        <w:rPr>
          <w:rFonts w:hint="eastAsia" w:cs="Times New Roman"/>
          <w:color w:val="auto"/>
          <w:lang w:eastAsia="zh-CN"/>
        </w:rPr>
        <w:t>、</w:t>
      </w:r>
      <w:r>
        <w:rPr>
          <w:rFonts w:hint="eastAsia" w:cs="Times New Roman"/>
          <w:color w:val="auto"/>
          <w:lang w:val="en-US" w:eastAsia="zh-CN"/>
        </w:rPr>
        <w:t>MTBE</w:t>
      </w:r>
      <w:r>
        <w:rPr>
          <w:rFonts w:hint="default" w:ascii="Times New Roman" w:hAnsi="Times New Roman" w:cs="Times New Roman"/>
          <w:color w:val="auto"/>
        </w:rPr>
        <w:t>属于重点监管的危险化学品范围。由于项目的原料气中的硫化氢在油气中含量微少（ppm级），甲烷、苯、甲苯</w:t>
      </w:r>
      <w:r>
        <w:rPr>
          <w:rFonts w:hint="eastAsia" w:cs="Times New Roman"/>
          <w:color w:val="auto"/>
          <w:lang w:eastAsia="zh-CN"/>
        </w:rPr>
        <w:t>、</w:t>
      </w:r>
      <w:r>
        <w:rPr>
          <w:rFonts w:hint="eastAsia" w:cs="Times New Roman"/>
          <w:color w:val="auto"/>
          <w:lang w:val="en-US" w:eastAsia="zh-CN"/>
        </w:rPr>
        <w:t>MTBE</w:t>
      </w:r>
      <w:r>
        <w:rPr>
          <w:rFonts w:hint="default" w:ascii="Times New Roman" w:hAnsi="Times New Roman" w:cs="Times New Roman"/>
          <w:color w:val="auto"/>
        </w:rPr>
        <w:t>不作为单一物质存在，且在催化剂作用下，与空气发生反应，生成净化气，所以本项目不作为重点监管危险化学品进行管理。</w:t>
      </w:r>
    </w:p>
    <w:p w14:paraId="766B22E3">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rPr>
        <w:t>根据《特别管控危险化学品目录（第一版）》（应急管理部、工业和信息化部、公安部、交通运输部公告2020年第3号）辨识，</w:t>
      </w:r>
      <w:r>
        <w:rPr>
          <w:rFonts w:hint="default" w:ascii="Times New Roman" w:hAnsi="Times New Roman" w:cs="Times New Roman"/>
          <w:color w:val="auto"/>
          <w:lang w:eastAsia="zh-CN"/>
        </w:rPr>
        <w:t>该项目</w:t>
      </w:r>
      <w:r>
        <w:rPr>
          <w:rFonts w:hint="eastAsia" w:cs="Times New Roman"/>
          <w:color w:val="auto"/>
          <w:lang w:val="en-US" w:eastAsia="zh-CN"/>
        </w:rPr>
        <w:t>不</w:t>
      </w:r>
      <w:r>
        <w:rPr>
          <w:rFonts w:hint="default" w:ascii="Times New Roman" w:hAnsi="Times New Roman" w:cs="Times New Roman"/>
          <w:color w:val="auto"/>
          <w:lang w:eastAsia="zh-CN"/>
        </w:rPr>
        <w:t>涉及特别管控危险化学品</w:t>
      </w:r>
      <w:r>
        <w:rPr>
          <w:rFonts w:hint="default" w:ascii="Times New Roman" w:hAnsi="Times New Roman" w:cs="Times New Roman"/>
          <w:color w:val="auto"/>
        </w:rPr>
        <w:t>。</w:t>
      </w:r>
    </w:p>
    <w:p w14:paraId="691EB2DA">
      <w:pPr>
        <w:pStyle w:val="6"/>
        <w:bidi w:val="0"/>
        <w:rPr>
          <w:rFonts w:hint="default" w:ascii="Times New Roman" w:hAnsi="Times New Roman" w:cs="Times New Roman"/>
          <w:color w:val="auto"/>
        </w:rPr>
      </w:pPr>
      <w:r>
        <w:rPr>
          <w:rFonts w:hint="default" w:ascii="Times New Roman" w:hAnsi="Times New Roman" w:cs="Times New Roman"/>
          <w:color w:val="auto"/>
        </w:rPr>
        <w:t>根据《山东省禁止危险化学品目录（第二批）》（鲁应急字</w:t>
      </w:r>
      <w:r>
        <w:rPr>
          <w:rFonts w:hint="eastAsia" w:cs="Times New Roman"/>
          <w:color w:val="auto"/>
          <w:lang w:val="en-US" w:eastAsia="zh-CN"/>
        </w:rPr>
        <w:t>[</w:t>
      </w:r>
      <w:r>
        <w:rPr>
          <w:rFonts w:hint="default" w:ascii="Times New Roman" w:hAnsi="Times New Roman" w:cs="Times New Roman"/>
          <w:color w:val="auto"/>
        </w:rPr>
        <w:t>2022</w:t>
      </w:r>
      <w:r>
        <w:rPr>
          <w:rFonts w:hint="eastAsia" w:cs="Times New Roman"/>
          <w:color w:val="auto"/>
          <w:lang w:val="en-US" w:eastAsia="zh-CN"/>
        </w:rPr>
        <w:t>]</w:t>
      </w:r>
      <w:r>
        <w:rPr>
          <w:rFonts w:hint="default" w:ascii="Times New Roman" w:hAnsi="Times New Roman" w:cs="Times New Roman"/>
          <w:color w:val="auto"/>
        </w:rPr>
        <w:t>61号）辨识，</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不涉及禁止危险化学品。</w:t>
      </w:r>
    </w:p>
    <w:p w14:paraId="60FC6BFD">
      <w:pPr>
        <w:pStyle w:val="6"/>
        <w:bidi w:val="0"/>
        <w:rPr>
          <w:rFonts w:hint="default" w:ascii="Times New Roman" w:hAnsi="Times New Roman" w:cs="Times New Roman"/>
          <w:color w:val="auto"/>
        </w:rPr>
      </w:pPr>
      <w:r>
        <w:rPr>
          <w:rFonts w:hint="default" w:ascii="Times New Roman" w:hAnsi="Times New Roman" w:cs="Times New Roman"/>
          <w:color w:val="auto"/>
        </w:rPr>
        <w:t>根据《中国严格限制的有毒化学品名录（202</w:t>
      </w:r>
      <w:r>
        <w:rPr>
          <w:rFonts w:hint="eastAsia" w:cs="Times New Roman"/>
          <w:color w:val="auto"/>
          <w:lang w:val="en-US" w:eastAsia="zh-CN"/>
        </w:rPr>
        <w:t>3</w:t>
      </w:r>
      <w:r>
        <w:rPr>
          <w:rFonts w:hint="default" w:ascii="Times New Roman" w:hAnsi="Times New Roman" w:cs="Times New Roman"/>
          <w:color w:val="auto"/>
        </w:rPr>
        <w:t>）》（生态环境部</w:t>
      </w:r>
      <w:r>
        <w:rPr>
          <w:rFonts w:hint="eastAsia" w:cs="Times New Roman"/>
          <w:color w:val="auto"/>
          <w:lang w:eastAsia="zh-CN"/>
        </w:rPr>
        <w:t>、</w:t>
      </w:r>
      <w:r>
        <w:rPr>
          <w:rFonts w:hint="default" w:ascii="Times New Roman" w:hAnsi="Times New Roman" w:cs="Times New Roman"/>
          <w:color w:val="auto"/>
        </w:rPr>
        <w:t>商务部</w:t>
      </w:r>
      <w:r>
        <w:rPr>
          <w:rFonts w:hint="eastAsia" w:cs="Times New Roman"/>
          <w:color w:val="auto"/>
          <w:lang w:eastAsia="zh-CN"/>
        </w:rPr>
        <w:t>、</w:t>
      </w:r>
      <w:r>
        <w:rPr>
          <w:rFonts w:hint="default" w:ascii="Times New Roman" w:hAnsi="Times New Roman" w:cs="Times New Roman"/>
          <w:color w:val="auto"/>
        </w:rPr>
        <w:t>海关总署公告2023年第32号）辨识，</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不涉及严格限制的有毒化学品。</w:t>
      </w:r>
    </w:p>
    <w:p w14:paraId="0DDDA0E7">
      <w:pPr>
        <w:pStyle w:val="6"/>
        <w:bidi w:val="0"/>
        <w:rPr>
          <w:rFonts w:hint="default" w:ascii="Times New Roman" w:hAnsi="Times New Roman" w:cs="Times New Roman"/>
          <w:color w:val="auto"/>
        </w:rPr>
      </w:pPr>
      <w:r>
        <w:rPr>
          <w:rFonts w:hint="default" w:ascii="Times New Roman" w:hAnsi="Times New Roman" w:cs="Times New Roman"/>
          <w:color w:val="auto"/>
        </w:rPr>
        <w:t>根据《关于加强易爆炸重点危险化学品安全生产管理工作的通知》（鲁安监发[2010]62号），</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不涉及易爆炸重点危险化学品。</w:t>
      </w:r>
    </w:p>
    <w:p w14:paraId="6E05B979">
      <w:pPr>
        <w:pStyle w:val="6"/>
        <w:bidi w:val="0"/>
        <w:rPr>
          <w:rFonts w:hint="default" w:ascii="Times New Roman" w:hAnsi="Times New Roman" w:cs="Times New Roman"/>
          <w:color w:val="auto"/>
          <w:lang w:eastAsia="zh-CN"/>
        </w:rPr>
      </w:pPr>
      <w:bookmarkStart w:id="42" w:name="_Ref330473464"/>
      <w:r>
        <w:rPr>
          <w:rFonts w:hint="default" w:ascii="Times New Roman" w:hAnsi="Times New Roman" w:cs="Times New Roman"/>
          <w:color w:val="auto"/>
          <w:lang w:eastAsia="zh-CN"/>
        </w:rPr>
        <w:t>危险物质的主要危险、有害特性如下：</w:t>
      </w:r>
    </w:p>
    <w:p w14:paraId="065A83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4"/>
          <w:szCs w:val="24"/>
          <w:lang w:eastAsia="zh-CN"/>
        </w:rPr>
      </w:pPr>
      <w:r>
        <w:rPr>
          <w:rFonts w:hint="default" w:ascii="Times New Roman" w:hAnsi="Times New Roman" w:eastAsia="宋体" w:cs="Times New Roman"/>
          <w:b/>
          <w:bCs/>
          <w:color w:val="auto"/>
          <w:kern w:val="0"/>
          <w:sz w:val="24"/>
          <w:szCs w:val="24"/>
          <w:lang w:val="zh-CN" w:eastAsia="zh-CN" w:bidi="ar-SA"/>
        </w:rPr>
        <w:t>表3.1-1  该项目主要物料危险特性</w:t>
      </w:r>
    </w:p>
    <w:tbl>
      <w:tblPr>
        <w:tblStyle w:val="37"/>
        <w:tblW w:w="502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341"/>
        <w:gridCol w:w="1191"/>
        <w:gridCol w:w="1412"/>
        <w:gridCol w:w="573"/>
        <w:gridCol w:w="1353"/>
        <w:gridCol w:w="1082"/>
        <w:gridCol w:w="969"/>
        <w:gridCol w:w="1449"/>
        <w:gridCol w:w="898"/>
      </w:tblGrid>
      <w:tr w14:paraId="6BDBDC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blHeader/>
          <w:jc w:val="center"/>
        </w:trPr>
        <w:tc>
          <w:tcPr>
            <w:tcW w:w="184" w:type="pct"/>
            <w:vMerge w:val="restart"/>
            <w:tcBorders>
              <w:tl2br w:val="nil"/>
              <w:tr2bl w:val="nil"/>
            </w:tcBorders>
            <w:noWrap w:val="0"/>
            <w:vAlign w:val="center"/>
          </w:tcPr>
          <w:p w14:paraId="2BF1A79F">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val="0"/>
                <w:color w:val="auto"/>
                <w:spacing w:val="4"/>
                <w:sz w:val="21"/>
                <w:szCs w:val="21"/>
                <w:lang w:val="en-US" w:eastAsia="zh-CN"/>
              </w:rPr>
            </w:pPr>
            <w:r>
              <w:rPr>
                <w:rFonts w:hint="default" w:ascii="Times New Roman" w:hAnsi="Times New Roman" w:eastAsia="宋体" w:cs="Times New Roman"/>
                <w:b/>
                <w:bCs w:val="0"/>
                <w:color w:val="auto"/>
                <w:spacing w:val="4"/>
                <w:sz w:val="21"/>
                <w:szCs w:val="21"/>
                <w:lang w:val="en-US" w:eastAsia="zh-CN"/>
              </w:rPr>
              <w:t>序号</w:t>
            </w:r>
          </w:p>
        </w:tc>
        <w:tc>
          <w:tcPr>
            <w:tcW w:w="642" w:type="pct"/>
            <w:vMerge w:val="restart"/>
            <w:tcBorders>
              <w:tl2br w:val="nil"/>
              <w:tr2bl w:val="nil"/>
            </w:tcBorders>
            <w:noWrap w:val="0"/>
            <w:vAlign w:val="center"/>
          </w:tcPr>
          <w:p w14:paraId="1ED7BB84">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pacing w:val="9"/>
                <w:sz w:val="21"/>
                <w:szCs w:val="21"/>
                <w:lang w:val="en-US" w:eastAsia="zh-CN"/>
              </w:rPr>
              <w:t>物质名称</w:t>
            </w:r>
          </w:p>
        </w:tc>
        <w:tc>
          <w:tcPr>
            <w:tcW w:w="761" w:type="pct"/>
            <w:vMerge w:val="restart"/>
            <w:tcBorders>
              <w:tl2br w:val="nil"/>
              <w:tr2bl w:val="nil"/>
            </w:tcBorders>
            <w:noWrap w:val="0"/>
            <w:vAlign w:val="center"/>
          </w:tcPr>
          <w:p w14:paraId="23F74BC2">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val="0"/>
                <w:color w:val="auto"/>
                <w:spacing w:val="9"/>
                <w:sz w:val="21"/>
                <w:szCs w:val="21"/>
                <w:lang w:val="en-US" w:eastAsia="zh-CN"/>
              </w:rPr>
            </w:pPr>
            <w:r>
              <w:rPr>
                <w:rFonts w:hint="default" w:ascii="Times New Roman" w:hAnsi="Times New Roman" w:eastAsia="宋体" w:cs="Times New Roman"/>
                <w:b/>
                <w:bCs w:val="0"/>
                <w:color w:val="auto"/>
                <w:spacing w:val="9"/>
                <w:sz w:val="21"/>
                <w:szCs w:val="21"/>
                <w:lang w:val="en-US" w:eastAsia="zh-CN"/>
              </w:rPr>
              <w:t>CAS号</w:t>
            </w:r>
          </w:p>
        </w:tc>
        <w:tc>
          <w:tcPr>
            <w:tcW w:w="309" w:type="pct"/>
            <w:vMerge w:val="restart"/>
            <w:tcBorders>
              <w:tl2br w:val="nil"/>
              <w:tr2bl w:val="nil"/>
            </w:tcBorders>
            <w:noWrap w:val="0"/>
            <w:vAlign w:val="center"/>
          </w:tcPr>
          <w:p w14:paraId="0BA043A8">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val="0"/>
                <w:color w:val="auto"/>
                <w:spacing w:val="-2"/>
                <w:kern w:val="2"/>
                <w:sz w:val="21"/>
                <w:szCs w:val="21"/>
                <w:lang w:val="en-US" w:eastAsia="zh-CN" w:bidi="ar-SA"/>
              </w:rPr>
            </w:pPr>
            <w:r>
              <w:rPr>
                <w:rFonts w:hint="default" w:ascii="Times New Roman" w:hAnsi="Times New Roman" w:eastAsia="宋体" w:cs="Times New Roman"/>
                <w:b/>
                <w:bCs/>
                <w:color w:val="auto"/>
                <w:sz w:val="21"/>
                <w:szCs w:val="21"/>
                <w:lang w:val="en-US" w:eastAsia="zh-CN"/>
              </w:rPr>
              <w:t>常温状态</w:t>
            </w:r>
          </w:p>
        </w:tc>
        <w:tc>
          <w:tcPr>
            <w:tcW w:w="729" w:type="pct"/>
            <w:vMerge w:val="restart"/>
            <w:tcBorders>
              <w:tl2br w:val="nil"/>
              <w:tr2bl w:val="nil"/>
            </w:tcBorders>
            <w:noWrap w:val="0"/>
            <w:vAlign w:val="center"/>
          </w:tcPr>
          <w:p w14:paraId="246A2C6B">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val="0"/>
                <w:color w:val="auto"/>
                <w:spacing w:val="-1"/>
                <w:sz w:val="21"/>
                <w:szCs w:val="21"/>
                <w:lang w:val="en-US" w:eastAsia="zh-CN"/>
              </w:rPr>
            </w:pPr>
            <w:r>
              <w:rPr>
                <w:rFonts w:hint="default" w:ascii="Times New Roman" w:hAnsi="Times New Roman" w:eastAsia="宋体" w:cs="Times New Roman"/>
                <w:b/>
                <w:bCs/>
                <w:color w:val="auto"/>
                <w:sz w:val="21"/>
                <w:szCs w:val="21"/>
                <w:lang w:val="en-US" w:eastAsia="zh-CN"/>
              </w:rPr>
              <w:t>沸点、初沸点和沸程℃</w:t>
            </w:r>
          </w:p>
        </w:tc>
        <w:tc>
          <w:tcPr>
            <w:tcW w:w="583" w:type="pct"/>
            <w:vMerge w:val="restart"/>
            <w:tcBorders>
              <w:tl2br w:val="nil"/>
              <w:tr2bl w:val="nil"/>
            </w:tcBorders>
            <w:noWrap w:val="0"/>
            <w:vAlign w:val="center"/>
          </w:tcPr>
          <w:p w14:paraId="5715A8DF">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引燃</w:t>
            </w:r>
            <w:r>
              <w:rPr>
                <w:rFonts w:hint="eastAsia" w:ascii="Times New Roman" w:hAnsi="Times New Roman" w:cs="Times New Roman"/>
                <w:b/>
                <w:bCs/>
                <w:color w:val="auto"/>
                <w:sz w:val="21"/>
                <w:szCs w:val="21"/>
                <w:lang w:val="en-US" w:eastAsia="zh-CN"/>
              </w:rPr>
              <w:t>/自燃</w:t>
            </w:r>
            <w:r>
              <w:rPr>
                <w:rFonts w:hint="default" w:ascii="Times New Roman" w:hAnsi="Times New Roman" w:eastAsia="宋体" w:cs="Times New Roman"/>
                <w:b/>
                <w:bCs/>
                <w:color w:val="auto"/>
                <w:sz w:val="21"/>
                <w:szCs w:val="21"/>
                <w:lang w:val="en-US" w:eastAsia="zh-CN"/>
              </w:rPr>
              <w:t>温度℃</w:t>
            </w:r>
          </w:p>
        </w:tc>
        <w:tc>
          <w:tcPr>
            <w:tcW w:w="522" w:type="pct"/>
            <w:vMerge w:val="restart"/>
            <w:tcBorders>
              <w:tl2br w:val="nil"/>
              <w:tr2bl w:val="nil"/>
            </w:tcBorders>
            <w:noWrap w:val="0"/>
            <w:vAlign w:val="center"/>
          </w:tcPr>
          <w:p w14:paraId="263874DC">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闪点℃</w:t>
            </w:r>
          </w:p>
        </w:tc>
        <w:tc>
          <w:tcPr>
            <w:tcW w:w="781" w:type="pct"/>
            <w:vMerge w:val="restart"/>
            <w:tcBorders>
              <w:tl2br w:val="nil"/>
              <w:tr2bl w:val="nil"/>
            </w:tcBorders>
            <w:noWrap w:val="0"/>
            <w:vAlign w:val="center"/>
          </w:tcPr>
          <w:p w14:paraId="77C3EEA3">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爆炸极限V%</w:t>
            </w:r>
          </w:p>
        </w:tc>
        <w:tc>
          <w:tcPr>
            <w:tcW w:w="484" w:type="pct"/>
            <w:vMerge w:val="restart"/>
            <w:tcBorders>
              <w:tl2br w:val="nil"/>
              <w:tr2bl w:val="nil"/>
            </w:tcBorders>
            <w:noWrap w:val="0"/>
            <w:vAlign w:val="center"/>
          </w:tcPr>
          <w:p w14:paraId="667BB780">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val="0"/>
                <w:color w:val="auto"/>
                <w:spacing w:val="-2"/>
                <w:sz w:val="21"/>
                <w:szCs w:val="21"/>
                <w:lang w:val="en-US" w:eastAsia="zh-CN"/>
              </w:rPr>
            </w:pPr>
            <w:r>
              <w:rPr>
                <w:rFonts w:hint="default" w:ascii="Times New Roman" w:hAnsi="Times New Roman" w:eastAsia="宋体" w:cs="Times New Roman"/>
                <w:b/>
                <w:bCs w:val="0"/>
                <w:color w:val="auto"/>
                <w:spacing w:val="-2"/>
                <w:sz w:val="21"/>
                <w:szCs w:val="21"/>
                <w:lang w:val="en-US" w:eastAsia="zh-CN"/>
              </w:rPr>
              <w:t>火灾危险性分类</w:t>
            </w:r>
          </w:p>
        </w:tc>
      </w:tr>
      <w:tr w14:paraId="6A526F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tblHeader/>
          <w:jc w:val="center"/>
        </w:trPr>
        <w:tc>
          <w:tcPr>
            <w:tcW w:w="184" w:type="pct"/>
            <w:vMerge w:val="continue"/>
            <w:tcBorders>
              <w:tl2br w:val="nil"/>
              <w:tr2bl w:val="nil"/>
            </w:tcBorders>
            <w:noWrap w:val="0"/>
            <w:vAlign w:val="center"/>
          </w:tcPr>
          <w:p w14:paraId="25DE65C6">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642" w:type="pct"/>
            <w:vMerge w:val="continue"/>
            <w:tcBorders>
              <w:tl2br w:val="nil"/>
              <w:tr2bl w:val="nil"/>
            </w:tcBorders>
            <w:noWrap w:val="0"/>
            <w:vAlign w:val="center"/>
          </w:tcPr>
          <w:p w14:paraId="41418516">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761" w:type="pct"/>
            <w:vMerge w:val="continue"/>
            <w:tcBorders>
              <w:tl2br w:val="nil"/>
              <w:tr2bl w:val="nil"/>
            </w:tcBorders>
            <w:noWrap w:val="0"/>
            <w:vAlign w:val="center"/>
          </w:tcPr>
          <w:p w14:paraId="1D37D84A">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309" w:type="pct"/>
            <w:vMerge w:val="continue"/>
            <w:tcBorders>
              <w:tl2br w:val="nil"/>
              <w:tr2bl w:val="nil"/>
            </w:tcBorders>
            <w:noWrap w:val="0"/>
            <w:vAlign w:val="center"/>
          </w:tcPr>
          <w:p w14:paraId="0D9066EC">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729" w:type="pct"/>
            <w:vMerge w:val="continue"/>
            <w:tcBorders>
              <w:tl2br w:val="nil"/>
              <w:tr2bl w:val="nil"/>
            </w:tcBorders>
            <w:noWrap w:val="0"/>
            <w:vAlign w:val="center"/>
          </w:tcPr>
          <w:p w14:paraId="7C2C3CAB">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583" w:type="pct"/>
            <w:vMerge w:val="continue"/>
            <w:tcBorders>
              <w:tl2br w:val="nil"/>
              <w:tr2bl w:val="nil"/>
            </w:tcBorders>
            <w:noWrap w:val="0"/>
            <w:vAlign w:val="center"/>
          </w:tcPr>
          <w:p w14:paraId="5E5BBA4A">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522" w:type="pct"/>
            <w:vMerge w:val="continue"/>
            <w:tcBorders>
              <w:tl2br w:val="nil"/>
              <w:tr2bl w:val="nil"/>
            </w:tcBorders>
            <w:noWrap w:val="0"/>
            <w:vAlign w:val="center"/>
          </w:tcPr>
          <w:p w14:paraId="0279048D">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781" w:type="pct"/>
            <w:vMerge w:val="continue"/>
            <w:tcBorders>
              <w:tl2br w:val="nil"/>
              <w:tr2bl w:val="nil"/>
            </w:tcBorders>
            <w:noWrap w:val="0"/>
            <w:vAlign w:val="center"/>
          </w:tcPr>
          <w:p w14:paraId="03D49952">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仿宋_GB2312" w:cs="Times New Roman"/>
                <w:bCs/>
                <w:color w:val="auto"/>
                <w:sz w:val="21"/>
                <w:szCs w:val="21"/>
              </w:rPr>
            </w:pPr>
          </w:p>
        </w:tc>
        <w:tc>
          <w:tcPr>
            <w:tcW w:w="484" w:type="pct"/>
            <w:vMerge w:val="continue"/>
            <w:tcBorders>
              <w:tl2br w:val="nil"/>
              <w:tr2bl w:val="nil"/>
            </w:tcBorders>
            <w:noWrap w:val="0"/>
            <w:vAlign w:val="center"/>
          </w:tcPr>
          <w:p w14:paraId="66971309">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宋体" w:cs="Times New Roman"/>
                <w:b/>
                <w:bCs/>
                <w:color w:val="auto"/>
                <w:sz w:val="21"/>
                <w:szCs w:val="21"/>
                <w:lang w:val="en-US" w:eastAsia="zh-CN"/>
              </w:rPr>
            </w:pPr>
          </w:p>
        </w:tc>
      </w:tr>
      <w:tr w14:paraId="2F889D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6526A42C">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1C6FE103">
            <w:pPr>
              <w:keepNext w:val="0"/>
              <w:keepLines w:val="0"/>
              <w:pageBreakBefore w:val="0"/>
              <w:widowControl w:val="0"/>
              <w:kinsoku/>
              <w:wordWrap/>
              <w:overflowPunct/>
              <w:topLinePunct w:val="0"/>
              <w:autoSpaceDE/>
              <w:autoSpaceDN/>
              <w:bidi w:val="0"/>
              <w:adjustRightInd/>
              <w:snapToGrid/>
              <w:spacing w:line="228" w:lineRule="auto"/>
              <w:ind w:left="56" w:leftChars="2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pacing w:val="11"/>
                <w:sz w:val="21"/>
                <w:szCs w:val="21"/>
              </w:rPr>
              <w:t>柴</w:t>
            </w:r>
            <w:r>
              <w:rPr>
                <w:rFonts w:hint="default" w:ascii="Times New Roman" w:hAnsi="Times New Roman" w:eastAsia="宋体" w:cs="Times New Roman"/>
                <w:bCs/>
                <w:color w:val="auto"/>
                <w:spacing w:val="10"/>
                <w:sz w:val="21"/>
                <w:szCs w:val="21"/>
              </w:rPr>
              <w:t>油</w:t>
            </w:r>
          </w:p>
        </w:tc>
        <w:tc>
          <w:tcPr>
            <w:tcW w:w="761" w:type="pct"/>
            <w:tcBorders>
              <w:tl2br w:val="nil"/>
              <w:tr2bl w:val="nil"/>
            </w:tcBorders>
            <w:noWrap w:val="0"/>
            <w:vAlign w:val="center"/>
          </w:tcPr>
          <w:p w14:paraId="255D5CCD">
            <w:pPr>
              <w:keepNext w:val="0"/>
              <w:keepLines w:val="0"/>
              <w:pageBreakBefore w:val="0"/>
              <w:widowControl w:val="0"/>
              <w:kinsoku/>
              <w:wordWrap/>
              <w:overflowPunct/>
              <w:topLinePunct w:val="0"/>
              <w:autoSpaceDE/>
              <w:autoSpaceDN/>
              <w:bidi w:val="0"/>
              <w:adjustRightInd/>
              <w:snapToGrid/>
              <w:spacing w:line="300" w:lineRule="auto"/>
              <w:ind w:left="56" w:leftChars="20" w:right="0" w:firstLine="0" w:firstLineChars="0"/>
              <w:jc w:val="center"/>
              <w:textAlignment w:val="auto"/>
              <w:rPr>
                <w:rFonts w:hint="default" w:ascii="Times New Roman" w:hAnsi="Times New Roman" w:eastAsia="仿宋_GB2312" w:cs="Times New Roman"/>
                <w:bCs/>
                <w:color w:val="auto"/>
                <w:kern w:val="2"/>
                <w:sz w:val="21"/>
                <w:szCs w:val="21"/>
                <w:lang w:val="en-US" w:eastAsia="zh-CN" w:bidi="ar-SA"/>
              </w:rPr>
            </w:pPr>
            <w:r>
              <w:rPr>
                <w:rFonts w:hint="default" w:ascii="Times New Roman" w:hAnsi="Times New Roman" w:eastAsia="仿宋_GB2312" w:cs="Times New Roman"/>
                <w:bCs/>
                <w:color w:val="auto"/>
                <w:kern w:val="2"/>
                <w:sz w:val="21"/>
                <w:szCs w:val="21"/>
                <w:lang w:val="en-US" w:eastAsia="zh-CN" w:bidi="ar-SA"/>
              </w:rPr>
              <w:t>/</w:t>
            </w:r>
          </w:p>
        </w:tc>
        <w:tc>
          <w:tcPr>
            <w:tcW w:w="309" w:type="pct"/>
            <w:tcBorders>
              <w:tl2br w:val="nil"/>
              <w:tr2bl w:val="nil"/>
            </w:tcBorders>
            <w:noWrap w:val="0"/>
            <w:vAlign w:val="center"/>
          </w:tcPr>
          <w:p w14:paraId="3E0D9A74">
            <w:pPr>
              <w:keepNext w:val="0"/>
              <w:keepLines w:val="0"/>
              <w:pageBreakBefore w:val="0"/>
              <w:widowControl w:val="0"/>
              <w:kinsoku/>
              <w:wordWrap/>
              <w:overflowPunct/>
              <w:topLinePunct w:val="0"/>
              <w:autoSpaceDE/>
              <w:autoSpaceDN/>
              <w:bidi w:val="0"/>
              <w:adjustRightInd/>
              <w:snapToGrid/>
              <w:spacing w:line="228" w:lineRule="auto"/>
              <w:ind w:left="56" w:leftChars="2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pacing w:val="10"/>
                <w:sz w:val="21"/>
                <w:szCs w:val="21"/>
              </w:rPr>
              <w:t>液</w:t>
            </w:r>
          </w:p>
        </w:tc>
        <w:tc>
          <w:tcPr>
            <w:tcW w:w="729" w:type="pct"/>
            <w:tcBorders>
              <w:tl2br w:val="nil"/>
              <w:tr2bl w:val="nil"/>
            </w:tcBorders>
            <w:noWrap w:val="0"/>
            <w:vAlign w:val="center"/>
          </w:tcPr>
          <w:p w14:paraId="04982004">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kern w:val="2"/>
                <w:sz w:val="21"/>
                <w:szCs w:val="21"/>
                <w:lang w:val="en-US" w:eastAsia="zh-CN" w:bidi="ar-SA"/>
              </w:rPr>
            </w:pPr>
            <w:r>
              <w:rPr>
                <w:rFonts w:hint="default" w:ascii="Times New Roman" w:hAnsi="Times New Roman" w:eastAsia="Times New Roman" w:cs="Times New Roman"/>
                <w:bCs/>
                <w:color w:val="auto"/>
                <w:kern w:val="2"/>
                <w:sz w:val="21"/>
                <w:szCs w:val="21"/>
                <w:lang w:val="en-US" w:eastAsia="zh-CN" w:bidi="ar-SA"/>
              </w:rPr>
              <w:t>190</w:t>
            </w:r>
            <w:r>
              <w:rPr>
                <w:rFonts w:hint="default" w:ascii="Times New Roman" w:hAnsi="Times New Roman" w:eastAsia="Times New Roman" w:cs="Times New Roman"/>
                <w:bCs/>
                <w:color w:val="auto"/>
                <w:spacing w:val="8"/>
                <w:sz w:val="21"/>
                <w:szCs w:val="21"/>
              </w:rPr>
              <w:t>~</w:t>
            </w:r>
            <w:r>
              <w:rPr>
                <w:rFonts w:hint="default" w:ascii="Times New Roman" w:hAnsi="Times New Roman" w:eastAsia="Times New Roman" w:cs="Times New Roman"/>
                <w:bCs/>
                <w:color w:val="auto"/>
                <w:kern w:val="2"/>
                <w:sz w:val="21"/>
                <w:szCs w:val="21"/>
                <w:lang w:val="en-US" w:eastAsia="zh-CN" w:bidi="ar-SA"/>
              </w:rPr>
              <w:t>426</w:t>
            </w:r>
          </w:p>
        </w:tc>
        <w:tc>
          <w:tcPr>
            <w:tcW w:w="583" w:type="pct"/>
            <w:tcBorders>
              <w:tl2br w:val="nil"/>
              <w:tr2bl w:val="nil"/>
            </w:tcBorders>
            <w:noWrap w:val="0"/>
            <w:vAlign w:val="center"/>
          </w:tcPr>
          <w:p w14:paraId="437FFBFF">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kern w:val="2"/>
                <w:sz w:val="21"/>
                <w:szCs w:val="21"/>
                <w:lang w:val="en-US" w:eastAsia="zh-CN" w:bidi="ar-SA"/>
              </w:rPr>
            </w:pPr>
            <w:r>
              <w:rPr>
                <w:rFonts w:hint="default" w:ascii="Times New Roman" w:hAnsi="Times New Roman" w:eastAsia="Times New Roman" w:cs="Times New Roman"/>
                <w:bCs/>
                <w:color w:val="auto"/>
                <w:kern w:val="2"/>
                <w:sz w:val="21"/>
                <w:szCs w:val="21"/>
                <w:lang w:val="en-US" w:eastAsia="zh-CN" w:bidi="ar-SA"/>
              </w:rPr>
              <w:t>230</w:t>
            </w:r>
            <w:r>
              <w:rPr>
                <w:rFonts w:hint="default" w:ascii="Times New Roman" w:hAnsi="Times New Roman" w:eastAsia="宋体" w:cs="Times New Roman"/>
                <w:bCs/>
                <w:color w:val="auto"/>
                <w:kern w:val="2"/>
                <w:sz w:val="21"/>
                <w:szCs w:val="21"/>
                <w:lang w:val="en-US" w:eastAsia="zh-CN" w:bidi="ar-SA"/>
              </w:rPr>
              <w:t>~</w:t>
            </w:r>
            <w:r>
              <w:rPr>
                <w:rFonts w:hint="default" w:ascii="Times New Roman" w:hAnsi="Times New Roman" w:eastAsia="Times New Roman" w:cs="Times New Roman"/>
                <w:bCs/>
                <w:color w:val="auto"/>
                <w:kern w:val="2"/>
                <w:sz w:val="21"/>
                <w:szCs w:val="21"/>
                <w:lang w:val="en-US" w:eastAsia="zh-CN" w:bidi="ar-SA"/>
              </w:rPr>
              <w:t>338</w:t>
            </w:r>
          </w:p>
        </w:tc>
        <w:tc>
          <w:tcPr>
            <w:tcW w:w="522" w:type="pct"/>
            <w:tcBorders>
              <w:tl2br w:val="nil"/>
              <w:tr2bl w:val="nil"/>
            </w:tcBorders>
            <w:noWrap w:val="0"/>
            <w:vAlign w:val="center"/>
          </w:tcPr>
          <w:p w14:paraId="3E3147A2">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kern w:val="2"/>
                <w:sz w:val="21"/>
                <w:szCs w:val="21"/>
                <w:lang w:val="en-US" w:eastAsia="zh-CN" w:bidi="ar-SA"/>
              </w:rPr>
            </w:pPr>
            <w:r>
              <w:rPr>
                <w:rFonts w:hint="eastAsia" w:ascii="Times New Roman" w:hAnsi="Times New Roman" w:eastAsia="Times New Roman" w:cs="Times New Roman"/>
                <w:bCs/>
                <w:color w:val="auto"/>
                <w:kern w:val="2"/>
                <w:sz w:val="21"/>
                <w:szCs w:val="21"/>
                <w:lang w:val="en-US" w:eastAsia="zh-CN" w:bidi="ar-SA"/>
              </w:rPr>
              <w:t>≥</w:t>
            </w:r>
            <w:r>
              <w:rPr>
                <w:rFonts w:hint="default" w:ascii="Times New Roman" w:hAnsi="Times New Roman" w:eastAsia="Times New Roman" w:cs="Times New Roman"/>
                <w:bCs/>
                <w:color w:val="auto"/>
                <w:kern w:val="2"/>
                <w:sz w:val="21"/>
                <w:szCs w:val="21"/>
                <w:lang w:val="en-US" w:eastAsia="zh-CN" w:bidi="ar-SA"/>
              </w:rPr>
              <w:t>60</w:t>
            </w:r>
          </w:p>
        </w:tc>
        <w:tc>
          <w:tcPr>
            <w:tcW w:w="781" w:type="pct"/>
            <w:tcBorders>
              <w:tl2br w:val="nil"/>
              <w:tr2bl w:val="nil"/>
            </w:tcBorders>
            <w:noWrap w:val="0"/>
            <w:vAlign w:val="center"/>
          </w:tcPr>
          <w:p w14:paraId="7763DE55">
            <w:pPr>
              <w:keepNext w:val="0"/>
              <w:keepLines w:val="0"/>
              <w:pageBreakBefore w:val="0"/>
              <w:widowControl w:val="0"/>
              <w:kinsoku/>
              <w:wordWrap/>
              <w:overflowPunct/>
              <w:topLinePunct w:val="0"/>
              <w:autoSpaceDE/>
              <w:autoSpaceDN/>
              <w:bidi w:val="0"/>
              <w:adjustRightInd/>
              <w:snapToGrid/>
              <w:spacing w:line="300" w:lineRule="auto"/>
              <w:ind w:left="56" w:leftChars="20" w:right="0" w:firstLine="0" w:firstLineChars="0"/>
              <w:jc w:val="center"/>
              <w:textAlignment w:val="auto"/>
              <w:rPr>
                <w:rFonts w:hint="default" w:ascii="Times New Roman" w:hAnsi="Times New Roman" w:eastAsia="仿宋_GB2312" w:cs="Times New Roman"/>
                <w:bCs/>
                <w:color w:val="auto"/>
                <w:kern w:val="2"/>
                <w:sz w:val="21"/>
                <w:szCs w:val="21"/>
                <w:lang w:val="en-US" w:eastAsia="zh-CN" w:bidi="ar-SA"/>
              </w:rPr>
            </w:pPr>
            <w:r>
              <w:rPr>
                <w:rFonts w:hint="eastAsia" w:ascii="Times New Roman" w:hAnsi="Times New Roman" w:eastAsia="宋体" w:cs="Times New Roman"/>
                <w:bCs/>
                <w:color w:val="auto"/>
                <w:spacing w:val="-1"/>
                <w:sz w:val="21"/>
                <w:szCs w:val="21"/>
                <w:lang w:val="en-US" w:eastAsia="zh-CN"/>
              </w:rPr>
              <w:t>0.6</w:t>
            </w:r>
            <w:r>
              <w:rPr>
                <w:rFonts w:hint="default" w:ascii="Times New Roman" w:hAnsi="Times New Roman" w:eastAsia="Times New Roman" w:cs="Times New Roman"/>
                <w:bCs/>
                <w:color w:val="auto"/>
                <w:spacing w:val="-1"/>
                <w:sz w:val="21"/>
                <w:szCs w:val="21"/>
              </w:rPr>
              <w:t>~</w:t>
            </w:r>
            <w:r>
              <w:rPr>
                <w:rFonts w:hint="eastAsia" w:ascii="Times New Roman" w:hAnsi="Times New Roman" w:eastAsia="宋体" w:cs="Times New Roman"/>
                <w:bCs/>
                <w:color w:val="auto"/>
                <w:spacing w:val="-1"/>
                <w:sz w:val="21"/>
                <w:szCs w:val="21"/>
                <w:lang w:val="en-US" w:eastAsia="zh-CN"/>
              </w:rPr>
              <w:t>7.5</w:t>
            </w:r>
          </w:p>
        </w:tc>
        <w:tc>
          <w:tcPr>
            <w:tcW w:w="484" w:type="pct"/>
            <w:tcBorders>
              <w:tl2br w:val="nil"/>
              <w:tr2bl w:val="nil"/>
            </w:tcBorders>
            <w:noWrap w:val="0"/>
            <w:vAlign w:val="center"/>
          </w:tcPr>
          <w:p w14:paraId="419DF38B">
            <w:pPr>
              <w:keepNext w:val="0"/>
              <w:keepLines w:val="0"/>
              <w:pageBreakBefore w:val="0"/>
              <w:widowControl w:val="0"/>
              <w:kinsoku/>
              <w:wordWrap/>
              <w:overflowPunct/>
              <w:topLinePunct w:val="0"/>
              <w:autoSpaceDE/>
              <w:autoSpaceDN/>
              <w:bidi w:val="0"/>
              <w:adjustRightInd/>
              <w:snapToGrid/>
              <w:spacing w:line="263" w:lineRule="exact"/>
              <w:ind w:left="56" w:leftChars="2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pacing w:val="-15"/>
                <w:position w:val="1"/>
                <w:sz w:val="21"/>
                <w:szCs w:val="21"/>
                <w:lang w:val="en-US" w:eastAsia="zh-CN"/>
              </w:rPr>
              <w:t>乙</w:t>
            </w:r>
            <w:r>
              <w:rPr>
                <w:rFonts w:hint="default" w:ascii="Times New Roman" w:hAnsi="Times New Roman" w:eastAsia="宋体" w:cs="Times New Roman"/>
                <w:bCs/>
                <w:color w:val="auto"/>
                <w:spacing w:val="-15"/>
                <w:position w:val="1"/>
                <w:sz w:val="21"/>
                <w:szCs w:val="21"/>
                <w:vertAlign w:val="subscript"/>
                <w:lang w:val="en-US" w:eastAsia="zh-CN"/>
              </w:rPr>
              <w:t>A</w:t>
            </w:r>
          </w:p>
        </w:tc>
      </w:tr>
      <w:tr w14:paraId="797FD3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32C0271F">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00B5719A">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硫化氢</w:t>
            </w:r>
          </w:p>
        </w:tc>
        <w:tc>
          <w:tcPr>
            <w:tcW w:w="761" w:type="pct"/>
            <w:tcBorders>
              <w:tl2br w:val="nil"/>
              <w:tr2bl w:val="nil"/>
            </w:tcBorders>
            <w:noWrap w:val="0"/>
            <w:vAlign w:val="center"/>
          </w:tcPr>
          <w:p w14:paraId="574BA7B2">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7783-06-4</w:t>
            </w:r>
          </w:p>
        </w:tc>
        <w:tc>
          <w:tcPr>
            <w:tcW w:w="309" w:type="pct"/>
            <w:tcBorders>
              <w:tl2br w:val="nil"/>
              <w:tr2bl w:val="nil"/>
            </w:tcBorders>
            <w:noWrap w:val="0"/>
            <w:vAlign w:val="center"/>
          </w:tcPr>
          <w:p w14:paraId="6CE52586">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气</w:t>
            </w:r>
          </w:p>
        </w:tc>
        <w:tc>
          <w:tcPr>
            <w:tcW w:w="729" w:type="pct"/>
            <w:tcBorders>
              <w:tl2br w:val="nil"/>
              <w:tr2bl w:val="nil"/>
            </w:tcBorders>
            <w:noWrap w:val="0"/>
            <w:vAlign w:val="center"/>
          </w:tcPr>
          <w:p w14:paraId="7F94368D">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eastAsia"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-60.</w:t>
            </w:r>
            <w:r>
              <w:rPr>
                <w:rFonts w:hint="eastAsia" w:ascii="Times New Roman" w:hAnsi="Times New Roman" w:cs="Times New Roman"/>
                <w:bCs/>
                <w:color w:val="auto"/>
                <w:spacing w:val="15"/>
                <w:sz w:val="21"/>
                <w:szCs w:val="21"/>
                <w:lang w:val="en-US" w:eastAsia="zh-CN"/>
              </w:rPr>
              <w:t>3</w:t>
            </w:r>
          </w:p>
        </w:tc>
        <w:tc>
          <w:tcPr>
            <w:tcW w:w="583" w:type="pct"/>
            <w:tcBorders>
              <w:tl2br w:val="nil"/>
              <w:tr2bl w:val="nil"/>
            </w:tcBorders>
            <w:noWrap w:val="0"/>
            <w:vAlign w:val="center"/>
          </w:tcPr>
          <w:p w14:paraId="3B466F84">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eastAsia" w:ascii="Times New Roman" w:hAnsi="Times New Roman" w:eastAsia="宋体" w:cs="Times New Roman"/>
                <w:bCs/>
                <w:color w:val="auto"/>
                <w:spacing w:val="15"/>
                <w:sz w:val="21"/>
                <w:szCs w:val="21"/>
                <w:lang w:val="en-US" w:eastAsia="zh-CN"/>
              </w:rPr>
            </w:pPr>
            <w:r>
              <w:rPr>
                <w:rFonts w:hint="eastAsia" w:ascii="Times New Roman" w:hAnsi="Times New Roman" w:cs="Times New Roman"/>
                <w:bCs/>
                <w:color w:val="auto"/>
                <w:spacing w:val="15"/>
                <w:sz w:val="21"/>
                <w:szCs w:val="21"/>
                <w:lang w:val="en-US" w:eastAsia="zh-CN"/>
              </w:rPr>
              <w:t>/</w:t>
            </w:r>
          </w:p>
        </w:tc>
        <w:tc>
          <w:tcPr>
            <w:tcW w:w="522" w:type="pct"/>
            <w:tcBorders>
              <w:tl2br w:val="nil"/>
              <w:tr2bl w:val="nil"/>
            </w:tcBorders>
            <w:noWrap w:val="0"/>
            <w:vAlign w:val="center"/>
          </w:tcPr>
          <w:p w14:paraId="3D3D1CAC">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w:t>
            </w:r>
          </w:p>
        </w:tc>
        <w:tc>
          <w:tcPr>
            <w:tcW w:w="781" w:type="pct"/>
            <w:tcBorders>
              <w:tl2br w:val="nil"/>
              <w:tr2bl w:val="nil"/>
            </w:tcBorders>
            <w:noWrap w:val="0"/>
            <w:vAlign w:val="center"/>
          </w:tcPr>
          <w:p w14:paraId="5079E6B3">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4.</w:t>
            </w:r>
            <w:r>
              <w:rPr>
                <w:rFonts w:hint="eastAsia" w:ascii="Times New Roman" w:hAnsi="Times New Roman" w:cs="Times New Roman"/>
                <w:bCs/>
                <w:color w:val="auto"/>
                <w:spacing w:val="15"/>
                <w:sz w:val="21"/>
                <w:szCs w:val="21"/>
                <w:lang w:val="en-US" w:eastAsia="zh-CN"/>
              </w:rPr>
              <w:t>3</w:t>
            </w:r>
            <w:r>
              <w:rPr>
                <w:rFonts w:hint="default" w:ascii="Times New Roman" w:hAnsi="Times New Roman" w:eastAsia="宋体" w:cs="Times New Roman"/>
                <w:bCs/>
                <w:color w:val="auto"/>
                <w:spacing w:val="15"/>
                <w:sz w:val="21"/>
                <w:szCs w:val="21"/>
              </w:rPr>
              <w:t>~46</w:t>
            </w:r>
          </w:p>
        </w:tc>
        <w:tc>
          <w:tcPr>
            <w:tcW w:w="484" w:type="pct"/>
            <w:tcBorders>
              <w:tl2br w:val="nil"/>
              <w:tr2bl w:val="nil"/>
            </w:tcBorders>
            <w:noWrap w:val="0"/>
            <w:vAlign w:val="center"/>
          </w:tcPr>
          <w:p w14:paraId="09515455">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甲</w:t>
            </w:r>
          </w:p>
        </w:tc>
      </w:tr>
      <w:tr w14:paraId="49586F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03406324">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2991933B">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eastAsia" w:ascii="Times New Roman" w:hAnsi="Times New Roman" w:eastAsia="宋体" w:cs="Times New Roman"/>
                <w:bCs/>
                <w:color w:val="auto"/>
                <w:spacing w:val="15"/>
                <w:sz w:val="21"/>
                <w:szCs w:val="21"/>
                <w:lang w:eastAsia="zh-CN"/>
              </w:rPr>
            </w:pPr>
            <w:r>
              <w:rPr>
                <w:rFonts w:hint="default" w:ascii="Times New Roman" w:hAnsi="Times New Roman" w:eastAsia="宋体" w:cs="Times New Roman"/>
                <w:bCs/>
                <w:color w:val="auto"/>
                <w:spacing w:val="15"/>
                <w:sz w:val="21"/>
                <w:szCs w:val="21"/>
              </w:rPr>
              <w:t>甲基叔丁基醚</w:t>
            </w:r>
            <w:r>
              <w:rPr>
                <w:rFonts w:hint="eastAsia" w:ascii="Times New Roman" w:hAnsi="Times New Roman" w:cs="Times New Roman"/>
                <w:bCs/>
                <w:color w:val="auto"/>
                <w:spacing w:val="15"/>
                <w:sz w:val="21"/>
                <w:szCs w:val="21"/>
                <w:lang w:eastAsia="zh-CN"/>
              </w:rPr>
              <w:t>（</w:t>
            </w:r>
            <w:r>
              <w:rPr>
                <w:rFonts w:hint="default" w:ascii="Times New Roman" w:hAnsi="Times New Roman" w:eastAsia="宋体" w:cs="Times New Roman"/>
                <w:bCs/>
                <w:color w:val="auto"/>
                <w:spacing w:val="15"/>
                <w:sz w:val="21"/>
                <w:szCs w:val="21"/>
              </w:rPr>
              <w:t>MTBE</w:t>
            </w:r>
            <w:r>
              <w:rPr>
                <w:rFonts w:hint="eastAsia" w:ascii="Times New Roman" w:hAnsi="Times New Roman" w:cs="Times New Roman"/>
                <w:bCs/>
                <w:color w:val="auto"/>
                <w:spacing w:val="15"/>
                <w:sz w:val="21"/>
                <w:szCs w:val="21"/>
                <w:lang w:eastAsia="zh-CN"/>
              </w:rPr>
              <w:t>）</w:t>
            </w:r>
          </w:p>
        </w:tc>
        <w:tc>
          <w:tcPr>
            <w:tcW w:w="761" w:type="pct"/>
            <w:tcBorders>
              <w:tl2br w:val="nil"/>
              <w:tr2bl w:val="nil"/>
            </w:tcBorders>
            <w:noWrap w:val="0"/>
            <w:vAlign w:val="center"/>
          </w:tcPr>
          <w:p w14:paraId="3BDE7401">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rPr>
            </w:pPr>
            <w:r>
              <w:rPr>
                <w:rFonts w:hint="default" w:ascii="Times New Roman" w:hAnsi="Times New Roman" w:eastAsia="宋体" w:cs="Times New Roman"/>
                <w:bCs/>
                <w:color w:val="auto"/>
                <w:spacing w:val="15"/>
                <w:sz w:val="21"/>
                <w:szCs w:val="21"/>
              </w:rPr>
              <w:t>1634-04-4</w:t>
            </w:r>
          </w:p>
        </w:tc>
        <w:tc>
          <w:tcPr>
            <w:tcW w:w="309" w:type="pct"/>
            <w:tcBorders>
              <w:tl2br w:val="nil"/>
              <w:tr2bl w:val="nil"/>
            </w:tcBorders>
            <w:noWrap w:val="0"/>
            <w:vAlign w:val="center"/>
          </w:tcPr>
          <w:p w14:paraId="61209C43">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eastAsia" w:ascii="Times New Roman" w:hAnsi="Times New Roman" w:eastAsia="宋体" w:cs="Times New Roman"/>
                <w:bCs/>
                <w:color w:val="auto"/>
                <w:spacing w:val="15"/>
                <w:sz w:val="21"/>
                <w:szCs w:val="21"/>
                <w:lang w:val="en-US" w:eastAsia="zh-CN"/>
              </w:rPr>
            </w:pPr>
            <w:r>
              <w:rPr>
                <w:rFonts w:hint="eastAsia" w:ascii="Times New Roman" w:hAnsi="Times New Roman" w:cs="Times New Roman"/>
                <w:bCs/>
                <w:color w:val="auto"/>
                <w:spacing w:val="15"/>
                <w:sz w:val="21"/>
                <w:szCs w:val="21"/>
                <w:lang w:val="en-US" w:eastAsia="zh-CN"/>
              </w:rPr>
              <w:t>液</w:t>
            </w:r>
          </w:p>
        </w:tc>
        <w:tc>
          <w:tcPr>
            <w:tcW w:w="729" w:type="pct"/>
            <w:tcBorders>
              <w:tl2br w:val="nil"/>
              <w:tr2bl w:val="nil"/>
            </w:tcBorders>
            <w:noWrap w:val="0"/>
            <w:vAlign w:val="center"/>
          </w:tcPr>
          <w:p w14:paraId="22258D96">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rPr>
            </w:pPr>
            <w:r>
              <w:rPr>
                <w:rFonts w:hint="default" w:ascii="Times New Roman" w:hAnsi="Times New Roman" w:eastAsia="宋体" w:cs="Times New Roman"/>
                <w:bCs/>
                <w:color w:val="auto"/>
                <w:spacing w:val="15"/>
                <w:sz w:val="21"/>
                <w:szCs w:val="21"/>
              </w:rPr>
              <w:t>53~56</w:t>
            </w:r>
          </w:p>
        </w:tc>
        <w:tc>
          <w:tcPr>
            <w:tcW w:w="583" w:type="pct"/>
            <w:tcBorders>
              <w:tl2br w:val="nil"/>
              <w:tr2bl w:val="nil"/>
            </w:tcBorders>
            <w:noWrap w:val="0"/>
            <w:vAlign w:val="center"/>
          </w:tcPr>
          <w:p w14:paraId="697278B8">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eastAsia" w:ascii="Times New Roman" w:hAnsi="Times New Roman" w:cs="Times New Roman"/>
                <w:bCs/>
                <w:color w:val="auto"/>
                <w:spacing w:val="15"/>
                <w:sz w:val="21"/>
                <w:szCs w:val="21"/>
                <w:lang w:val="en-US" w:eastAsia="zh-CN"/>
              </w:rPr>
            </w:pPr>
            <w:r>
              <w:rPr>
                <w:rFonts w:hint="eastAsia" w:ascii="Times New Roman" w:hAnsi="Times New Roman" w:cs="Times New Roman"/>
                <w:bCs/>
                <w:color w:val="auto"/>
                <w:spacing w:val="15"/>
                <w:sz w:val="21"/>
                <w:szCs w:val="21"/>
                <w:lang w:val="en-US" w:eastAsia="zh-CN"/>
              </w:rPr>
              <w:t>460</w:t>
            </w:r>
          </w:p>
        </w:tc>
        <w:tc>
          <w:tcPr>
            <w:tcW w:w="522" w:type="pct"/>
            <w:tcBorders>
              <w:tl2br w:val="nil"/>
              <w:tr2bl w:val="nil"/>
            </w:tcBorders>
            <w:noWrap w:val="0"/>
            <w:vAlign w:val="center"/>
          </w:tcPr>
          <w:p w14:paraId="6EEB42DF">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rPr>
            </w:pPr>
            <w:r>
              <w:rPr>
                <w:rFonts w:hint="default" w:ascii="Times New Roman" w:hAnsi="Times New Roman" w:eastAsia="宋体" w:cs="Times New Roman"/>
                <w:bCs/>
                <w:color w:val="auto"/>
                <w:spacing w:val="15"/>
                <w:sz w:val="21"/>
                <w:szCs w:val="21"/>
              </w:rPr>
              <w:t>-10</w:t>
            </w:r>
          </w:p>
        </w:tc>
        <w:tc>
          <w:tcPr>
            <w:tcW w:w="781" w:type="pct"/>
            <w:tcBorders>
              <w:tl2br w:val="nil"/>
              <w:tr2bl w:val="nil"/>
            </w:tcBorders>
            <w:noWrap w:val="0"/>
            <w:vAlign w:val="center"/>
          </w:tcPr>
          <w:p w14:paraId="38275A57">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rPr>
            </w:pPr>
            <w:r>
              <w:rPr>
                <w:rFonts w:hint="default" w:ascii="Times New Roman" w:hAnsi="Times New Roman" w:eastAsia="宋体" w:cs="Times New Roman"/>
                <w:bCs/>
                <w:color w:val="auto"/>
                <w:spacing w:val="15"/>
                <w:sz w:val="21"/>
                <w:szCs w:val="21"/>
              </w:rPr>
              <w:t>1.6~15.1</w:t>
            </w:r>
          </w:p>
        </w:tc>
        <w:tc>
          <w:tcPr>
            <w:tcW w:w="484" w:type="pct"/>
            <w:tcBorders>
              <w:tl2br w:val="nil"/>
              <w:tr2bl w:val="nil"/>
            </w:tcBorders>
            <w:noWrap w:val="0"/>
            <w:vAlign w:val="center"/>
          </w:tcPr>
          <w:p w14:paraId="6387C116">
            <w:pPr>
              <w:keepNext w:val="0"/>
              <w:keepLines w:val="0"/>
              <w:pageBreakBefore w:val="0"/>
              <w:widowControl w:val="0"/>
              <w:kinsoku/>
              <w:wordWrap/>
              <w:overflowPunct/>
              <w:topLinePunct w:val="0"/>
              <w:autoSpaceDE/>
              <w:autoSpaceDN/>
              <w:bidi w:val="0"/>
              <w:adjustRightInd/>
              <w:snapToGrid/>
              <w:spacing w:line="24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rPr>
            </w:pPr>
            <w:r>
              <w:rPr>
                <w:rFonts w:hint="default" w:ascii="Times New Roman" w:hAnsi="Times New Roman" w:eastAsia="宋体" w:cs="Times New Roman"/>
                <w:bCs/>
                <w:color w:val="auto"/>
                <w:spacing w:val="-17"/>
                <w:sz w:val="21"/>
                <w:szCs w:val="21"/>
              </w:rPr>
              <w:t>甲</w:t>
            </w:r>
            <w:r>
              <w:rPr>
                <w:rFonts w:hint="default" w:ascii="Times New Roman" w:hAnsi="Times New Roman" w:eastAsia="Times New Roman" w:cs="Times New Roman"/>
                <w:bCs/>
                <w:color w:val="auto"/>
                <w:spacing w:val="-17"/>
                <w:sz w:val="21"/>
                <w:szCs w:val="21"/>
                <w:vertAlign w:val="subscript"/>
              </w:rPr>
              <w:t>B</w:t>
            </w:r>
          </w:p>
        </w:tc>
      </w:tr>
      <w:tr w14:paraId="0D562D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6751E3DF">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3F4BABF8">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甲苯</w:t>
            </w:r>
          </w:p>
        </w:tc>
        <w:tc>
          <w:tcPr>
            <w:tcW w:w="761" w:type="pct"/>
            <w:tcBorders>
              <w:tl2br w:val="nil"/>
              <w:tr2bl w:val="nil"/>
            </w:tcBorders>
            <w:noWrap w:val="0"/>
            <w:vAlign w:val="center"/>
          </w:tcPr>
          <w:p w14:paraId="630B9B42">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108-88-3</w:t>
            </w:r>
          </w:p>
        </w:tc>
        <w:tc>
          <w:tcPr>
            <w:tcW w:w="309" w:type="pct"/>
            <w:tcBorders>
              <w:tl2br w:val="nil"/>
              <w:tr2bl w:val="nil"/>
            </w:tcBorders>
            <w:noWrap w:val="0"/>
            <w:vAlign w:val="center"/>
          </w:tcPr>
          <w:p w14:paraId="3449E0B8">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液</w:t>
            </w:r>
          </w:p>
        </w:tc>
        <w:tc>
          <w:tcPr>
            <w:tcW w:w="729" w:type="pct"/>
            <w:tcBorders>
              <w:tl2br w:val="nil"/>
              <w:tr2bl w:val="nil"/>
            </w:tcBorders>
            <w:noWrap w:val="0"/>
            <w:vAlign w:val="center"/>
          </w:tcPr>
          <w:p w14:paraId="02884BFD">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110.6</w:t>
            </w:r>
          </w:p>
        </w:tc>
        <w:tc>
          <w:tcPr>
            <w:tcW w:w="583" w:type="pct"/>
            <w:tcBorders>
              <w:tl2br w:val="nil"/>
              <w:tr2bl w:val="nil"/>
            </w:tcBorders>
            <w:noWrap w:val="0"/>
            <w:vAlign w:val="center"/>
          </w:tcPr>
          <w:p w14:paraId="487A2EE6">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535</w:t>
            </w:r>
          </w:p>
        </w:tc>
        <w:tc>
          <w:tcPr>
            <w:tcW w:w="522" w:type="pct"/>
            <w:tcBorders>
              <w:tl2br w:val="nil"/>
              <w:tr2bl w:val="nil"/>
            </w:tcBorders>
            <w:noWrap w:val="0"/>
            <w:vAlign w:val="center"/>
          </w:tcPr>
          <w:p w14:paraId="1457AE40">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4</w:t>
            </w:r>
          </w:p>
        </w:tc>
        <w:tc>
          <w:tcPr>
            <w:tcW w:w="781" w:type="pct"/>
            <w:tcBorders>
              <w:tl2br w:val="nil"/>
              <w:tr2bl w:val="nil"/>
            </w:tcBorders>
            <w:noWrap w:val="0"/>
            <w:vAlign w:val="center"/>
          </w:tcPr>
          <w:p w14:paraId="253E5740">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5"/>
                <w:sz w:val="21"/>
                <w:szCs w:val="21"/>
              </w:rPr>
              <w:t>1.2~7.0</w:t>
            </w:r>
          </w:p>
        </w:tc>
        <w:tc>
          <w:tcPr>
            <w:tcW w:w="484" w:type="pct"/>
            <w:tcBorders>
              <w:tl2br w:val="nil"/>
              <w:tr2bl w:val="nil"/>
            </w:tcBorders>
            <w:noWrap w:val="0"/>
            <w:vAlign w:val="center"/>
          </w:tcPr>
          <w:p w14:paraId="27CC0FBC">
            <w:pPr>
              <w:keepNext w:val="0"/>
              <w:keepLines w:val="0"/>
              <w:pageBreakBefore w:val="0"/>
              <w:widowControl w:val="0"/>
              <w:kinsoku/>
              <w:wordWrap/>
              <w:overflowPunct/>
              <w:topLinePunct w:val="0"/>
              <w:autoSpaceDE/>
              <w:autoSpaceDN/>
              <w:bidi w:val="0"/>
              <w:adjustRightInd/>
              <w:snapToGrid/>
              <w:spacing w:line="300" w:lineRule="auto"/>
              <w:ind w:left="56" w:leftChars="20" w:right="0" w:rightChars="0" w:firstLine="0" w:firstLineChars="0"/>
              <w:jc w:val="center"/>
              <w:textAlignment w:val="auto"/>
              <w:rPr>
                <w:rFonts w:hint="default" w:ascii="Times New Roman" w:hAnsi="Times New Roman" w:eastAsia="宋体" w:cs="Times New Roman"/>
                <w:bCs/>
                <w:color w:val="auto"/>
                <w:spacing w:val="15"/>
                <w:sz w:val="21"/>
                <w:szCs w:val="21"/>
                <w:lang w:val="en-US" w:eastAsia="zh-CN"/>
              </w:rPr>
            </w:pPr>
            <w:r>
              <w:rPr>
                <w:rFonts w:hint="default" w:ascii="Times New Roman" w:hAnsi="Times New Roman" w:eastAsia="宋体" w:cs="Times New Roman"/>
                <w:bCs/>
                <w:color w:val="auto"/>
                <w:spacing w:val="-17"/>
                <w:sz w:val="21"/>
                <w:szCs w:val="21"/>
              </w:rPr>
              <w:t>甲</w:t>
            </w:r>
            <w:r>
              <w:rPr>
                <w:rFonts w:hint="default" w:ascii="Times New Roman" w:hAnsi="Times New Roman" w:eastAsia="Times New Roman" w:cs="Times New Roman"/>
                <w:bCs/>
                <w:color w:val="auto"/>
                <w:spacing w:val="-17"/>
                <w:sz w:val="21"/>
                <w:szCs w:val="21"/>
                <w:vertAlign w:val="subscript"/>
              </w:rPr>
              <w:t>B</w:t>
            </w:r>
          </w:p>
        </w:tc>
      </w:tr>
      <w:tr w14:paraId="3CDF5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728F5B18">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32B6A0FD">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氮气</w:t>
            </w:r>
          </w:p>
        </w:tc>
        <w:tc>
          <w:tcPr>
            <w:tcW w:w="761" w:type="pct"/>
            <w:tcBorders>
              <w:tl2br w:val="nil"/>
              <w:tr2bl w:val="nil"/>
            </w:tcBorders>
            <w:noWrap w:val="0"/>
            <w:vAlign w:val="center"/>
          </w:tcPr>
          <w:p w14:paraId="31651F49">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7727-37-9</w:t>
            </w:r>
          </w:p>
        </w:tc>
        <w:tc>
          <w:tcPr>
            <w:tcW w:w="309" w:type="pct"/>
            <w:tcBorders>
              <w:tl2br w:val="nil"/>
              <w:tr2bl w:val="nil"/>
            </w:tcBorders>
            <w:noWrap w:val="0"/>
            <w:vAlign w:val="center"/>
          </w:tcPr>
          <w:p w14:paraId="43B377A4">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气</w:t>
            </w:r>
          </w:p>
        </w:tc>
        <w:tc>
          <w:tcPr>
            <w:tcW w:w="729" w:type="pct"/>
            <w:tcBorders>
              <w:tl2br w:val="nil"/>
              <w:tr2bl w:val="nil"/>
            </w:tcBorders>
            <w:noWrap w:val="0"/>
            <w:vAlign w:val="center"/>
          </w:tcPr>
          <w:p w14:paraId="313DA3B0">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-196</w:t>
            </w:r>
          </w:p>
        </w:tc>
        <w:tc>
          <w:tcPr>
            <w:tcW w:w="583" w:type="pct"/>
            <w:tcBorders>
              <w:tl2br w:val="nil"/>
              <w:tr2bl w:val="nil"/>
            </w:tcBorders>
            <w:noWrap w:val="0"/>
            <w:vAlign w:val="center"/>
          </w:tcPr>
          <w:p w14:paraId="62FC3A3E">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w:t>
            </w:r>
          </w:p>
        </w:tc>
        <w:tc>
          <w:tcPr>
            <w:tcW w:w="522" w:type="pct"/>
            <w:tcBorders>
              <w:tl2br w:val="nil"/>
              <w:tr2bl w:val="nil"/>
            </w:tcBorders>
            <w:noWrap w:val="0"/>
            <w:vAlign w:val="center"/>
          </w:tcPr>
          <w:p w14:paraId="6FABA1D4">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w:t>
            </w:r>
          </w:p>
        </w:tc>
        <w:tc>
          <w:tcPr>
            <w:tcW w:w="781" w:type="pct"/>
            <w:tcBorders>
              <w:tl2br w:val="nil"/>
              <w:tr2bl w:val="nil"/>
            </w:tcBorders>
            <w:noWrap w:val="0"/>
            <w:vAlign w:val="center"/>
          </w:tcPr>
          <w:p w14:paraId="5AFD383B">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w:t>
            </w:r>
          </w:p>
        </w:tc>
        <w:tc>
          <w:tcPr>
            <w:tcW w:w="484" w:type="pct"/>
            <w:tcBorders>
              <w:tl2br w:val="nil"/>
              <w:tr2bl w:val="nil"/>
            </w:tcBorders>
            <w:noWrap w:val="0"/>
            <w:vAlign w:val="center"/>
          </w:tcPr>
          <w:p w14:paraId="6231C6E9">
            <w:pPr>
              <w:keepNext w:val="0"/>
              <w:keepLines w:val="0"/>
              <w:pageBreakBefore w:val="0"/>
              <w:widowControl w:val="0"/>
              <w:kinsoku/>
              <w:wordWrap/>
              <w:overflowPunct/>
              <w:topLinePunct w:val="0"/>
              <w:autoSpaceDE/>
              <w:autoSpaceDN/>
              <w:bidi w:val="0"/>
              <w:adjustRightInd w:val="0"/>
              <w:snapToGrid w:val="0"/>
              <w:spacing w:line="240" w:lineRule="auto"/>
              <w:ind w:left="56" w:leftChars="2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r>
              <w:rPr>
                <w:rFonts w:hint="default" w:ascii="Times New Roman" w:hAnsi="Times New Roman" w:eastAsia="Times New Roman" w:cs="Times New Roman"/>
                <w:bCs/>
                <w:color w:val="auto"/>
                <w:spacing w:val="-3"/>
                <w:sz w:val="21"/>
                <w:szCs w:val="21"/>
                <w:lang w:val="en-US" w:eastAsia="zh-CN"/>
              </w:rPr>
              <w:t>戊</w:t>
            </w:r>
          </w:p>
        </w:tc>
      </w:tr>
      <w:tr w14:paraId="514BB7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60321951">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6A46397B">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苯</w:t>
            </w:r>
          </w:p>
        </w:tc>
        <w:tc>
          <w:tcPr>
            <w:tcW w:w="761" w:type="pct"/>
            <w:tcBorders>
              <w:tl2br w:val="nil"/>
              <w:tr2bl w:val="nil"/>
            </w:tcBorders>
            <w:noWrap w:val="0"/>
            <w:vAlign w:val="center"/>
          </w:tcPr>
          <w:p w14:paraId="00BDB3E3">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71-43-2</w:t>
            </w:r>
          </w:p>
        </w:tc>
        <w:tc>
          <w:tcPr>
            <w:tcW w:w="309" w:type="pct"/>
            <w:tcBorders>
              <w:tl2br w:val="nil"/>
              <w:tr2bl w:val="nil"/>
            </w:tcBorders>
            <w:noWrap w:val="0"/>
            <w:vAlign w:val="center"/>
          </w:tcPr>
          <w:p w14:paraId="325EF5F8">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液</w:t>
            </w:r>
          </w:p>
        </w:tc>
        <w:tc>
          <w:tcPr>
            <w:tcW w:w="729" w:type="pct"/>
            <w:tcBorders>
              <w:tl2br w:val="nil"/>
              <w:tr2bl w:val="nil"/>
            </w:tcBorders>
            <w:noWrap w:val="0"/>
            <w:vAlign w:val="center"/>
          </w:tcPr>
          <w:p w14:paraId="2E02034F">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80.1</w:t>
            </w:r>
          </w:p>
        </w:tc>
        <w:tc>
          <w:tcPr>
            <w:tcW w:w="583" w:type="pct"/>
            <w:tcBorders>
              <w:tl2br w:val="nil"/>
              <w:tr2bl w:val="nil"/>
            </w:tcBorders>
            <w:noWrap w:val="0"/>
            <w:vAlign w:val="center"/>
          </w:tcPr>
          <w:p w14:paraId="31F1D653">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560</w:t>
            </w:r>
          </w:p>
        </w:tc>
        <w:tc>
          <w:tcPr>
            <w:tcW w:w="522" w:type="pct"/>
            <w:tcBorders>
              <w:tl2br w:val="nil"/>
              <w:tr2bl w:val="nil"/>
            </w:tcBorders>
            <w:noWrap w:val="0"/>
            <w:vAlign w:val="center"/>
          </w:tcPr>
          <w:p w14:paraId="17D383E9">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-11</w:t>
            </w:r>
          </w:p>
        </w:tc>
        <w:tc>
          <w:tcPr>
            <w:tcW w:w="781" w:type="pct"/>
            <w:tcBorders>
              <w:tl2br w:val="nil"/>
              <w:tr2bl w:val="nil"/>
            </w:tcBorders>
            <w:noWrap w:val="0"/>
            <w:vAlign w:val="center"/>
          </w:tcPr>
          <w:p w14:paraId="1B16042B">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1.2</w:t>
            </w:r>
            <w:r>
              <w:rPr>
                <w:rFonts w:hint="default" w:ascii="Times New Roman" w:hAnsi="Times New Roman" w:eastAsia="Times New Roman" w:cs="Times New Roman"/>
                <w:bCs/>
                <w:color w:val="auto"/>
                <w:spacing w:val="2"/>
                <w:sz w:val="21"/>
                <w:szCs w:val="21"/>
              </w:rPr>
              <w:t>~</w:t>
            </w:r>
            <w:r>
              <w:rPr>
                <w:rFonts w:hint="default" w:ascii="Times New Roman" w:hAnsi="Times New Roman" w:eastAsia="Times New Roman" w:cs="Times New Roman"/>
                <w:bCs/>
                <w:color w:val="auto"/>
                <w:spacing w:val="2"/>
                <w:sz w:val="21"/>
                <w:szCs w:val="21"/>
                <w:lang w:val="en-US" w:eastAsia="zh-CN"/>
              </w:rPr>
              <w:t>8.0</w:t>
            </w:r>
          </w:p>
        </w:tc>
        <w:tc>
          <w:tcPr>
            <w:tcW w:w="484" w:type="pct"/>
            <w:tcBorders>
              <w:tl2br w:val="nil"/>
              <w:tr2bl w:val="nil"/>
            </w:tcBorders>
            <w:noWrap w:val="0"/>
            <w:vAlign w:val="center"/>
          </w:tcPr>
          <w:p w14:paraId="1754AF15">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宋体" w:cs="Times New Roman"/>
                <w:bCs/>
                <w:color w:val="auto"/>
                <w:spacing w:val="-17"/>
                <w:sz w:val="21"/>
                <w:szCs w:val="21"/>
              </w:rPr>
              <w:t>甲</w:t>
            </w:r>
            <w:r>
              <w:rPr>
                <w:rFonts w:hint="default" w:ascii="Times New Roman" w:hAnsi="Times New Roman" w:eastAsia="Times New Roman" w:cs="Times New Roman"/>
                <w:bCs/>
                <w:color w:val="auto"/>
                <w:spacing w:val="-17"/>
                <w:sz w:val="21"/>
                <w:szCs w:val="21"/>
                <w:vertAlign w:val="subscript"/>
              </w:rPr>
              <w:t>B</w:t>
            </w:r>
          </w:p>
        </w:tc>
      </w:tr>
      <w:tr w14:paraId="7D7BD5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72A8C438">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06DF8DC3">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甲烷</w:t>
            </w:r>
          </w:p>
        </w:tc>
        <w:tc>
          <w:tcPr>
            <w:tcW w:w="761" w:type="pct"/>
            <w:tcBorders>
              <w:tl2br w:val="nil"/>
              <w:tr2bl w:val="nil"/>
            </w:tcBorders>
            <w:noWrap w:val="0"/>
            <w:vAlign w:val="center"/>
          </w:tcPr>
          <w:p w14:paraId="4A017663">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74-82-8</w:t>
            </w:r>
          </w:p>
        </w:tc>
        <w:tc>
          <w:tcPr>
            <w:tcW w:w="309" w:type="pct"/>
            <w:tcBorders>
              <w:tl2br w:val="nil"/>
              <w:tr2bl w:val="nil"/>
            </w:tcBorders>
            <w:noWrap w:val="0"/>
            <w:vAlign w:val="center"/>
          </w:tcPr>
          <w:p w14:paraId="56E008F4">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气</w:t>
            </w:r>
          </w:p>
        </w:tc>
        <w:tc>
          <w:tcPr>
            <w:tcW w:w="729" w:type="pct"/>
            <w:tcBorders>
              <w:tl2br w:val="nil"/>
              <w:tr2bl w:val="nil"/>
            </w:tcBorders>
            <w:noWrap w:val="0"/>
            <w:vAlign w:val="center"/>
          </w:tcPr>
          <w:p w14:paraId="052B6C19">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-161.4</w:t>
            </w:r>
          </w:p>
        </w:tc>
        <w:tc>
          <w:tcPr>
            <w:tcW w:w="583" w:type="pct"/>
            <w:tcBorders>
              <w:tl2br w:val="nil"/>
              <w:tr2bl w:val="nil"/>
            </w:tcBorders>
            <w:noWrap w:val="0"/>
            <w:vAlign w:val="center"/>
          </w:tcPr>
          <w:p w14:paraId="17E02B65">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537</w:t>
            </w:r>
          </w:p>
        </w:tc>
        <w:tc>
          <w:tcPr>
            <w:tcW w:w="522" w:type="pct"/>
            <w:tcBorders>
              <w:tl2br w:val="nil"/>
              <w:tr2bl w:val="nil"/>
            </w:tcBorders>
            <w:noWrap w:val="0"/>
            <w:vAlign w:val="center"/>
          </w:tcPr>
          <w:p w14:paraId="319FBD2E">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-218</w:t>
            </w:r>
          </w:p>
        </w:tc>
        <w:tc>
          <w:tcPr>
            <w:tcW w:w="781" w:type="pct"/>
            <w:tcBorders>
              <w:tl2br w:val="nil"/>
              <w:tr2bl w:val="nil"/>
            </w:tcBorders>
            <w:noWrap w:val="0"/>
            <w:vAlign w:val="center"/>
          </w:tcPr>
          <w:p w14:paraId="1557C574">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5</w:t>
            </w:r>
            <w:r>
              <w:rPr>
                <w:rFonts w:hint="default" w:ascii="Times New Roman" w:hAnsi="Times New Roman" w:eastAsia="Times New Roman" w:cs="Times New Roman"/>
                <w:bCs/>
                <w:color w:val="auto"/>
                <w:spacing w:val="2"/>
                <w:sz w:val="21"/>
                <w:szCs w:val="21"/>
              </w:rPr>
              <w:t>~</w:t>
            </w:r>
            <w:r>
              <w:rPr>
                <w:rFonts w:hint="default" w:ascii="Times New Roman" w:hAnsi="Times New Roman" w:eastAsia="Times New Roman" w:cs="Times New Roman"/>
                <w:bCs/>
                <w:color w:val="auto"/>
                <w:spacing w:val="2"/>
                <w:sz w:val="21"/>
                <w:szCs w:val="21"/>
                <w:lang w:val="en-US" w:eastAsia="zh-CN"/>
              </w:rPr>
              <w:t>15</w:t>
            </w:r>
          </w:p>
        </w:tc>
        <w:tc>
          <w:tcPr>
            <w:tcW w:w="484" w:type="pct"/>
            <w:tcBorders>
              <w:tl2br w:val="nil"/>
              <w:tr2bl w:val="nil"/>
            </w:tcBorders>
            <w:noWrap w:val="0"/>
            <w:vAlign w:val="center"/>
          </w:tcPr>
          <w:p w14:paraId="25CD1DA2">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eastAsia" w:ascii="Times New Roman" w:hAnsi="Times New Roman" w:eastAsia="宋体" w:cs="Times New Roman"/>
                <w:bCs/>
                <w:color w:val="auto"/>
                <w:spacing w:val="2"/>
                <w:sz w:val="21"/>
                <w:szCs w:val="21"/>
                <w:lang w:val="en-US" w:eastAsia="zh-CN"/>
              </w:rPr>
            </w:pPr>
            <w:r>
              <w:rPr>
                <w:rFonts w:hint="eastAsia" w:ascii="Times New Roman" w:hAnsi="Times New Roman" w:eastAsia="宋体" w:cs="Times New Roman"/>
                <w:bCs/>
                <w:color w:val="auto"/>
                <w:spacing w:val="-17"/>
                <w:sz w:val="21"/>
                <w:szCs w:val="21"/>
                <w:lang w:val="en-US" w:eastAsia="zh-CN"/>
              </w:rPr>
              <w:t>甲</w:t>
            </w:r>
          </w:p>
        </w:tc>
      </w:tr>
      <w:tr w14:paraId="3CA3DE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184" w:type="pct"/>
            <w:tcBorders>
              <w:tl2br w:val="nil"/>
              <w:tr2bl w:val="nil"/>
            </w:tcBorders>
            <w:noWrap w:val="0"/>
            <w:vAlign w:val="center"/>
          </w:tcPr>
          <w:p w14:paraId="0B5DD20F">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Times New Roman" w:cs="Times New Roman"/>
                <w:bCs/>
                <w:color w:val="auto"/>
                <w:spacing w:val="-3"/>
                <w:sz w:val="21"/>
                <w:szCs w:val="21"/>
                <w:lang w:val="en-US" w:eastAsia="zh-CN"/>
              </w:rPr>
            </w:pPr>
          </w:p>
        </w:tc>
        <w:tc>
          <w:tcPr>
            <w:tcW w:w="642" w:type="pct"/>
            <w:tcBorders>
              <w:tl2br w:val="nil"/>
              <w:tr2bl w:val="nil"/>
            </w:tcBorders>
            <w:noWrap w:val="0"/>
            <w:vAlign w:val="center"/>
          </w:tcPr>
          <w:p w14:paraId="76EAB067">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二甲苯</w:t>
            </w:r>
          </w:p>
        </w:tc>
        <w:tc>
          <w:tcPr>
            <w:tcW w:w="761" w:type="pct"/>
            <w:tcBorders>
              <w:tl2br w:val="nil"/>
              <w:tr2bl w:val="nil"/>
            </w:tcBorders>
            <w:noWrap w:val="0"/>
            <w:vAlign w:val="center"/>
          </w:tcPr>
          <w:p w14:paraId="2E3F9C09">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1330-20-7</w:t>
            </w:r>
          </w:p>
        </w:tc>
        <w:tc>
          <w:tcPr>
            <w:tcW w:w="309" w:type="pct"/>
            <w:tcBorders>
              <w:tl2br w:val="nil"/>
              <w:tr2bl w:val="nil"/>
            </w:tcBorders>
            <w:noWrap w:val="0"/>
            <w:vAlign w:val="center"/>
          </w:tcPr>
          <w:p w14:paraId="1425194D">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液</w:t>
            </w:r>
          </w:p>
        </w:tc>
        <w:tc>
          <w:tcPr>
            <w:tcW w:w="729" w:type="pct"/>
            <w:tcBorders>
              <w:tl2br w:val="nil"/>
              <w:tr2bl w:val="nil"/>
            </w:tcBorders>
            <w:noWrap w:val="0"/>
            <w:vAlign w:val="center"/>
          </w:tcPr>
          <w:p w14:paraId="1BD0415B">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137~142</w:t>
            </w:r>
          </w:p>
        </w:tc>
        <w:tc>
          <w:tcPr>
            <w:tcW w:w="583" w:type="pct"/>
            <w:tcBorders>
              <w:tl2br w:val="nil"/>
              <w:tr2bl w:val="nil"/>
            </w:tcBorders>
            <w:noWrap w:val="0"/>
            <w:vAlign w:val="center"/>
          </w:tcPr>
          <w:p w14:paraId="0D770427">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w:t>
            </w:r>
          </w:p>
        </w:tc>
        <w:tc>
          <w:tcPr>
            <w:tcW w:w="522" w:type="pct"/>
            <w:tcBorders>
              <w:tl2br w:val="nil"/>
              <w:tr2bl w:val="nil"/>
            </w:tcBorders>
            <w:noWrap w:val="0"/>
            <w:vAlign w:val="center"/>
          </w:tcPr>
          <w:p w14:paraId="3798D6DA">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25</w:t>
            </w:r>
          </w:p>
        </w:tc>
        <w:tc>
          <w:tcPr>
            <w:tcW w:w="781" w:type="pct"/>
            <w:tcBorders>
              <w:tl2br w:val="nil"/>
              <w:tr2bl w:val="nil"/>
            </w:tcBorders>
            <w:noWrap w:val="0"/>
            <w:vAlign w:val="center"/>
          </w:tcPr>
          <w:p w14:paraId="0FF23C4F">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Times New Roman" w:cs="Times New Roman"/>
                <w:bCs/>
                <w:color w:val="auto"/>
                <w:spacing w:val="2"/>
                <w:sz w:val="21"/>
                <w:szCs w:val="21"/>
                <w:lang w:val="en-US" w:eastAsia="zh-CN"/>
              </w:rPr>
              <w:t>/</w:t>
            </w:r>
          </w:p>
        </w:tc>
        <w:tc>
          <w:tcPr>
            <w:tcW w:w="484" w:type="pct"/>
            <w:tcBorders>
              <w:tl2br w:val="nil"/>
              <w:tr2bl w:val="nil"/>
            </w:tcBorders>
            <w:noWrap w:val="0"/>
            <w:vAlign w:val="center"/>
          </w:tcPr>
          <w:p w14:paraId="7444D298">
            <w:pPr>
              <w:keepNext w:val="0"/>
              <w:keepLines w:val="0"/>
              <w:pageBreakBefore w:val="0"/>
              <w:widowControl w:val="0"/>
              <w:kinsoku/>
              <w:wordWrap/>
              <w:overflowPunct/>
              <w:topLinePunct w:val="0"/>
              <w:autoSpaceDE/>
              <w:autoSpaceDN/>
              <w:bidi w:val="0"/>
              <w:adjustRightInd/>
              <w:snapToGrid/>
              <w:spacing w:line="195" w:lineRule="auto"/>
              <w:ind w:left="56" w:leftChars="20" w:right="0" w:firstLine="0" w:firstLineChars="0"/>
              <w:jc w:val="center"/>
              <w:textAlignment w:val="auto"/>
              <w:rPr>
                <w:rFonts w:hint="default" w:ascii="Times New Roman" w:hAnsi="Times New Roman" w:eastAsia="Times New Roman" w:cs="Times New Roman"/>
                <w:bCs/>
                <w:color w:val="auto"/>
                <w:spacing w:val="2"/>
                <w:sz w:val="21"/>
                <w:szCs w:val="21"/>
                <w:lang w:val="en-US" w:eastAsia="zh-CN"/>
              </w:rPr>
            </w:pPr>
            <w:r>
              <w:rPr>
                <w:rFonts w:hint="default" w:ascii="Times New Roman" w:hAnsi="Times New Roman" w:eastAsia="宋体" w:cs="Times New Roman"/>
                <w:bCs/>
                <w:color w:val="auto"/>
                <w:spacing w:val="-17"/>
                <w:sz w:val="21"/>
                <w:szCs w:val="21"/>
              </w:rPr>
              <w:t>甲</w:t>
            </w:r>
            <w:r>
              <w:rPr>
                <w:rFonts w:hint="default" w:ascii="Times New Roman" w:hAnsi="Times New Roman" w:eastAsia="Times New Roman" w:cs="Times New Roman"/>
                <w:bCs/>
                <w:color w:val="auto"/>
                <w:spacing w:val="-17"/>
                <w:sz w:val="21"/>
                <w:szCs w:val="21"/>
                <w:vertAlign w:val="subscript"/>
              </w:rPr>
              <w:t>B</w:t>
            </w:r>
          </w:p>
        </w:tc>
      </w:tr>
      <w:bookmarkEnd w:id="42"/>
    </w:tbl>
    <w:p w14:paraId="3FD5BF87">
      <w:pPr>
        <w:pStyle w:val="4"/>
        <w:spacing w:before="120" w:after="12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3.1.2重点监管危险化工工艺辨识</w:t>
      </w:r>
    </w:p>
    <w:p w14:paraId="722AD340">
      <w:pPr>
        <w:pStyle w:val="6"/>
        <w:bidi w:val="0"/>
        <w:rPr>
          <w:rFonts w:hint="default" w:ascii="Times New Roman" w:hAnsi="Times New Roman" w:cs="Times New Roman"/>
          <w:color w:val="auto"/>
        </w:rPr>
      </w:pPr>
      <w:r>
        <w:rPr>
          <w:rFonts w:hint="default" w:ascii="Times New Roman" w:hAnsi="Times New Roman" w:cs="Times New Roman"/>
          <w:color w:val="auto"/>
        </w:rPr>
        <w:t>根据《关于公布首批重点监管的危险化工工艺目录的通知》（安监总管三〔2009〕116号）和国家安全监管总局《关于公布第二批重点监管危险化工工艺目录和调整首批重点监管危险化工工艺中部分典型工艺的通知》（安监总管三〔2013〕3号）规定，</w:t>
      </w:r>
      <w:r>
        <w:rPr>
          <w:rFonts w:hint="default" w:ascii="Times New Roman" w:hAnsi="Times New Roman" w:cs="Times New Roman"/>
          <w:color w:val="auto"/>
          <w:lang w:eastAsia="zh-CN"/>
        </w:rPr>
        <w:t>该项目</w:t>
      </w:r>
      <w:r>
        <w:rPr>
          <w:rFonts w:hint="default" w:ascii="Times New Roman" w:hAnsi="Times New Roman" w:cs="Times New Roman"/>
          <w:color w:val="auto"/>
        </w:rPr>
        <w:t>不涉及重点监管的危险化工工艺。</w:t>
      </w:r>
    </w:p>
    <w:p w14:paraId="7BE65629">
      <w:pPr>
        <w:pStyle w:val="3"/>
        <w:bidi w:val="0"/>
        <w:rPr>
          <w:rFonts w:hint="default" w:ascii="Times New Roman" w:hAnsi="Times New Roman" w:cs="Times New Roman"/>
          <w:color w:val="auto"/>
        </w:rPr>
      </w:pPr>
      <w:bookmarkStart w:id="43" w:name="_Toc336610749"/>
      <w:bookmarkStart w:id="44" w:name="_Toc312475617"/>
      <w:bookmarkStart w:id="45" w:name="_Toc334711525"/>
      <w:bookmarkStart w:id="46" w:name="_Toc343587698"/>
      <w:bookmarkStart w:id="47" w:name="_Toc365004220"/>
      <w:bookmarkStart w:id="48" w:name="_Toc18522"/>
      <w:r>
        <w:rPr>
          <w:rFonts w:hint="default" w:ascii="Times New Roman" w:hAnsi="Times New Roman" w:cs="Times New Roman"/>
          <w:color w:val="auto"/>
        </w:rPr>
        <w:t>项目存</w:t>
      </w:r>
      <w:bookmarkEnd w:id="43"/>
      <w:bookmarkEnd w:id="44"/>
      <w:bookmarkEnd w:id="45"/>
      <w:bookmarkEnd w:id="46"/>
      <w:bookmarkEnd w:id="47"/>
      <w:r>
        <w:rPr>
          <w:rFonts w:hint="default" w:ascii="Times New Roman" w:hAnsi="Times New Roman" w:cs="Times New Roman"/>
          <w:color w:val="auto"/>
        </w:rPr>
        <w:t>在的危险、有害因素及其分布范围</w:t>
      </w:r>
      <w:bookmarkEnd w:id="48"/>
    </w:p>
    <w:p w14:paraId="57CDDD01">
      <w:pPr>
        <w:pStyle w:val="6"/>
        <w:bidi w:val="0"/>
        <w:rPr>
          <w:rFonts w:hint="default" w:ascii="Times New Roman" w:hAnsi="Times New Roman" w:cs="Times New Roman"/>
          <w:color w:val="auto"/>
        </w:rPr>
      </w:pPr>
      <w:bookmarkStart w:id="49" w:name="_Toc343587700"/>
      <w:bookmarkStart w:id="50" w:name="_Toc365004222"/>
      <w:bookmarkStart w:id="51" w:name="_Toc334711527"/>
      <w:bookmarkStart w:id="52" w:name="_Toc336610751"/>
      <w:r>
        <w:rPr>
          <w:rFonts w:hint="default" w:ascii="Times New Roman" w:hAnsi="Times New Roman" w:cs="Times New Roman"/>
          <w:color w:val="auto"/>
        </w:rPr>
        <w:t>根据《企业职工伤亡事故分类》（GB 6441-1986），结合《生产过程危险和有害因素分类与代码》（GB/T 13861-2022），综合考虑起因物、引起事故的诱导性原因、致害物、伤害方式等，对该项目可能存在的主要危险、有害因素进行辨识与分析。</w:t>
      </w:r>
    </w:p>
    <w:p w14:paraId="4659743F">
      <w:pPr>
        <w:pStyle w:val="6"/>
        <w:bidi w:val="0"/>
        <w:rPr>
          <w:rFonts w:hint="default" w:ascii="Times New Roman" w:hAnsi="Times New Roman" w:cs="Times New Roman"/>
          <w:color w:val="auto"/>
        </w:rPr>
      </w:pPr>
      <w:r>
        <w:rPr>
          <w:rFonts w:hint="default" w:ascii="Times New Roman" w:hAnsi="Times New Roman" w:cs="Times New Roman"/>
          <w:color w:val="auto"/>
        </w:rPr>
        <w:t>该项目生产过程中主要的危险有害因素火灾爆炸、中毒和窒息、容器爆炸等，还包括机械伤害、高处坠落、物体打击、触电、噪声和振动、</w:t>
      </w:r>
      <w:r>
        <w:rPr>
          <w:rFonts w:hint="eastAsia" w:cs="Times New Roman"/>
          <w:color w:val="auto"/>
          <w:lang w:val="en-US" w:eastAsia="zh-CN"/>
        </w:rPr>
        <w:t>坍塌、</w:t>
      </w:r>
      <w:r>
        <w:rPr>
          <w:rFonts w:hint="default" w:ascii="Times New Roman" w:hAnsi="Times New Roman" w:cs="Times New Roman"/>
          <w:color w:val="auto"/>
        </w:rPr>
        <w:t>灼烫等其他危险、有害因素。</w:t>
      </w:r>
    </w:p>
    <w:p w14:paraId="50DEA635">
      <w:pPr>
        <w:pStyle w:val="6"/>
        <w:bidi w:val="0"/>
        <w:rPr>
          <w:rFonts w:hint="default" w:ascii="Times New Roman" w:hAnsi="Times New Roman" w:cs="Times New Roman"/>
          <w:color w:val="auto"/>
        </w:rPr>
      </w:pPr>
      <w:r>
        <w:rPr>
          <w:rFonts w:hint="default" w:ascii="Times New Roman" w:hAnsi="Times New Roman" w:cs="Times New Roman"/>
          <w:color w:val="auto"/>
        </w:rPr>
        <w:t>该公司存在的主要环境危险因素有地震、雷击、暴雨、大风、高温、严寒、静电、潮湿、腐蚀等，均可通过一定的技术、管理措施得到有效控制；与周边环境设施之间的影响较小，但不排除特殊情况下，可能发生的第三方破坏。</w:t>
      </w:r>
    </w:p>
    <w:p w14:paraId="055718C2">
      <w:pPr>
        <w:pStyle w:val="6"/>
        <w:bidi w:val="0"/>
        <w:rPr>
          <w:rFonts w:hint="default" w:ascii="Times New Roman" w:hAnsi="Times New Roman" w:cs="Times New Roman"/>
          <w:color w:val="auto"/>
          <w:szCs w:val="28"/>
        </w:rPr>
      </w:pPr>
      <w:r>
        <w:rPr>
          <w:rFonts w:hint="default" w:ascii="Times New Roman" w:hAnsi="Times New Roman" w:cs="Times New Roman"/>
          <w:color w:val="auto"/>
        </w:rPr>
        <w:t>主要危险有害因素分布情况见下表：</w:t>
      </w:r>
    </w:p>
    <w:p w14:paraId="10FB16D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表3.2-1  主要危险有害因素分布表</w:t>
      </w:r>
    </w:p>
    <w:tbl>
      <w:tblPr>
        <w:tblStyle w:val="20"/>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79"/>
        <w:gridCol w:w="2385"/>
        <w:gridCol w:w="2214"/>
        <w:gridCol w:w="2214"/>
      </w:tblGrid>
      <w:tr w14:paraId="78C2E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372" w:type="pct"/>
            <w:tcBorders>
              <w:tl2br w:val="nil"/>
              <w:tr2bl w:val="nil"/>
            </w:tcBorders>
            <w:noWrap w:val="0"/>
            <w:vAlign w:val="center"/>
          </w:tcPr>
          <w:p w14:paraId="5AC5B5DD">
            <w:pPr>
              <w:pStyle w:val="31"/>
              <w:bidi w:val="0"/>
              <w:rPr>
                <w:rFonts w:hint="default" w:ascii="Times New Roman" w:hAnsi="Times New Roman" w:cs="Times New Roman"/>
                <w:b/>
                <w:bCs/>
                <w:color w:val="auto"/>
              </w:rPr>
            </w:pPr>
            <w:r>
              <w:rPr>
                <w:rFonts w:hint="default" w:ascii="Times New Roman" w:hAnsi="Times New Roman" w:cs="Times New Roman"/>
                <w:b/>
                <w:bCs/>
                <w:color w:val="auto"/>
              </w:rPr>
              <w:t>主要危险</w:t>
            </w:r>
            <w:r>
              <w:rPr>
                <w:rFonts w:hint="default" w:ascii="Times New Roman" w:hAnsi="Times New Roman" w:cs="Times New Roman"/>
                <w:b/>
                <w:bCs/>
                <w:color w:val="auto"/>
                <w:lang w:val="en-US" w:eastAsia="zh-CN"/>
              </w:rPr>
              <w:t>有害</w:t>
            </w:r>
            <w:r>
              <w:rPr>
                <w:rFonts w:hint="default" w:ascii="Times New Roman" w:hAnsi="Times New Roman" w:cs="Times New Roman"/>
                <w:b/>
                <w:bCs/>
                <w:color w:val="auto"/>
              </w:rPr>
              <w:t>因素</w:t>
            </w:r>
          </w:p>
        </w:tc>
        <w:tc>
          <w:tcPr>
            <w:tcW w:w="1269" w:type="pct"/>
            <w:tcBorders>
              <w:tl2br w:val="nil"/>
              <w:tr2bl w:val="nil"/>
            </w:tcBorders>
            <w:noWrap w:val="0"/>
            <w:vAlign w:val="center"/>
          </w:tcPr>
          <w:p w14:paraId="457C9BB1">
            <w:pPr>
              <w:pStyle w:val="31"/>
              <w:bidi w:val="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新建油气处理单元</w:t>
            </w:r>
          </w:p>
        </w:tc>
        <w:tc>
          <w:tcPr>
            <w:tcW w:w="1178" w:type="pct"/>
            <w:tcBorders>
              <w:tl2br w:val="nil"/>
              <w:tr2bl w:val="nil"/>
            </w:tcBorders>
            <w:noWrap w:val="0"/>
            <w:vAlign w:val="center"/>
          </w:tcPr>
          <w:p w14:paraId="2D262BEB">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界区内公用工程及辅助设施</w:t>
            </w:r>
          </w:p>
        </w:tc>
        <w:tc>
          <w:tcPr>
            <w:tcW w:w="1178" w:type="pct"/>
            <w:tcBorders>
              <w:tl2br w:val="nil"/>
              <w:tr2bl w:val="nil"/>
            </w:tcBorders>
            <w:noWrap w:val="0"/>
            <w:vAlign w:val="center"/>
          </w:tcPr>
          <w:p w14:paraId="1996DCE9">
            <w:pPr>
              <w:pStyle w:val="31"/>
              <w:bidi w:val="0"/>
              <w:rPr>
                <w:rFonts w:hint="default" w:ascii="Times New Roman" w:hAnsi="Times New Roman" w:cs="Times New Roman"/>
                <w:b/>
                <w:bCs/>
                <w:color w:val="auto"/>
              </w:rPr>
            </w:pPr>
            <w:r>
              <w:rPr>
                <w:rFonts w:hint="default" w:ascii="Times New Roman" w:hAnsi="Times New Roman" w:cs="Times New Roman"/>
                <w:b/>
                <w:bCs/>
                <w:color w:val="auto"/>
              </w:rPr>
              <w:t>项目检修过程</w:t>
            </w:r>
          </w:p>
        </w:tc>
      </w:tr>
      <w:tr w14:paraId="3383F3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0EDC6D1B">
            <w:pPr>
              <w:pStyle w:val="31"/>
              <w:bidi w:val="0"/>
              <w:rPr>
                <w:rFonts w:hint="default" w:ascii="Times New Roman" w:hAnsi="Times New Roman" w:cs="Times New Roman"/>
                <w:color w:val="auto"/>
              </w:rPr>
            </w:pPr>
            <w:r>
              <w:rPr>
                <w:rFonts w:hint="default" w:ascii="Times New Roman" w:hAnsi="Times New Roman" w:cs="Times New Roman"/>
                <w:color w:val="auto"/>
              </w:rPr>
              <w:t>火灾爆炸</w:t>
            </w:r>
          </w:p>
        </w:tc>
        <w:tc>
          <w:tcPr>
            <w:tcW w:w="1269" w:type="pct"/>
            <w:tcBorders>
              <w:tl2br w:val="nil"/>
              <w:tr2bl w:val="nil"/>
            </w:tcBorders>
            <w:noWrap w:val="0"/>
            <w:vAlign w:val="center"/>
          </w:tcPr>
          <w:p w14:paraId="366E993B">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3E446A17">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7FADDD2C">
            <w:pPr>
              <w:pStyle w:val="31"/>
              <w:bidi w:val="0"/>
              <w:rPr>
                <w:rFonts w:hint="default" w:ascii="Times New Roman" w:hAnsi="Times New Roman" w:cs="Times New Roman"/>
                <w:color w:val="auto"/>
              </w:rPr>
            </w:pPr>
            <w:r>
              <w:rPr>
                <w:rFonts w:hint="default" w:ascii="Times New Roman" w:hAnsi="Times New Roman" w:cs="Times New Roman"/>
                <w:color w:val="auto"/>
                <w:lang w:val="zh-CN"/>
              </w:rPr>
              <w:t>√</w:t>
            </w:r>
          </w:p>
        </w:tc>
      </w:tr>
      <w:tr w14:paraId="65B36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0F32B9D2">
            <w:pPr>
              <w:pStyle w:val="31"/>
              <w:bidi w:val="0"/>
              <w:rPr>
                <w:rFonts w:hint="default" w:ascii="Times New Roman" w:hAnsi="Times New Roman" w:cs="Times New Roman"/>
                <w:color w:val="auto"/>
              </w:rPr>
            </w:pPr>
            <w:r>
              <w:rPr>
                <w:rFonts w:hint="default" w:ascii="Times New Roman" w:hAnsi="Times New Roman" w:cs="Times New Roman"/>
                <w:color w:val="auto"/>
              </w:rPr>
              <w:t>中毒和窒息</w:t>
            </w:r>
          </w:p>
        </w:tc>
        <w:tc>
          <w:tcPr>
            <w:tcW w:w="1269" w:type="pct"/>
            <w:tcBorders>
              <w:tl2br w:val="nil"/>
              <w:tr2bl w:val="nil"/>
            </w:tcBorders>
            <w:noWrap w:val="0"/>
            <w:vAlign w:val="center"/>
          </w:tcPr>
          <w:p w14:paraId="1BEC4659">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B0C075D">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7F2781B8">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6DC97C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444D68F7">
            <w:pPr>
              <w:pStyle w:val="31"/>
              <w:bidi w:val="0"/>
              <w:rPr>
                <w:rFonts w:hint="default" w:ascii="Times New Roman" w:hAnsi="Times New Roman" w:cs="Times New Roman"/>
                <w:color w:val="auto"/>
              </w:rPr>
            </w:pPr>
            <w:r>
              <w:rPr>
                <w:rFonts w:hint="default" w:ascii="Times New Roman" w:hAnsi="Times New Roman" w:cs="Times New Roman"/>
                <w:color w:val="auto"/>
              </w:rPr>
              <w:t>容器爆炸</w:t>
            </w:r>
          </w:p>
        </w:tc>
        <w:tc>
          <w:tcPr>
            <w:tcW w:w="1269" w:type="pct"/>
            <w:tcBorders>
              <w:tl2br w:val="nil"/>
              <w:tr2bl w:val="nil"/>
            </w:tcBorders>
            <w:noWrap w:val="0"/>
            <w:vAlign w:val="center"/>
          </w:tcPr>
          <w:p w14:paraId="218E6CB3">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159A3F65">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554F106">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3BB585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35B5DEAC">
            <w:pPr>
              <w:pStyle w:val="31"/>
              <w:bidi w:val="0"/>
              <w:rPr>
                <w:rFonts w:hint="default" w:ascii="Times New Roman" w:hAnsi="Times New Roman" w:cs="Times New Roman"/>
                <w:color w:val="auto"/>
              </w:rPr>
            </w:pPr>
            <w:r>
              <w:rPr>
                <w:rFonts w:hint="default" w:ascii="Times New Roman" w:hAnsi="Times New Roman" w:cs="Times New Roman"/>
                <w:color w:val="auto"/>
              </w:rPr>
              <w:t>灼烫</w:t>
            </w:r>
          </w:p>
        </w:tc>
        <w:tc>
          <w:tcPr>
            <w:tcW w:w="1269" w:type="pct"/>
            <w:tcBorders>
              <w:tl2br w:val="nil"/>
              <w:tr2bl w:val="nil"/>
            </w:tcBorders>
            <w:noWrap w:val="0"/>
            <w:vAlign w:val="center"/>
          </w:tcPr>
          <w:p w14:paraId="751F5202">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3ADB8DC">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166678F">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11402E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364865E0">
            <w:pPr>
              <w:pStyle w:val="31"/>
              <w:bidi w:val="0"/>
              <w:rPr>
                <w:rFonts w:hint="default" w:ascii="Times New Roman" w:hAnsi="Times New Roman" w:cs="Times New Roman"/>
                <w:color w:val="auto"/>
              </w:rPr>
            </w:pPr>
            <w:r>
              <w:rPr>
                <w:rFonts w:hint="default" w:ascii="Times New Roman" w:hAnsi="Times New Roman" w:cs="Times New Roman"/>
                <w:color w:val="auto"/>
              </w:rPr>
              <w:t>触电</w:t>
            </w:r>
          </w:p>
        </w:tc>
        <w:tc>
          <w:tcPr>
            <w:tcW w:w="1269" w:type="pct"/>
            <w:tcBorders>
              <w:tl2br w:val="nil"/>
              <w:tr2bl w:val="nil"/>
            </w:tcBorders>
            <w:noWrap w:val="0"/>
            <w:vAlign w:val="center"/>
          </w:tcPr>
          <w:p w14:paraId="7BB632E5">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71E3D04">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308DFF5E">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1C394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177B3038">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坍塌</w:t>
            </w:r>
          </w:p>
        </w:tc>
        <w:tc>
          <w:tcPr>
            <w:tcW w:w="1269" w:type="pct"/>
            <w:tcBorders>
              <w:tl2br w:val="nil"/>
              <w:tr2bl w:val="nil"/>
            </w:tcBorders>
            <w:noWrap w:val="0"/>
            <w:vAlign w:val="center"/>
          </w:tcPr>
          <w:p w14:paraId="169B3C2C">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1EF488F2">
            <w:pPr>
              <w:pStyle w:val="31"/>
              <w:bidi w:val="0"/>
              <w:rPr>
                <w:rFonts w:hint="default" w:ascii="Times New Roman" w:hAnsi="Times New Roman" w:cs="Times New Roman"/>
                <w:color w:val="auto"/>
                <w:lang w:val="zh-CN"/>
              </w:rPr>
            </w:pPr>
          </w:p>
        </w:tc>
        <w:tc>
          <w:tcPr>
            <w:tcW w:w="1178" w:type="pct"/>
            <w:tcBorders>
              <w:tl2br w:val="nil"/>
              <w:tr2bl w:val="nil"/>
            </w:tcBorders>
            <w:noWrap w:val="0"/>
            <w:vAlign w:val="center"/>
          </w:tcPr>
          <w:p w14:paraId="776F0910">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228216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412D609C">
            <w:pPr>
              <w:pStyle w:val="31"/>
              <w:bidi w:val="0"/>
              <w:rPr>
                <w:rFonts w:hint="default" w:ascii="Times New Roman" w:hAnsi="Times New Roman" w:cs="Times New Roman"/>
                <w:color w:val="auto"/>
              </w:rPr>
            </w:pPr>
            <w:r>
              <w:rPr>
                <w:rFonts w:hint="default" w:ascii="Times New Roman" w:hAnsi="Times New Roman" w:cs="Times New Roman"/>
                <w:color w:val="auto"/>
              </w:rPr>
              <w:t>机械伤害</w:t>
            </w:r>
          </w:p>
        </w:tc>
        <w:tc>
          <w:tcPr>
            <w:tcW w:w="1269" w:type="pct"/>
            <w:tcBorders>
              <w:tl2br w:val="nil"/>
              <w:tr2bl w:val="nil"/>
            </w:tcBorders>
            <w:noWrap w:val="0"/>
            <w:vAlign w:val="center"/>
          </w:tcPr>
          <w:p w14:paraId="2BBAD945">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5AC745CD">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1660F727">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599FA5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652CA55B">
            <w:pPr>
              <w:pStyle w:val="31"/>
              <w:bidi w:val="0"/>
              <w:rPr>
                <w:rFonts w:hint="default" w:ascii="Times New Roman" w:hAnsi="Times New Roman" w:cs="Times New Roman"/>
                <w:color w:val="auto"/>
              </w:rPr>
            </w:pPr>
            <w:r>
              <w:rPr>
                <w:rFonts w:hint="default" w:ascii="Times New Roman" w:hAnsi="Times New Roman" w:cs="Times New Roman"/>
                <w:color w:val="auto"/>
              </w:rPr>
              <w:t>物体打击</w:t>
            </w:r>
          </w:p>
        </w:tc>
        <w:tc>
          <w:tcPr>
            <w:tcW w:w="1269" w:type="pct"/>
            <w:tcBorders>
              <w:tl2br w:val="nil"/>
              <w:tr2bl w:val="nil"/>
            </w:tcBorders>
            <w:noWrap w:val="0"/>
            <w:vAlign w:val="center"/>
          </w:tcPr>
          <w:p w14:paraId="19A3AE89">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548A74CC">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79753D96">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3E4B0D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58C45BED">
            <w:pPr>
              <w:pStyle w:val="31"/>
              <w:bidi w:val="0"/>
              <w:rPr>
                <w:rFonts w:hint="default" w:ascii="Times New Roman" w:hAnsi="Times New Roman" w:cs="Times New Roman"/>
                <w:color w:val="auto"/>
              </w:rPr>
            </w:pPr>
            <w:r>
              <w:rPr>
                <w:rFonts w:hint="default" w:ascii="Times New Roman" w:hAnsi="Times New Roman" w:cs="Times New Roman"/>
                <w:color w:val="auto"/>
              </w:rPr>
              <w:t>高处坠落</w:t>
            </w:r>
          </w:p>
        </w:tc>
        <w:tc>
          <w:tcPr>
            <w:tcW w:w="1269" w:type="pct"/>
            <w:tcBorders>
              <w:tl2br w:val="nil"/>
              <w:tr2bl w:val="nil"/>
            </w:tcBorders>
            <w:noWrap w:val="0"/>
            <w:vAlign w:val="center"/>
          </w:tcPr>
          <w:p w14:paraId="4F4C30CB">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77B0376">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4CBBC51A">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0AA14F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372" w:type="pct"/>
            <w:tcBorders>
              <w:tl2br w:val="nil"/>
              <w:tr2bl w:val="nil"/>
            </w:tcBorders>
            <w:noWrap w:val="0"/>
            <w:vAlign w:val="center"/>
          </w:tcPr>
          <w:p w14:paraId="7114AC44">
            <w:pPr>
              <w:pStyle w:val="31"/>
              <w:bidi w:val="0"/>
              <w:rPr>
                <w:rFonts w:hint="default" w:ascii="Times New Roman" w:hAnsi="Times New Roman" w:cs="Times New Roman"/>
                <w:color w:val="auto"/>
              </w:rPr>
            </w:pPr>
            <w:r>
              <w:rPr>
                <w:rFonts w:hint="default" w:ascii="Times New Roman" w:hAnsi="Times New Roman" w:cs="Times New Roman"/>
                <w:color w:val="auto"/>
              </w:rPr>
              <w:t>起重伤害</w:t>
            </w:r>
          </w:p>
        </w:tc>
        <w:tc>
          <w:tcPr>
            <w:tcW w:w="1269" w:type="pct"/>
            <w:tcBorders>
              <w:tl2br w:val="nil"/>
              <w:tr2bl w:val="nil"/>
            </w:tcBorders>
            <w:noWrap w:val="0"/>
            <w:vAlign w:val="center"/>
          </w:tcPr>
          <w:p w14:paraId="63DC2C45">
            <w:pPr>
              <w:pStyle w:val="31"/>
              <w:bidi w:val="0"/>
              <w:rPr>
                <w:rFonts w:hint="default" w:ascii="Times New Roman" w:hAnsi="Times New Roman" w:cs="Times New Roman"/>
                <w:color w:val="auto"/>
                <w:lang w:val="zh-CN"/>
              </w:rPr>
            </w:pPr>
          </w:p>
        </w:tc>
        <w:tc>
          <w:tcPr>
            <w:tcW w:w="1178" w:type="pct"/>
            <w:tcBorders>
              <w:tl2br w:val="nil"/>
              <w:tr2bl w:val="nil"/>
            </w:tcBorders>
            <w:noWrap w:val="0"/>
            <w:vAlign w:val="center"/>
          </w:tcPr>
          <w:p w14:paraId="6A6A74F8">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7D330A39">
            <w:pPr>
              <w:pStyle w:val="31"/>
              <w:bidi w:val="0"/>
              <w:rPr>
                <w:rFonts w:hint="default" w:ascii="Times New Roman" w:hAnsi="Times New Roman" w:cs="Times New Roman"/>
                <w:color w:val="auto"/>
                <w:lang w:val="zh-CN"/>
              </w:rPr>
            </w:pPr>
            <w:r>
              <w:rPr>
                <w:rFonts w:hint="default" w:ascii="Times New Roman" w:hAnsi="Times New Roman" w:cs="Times New Roman"/>
                <w:color w:val="auto"/>
                <w:lang w:val="zh-CN"/>
              </w:rPr>
              <w:t>√</w:t>
            </w:r>
          </w:p>
        </w:tc>
      </w:tr>
      <w:tr w14:paraId="6DB8F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2" w:type="pct"/>
            <w:tcBorders>
              <w:tl2br w:val="nil"/>
              <w:tr2bl w:val="nil"/>
            </w:tcBorders>
            <w:noWrap w:val="0"/>
            <w:vAlign w:val="center"/>
          </w:tcPr>
          <w:p w14:paraId="4E56900B">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rPr>
              <w:t>噪声和振动</w:t>
            </w:r>
          </w:p>
        </w:tc>
        <w:tc>
          <w:tcPr>
            <w:tcW w:w="1269" w:type="pct"/>
            <w:tcBorders>
              <w:tl2br w:val="nil"/>
              <w:tr2bl w:val="nil"/>
            </w:tcBorders>
            <w:noWrap w:val="0"/>
            <w:vAlign w:val="center"/>
          </w:tcPr>
          <w:p w14:paraId="76334129">
            <w:pPr>
              <w:pStyle w:val="31"/>
              <w:bidi w:val="0"/>
              <w:rPr>
                <w:rFonts w:hint="default" w:ascii="Times New Roman" w:hAnsi="Times New Roman" w:cs="Times New Roman"/>
                <w:color w:val="auto"/>
                <w:lang w:val="zh-CN" w:eastAsia="zh-CN"/>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6E20E151">
            <w:pPr>
              <w:pStyle w:val="31"/>
              <w:bidi w:val="0"/>
              <w:ind w:firstLine="0" w:firstLineChars="0"/>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color w:val="auto"/>
                <w:lang w:val="zh-CN"/>
              </w:rPr>
              <w:t>√</w:t>
            </w:r>
          </w:p>
        </w:tc>
        <w:tc>
          <w:tcPr>
            <w:tcW w:w="1178" w:type="pct"/>
            <w:tcBorders>
              <w:tl2br w:val="nil"/>
              <w:tr2bl w:val="nil"/>
            </w:tcBorders>
            <w:noWrap w:val="0"/>
            <w:vAlign w:val="center"/>
          </w:tcPr>
          <w:p w14:paraId="49825DD7">
            <w:pPr>
              <w:pStyle w:val="31"/>
              <w:bidi w:val="0"/>
              <w:ind w:firstLine="0" w:firstLineChars="0"/>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color w:val="auto"/>
                <w:lang w:val="zh-CN"/>
              </w:rPr>
              <w:t>√</w:t>
            </w:r>
          </w:p>
        </w:tc>
      </w:tr>
      <w:bookmarkEnd w:id="49"/>
      <w:bookmarkEnd w:id="50"/>
      <w:bookmarkEnd w:id="51"/>
      <w:bookmarkEnd w:id="52"/>
    </w:tbl>
    <w:p w14:paraId="36BDAE56">
      <w:pPr>
        <w:rPr>
          <w:rFonts w:hint="default" w:ascii="Times New Roman" w:hAnsi="Times New Roman" w:cs="Times New Roman"/>
          <w:color w:val="auto"/>
        </w:rPr>
      </w:pPr>
      <w:r>
        <w:rPr>
          <w:rFonts w:hint="default" w:ascii="Times New Roman" w:hAnsi="Times New Roman" w:cs="Times New Roman"/>
          <w:color w:val="auto"/>
        </w:rPr>
        <w:br w:type="page"/>
      </w:r>
    </w:p>
    <w:p w14:paraId="292FDB92">
      <w:pPr>
        <w:pStyle w:val="3"/>
        <w:bidi w:val="0"/>
        <w:rPr>
          <w:rFonts w:hint="default" w:ascii="Times New Roman" w:hAnsi="Times New Roman" w:cs="Times New Roman"/>
          <w:color w:val="auto"/>
        </w:rPr>
      </w:pPr>
      <w:bookmarkStart w:id="53" w:name="_Toc20867"/>
      <w:r>
        <w:rPr>
          <w:rFonts w:hint="default" w:ascii="Times New Roman" w:hAnsi="Times New Roman" w:cs="Times New Roman"/>
          <w:color w:val="auto"/>
        </w:rPr>
        <w:t>重大危险源辨识结果</w:t>
      </w:r>
      <w:bookmarkEnd w:id="53"/>
    </w:p>
    <w:p w14:paraId="68566224">
      <w:pPr>
        <w:pStyle w:val="6"/>
        <w:bidi w:val="0"/>
        <w:rPr>
          <w:rFonts w:hint="default" w:ascii="Times New Roman" w:hAnsi="Times New Roman" w:cs="Times New Roman"/>
          <w:color w:val="auto"/>
        </w:rPr>
      </w:pPr>
      <w:r>
        <w:rPr>
          <w:rFonts w:hint="default" w:ascii="Times New Roman" w:hAnsi="Times New Roman" w:cs="Times New Roman"/>
          <w:color w:val="auto"/>
        </w:rPr>
        <w:t>依据《危险化学品重大危险源辨识》（GB18218-2018），中国石油化工股份有限公司胜利油田分公司石油化工总厂储运二部装卸车</w:t>
      </w:r>
      <w:r>
        <w:rPr>
          <w:rFonts w:hint="eastAsia" w:cs="Times New Roman"/>
          <w:color w:val="auto"/>
          <w:lang w:val="en-US" w:eastAsia="zh-CN"/>
        </w:rPr>
        <w:t>废气</w:t>
      </w:r>
      <w:r>
        <w:rPr>
          <w:rFonts w:hint="default" w:ascii="Times New Roman" w:hAnsi="Times New Roman" w:cs="Times New Roman"/>
          <w:color w:val="auto"/>
        </w:rPr>
        <w:t>治理项目不构成危险化学品重大危险源。</w:t>
      </w:r>
    </w:p>
    <w:p w14:paraId="372DBF8F">
      <w:pPr>
        <w:pStyle w:val="6"/>
        <w:bidi w:val="0"/>
        <w:rPr>
          <w:rFonts w:hint="default" w:ascii="Times New Roman" w:hAnsi="Times New Roman" w:cs="Times New Roman"/>
          <w:color w:val="auto"/>
        </w:rPr>
        <w:sectPr>
          <w:pgSz w:w="11906" w:h="16838"/>
          <w:pgMar w:top="1417" w:right="1134" w:bottom="1134" w:left="1587" w:header="720" w:footer="454" w:gutter="0"/>
          <w:pgBorders>
            <w:top w:val="none" w:sz="0" w:space="0"/>
            <w:left w:val="none" w:sz="0" w:space="0"/>
            <w:bottom w:val="none" w:sz="0" w:space="0"/>
            <w:right w:val="none" w:sz="0" w:space="0"/>
          </w:pgBorders>
          <w:lnNumType w:countBy="0" w:distance="360"/>
          <w:cols w:space="720" w:num="1"/>
          <w:docGrid w:type="lines" w:linePitch="312" w:charSpace="0"/>
        </w:sectPr>
      </w:pPr>
    </w:p>
    <w:p w14:paraId="3E29DEB0">
      <w:pPr>
        <w:pStyle w:val="17"/>
        <w:bidi w:val="0"/>
        <w:rPr>
          <w:rFonts w:hint="default" w:ascii="Times New Roman" w:hAnsi="Times New Roman" w:cs="Times New Roman"/>
          <w:color w:val="auto"/>
        </w:rPr>
      </w:pPr>
      <w:bookmarkStart w:id="54" w:name="_Toc29972"/>
      <w:r>
        <w:rPr>
          <w:rFonts w:hint="default" w:ascii="Times New Roman" w:hAnsi="Times New Roman" w:cs="Times New Roman"/>
          <w:color w:val="auto"/>
        </w:rPr>
        <w:t>评价单元划分、安全评价方法选择</w:t>
      </w:r>
      <w:bookmarkEnd w:id="54"/>
    </w:p>
    <w:p w14:paraId="54C10F7D">
      <w:pPr>
        <w:pStyle w:val="3"/>
        <w:rPr>
          <w:rFonts w:hint="default" w:ascii="Times New Roman" w:hAnsi="Times New Roman" w:cs="Times New Roman"/>
          <w:color w:val="auto"/>
          <w:sz w:val="32"/>
          <w:szCs w:val="32"/>
        </w:rPr>
      </w:pPr>
      <w:bookmarkStart w:id="55" w:name="_Toc20016"/>
      <w:bookmarkStart w:id="56" w:name="_Toc405363202"/>
      <w:bookmarkStart w:id="57" w:name="_Toc148775026"/>
      <w:r>
        <w:rPr>
          <w:rFonts w:hint="default" w:ascii="Times New Roman" w:hAnsi="Times New Roman" w:cs="Times New Roman"/>
          <w:color w:val="auto"/>
          <w:sz w:val="32"/>
          <w:szCs w:val="32"/>
        </w:rPr>
        <w:t>评价单元的确定</w:t>
      </w:r>
      <w:bookmarkEnd w:id="55"/>
    </w:p>
    <w:p w14:paraId="511D9DDD">
      <w:pPr>
        <w:pStyle w:val="4"/>
        <w:bidi w:val="0"/>
        <w:rPr>
          <w:rFonts w:hint="default" w:ascii="Times New Roman" w:hAnsi="Times New Roman" w:cs="Times New Roman"/>
          <w:color w:val="auto"/>
        </w:rPr>
      </w:pPr>
      <w:r>
        <w:rPr>
          <w:rFonts w:hint="default" w:ascii="Times New Roman" w:hAnsi="Times New Roman" w:cs="Times New Roman"/>
          <w:color w:val="auto"/>
        </w:rPr>
        <w:t>4.</w:t>
      </w:r>
      <w:bookmarkEnd w:id="56"/>
      <w:bookmarkEnd w:id="57"/>
      <w:r>
        <w:rPr>
          <w:rFonts w:hint="default" w:ascii="Times New Roman" w:hAnsi="Times New Roman" w:cs="Times New Roman"/>
          <w:color w:val="auto"/>
        </w:rPr>
        <w:t>1.1评价单元划分原则</w:t>
      </w:r>
    </w:p>
    <w:p w14:paraId="5EF937D4">
      <w:pPr>
        <w:pStyle w:val="6"/>
        <w:bidi w:val="0"/>
        <w:rPr>
          <w:rFonts w:hint="default" w:ascii="Times New Roman" w:hAnsi="Times New Roman" w:cs="Times New Roman"/>
          <w:color w:val="auto"/>
        </w:rPr>
      </w:pPr>
      <w:r>
        <w:rPr>
          <w:rFonts w:hint="default" w:ascii="Times New Roman" w:hAnsi="Times New Roman" w:cs="Times New Roman"/>
          <w:color w:val="auto"/>
        </w:rPr>
        <w:t>一个作为评价对象的项目，一般是由相对独立、相互联系的若干部分组成，各部分的功能、含有的物质、存在的危险因素和有害因素、危险性和有害性、以及安全指标不尽相同。</w:t>
      </w:r>
    </w:p>
    <w:p w14:paraId="020A4A68">
      <w:pPr>
        <w:pStyle w:val="6"/>
        <w:bidi w:val="0"/>
        <w:rPr>
          <w:rFonts w:hint="default" w:ascii="Times New Roman" w:hAnsi="Times New Roman" w:cs="Times New Roman"/>
          <w:color w:val="auto"/>
        </w:rPr>
      </w:pPr>
      <w:r>
        <w:rPr>
          <w:rFonts w:hint="default" w:ascii="Times New Roman" w:hAnsi="Times New Roman" w:cs="Times New Roman"/>
          <w:color w:val="auto"/>
        </w:rPr>
        <w:t>评价单元就是在危险有害因素分析的基础上，根据评价目标和评价方法的需要，将系统划分成有限数目的、有确定范围的若干部分，分别进行评价。其目的就是简化评价工作、减少评价工作量、避免遗漏、避免重复，同时能够客观公正的反应整个系统的危险性，避免以最危险单元的危险性来表征整个系统的危险性从而夸大整个系统的危险性的可能性，提高整个系统评价结果的准确性，从而降低了采取对策措施的安全投资费用。</w:t>
      </w:r>
    </w:p>
    <w:p w14:paraId="4B6E1279">
      <w:pPr>
        <w:pStyle w:val="6"/>
        <w:bidi w:val="0"/>
        <w:rPr>
          <w:rFonts w:hint="default" w:ascii="Times New Roman" w:hAnsi="Times New Roman" w:cs="Times New Roman"/>
          <w:color w:val="auto"/>
        </w:rPr>
      </w:pPr>
      <w:r>
        <w:rPr>
          <w:rFonts w:hint="default" w:ascii="Times New Roman" w:hAnsi="Times New Roman" w:cs="Times New Roman"/>
          <w:color w:val="auto"/>
        </w:rPr>
        <w:t>为便于评价，按生产工艺功能、生产设备设施相对空间位置、危险有害因素类别及事故范围将评价对象划分成评价单元，使各评价单元相对独立，具有明显的特征界限。</w:t>
      </w:r>
    </w:p>
    <w:p w14:paraId="58D1EAD2">
      <w:pPr>
        <w:pStyle w:val="4"/>
        <w:spacing w:before="120" w:after="12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4.1.2评价单元的划分</w:t>
      </w:r>
    </w:p>
    <w:p w14:paraId="0C0D0277">
      <w:pPr>
        <w:pStyle w:val="6"/>
        <w:bidi w:val="0"/>
        <w:rPr>
          <w:rFonts w:hint="default" w:ascii="Times New Roman" w:hAnsi="Times New Roman" w:cs="Times New Roman"/>
          <w:color w:val="auto"/>
        </w:rPr>
      </w:pPr>
      <w:r>
        <w:rPr>
          <w:rFonts w:hint="default" w:ascii="Times New Roman" w:hAnsi="Times New Roman" w:cs="Times New Roman"/>
          <w:color w:val="auto"/>
        </w:rPr>
        <w:t>通过对石油化工总厂储运二部装卸车</w:t>
      </w:r>
      <w:r>
        <w:rPr>
          <w:rFonts w:hint="eastAsia" w:cs="Times New Roman"/>
          <w:color w:val="auto"/>
          <w:lang w:val="en-US" w:eastAsia="zh-CN"/>
        </w:rPr>
        <w:t>废气</w:t>
      </w:r>
      <w:r>
        <w:rPr>
          <w:rFonts w:hint="default" w:ascii="Times New Roman" w:hAnsi="Times New Roman" w:cs="Times New Roman"/>
          <w:color w:val="auto"/>
        </w:rPr>
        <w:t>治理项目工艺过程中的危险、有害因素分析，结合</w:t>
      </w:r>
      <w:r>
        <w:rPr>
          <w:rFonts w:hint="default" w:ascii="Times New Roman" w:hAnsi="Times New Roman" w:cs="Times New Roman"/>
          <w:color w:val="auto"/>
          <w:lang w:eastAsia="zh-CN"/>
        </w:rPr>
        <w:t>该项目</w:t>
      </w:r>
      <w:r>
        <w:rPr>
          <w:rFonts w:hint="default" w:ascii="Times New Roman" w:hAnsi="Times New Roman" w:cs="Times New Roman"/>
          <w:color w:val="auto"/>
        </w:rPr>
        <w:t>的特点和具体情况，本次评价按工艺流程、装置特性及辅助设施中的危险、有害因素的相似特性等划分为</w:t>
      </w:r>
      <w:r>
        <w:rPr>
          <w:rFonts w:hint="default" w:ascii="Times New Roman" w:hAnsi="Times New Roman" w:cs="Times New Roman"/>
          <w:color w:val="auto"/>
          <w:lang w:val="en-US" w:eastAsia="zh-CN"/>
        </w:rPr>
        <w:t>3</w:t>
      </w:r>
      <w:r>
        <w:rPr>
          <w:rFonts w:hint="default" w:ascii="Times New Roman" w:hAnsi="Times New Roman" w:cs="Times New Roman"/>
          <w:color w:val="auto"/>
        </w:rPr>
        <w:t>个评价单元：</w:t>
      </w:r>
    </w:p>
    <w:p w14:paraId="61CFC5CC">
      <w:pPr>
        <w:pStyle w:val="6"/>
        <w:bidi w:val="0"/>
        <w:rPr>
          <w:rFonts w:hint="default" w:ascii="Times New Roman" w:hAnsi="Times New Roman" w:cs="Times New Roman"/>
          <w:color w:val="auto"/>
        </w:rPr>
      </w:pPr>
      <w:r>
        <w:rPr>
          <w:rFonts w:hint="default" w:ascii="Times New Roman" w:hAnsi="Times New Roman" w:cs="Times New Roman"/>
          <w:color w:val="auto"/>
        </w:rPr>
        <w:t>（1）外部安全条件及总平面布置单元；</w:t>
      </w:r>
    </w:p>
    <w:p w14:paraId="23B03254">
      <w:pPr>
        <w:pStyle w:val="6"/>
        <w:bidi w:val="0"/>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val="en-US" w:eastAsia="zh-CN"/>
        </w:rPr>
        <w:t>工艺及设备设施单元</w:t>
      </w:r>
      <w:r>
        <w:rPr>
          <w:rFonts w:hint="default" w:ascii="Times New Roman" w:hAnsi="Times New Roman" w:cs="Times New Roman"/>
          <w:color w:val="auto"/>
        </w:rPr>
        <w:t>；</w:t>
      </w:r>
    </w:p>
    <w:p w14:paraId="3B058399">
      <w:pPr>
        <w:pStyle w:val="6"/>
        <w:bidi w:val="0"/>
        <w:rPr>
          <w:rFonts w:hint="default" w:ascii="Times New Roman" w:hAnsi="Times New Roman" w:cs="Times New Roman"/>
          <w:color w:val="auto"/>
        </w:rPr>
      </w:pPr>
      <w:r>
        <w:rPr>
          <w:rFonts w:hint="default" w:ascii="Times New Roman" w:hAnsi="Times New Roman" w:cs="Times New Roman"/>
          <w:color w:val="auto"/>
        </w:rPr>
        <w:t>（3）公用工程及辅助设施单元；</w:t>
      </w:r>
    </w:p>
    <w:p w14:paraId="0CD0E6CE">
      <w:pPr>
        <w:rPr>
          <w:rFonts w:hint="default" w:ascii="Times New Roman" w:hAnsi="Times New Roman" w:cs="Times New Roman"/>
          <w:color w:val="auto"/>
          <w:sz w:val="32"/>
          <w:szCs w:val="32"/>
        </w:rPr>
      </w:pPr>
      <w:bookmarkStart w:id="58" w:name="_Toc13476"/>
      <w:bookmarkStart w:id="59" w:name="_Toc148775027"/>
      <w:bookmarkStart w:id="60" w:name="_Toc405363203"/>
      <w:r>
        <w:rPr>
          <w:rFonts w:hint="default" w:ascii="Times New Roman" w:hAnsi="Times New Roman" w:cs="Times New Roman"/>
          <w:color w:val="auto"/>
          <w:sz w:val="32"/>
          <w:szCs w:val="32"/>
        </w:rPr>
        <w:br w:type="page"/>
      </w:r>
    </w:p>
    <w:p w14:paraId="22B048F1">
      <w:pPr>
        <w:pStyle w:val="3"/>
        <w:rPr>
          <w:rFonts w:hint="default" w:ascii="Times New Roman" w:hAnsi="Times New Roman" w:cs="Times New Roman"/>
          <w:color w:val="auto"/>
          <w:sz w:val="32"/>
          <w:szCs w:val="32"/>
        </w:rPr>
      </w:pPr>
      <w:r>
        <w:rPr>
          <w:rFonts w:hint="default" w:ascii="Times New Roman" w:hAnsi="Times New Roman" w:cs="Times New Roman"/>
          <w:color w:val="auto"/>
          <w:sz w:val="32"/>
          <w:szCs w:val="32"/>
        </w:rPr>
        <w:t>评价方法的选择</w:t>
      </w:r>
      <w:bookmarkEnd w:id="58"/>
    </w:p>
    <w:p w14:paraId="1DC22947">
      <w:pPr>
        <w:pStyle w:val="6"/>
        <w:bidi w:val="0"/>
        <w:rPr>
          <w:rFonts w:hint="default" w:ascii="Times New Roman" w:hAnsi="Times New Roman" w:cs="Times New Roman"/>
          <w:color w:val="auto"/>
        </w:rPr>
      </w:pPr>
      <w:r>
        <w:rPr>
          <w:rFonts w:hint="default" w:ascii="Times New Roman" w:hAnsi="Times New Roman" w:cs="Times New Roman"/>
          <w:color w:val="auto"/>
        </w:rPr>
        <w:t>安全</w:t>
      </w:r>
      <w:bookmarkEnd w:id="59"/>
      <w:bookmarkEnd w:id="60"/>
      <w:r>
        <w:rPr>
          <w:rFonts w:hint="default" w:ascii="Times New Roman" w:hAnsi="Times New Roman" w:cs="Times New Roman"/>
          <w:color w:val="auto"/>
        </w:rPr>
        <w:t>评价方法是进行定性、定量安全评价的工具，在进行安全评价时，应根据安全评价对象和要实现的安全评价目标，遵循充分性、适应性、系统性、针对性、合理性选择适用的安全评价方法。</w:t>
      </w:r>
    </w:p>
    <w:p w14:paraId="132AA5A4">
      <w:pPr>
        <w:pStyle w:val="6"/>
        <w:bidi w:val="0"/>
        <w:rPr>
          <w:rFonts w:hint="default" w:ascii="Times New Roman" w:hAnsi="Times New Roman" w:cs="Times New Roman"/>
          <w:color w:val="auto"/>
        </w:rPr>
      </w:pPr>
      <w:r>
        <w:rPr>
          <w:rFonts w:hint="default" w:ascii="Times New Roman" w:hAnsi="Times New Roman" w:cs="Times New Roman"/>
          <w:color w:val="auto"/>
        </w:rPr>
        <w:t>在具体评价中，针对各单元的不同特点，可有选择地应用上述评价方法。</w:t>
      </w:r>
    </w:p>
    <w:p w14:paraId="67D2977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表4.2-1  各评价单元采用的安全评价方法</w:t>
      </w:r>
    </w:p>
    <w:tbl>
      <w:tblPr>
        <w:tblStyle w:val="2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4590"/>
        <w:gridCol w:w="3960"/>
      </w:tblGrid>
      <w:tr w14:paraId="78527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tcBorders>
              <w:tl2br w:val="nil"/>
              <w:tr2bl w:val="nil"/>
            </w:tcBorders>
            <w:noWrap w:val="0"/>
            <w:vAlign w:val="center"/>
          </w:tcPr>
          <w:p w14:paraId="2B16C0D1">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2440" w:type="pct"/>
            <w:tcBorders>
              <w:tl2br w:val="nil"/>
              <w:tr2bl w:val="nil"/>
            </w:tcBorders>
            <w:noWrap w:val="0"/>
            <w:vAlign w:val="center"/>
          </w:tcPr>
          <w:p w14:paraId="6AE0448C">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单元</w:t>
            </w:r>
          </w:p>
        </w:tc>
        <w:tc>
          <w:tcPr>
            <w:tcW w:w="2105" w:type="pct"/>
            <w:tcBorders>
              <w:tl2br w:val="nil"/>
              <w:tr2bl w:val="nil"/>
            </w:tcBorders>
            <w:noWrap w:val="0"/>
            <w:vAlign w:val="center"/>
          </w:tcPr>
          <w:p w14:paraId="5B4D011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评价方法</w:t>
            </w:r>
          </w:p>
        </w:tc>
      </w:tr>
      <w:tr w14:paraId="0A2AA2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tcBorders>
              <w:tl2br w:val="nil"/>
              <w:tr2bl w:val="nil"/>
            </w:tcBorders>
            <w:noWrap w:val="0"/>
            <w:vAlign w:val="center"/>
          </w:tcPr>
          <w:p w14:paraId="3A63EE62">
            <w:pPr>
              <w:pStyle w:val="31"/>
              <w:bidi w:val="0"/>
              <w:rPr>
                <w:rFonts w:hint="default" w:ascii="Times New Roman" w:hAnsi="Times New Roman" w:cs="Times New Roman"/>
                <w:color w:val="auto"/>
              </w:rPr>
            </w:pPr>
            <w:r>
              <w:rPr>
                <w:rFonts w:hint="default" w:ascii="Times New Roman" w:hAnsi="Times New Roman" w:cs="Times New Roman"/>
                <w:color w:val="auto"/>
              </w:rPr>
              <w:t>1</w:t>
            </w:r>
          </w:p>
        </w:tc>
        <w:tc>
          <w:tcPr>
            <w:tcW w:w="2440" w:type="pct"/>
            <w:tcBorders>
              <w:tl2br w:val="nil"/>
              <w:tr2bl w:val="nil"/>
            </w:tcBorders>
            <w:noWrap w:val="0"/>
            <w:vAlign w:val="top"/>
          </w:tcPr>
          <w:p w14:paraId="6D666320">
            <w:pPr>
              <w:pStyle w:val="31"/>
              <w:bidi w:val="0"/>
              <w:rPr>
                <w:rFonts w:hint="default" w:ascii="Times New Roman" w:hAnsi="Times New Roman" w:cs="Times New Roman"/>
                <w:color w:val="auto"/>
              </w:rPr>
            </w:pPr>
            <w:r>
              <w:rPr>
                <w:rFonts w:hint="default" w:ascii="Times New Roman" w:hAnsi="Times New Roman" w:cs="Times New Roman"/>
                <w:color w:val="auto"/>
              </w:rPr>
              <w:t>外部安全条件及总平面布置单元</w:t>
            </w:r>
          </w:p>
        </w:tc>
        <w:tc>
          <w:tcPr>
            <w:tcW w:w="2105" w:type="pct"/>
            <w:tcBorders>
              <w:tl2br w:val="nil"/>
              <w:tr2bl w:val="nil"/>
            </w:tcBorders>
            <w:noWrap w:val="0"/>
            <w:vAlign w:val="center"/>
          </w:tcPr>
          <w:p w14:paraId="29164CE8">
            <w:pPr>
              <w:pStyle w:val="31"/>
              <w:bidi w:val="0"/>
              <w:rPr>
                <w:rFonts w:hint="default" w:ascii="Times New Roman" w:hAnsi="Times New Roman" w:cs="Times New Roman"/>
                <w:color w:val="auto"/>
              </w:rPr>
            </w:pPr>
            <w:r>
              <w:rPr>
                <w:rFonts w:hint="default" w:ascii="Times New Roman" w:hAnsi="Times New Roman" w:cs="Times New Roman"/>
                <w:color w:val="auto"/>
              </w:rPr>
              <w:t>安全检查表</w:t>
            </w:r>
          </w:p>
        </w:tc>
      </w:tr>
      <w:tr w14:paraId="4B11A7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tcBorders>
              <w:tl2br w:val="nil"/>
              <w:tr2bl w:val="nil"/>
            </w:tcBorders>
            <w:noWrap w:val="0"/>
            <w:vAlign w:val="center"/>
          </w:tcPr>
          <w:p w14:paraId="72A84DB1">
            <w:pPr>
              <w:pStyle w:val="31"/>
              <w:bidi w:val="0"/>
              <w:rPr>
                <w:rFonts w:hint="default" w:ascii="Times New Roman" w:hAnsi="Times New Roman" w:cs="Times New Roman"/>
                <w:color w:val="auto"/>
              </w:rPr>
            </w:pPr>
            <w:r>
              <w:rPr>
                <w:rFonts w:hint="default" w:ascii="Times New Roman" w:hAnsi="Times New Roman" w:cs="Times New Roman"/>
                <w:color w:val="auto"/>
              </w:rPr>
              <w:t>2</w:t>
            </w:r>
          </w:p>
        </w:tc>
        <w:tc>
          <w:tcPr>
            <w:tcW w:w="2440" w:type="pct"/>
            <w:tcBorders>
              <w:tl2br w:val="nil"/>
              <w:tr2bl w:val="nil"/>
            </w:tcBorders>
            <w:noWrap w:val="0"/>
            <w:vAlign w:val="center"/>
          </w:tcPr>
          <w:p w14:paraId="7A0C1F7A">
            <w:pPr>
              <w:pStyle w:val="31"/>
              <w:bidi w:val="0"/>
              <w:rPr>
                <w:rFonts w:hint="default" w:ascii="Times New Roman" w:hAnsi="Times New Roman" w:cs="Times New Roman"/>
                <w:color w:val="auto"/>
              </w:rPr>
            </w:pPr>
            <w:r>
              <w:rPr>
                <w:rFonts w:hint="default" w:ascii="Times New Roman" w:hAnsi="Times New Roman" w:cs="Times New Roman"/>
                <w:color w:val="auto"/>
                <w:szCs w:val="21"/>
              </w:rPr>
              <w:t>工艺及设备设施单元</w:t>
            </w:r>
          </w:p>
        </w:tc>
        <w:tc>
          <w:tcPr>
            <w:tcW w:w="2105" w:type="pct"/>
            <w:tcBorders>
              <w:tl2br w:val="nil"/>
              <w:tr2bl w:val="nil"/>
            </w:tcBorders>
            <w:noWrap w:val="0"/>
            <w:vAlign w:val="center"/>
          </w:tcPr>
          <w:p w14:paraId="4BB2D142">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安全检查表法、危险度法</w:t>
            </w:r>
          </w:p>
        </w:tc>
      </w:tr>
      <w:tr w14:paraId="2794A8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pct"/>
            <w:tcBorders>
              <w:tl2br w:val="nil"/>
              <w:tr2bl w:val="nil"/>
            </w:tcBorders>
            <w:noWrap w:val="0"/>
            <w:vAlign w:val="center"/>
          </w:tcPr>
          <w:p w14:paraId="11E7F25B">
            <w:pPr>
              <w:pStyle w:val="31"/>
              <w:bidi w:val="0"/>
              <w:rPr>
                <w:rFonts w:hint="default" w:ascii="Times New Roman" w:hAnsi="Times New Roman" w:cs="Times New Roman"/>
                <w:color w:val="auto"/>
              </w:rPr>
            </w:pPr>
            <w:r>
              <w:rPr>
                <w:rFonts w:hint="default" w:ascii="Times New Roman" w:hAnsi="Times New Roman" w:cs="Times New Roman"/>
                <w:color w:val="auto"/>
              </w:rPr>
              <w:t>3</w:t>
            </w:r>
          </w:p>
        </w:tc>
        <w:tc>
          <w:tcPr>
            <w:tcW w:w="2440" w:type="pct"/>
            <w:tcBorders>
              <w:tl2br w:val="nil"/>
              <w:tr2bl w:val="nil"/>
            </w:tcBorders>
            <w:noWrap w:val="0"/>
            <w:vAlign w:val="top"/>
          </w:tcPr>
          <w:p w14:paraId="19F5B1A4">
            <w:pPr>
              <w:pStyle w:val="31"/>
              <w:bidi w:val="0"/>
              <w:rPr>
                <w:rFonts w:hint="default" w:ascii="Times New Roman" w:hAnsi="Times New Roman" w:cs="Times New Roman"/>
                <w:color w:val="auto"/>
              </w:rPr>
            </w:pPr>
            <w:r>
              <w:rPr>
                <w:rFonts w:hint="default" w:ascii="Times New Roman" w:hAnsi="Times New Roman" w:cs="Times New Roman"/>
                <w:color w:val="auto"/>
              </w:rPr>
              <w:t>公用工程及辅助设施单元</w:t>
            </w:r>
          </w:p>
        </w:tc>
        <w:tc>
          <w:tcPr>
            <w:tcW w:w="2105" w:type="pct"/>
            <w:tcBorders>
              <w:tl2br w:val="nil"/>
              <w:tr2bl w:val="nil"/>
            </w:tcBorders>
            <w:noWrap w:val="0"/>
            <w:vAlign w:val="center"/>
          </w:tcPr>
          <w:p w14:paraId="68A738CC">
            <w:pPr>
              <w:pStyle w:val="31"/>
              <w:bidi w:val="0"/>
              <w:rPr>
                <w:rFonts w:hint="default" w:ascii="Times New Roman" w:hAnsi="Times New Roman" w:cs="Times New Roman"/>
                <w:color w:val="auto"/>
              </w:rPr>
            </w:pPr>
            <w:r>
              <w:rPr>
                <w:rFonts w:hint="default" w:ascii="Times New Roman" w:hAnsi="Times New Roman" w:cs="Times New Roman"/>
                <w:color w:val="auto"/>
              </w:rPr>
              <w:t>安全检查表</w:t>
            </w:r>
          </w:p>
        </w:tc>
      </w:tr>
    </w:tbl>
    <w:p w14:paraId="2ED4B858">
      <w:pPr>
        <w:spacing w:afterLines="0"/>
        <w:rPr>
          <w:rFonts w:hint="default" w:ascii="Times New Roman" w:hAnsi="Times New Roman" w:cs="Times New Roman"/>
          <w:color w:val="auto"/>
          <w:sz w:val="28"/>
          <w:szCs w:val="28"/>
          <w:shd w:val="clear" w:color="FFFFFF" w:fill="D9D9D9"/>
        </w:rPr>
      </w:pPr>
    </w:p>
    <w:p w14:paraId="71BEE286">
      <w:pPr>
        <w:spacing w:beforeLines="0" w:afterLines="0"/>
        <w:rPr>
          <w:rFonts w:hint="default" w:ascii="Times New Roman" w:hAnsi="Times New Roman" w:cs="Times New Roman"/>
          <w:color w:val="auto"/>
          <w:sz w:val="21"/>
          <w:szCs w:val="22"/>
          <w:shd w:val="clear" w:color="FFFFFF" w:fill="D9D9D9"/>
        </w:rPr>
        <w:sectPr>
          <w:pgSz w:w="11906" w:h="16838"/>
          <w:pgMar w:top="1417" w:right="1134" w:bottom="1134" w:left="1587" w:header="720" w:footer="454" w:gutter="0"/>
          <w:pgBorders>
            <w:top w:val="none" w:sz="0" w:space="0"/>
            <w:left w:val="none" w:sz="0" w:space="0"/>
            <w:bottom w:val="none" w:sz="0" w:space="0"/>
            <w:right w:val="none" w:sz="0" w:space="0"/>
          </w:pgBorders>
          <w:lnNumType w:countBy="0" w:distance="360"/>
          <w:cols w:space="720" w:num="1"/>
          <w:docGrid w:type="lines" w:linePitch="312" w:charSpace="0"/>
        </w:sectPr>
      </w:pPr>
    </w:p>
    <w:p w14:paraId="30F2942D">
      <w:pPr>
        <w:pStyle w:val="17"/>
        <w:bidi w:val="0"/>
        <w:rPr>
          <w:rFonts w:hint="default" w:ascii="Times New Roman" w:hAnsi="Times New Roman" w:cs="Times New Roman"/>
          <w:color w:val="auto"/>
        </w:rPr>
      </w:pPr>
      <w:bookmarkStart w:id="61" w:name="_Toc13409"/>
      <w:r>
        <w:rPr>
          <w:rFonts w:hint="default" w:ascii="Times New Roman" w:hAnsi="Times New Roman" w:cs="Times New Roman"/>
          <w:color w:val="auto"/>
        </w:rPr>
        <w:t>定性、定量分析评价</w:t>
      </w:r>
      <w:bookmarkEnd w:id="61"/>
    </w:p>
    <w:p w14:paraId="157A5E04">
      <w:pPr>
        <w:pStyle w:val="3"/>
        <w:bidi w:val="0"/>
        <w:rPr>
          <w:rFonts w:hint="default" w:ascii="Times New Roman" w:hAnsi="Times New Roman" w:cs="Times New Roman"/>
          <w:color w:val="auto"/>
        </w:rPr>
      </w:pPr>
      <w:bookmarkStart w:id="62" w:name="_Toc17036"/>
      <w:bookmarkStart w:id="63" w:name="_Toc509842608"/>
      <w:r>
        <w:rPr>
          <w:rFonts w:hint="default" w:ascii="Times New Roman" w:hAnsi="Times New Roman" w:cs="Times New Roman"/>
          <w:color w:val="auto"/>
        </w:rPr>
        <w:t>固有危险程度分析</w:t>
      </w:r>
      <w:bookmarkEnd w:id="62"/>
      <w:bookmarkEnd w:id="63"/>
    </w:p>
    <w:p w14:paraId="01FED4D7">
      <w:pPr>
        <w:pStyle w:val="4"/>
        <w:rPr>
          <w:rFonts w:hint="default" w:ascii="Times New Roman" w:hAnsi="Times New Roman" w:cs="Times New Roman"/>
          <w:color w:val="auto"/>
          <w:sz w:val="28"/>
          <w:szCs w:val="28"/>
        </w:rPr>
      </w:pPr>
      <w:bookmarkStart w:id="64" w:name="_Toc278921038"/>
      <w:bookmarkStart w:id="65" w:name="_Toc278574063"/>
      <w:bookmarkStart w:id="66" w:name="_Toc278574311"/>
      <w:bookmarkStart w:id="67" w:name="_Toc278920568"/>
      <w:bookmarkStart w:id="68" w:name="_Toc220400484"/>
      <w:r>
        <w:rPr>
          <w:rFonts w:hint="default" w:ascii="Times New Roman" w:hAnsi="Times New Roman" w:cs="Times New Roman"/>
          <w:color w:val="auto"/>
          <w:sz w:val="28"/>
          <w:szCs w:val="28"/>
        </w:rPr>
        <w:t xml:space="preserve">5.1.1 </w:t>
      </w:r>
      <w:r>
        <w:rPr>
          <w:rFonts w:hint="default" w:ascii="Times New Roman" w:hAnsi="Times New Roman" w:eastAsia="黑体" w:cs="Times New Roman"/>
          <w:color w:val="auto"/>
          <w:sz w:val="28"/>
          <w:szCs w:val="28"/>
        </w:rPr>
        <w:t>具有爆炸性、可燃性、毒性、腐蚀性的化学品数量、浓度（含量）、状态和所在的作业场所（部位）及其状况（温度、压力）</w:t>
      </w:r>
      <w:bookmarkEnd w:id="64"/>
      <w:bookmarkEnd w:id="65"/>
      <w:bookmarkEnd w:id="66"/>
      <w:bookmarkEnd w:id="67"/>
    </w:p>
    <w:p w14:paraId="0C256BE5">
      <w:pPr>
        <w:pStyle w:val="6"/>
        <w:bidi w:val="0"/>
        <w:rPr>
          <w:rFonts w:hint="default" w:ascii="Times New Roman" w:hAnsi="Times New Roman" w:eastAsia="宋体" w:cs="Times New Roman"/>
          <w:color w:val="auto"/>
          <w:lang w:val="en-US" w:eastAsia="zh-CN"/>
        </w:rPr>
      </w:pPr>
      <w:bookmarkStart w:id="69" w:name="_Toc278574064"/>
      <w:bookmarkStart w:id="70" w:name="_Toc278574312"/>
      <w:bookmarkStart w:id="71" w:name="_Toc277688377"/>
      <w:bookmarkStart w:id="72" w:name="_Toc278921039"/>
      <w:bookmarkStart w:id="73" w:name="_Toc278920569"/>
      <w:r>
        <w:rPr>
          <w:rFonts w:hint="default" w:ascii="Times New Roman" w:hAnsi="Times New Roman" w:cs="Times New Roman"/>
          <w:color w:val="auto"/>
          <w:lang w:eastAsia="zh-CN"/>
        </w:rPr>
        <w:t>该项目</w:t>
      </w:r>
      <w:r>
        <w:rPr>
          <w:rFonts w:hint="default" w:ascii="Times New Roman" w:hAnsi="Times New Roman" w:cs="Times New Roman"/>
          <w:color w:val="auto"/>
        </w:rPr>
        <w:t>具有爆炸性、可燃性、毒性化学品数量、浓度</w:t>
      </w:r>
      <w:r>
        <w:rPr>
          <w:rFonts w:hint="default" w:ascii="Times New Roman" w:hAnsi="Times New Roman" w:cs="Times New Roman"/>
          <w:color w:val="auto"/>
          <w:lang w:eastAsia="zh-CN"/>
        </w:rPr>
        <w:t>（</w:t>
      </w:r>
      <w:r>
        <w:rPr>
          <w:rFonts w:hint="default" w:ascii="Times New Roman" w:hAnsi="Times New Roman" w:cs="Times New Roman"/>
          <w:color w:val="auto"/>
        </w:rPr>
        <w:t>含量</w:t>
      </w:r>
      <w:r>
        <w:rPr>
          <w:rFonts w:hint="default" w:ascii="Times New Roman" w:hAnsi="Times New Roman" w:cs="Times New Roman"/>
          <w:color w:val="auto"/>
          <w:lang w:eastAsia="zh-CN"/>
        </w:rPr>
        <w:t>）</w:t>
      </w:r>
      <w:r>
        <w:rPr>
          <w:rFonts w:hint="default" w:ascii="Times New Roman" w:hAnsi="Times New Roman" w:cs="Times New Roman"/>
          <w:color w:val="auto"/>
        </w:rPr>
        <w:t>、状态和所在作业场所</w:t>
      </w:r>
      <w:r>
        <w:rPr>
          <w:rFonts w:hint="default" w:ascii="Times New Roman" w:hAnsi="Times New Roman" w:cs="Times New Roman"/>
          <w:color w:val="auto"/>
          <w:lang w:eastAsia="zh-CN"/>
        </w:rPr>
        <w:t>（</w:t>
      </w:r>
      <w:r>
        <w:rPr>
          <w:rFonts w:hint="default" w:ascii="Times New Roman" w:hAnsi="Times New Roman" w:cs="Times New Roman"/>
          <w:color w:val="auto"/>
        </w:rPr>
        <w:t>部位</w:t>
      </w:r>
      <w:r>
        <w:rPr>
          <w:rFonts w:hint="default" w:ascii="Times New Roman" w:hAnsi="Times New Roman" w:cs="Times New Roman"/>
          <w:color w:val="auto"/>
          <w:lang w:eastAsia="zh-CN"/>
        </w:rPr>
        <w:t>）</w:t>
      </w:r>
      <w:r>
        <w:rPr>
          <w:rFonts w:hint="default" w:ascii="Times New Roman" w:hAnsi="Times New Roman" w:cs="Times New Roman"/>
          <w:color w:val="auto"/>
        </w:rPr>
        <w:t>及状况情况见表5.1-1（</w:t>
      </w:r>
      <w:r>
        <w:rPr>
          <w:rFonts w:hint="default" w:ascii="Times New Roman" w:hAnsi="Times New Roman" w:eastAsia="宋体" w:cs="Times New Roman"/>
          <w:b/>
          <w:bCs/>
          <w:color w:val="auto"/>
          <w:lang w:val="en-US" w:eastAsia="zh-CN"/>
        </w:rPr>
        <w:t>油气处理</w:t>
      </w:r>
      <w:r>
        <w:rPr>
          <w:rFonts w:hint="default" w:ascii="Times New Roman" w:hAnsi="Times New Roman" w:eastAsia="宋体" w:cs="Times New Roman"/>
          <w:b/>
          <w:bCs/>
          <w:color w:val="auto"/>
        </w:rPr>
        <w:t>装置区物料存量按照正常生产系统半小时量计算（根据</w:t>
      </w:r>
      <w:r>
        <w:rPr>
          <w:rFonts w:hint="default" w:ascii="Times New Roman" w:hAnsi="Times New Roman" w:eastAsia="宋体" w:cs="Times New Roman"/>
          <w:b/>
          <w:bCs/>
          <w:color w:val="auto"/>
          <w:lang w:val="en-US" w:eastAsia="zh-CN"/>
        </w:rPr>
        <w:t>火车装车台、汽车装车台的最大气量，按油气浓度最高的汽油量进行计算</w:t>
      </w:r>
      <w:r>
        <w:rPr>
          <w:rFonts w:hint="default" w:ascii="Times New Roman" w:hAnsi="Times New Roman" w:eastAsia="宋体" w:cs="Times New Roman"/>
          <w:b/>
          <w:bCs/>
          <w:color w:val="auto"/>
          <w:lang w:eastAsia="zh-CN"/>
        </w:rPr>
        <w:t>）</w:t>
      </w:r>
      <w:r>
        <w:rPr>
          <w:rFonts w:hint="default" w:ascii="Times New Roman" w:hAnsi="Times New Roman" w:cs="Times New Roman"/>
          <w:color w:val="auto"/>
        </w:rPr>
        <w:t>）。</w:t>
      </w:r>
    </w:p>
    <w:p w14:paraId="68BC3D5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表5.1-1  危险物品数量、浓度、状态和所在场所及状况</w:t>
      </w:r>
    </w:p>
    <w:tbl>
      <w:tblPr>
        <w:tblStyle w:val="20"/>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1987"/>
        <w:gridCol w:w="1282"/>
        <w:gridCol w:w="1209"/>
        <w:gridCol w:w="2057"/>
        <w:gridCol w:w="718"/>
        <w:gridCol w:w="1640"/>
      </w:tblGrid>
      <w:tr w14:paraId="3BBCB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267" w:type="pct"/>
            <w:noWrap w:val="0"/>
            <w:vAlign w:val="center"/>
          </w:tcPr>
          <w:p w14:paraId="683CE0F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057" w:type="pct"/>
            <w:noWrap w:val="0"/>
            <w:vAlign w:val="center"/>
          </w:tcPr>
          <w:p w14:paraId="56FB2B5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可燃性、有毒、腐蚀性化学品名称</w:t>
            </w:r>
          </w:p>
        </w:tc>
        <w:tc>
          <w:tcPr>
            <w:tcW w:w="682" w:type="pct"/>
            <w:noWrap w:val="0"/>
            <w:vAlign w:val="center"/>
          </w:tcPr>
          <w:p w14:paraId="69145153">
            <w:pPr>
              <w:pStyle w:val="31"/>
              <w:bidi w:val="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最大油气气量m</w:t>
            </w:r>
            <w:r>
              <w:rPr>
                <w:rFonts w:hint="default" w:ascii="Times New Roman" w:hAnsi="Times New Roman" w:cs="Times New Roman"/>
                <w:b/>
                <w:bCs/>
                <w:color w:val="auto"/>
                <w:vertAlign w:val="superscript"/>
                <w:lang w:val="en-US" w:eastAsia="zh-CN"/>
              </w:rPr>
              <w:t>3</w:t>
            </w:r>
            <w:r>
              <w:rPr>
                <w:rFonts w:hint="default" w:ascii="Times New Roman" w:hAnsi="Times New Roman" w:cs="Times New Roman"/>
                <w:b/>
                <w:bCs/>
                <w:color w:val="auto"/>
                <w:lang w:val="en-US" w:eastAsia="zh-CN"/>
              </w:rPr>
              <w:t>/h</w:t>
            </w:r>
          </w:p>
        </w:tc>
        <w:tc>
          <w:tcPr>
            <w:tcW w:w="643" w:type="pct"/>
            <w:noWrap w:val="0"/>
            <w:vAlign w:val="center"/>
          </w:tcPr>
          <w:p w14:paraId="29CAAB04">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化学品含量kg</w:t>
            </w:r>
          </w:p>
        </w:tc>
        <w:tc>
          <w:tcPr>
            <w:tcW w:w="1094" w:type="pct"/>
            <w:noWrap w:val="0"/>
            <w:vAlign w:val="center"/>
          </w:tcPr>
          <w:p w14:paraId="6C3D6CE8">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危险场所（部位）</w:t>
            </w:r>
          </w:p>
        </w:tc>
        <w:tc>
          <w:tcPr>
            <w:tcW w:w="382" w:type="pct"/>
            <w:noWrap w:val="0"/>
            <w:vAlign w:val="center"/>
          </w:tcPr>
          <w:p w14:paraId="79C8D00C">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状态</w:t>
            </w:r>
          </w:p>
        </w:tc>
        <w:tc>
          <w:tcPr>
            <w:tcW w:w="872" w:type="pct"/>
            <w:noWrap w:val="0"/>
            <w:vAlign w:val="center"/>
          </w:tcPr>
          <w:p w14:paraId="6997893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危险性</w:t>
            </w:r>
          </w:p>
        </w:tc>
      </w:tr>
      <w:tr w14:paraId="40981A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67" w:type="pct"/>
            <w:noWrap w:val="0"/>
            <w:vAlign w:val="center"/>
          </w:tcPr>
          <w:p w14:paraId="12A9AB23">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w:t>
            </w:r>
          </w:p>
        </w:tc>
        <w:tc>
          <w:tcPr>
            <w:tcW w:w="1057" w:type="pct"/>
            <w:noWrap w:val="0"/>
            <w:vAlign w:val="center"/>
          </w:tcPr>
          <w:p w14:paraId="612F4E02">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油气</w:t>
            </w:r>
          </w:p>
        </w:tc>
        <w:tc>
          <w:tcPr>
            <w:tcW w:w="682" w:type="pct"/>
            <w:noWrap w:val="0"/>
            <w:vAlign w:val="center"/>
          </w:tcPr>
          <w:p w14:paraId="694B37C5">
            <w:pPr>
              <w:pStyle w:val="31"/>
              <w:bidi w:val="0"/>
              <w:rPr>
                <w:rFonts w:hint="default" w:ascii="Times New Roman" w:hAnsi="Times New Roman" w:cs="Times New Roman"/>
                <w:color w:val="auto"/>
                <w:lang w:val="en-US" w:eastAsia="zh-CN"/>
              </w:rPr>
            </w:pPr>
            <w:r>
              <w:rPr>
                <w:rFonts w:hint="eastAsia" w:cs="Times New Roman"/>
                <w:color w:val="auto"/>
                <w:lang w:val="en-US" w:eastAsia="zh-CN"/>
              </w:rPr>
              <w:t>2780</w:t>
            </w:r>
          </w:p>
        </w:tc>
        <w:tc>
          <w:tcPr>
            <w:tcW w:w="643" w:type="pct"/>
            <w:noWrap w:val="0"/>
            <w:vAlign w:val="center"/>
          </w:tcPr>
          <w:p w14:paraId="16C85750">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1390</w:t>
            </w:r>
          </w:p>
        </w:tc>
        <w:tc>
          <w:tcPr>
            <w:tcW w:w="1094" w:type="pct"/>
            <w:noWrap w:val="0"/>
            <w:vAlign w:val="center"/>
          </w:tcPr>
          <w:p w14:paraId="58E2ACE7">
            <w:pPr>
              <w:pStyle w:val="31"/>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新建油气处理单元</w:t>
            </w:r>
          </w:p>
        </w:tc>
        <w:tc>
          <w:tcPr>
            <w:tcW w:w="382" w:type="pct"/>
            <w:noWrap w:val="0"/>
            <w:vAlign w:val="center"/>
          </w:tcPr>
          <w:p w14:paraId="0A5919C7">
            <w:pPr>
              <w:pStyle w:val="31"/>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气</w:t>
            </w:r>
          </w:p>
        </w:tc>
        <w:tc>
          <w:tcPr>
            <w:tcW w:w="872" w:type="pct"/>
            <w:noWrap w:val="0"/>
            <w:vAlign w:val="center"/>
          </w:tcPr>
          <w:p w14:paraId="01FD7199">
            <w:pPr>
              <w:pStyle w:val="31"/>
              <w:bidi w:val="0"/>
              <w:rPr>
                <w:rFonts w:hint="default" w:ascii="Times New Roman" w:hAnsi="Times New Roman" w:cs="Times New Roman"/>
                <w:color w:val="auto"/>
              </w:rPr>
            </w:pPr>
            <w:r>
              <w:rPr>
                <w:rFonts w:hint="default" w:ascii="Times New Roman" w:hAnsi="Times New Roman" w:cs="Times New Roman"/>
                <w:color w:val="auto"/>
              </w:rPr>
              <w:t>可燃性、爆炸性</w:t>
            </w:r>
          </w:p>
        </w:tc>
      </w:tr>
      <w:bookmarkEnd w:id="68"/>
      <w:bookmarkEnd w:id="69"/>
      <w:bookmarkEnd w:id="70"/>
      <w:bookmarkEnd w:id="71"/>
      <w:bookmarkEnd w:id="72"/>
      <w:bookmarkEnd w:id="73"/>
    </w:tbl>
    <w:p w14:paraId="15BC1F22">
      <w:pPr>
        <w:pStyle w:val="9"/>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sz w:val="21"/>
          <w:szCs w:val="18"/>
          <w:lang w:val="en-US" w:eastAsia="zh-CN"/>
        </w:rPr>
      </w:pPr>
      <w:bookmarkStart w:id="74" w:name="_Toc220400485"/>
      <w:r>
        <w:rPr>
          <w:rFonts w:hint="default" w:ascii="Times New Roman" w:hAnsi="Times New Roman" w:cs="Times New Roman"/>
          <w:color w:val="auto"/>
          <w:sz w:val="21"/>
          <w:szCs w:val="18"/>
          <w:lang w:eastAsia="zh-CN"/>
        </w:rPr>
        <w:t>注：油气浓度</w:t>
      </w:r>
      <w:r>
        <w:rPr>
          <w:rFonts w:hint="eastAsia" w:ascii="Times New Roman" w:hAnsi="Times New Roman" w:cs="Times New Roman"/>
          <w:color w:val="auto"/>
          <w:sz w:val="21"/>
          <w:szCs w:val="18"/>
          <w:lang w:val="en-US" w:eastAsia="zh-CN"/>
        </w:rPr>
        <w:t>按</w:t>
      </w:r>
      <w:r>
        <w:rPr>
          <w:rFonts w:hint="default" w:ascii="Times New Roman" w:hAnsi="Times New Roman" w:cs="Times New Roman"/>
          <w:color w:val="auto"/>
          <w:sz w:val="21"/>
          <w:szCs w:val="18"/>
          <w:lang w:eastAsia="zh-CN"/>
        </w:rPr>
        <w:t>最高的汽油量</w:t>
      </w:r>
      <w:r>
        <w:rPr>
          <w:rFonts w:hint="eastAsia" w:ascii="Times New Roman" w:hAnsi="Times New Roman" w:cs="Times New Roman"/>
          <w:color w:val="auto"/>
          <w:sz w:val="21"/>
          <w:szCs w:val="18"/>
          <w:lang w:val="en-US" w:eastAsia="zh-CN"/>
        </w:rPr>
        <w:t>进行计算</w:t>
      </w:r>
      <w:r>
        <w:rPr>
          <w:rFonts w:hint="eastAsia" w:ascii="Times New Roman" w:hAnsi="Times New Roman" w:cs="Times New Roman"/>
          <w:color w:val="auto"/>
          <w:sz w:val="21"/>
          <w:szCs w:val="18"/>
          <w:lang w:eastAsia="zh-CN"/>
        </w:rPr>
        <w:t>，</w:t>
      </w:r>
      <w:r>
        <w:rPr>
          <w:rFonts w:hint="eastAsia" w:ascii="Times New Roman" w:hAnsi="Times New Roman" w:cs="Times New Roman"/>
          <w:color w:val="auto"/>
          <w:sz w:val="21"/>
          <w:szCs w:val="18"/>
          <w:lang w:val="en-US" w:eastAsia="zh-CN"/>
        </w:rPr>
        <w:t>汽油浓度为0.5kg/m³-1kg/m³，这里取1kg/m³。</w:t>
      </w:r>
    </w:p>
    <w:p w14:paraId="3169F11D">
      <w:pPr>
        <w:pStyle w:val="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xml:space="preserve">5.1.2 </w:t>
      </w:r>
      <w:r>
        <w:rPr>
          <w:rFonts w:hint="default" w:ascii="Times New Roman" w:hAnsi="Times New Roman" w:eastAsia="黑体" w:cs="Times New Roman"/>
          <w:color w:val="auto"/>
          <w:sz w:val="28"/>
          <w:szCs w:val="28"/>
        </w:rPr>
        <w:t>定量分析该项目涉及具有爆炸性、可燃性、毒性、腐蚀性的化学品的固有危险程度</w:t>
      </w:r>
      <w:bookmarkEnd w:id="74"/>
    </w:p>
    <w:p w14:paraId="05CC7621">
      <w:pPr>
        <w:pStyle w:val="6"/>
        <w:bidi w:val="0"/>
        <w:rPr>
          <w:rFonts w:hint="default" w:ascii="Times New Roman" w:hAnsi="Times New Roman" w:eastAsia="Times New Roman" w:cs="Times New Roman"/>
          <w:color w:val="auto"/>
          <w:szCs w:val="22"/>
        </w:rPr>
      </w:pPr>
      <w:r>
        <w:rPr>
          <w:rFonts w:hint="default" w:ascii="Times New Roman" w:hAnsi="Times New Roman" w:cs="Times New Roman"/>
          <w:color w:val="auto"/>
        </w:rPr>
        <w:t>具有爆炸性的化学品的质量及相当于梯恩梯的质量：</w:t>
      </w:r>
    </w:p>
    <w:p w14:paraId="140D11A7">
      <w:pPr>
        <w:pStyle w:val="6"/>
        <w:bidi w:val="0"/>
        <w:jc w:val="center"/>
        <w:rPr>
          <w:rFonts w:hint="default" w:ascii="Times New Roman" w:hAnsi="Times New Roman" w:cs="Times New Roman"/>
          <w:color w:val="auto"/>
          <w:vertAlign w:val="subscript"/>
        </w:rPr>
      </w:pPr>
      <w:r>
        <w:rPr>
          <w:rFonts w:hint="default" w:ascii="Times New Roman" w:hAnsi="Times New Roman" w:cs="Times New Roman"/>
          <w:color w:val="auto"/>
        </w:rPr>
        <w:t>W</w:t>
      </w:r>
      <w:r>
        <w:rPr>
          <w:rFonts w:hint="default" w:ascii="Times New Roman" w:hAnsi="Times New Roman" w:cs="Times New Roman"/>
          <w:color w:val="auto"/>
          <w:vertAlign w:val="subscript"/>
        </w:rPr>
        <w:t>TNT</w:t>
      </w:r>
      <w:r>
        <w:rPr>
          <w:rFonts w:hint="default" w:ascii="Times New Roman" w:hAnsi="Times New Roman" w:cs="Times New Roman"/>
          <w:color w:val="auto"/>
        </w:rPr>
        <w:t>=aWQ/Q</w:t>
      </w:r>
      <w:r>
        <w:rPr>
          <w:rFonts w:hint="default" w:ascii="Times New Roman" w:hAnsi="Times New Roman" w:cs="Times New Roman"/>
          <w:color w:val="auto"/>
          <w:vertAlign w:val="subscript"/>
        </w:rPr>
        <w:t>TNT</w:t>
      </w:r>
    </w:p>
    <w:p w14:paraId="1C834E2B">
      <w:pPr>
        <w:pStyle w:val="6"/>
        <w:bidi w:val="0"/>
        <w:rPr>
          <w:rFonts w:hint="default" w:ascii="Times New Roman" w:hAnsi="Times New Roman" w:cs="Times New Roman"/>
          <w:color w:val="auto"/>
        </w:rPr>
      </w:pPr>
      <w:r>
        <w:rPr>
          <w:rFonts w:hint="default" w:ascii="Times New Roman" w:hAnsi="Times New Roman" w:cs="Times New Roman"/>
          <w:color w:val="auto"/>
        </w:rPr>
        <w:t>其中：W</w:t>
      </w:r>
      <w:r>
        <w:rPr>
          <w:rFonts w:hint="default" w:ascii="Times New Roman" w:hAnsi="Times New Roman" w:cs="Times New Roman"/>
          <w:color w:val="auto"/>
          <w:vertAlign w:val="subscript"/>
        </w:rPr>
        <w:t>TNT</w:t>
      </w:r>
      <w:r>
        <w:rPr>
          <w:rFonts w:hint="default" w:ascii="Times New Roman" w:hAnsi="Times New Roman" w:cs="Times New Roman"/>
          <w:color w:val="auto"/>
        </w:rPr>
        <w:t>，具有爆炸性的化学品的质量及相当于梯恩梯的质量，kg；</w:t>
      </w:r>
    </w:p>
    <w:p w14:paraId="4AC2AC40">
      <w:pPr>
        <w:pStyle w:val="6"/>
        <w:bidi w:val="0"/>
        <w:rPr>
          <w:rFonts w:hint="default" w:ascii="Times New Roman" w:hAnsi="Times New Roman" w:cs="Times New Roman"/>
          <w:color w:val="auto"/>
        </w:rPr>
      </w:pPr>
      <w:r>
        <w:rPr>
          <w:rFonts w:hint="default" w:ascii="Times New Roman" w:hAnsi="Times New Roman" w:cs="Times New Roman"/>
          <w:color w:val="auto"/>
        </w:rPr>
        <w:t>a为蒸气云当量系数（统计平均值为0.04，取值0.04）；</w:t>
      </w:r>
    </w:p>
    <w:p w14:paraId="616D2C5E">
      <w:pPr>
        <w:pStyle w:val="6"/>
        <w:bidi w:val="0"/>
        <w:rPr>
          <w:rFonts w:hint="default" w:ascii="Times New Roman" w:hAnsi="Times New Roman" w:cs="Times New Roman"/>
          <w:color w:val="auto"/>
        </w:rPr>
      </w:pPr>
      <w:r>
        <w:rPr>
          <w:rFonts w:hint="default" w:ascii="Times New Roman" w:hAnsi="Times New Roman" w:cs="Times New Roman"/>
          <w:color w:val="auto"/>
        </w:rPr>
        <w:t>W为蒸气云中可燃气体质量，kg；</w:t>
      </w:r>
    </w:p>
    <w:p w14:paraId="3074CEA5">
      <w:pPr>
        <w:pStyle w:val="6"/>
        <w:bidi w:val="0"/>
        <w:rPr>
          <w:rFonts w:hint="default" w:ascii="Times New Roman" w:hAnsi="Times New Roman" w:cs="Times New Roman"/>
          <w:color w:val="auto"/>
        </w:rPr>
      </w:pPr>
      <w:r>
        <w:rPr>
          <w:rFonts w:hint="default" w:ascii="Times New Roman" w:hAnsi="Times New Roman" w:cs="Times New Roman"/>
          <w:color w:val="auto"/>
        </w:rPr>
        <w:t>Q为可燃气体的燃烧热，J/kg；</w:t>
      </w:r>
    </w:p>
    <w:p w14:paraId="53DF7137">
      <w:pPr>
        <w:pStyle w:val="6"/>
        <w:bidi w:val="0"/>
        <w:rPr>
          <w:rFonts w:hint="default" w:ascii="Times New Roman" w:hAnsi="Times New Roman" w:cs="Times New Roman"/>
          <w:color w:val="auto"/>
        </w:rPr>
      </w:pPr>
      <w:r>
        <w:rPr>
          <w:rFonts w:hint="default" w:ascii="Times New Roman" w:hAnsi="Times New Roman" w:cs="Times New Roman"/>
          <w:color w:val="auto"/>
        </w:rPr>
        <w:t>Q</w:t>
      </w:r>
      <w:r>
        <w:rPr>
          <w:rFonts w:hint="default" w:ascii="Times New Roman" w:hAnsi="Times New Roman" w:cs="Times New Roman"/>
          <w:color w:val="auto"/>
          <w:vertAlign w:val="subscript"/>
        </w:rPr>
        <w:t>TNT</w:t>
      </w:r>
      <w:r>
        <w:rPr>
          <w:rFonts w:hint="default" w:ascii="Times New Roman" w:hAnsi="Times New Roman" w:cs="Times New Roman"/>
          <w:color w:val="auto"/>
        </w:rPr>
        <w:t>为TNT的爆炸热，J/kg（4230--4836kJ/kg，一般取平均4500kJ/kg）</w:t>
      </w:r>
    </w:p>
    <w:p w14:paraId="3DECFAAD">
      <w:pPr>
        <w:pStyle w:val="6"/>
        <w:bidi w:val="0"/>
        <w:rPr>
          <w:rFonts w:hint="default" w:ascii="Times New Roman" w:hAnsi="Times New Roman" w:cs="Times New Roman"/>
          <w:color w:val="auto"/>
        </w:rPr>
      </w:pPr>
      <w:r>
        <w:rPr>
          <w:rFonts w:hint="default" w:ascii="Times New Roman" w:hAnsi="Times New Roman" w:cs="Times New Roman"/>
          <w:color w:val="auto"/>
        </w:rPr>
        <w:t>根据《危险化学品目录（2015年版）》（原国家安全生产监督管理局等十部门公告2015年第5号，应急管理部等十部委公告2022年第8号）的规定，根据本项目的特点及工艺条件，在该项目运行过程中，涉及的爆炸性物质主要有</w:t>
      </w:r>
      <w:r>
        <w:rPr>
          <w:rFonts w:hint="eastAsia" w:cs="Times New Roman"/>
          <w:color w:val="auto"/>
          <w:lang w:val="en-US" w:eastAsia="zh-CN"/>
        </w:rPr>
        <w:t>油气</w:t>
      </w:r>
      <w:r>
        <w:rPr>
          <w:rFonts w:hint="default" w:ascii="Times New Roman" w:hAnsi="Times New Roman" w:cs="Times New Roman"/>
          <w:color w:val="auto"/>
        </w:rPr>
        <w:t>、苯系物（苯的燃烧热为负值，本次评价不再进行定量分析）、硫化氢（其中硫化氢的量较少，本次评价不再进行定量分析）。经查相关资料，根据W</w:t>
      </w:r>
      <w:r>
        <w:rPr>
          <w:rFonts w:hint="default" w:ascii="Times New Roman" w:hAnsi="Times New Roman" w:cs="Times New Roman"/>
          <w:color w:val="auto"/>
          <w:vertAlign w:val="subscript"/>
        </w:rPr>
        <w:t>TNT</w:t>
      </w:r>
      <w:r>
        <w:rPr>
          <w:rFonts w:hint="default" w:ascii="Times New Roman" w:hAnsi="Times New Roman" w:cs="Times New Roman"/>
          <w:color w:val="auto"/>
        </w:rPr>
        <w:t>计算公式计算其存在场所的爆炸后相当于梯恩梯的质量，结果如下：</w:t>
      </w:r>
    </w:p>
    <w:p w14:paraId="33382F1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5.1-2 爆炸与可燃物质的燃烧发出热量和TNT当量</w:t>
      </w:r>
    </w:p>
    <w:tbl>
      <w:tblPr>
        <w:tblStyle w:val="20"/>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953"/>
        <w:gridCol w:w="3085"/>
        <w:gridCol w:w="1844"/>
        <w:gridCol w:w="1675"/>
      </w:tblGrid>
      <w:tr w14:paraId="54173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47" w:type="pct"/>
            <w:tcBorders>
              <w:tl2br w:val="nil"/>
              <w:tr2bl w:val="nil"/>
            </w:tcBorders>
            <w:noWrap w:val="0"/>
            <w:vAlign w:val="center"/>
          </w:tcPr>
          <w:p w14:paraId="388C2B23">
            <w:pPr>
              <w:pStyle w:val="31"/>
              <w:bidi w:val="0"/>
              <w:rPr>
                <w:rFonts w:hint="default" w:ascii="Times New Roman" w:hAnsi="Times New Roman" w:cs="Times New Roman"/>
                <w:b/>
                <w:bCs/>
                <w:color w:val="auto"/>
              </w:rPr>
            </w:pPr>
            <w:bookmarkStart w:id="75" w:name="_Hlk504413422"/>
            <w:r>
              <w:rPr>
                <w:rFonts w:hint="default" w:ascii="Times New Roman" w:hAnsi="Times New Roman" w:cs="Times New Roman"/>
                <w:b/>
                <w:bCs/>
                <w:color w:val="auto"/>
              </w:rPr>
              <w:t>序号</w:t>
            </w:r>
          </w:p>
        </w:tc>
        <w:tc>
          <w:tcPr>
            <w:tcW w:w="1039" w:type="pct"/>
            <w:tcBorders>
              <w:tl2br w:val="nil"/>
              <w:tr2bl w:val="nil"/>
            </w:tcBorders>
            <w:noWrap w:val="0"/>
            <w:vAlign w:val="center"/>
          </w:tcPr>
          <w:p w14:paraId="23C9CE2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危险物质名称</w:t>
            </w:r>
          </w:p>
        </w:tc>
        <w:tc>
          <w:tcPr>
            <w:tcW w:w="1641" w:type="pct"/>
            <w:tcBorders>
              <w:tl2br w:val="nil"/>
              <w:tr2bl w:val="nil"/>
            </w:tcBorders>
            <w:noWrap w:val="0"/>
            <w:vAlign w:val="center"/>
          </w:tcPr>
          <w:p w14:paraId="646C7365">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燃烧热（kJ/ mol）</w:t>
            </w:r>
          </w:p>
        </w:tc>
        <w:tc>
          <w:tcPr>
            <w:tcW w:w="981" w:type="pct"/>
            <w:tcBorders>
              <w:tl2br w:val="nil"/>
              <w:tr2bl w:val="nil"/>
            </w:tcBorders>
            <w:noWrap w:val="0"/>
            <w:vAlign w:val="center"/>
          </w:tcPr>
          <w:p w14:paraId="4D85136E">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质量（t）</w:t>
            </w:r>
          </w:p>
        </w:tc>
        <w:tc>
          <w:tcPr>
            <w:tcW w:w="891" w:type="pct"/>
            <w:tcBorders>
              <w:tl2br w:val="nil"/>
              <w:tr2bl w:val="nil"/>
            </w:tcBorders>
            <w:noWrap w:val="0"/>
            <w:vAlign w:val="center"/>
          </w:tcPr>
          <w:p w14:paraId="4E787A6D">
            <w:pPr>
              <w:pStyle w:val="31"/>
              <w:bidi w:val="0"/>
              <w:rPr>
                <w:rFonts w:hint="default" w:ascii="Times New Roman" w:hAnsi="Times New Roman" w:cs="Times New Roman"/>
                <w:b/>
                <w:bCs/>
                <w:color w:val="auto"/>
              </w:rPr>
            </w:pPr>
            <w:r>
              <w:rPr>
                <w:rFonts w:hint="default" w:ascii="Times New Roman" w:hAnsi="Times New Roman" w:cs="Times New Roman"/>
                <w:b/>
                <w:bCs/>
                <w:color w:val="auto"/>
              </w:rPr>
              <w:t>TNT当量（</w:t>
            </w:r>
            <w:r>
              <w:rPr>
                <w:rFonts w:hint="eastAsia" w:cs="Times New Roman"/>
                <w:b/>
                <w:bCs/>
                <w:color w:val="auto"/>
                <w:lang w:val="en-US" w:eastAsia="zh-CN"/>
              </w:rPr>
              <w:t>kg</w:t>
            </w:r>
            <w:r>
              <w:rPr>
                <w:rFonts w:hint="default" w:ascii="Times New Roman" w:hAnsi="Times New Roman" w:cs="Times New Roman"/>
                <w:b/>
                <w:bCs/>
                <w:color w:val="auto"/>
              </w:rPr>
              <w:t>）</w:t>
            </w:r>
          </w:p>
        </w:tc>
      </w:tr>
      <w:tr w14:paraId="569911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447" w:type="pct"/>
            <w:tcBorders>
              <w:tl2br w:val="nil"/>
              <w:tr2bl w:val="nil"/>
            </w:tcBorders>
            <w:noWrap w:val="0"/>
            <w:vAlign w:val="center"/>
          </w:tcPr>
          <w:p w14:paraId="5E873173">
            <w:pPr>
              <w:pStyle w:val="31"/>
              <w:bidi w:val="0"/>
              <w:rPr>
                <w:rFonts w:hint="default" w:ascii="Times New Roman" w:hAnsi="Times New Roman" w:cs="Times New Roman"/>
                <w:color w:val="auto"/>
              </w:rPr>
            </w:pPr>
            <w:r>
              <w:rPr>
                <w:rFonts w:hint="default" w:ascii="Times New Roman" w:hAnsi="Times New Roman" w:cs="Times New Roman"/>
                <w:color w:val="auto"/>
              </w:rPr>
              <w:t>1</w:t>
            </w:r>
          </w:p>
        </w:tc>
        <w:tc>
          <w:tcPr>
            <w:tcW w:w="1039" w:type="pct"/>
            <w:tcBorders>
              <w:tl2br w:val="nil"/>
              <w:tr2bl w:val="nil"/>
            </w:tcBorders>
            <w:noWrap w:val="0"/>
            <w:vAlign w:val="center"/>
          </w:tcPr>
          <w:p w14:paraId="1D72EC0C">
            <w:pPr>
              <w:pStyle w:val="31"/>
              <w:bidi w:val="0"/>
              <w:rPr>
                <w:rFonts w:hint="default" w:ascii="Times New Roman" w:hAnsi="Times New Roman" w:cs="Times New Roman"/>
                <w:color w:val="auto"/>
              </w:rPr>
            </w:pPr>
            <w:r>
              <w:rPr>
                <w:rFonts w:hint="default" w:ascii="Times New Roman" w:hAnsi="Times New Roman" w:cs="Times New Roman"/>
                <w:color w:val="auto"/>
              </w:rPr>
              <w:t>油气</w:t>
            </w:r>
          </w:p>
        </w:tc>
        <w:tc>
          <w:tcPr>
            <w:tcW w:w="1641" w:type="pct"/>
            <w:tcBorders>
              <w:tl2br w:val="nil"/>
              <w:tr2bl w:val="nil"/>
            </w:tcBorders>
            <w:noWrap w:val="0"/>
            <w:vAlign w:val="center"/>
          </w:tcPr>
          <w:p w14:paraId="6EFFC4A0">
            <w:pPr>
              <w:pStyle w:val="31"/>
              <w:bidi w:val="0"/>
              <w:rPr>
                <w:rFonts w:hint="default" w:ascii="Times New Roman" w:hAnsi="Times New Roman" w:cs="Times New Roman"/>
                <w:color w:val="auto"/>
              </w:rPr>
            </w:pPr>
            <w:r>
              <w:rPr>
                <w:rFonts w:hint="default" w:ascii="Times New Roman" w:hAnsi="Times New Roman" w:cs="Times New Roman"/>
                <w:color w:val="auto"/>
              </w:rPr>
              <w:t>5627</w:t>
            </w:r>
          </w:p>
        </w:tc>
        <w:tc>
          <w:tcPr>
            <w:tcW w:w="981" w:type="pct"/>
            <w:tcBorders>
              <w:tl2br w:val="nil"/>
              <w:tr2bl w:val="nil"/>
            </w:tcBorders>
            <w:noWrap w:val="0"/>
            <w:vAlign w:val="bottom"/>
          </w:tcPr>
          <w:p w14:paraId="617816F9">
            <w:pPr>
              <w:pStyle w:val="31"/>
              <w:bidi w:val="0"/>
              <w:rPr>
                <w:rFonts w:hint="default" w:ascii="Times New Roman" w:hAnsi="Times New Roman" w:cs="Times New Roman"/>
                <w:color w:val="auto"/>
                <w:lang w:val="en-US"/>
              </w:rPr>
            </w:pPr>
            <w:r>
              <w:rPr>
                <w:rFonts w:hint="default" w:ascii="Times New Roman" w:hAnsi="Times New Roman" w:cs="Times New Roman"/>
                <w:color w:val="auto"/>
                <w:lang w:val="en-US" w:eastAsia="zh-CN"/>
              </w:rPr>
              <w:t>1.</w:t>
            </w:r>
            <w:r>
              <w:rPr>
                <w:rFonts w:hint="eastAsia" w:cs="Times New Roman"/>
                <w:color w:val="auto"/>
                <w:lang w:val="en-US" w:eastAsia="zh-CN"/>
              </w:rPr>
              <w:t>39</w:t>
            </w:r>
          </w:p>
        </w:tc>
        <w:tc>
          <w:tcPr>
            <w:tcW w:w="891" w:type="pct"/>
            <w:tcBorders>
              <w:tl2br w:val="nil"/>
              <w:tr2bl w:val="nil"/>
            </w:tcBorders>
            <w:noWrap w:val="0"/>
            <w:vAlign w:val="center"/>
          </w:tcPr>
          <w:p w14:paraId="6FFFF04C">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69.5</w:t>
            </w:r>
          </w:p>
        </w:tc>
      </w:tr>
      <w:bookmarkEnd w:id="75"/>
    </w:tbl>
    <w:p w14:paraId="5ADABAB5">
      <w:pPr>
        <w:pStyle w:val="6"/>
        <w:bidi w:val="0"/>
        <w:rPr>
          <w:rFonts w:hint="default" w:ascii="Times New Roman" w:hAnsi="Times New Roman" w:cs="Times New Roman"/>
          <w:color w:val="auto"/>
        </w:rPr>
      </w:pPr>
      <w:r>
        <w:rPr>
          <w:rFonts w:hint="default" w:ascii="Times New Roman" w:hAnsi="Times New Roman" w:cs="Times New Roman"/>
          <w:color w:val="auto"/>
          <w:sz w:val="21"/>
          <w:szCs w:val="18"/>
          <w:lang w:eastAsia="zh-CN"/>
        </w:rPr>
        <w:t>注：按油气浓度最高的汽油进行计算</w:t>
      </w:r>
      <w:r>
        <w:rPr>
          <w:rFonts w:hint="eastAsia" w:cs="Times New Roman"/>
          <w:color w:val="auto"/>
          <w:sz w:val="21"/>
          <w:szCs w:val="18"/>
          <w:lang w:eastAsia="zh-CN"/>
        </w:rPr>
        <w:t>，</w:t>
      </w:r>
      <w:r>
        <w:rPr>
          <w:rFonts w:hint="eastAsia" w:ascii="Times New Roman" w:hAnsi="Times New Roman" w:cs="Times New Roman"/>
          <w:color w:val="auto"/>
          <w:sz w:val="21"/>
          <w:szCs w:val="18"/>
          <w:lang w:val="en-US" w:eastAsia="zh-CN"/>
        </w:rPr>
        <w:t>汽油燃烧热来自石油化工</w:t>
      </w:r>
      <w:r>
        <w:rPr>
          <w:rFonts w:hint="eastAsia" w:cs="Times New Roman"/>
          <w:color w:val="auto"/>
          <w:sz w:val="21"/>
          <w:szCs w:val="18"/>
          <w:lang w:val="en-US" w:eastAsia="zh-CN"/>
        </w:rPr>
        <w:t>总厂</w:t>
      </w:r>
      <w:r>
        <w:rPr>
          <w:rFonts w:hint="eastAsia" w:ascii="Times New Roman" w:hAnsi="Times New Roman" w:cs="Times New Roman"/>
          <w:color w:val="auto"/>
          <w:sz w:val="21"/>
          <w:szCs w:val="18"/>
          <w:lang w:val="en-US" w:eastAsia="zh-CN"/>
        </w:rPr>
        <w:t>提供的《化学品安全技术说明书》（汽油）。</w:t>
      </w:r>
    </w:p>
    <w:p w14:paraId="5F4F6227">
      <w:pPr>
        <w:pStyle w:val="4"/>
        <w:bidi w:val="0"/>
        <w:rPr>
          <w:rFonts w:hint="default" w:ascii="Times New Roman" w:hAnsi="Times New Roman" w:cs="Times New Roman"/>
          <w:color w:val="auto"/>
        </w:rPr>
      </w:pPr>
      <w:r>
        <w:rPr>
          <w:rFonts w:hint="default" w:ascii="Times New Roman" w:hAnsi="Times New Roman" w:cs="Times New Roman"/>
          <w:color w:val="auto"/>
        </w:rPr>
        <w:t>5.1.3具有可燃性的化学品质量及燃烧后放出的热量</w:t>
      </w:r>
    </w:p>
    <w:p w14:paraId="6CD8EFCF">
      <w:pPr>
        <w:pStyle w:val="6"/>
        <w:bidi w:val="0"/>
        <w:rPr>
          <w:rFonts w:hint="default" w:ascii="Times New Roman" w:hAnsi="Times New Roman" w:cs="Times New Roman"/>
          <w:color w:val="auto"/>
        </w:rPr>
      </w:pPr>
      <w:r>
        <w:rPr>
          <w:rFonts w:hint="default" w:ascii="Times New Roman" w:hAnsi="Times New Roman" w:cs="Times New Roman"/>
          <w:color w:val="auto"/>
        </w:rPr>
        <w:t>具有可燃性的化学品燃烧后放出的热量，详见下表：</w:t>
      </w:r>
    </w:p>
    <w:p w14:paraId="4916E82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表5.1-3  可燃性化学品质量及燃烧后放出的热量一览表</w:t>
      </w:r>
    </w:p>
    <w:tbl>
      <w:tblPr>
        <w:tblStyle w:val="20"/>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202"/>
        <w:gridCol w:w="2435"/>
        <w:gridCol w:w="1245"/>
        <w:gridCol w:w="1675"/>
      </w:tblGrid>
      <w:tr w14:paraId="686B83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447" w:type="pct"/>
            <w:tcBorders>
              <w:tl2br w:val="nil"/>
              <w:tr2bl w:val="nil"/>
            </w:tcBorders>
            <w:noWrap w:val="0"/>
            <w:vAlign w:val="center"/>
          </w:tcPr>
          <w:p w14:paraId="4CFA080F">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703" w:type="pct"/>
            <w:tcBorders>
              <w:tl2br w:val="nil"/>
              <w:tr2bl w:val="nil"/>
            </w:tcBorders>
            <w:noWrap w:val="0"/>
            <w:vAlign w:val="center"/>
          </w:tcPr>
          <w:p w14:paraId="043E349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危险物质名称</w:t>
            </w:r>
          </w:p>
        </w:tc>
        <w:tc>
          <w:tcPr>
            <w:tcW w:w="1295" w:type="pct"/>
            <w:tcBorders>
              <w:tl2br w:val="nil"/>
              <w:tr2bl w:val="nil"/>
            </w:tcBorders>
            <w:noWrap w:val="0"/>
            <w:vAlign w:val="center"/>
          </w:tcPr>
          <w:p w14:paraId="3682642F">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燃烧热（kJ/ mol）</w:t>
            </w:r>
          </w:p>
        </w:tc>
        <w:tc>
          <w:tcPr>
            <w:tcW w:w="662" w:type="pct"/>
            <w:tcBorders>
              <w:tl2br w:val="nil"/>
              <w:tr2bl w:val="nil"/>
            </w:tcBorders>
            <w:noWrap w:val="0"/>
            <w:vAlign w:val="center"/>
          </w:tcPr>
          <w:p w14:paraId="4DB61ADE">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质量（t）</w:t>
            </w:r>
          </w:p>
        </w:tc>
        <w:tc>
          <w:tcPr>
            <w:tcW w:w="891" w:type="pct"/>
            <w:tcBorders>
              <w:tl2br w:val="nil"/>
              <w:tr2bl w:val="nil"/>
            </w:tcBorders>
            <w:noWrap w:val="0"/>
            <w:vAlign w:val="center"/>
          </w:tcPr>
          <w:p w14:paraId="481277AB">
            <w:pPr>
              <w:pStyle w:val="31"/>
              <w:bidi w:val="0"/>
              <w:rPr>
                <w:rFonts w:hint="default" w:ascii="Times New Roman" w:hAnsi="Times New Roman" w:cs="Times New Roman"/>
                <w:b/>
                <w:bCs/>
                <w:color w:val="auto"/>
              </w:rPr>
            </w:pPr>
            <w:r>
              <w:rPr>
                <w:rFonts w:hint="default" w:ascii="Times New Roman" w:hAnsi="Times New Roman" w:cs="Times New Roman"/>
                <w:b/>
                <w:bCs/>
                <w:color w:val="auto"/>
              </w:rPr>
              <w:t>燃烧热（kJ）</w:t>
            </w:r>
          </w:p>
        </w:tc>
      </w:tr>
      <w:tr w14:paraId="61FB9D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447" w:type="pct"/>
            <w:tcBorders>
              <w:tl2br w:val="nil"/>
              <w:tr2bl w:val="nil"/>
            </w:tcBorders>
            <w:noWrap w:val="0"/>
            <w:vAlign w:val="center"/>
          </w:tcPr>
          <w:p w14:paraId="0D4FBA84">
            <w:pPr>
              <w:pStyle w:val="31"/>
              <w:bidi w:val="0"/>
              <w:ind w:firstLine="0" w:firstLineChars="0"/>
              <w:rPr>
                <w:rFonts w:hint="default" w:ascii="Times New Roman" w:hAnsi="Times New Roman" w:cs="Times New Roman"/>
                <w:color w:val="auto"/>
              </w:rPr>
            </w:pPr>
            <w:r>
              <w:rPr>
                <w:rFonts w:hint="default" w:ascii="Times New Roman" w:hAnsi="Times New Roman" w:cs="Times New Roman"/>
                <w:color w:val="auto"/>
              </w:rPr>
              <w:t>1</w:t>
            </w:r>
          </w:p>
        </w:tc>
        <w:tc>
          <w:tcPr>
            <w:tcW w:w="1703" w:type="pct"/>
            <w:tcBorders>
              <w:tl2br w:val="nil"/>
              <w:tr2bl w:val="nil"/>
            </w:tcBorders>
            <w:noWrap w:val="0"/>
            <w:vAlign w:val="center"/>
          </w:tcPr>
          <w:p w14:paraId="6B40D19D">
            <w:pPr>
              <w:pStyle w:val="31"/>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油气</w:t>
            </w:r>
          </w:p>
        </w:tc>
        <w:tc>
          <w:tcPr>
            <w:tcW w:w="1295" w:type="pct"/>
            <w:tcBorders>
              <w:tl2br w:val="nil"/>
              <w:tr2bl w:val="nil"/>
            </w:tcBorders>
            <w:noWrap w:val="0"/>
            <w:vAlign w:val="center"/>
          </w:tcPr>
          <w:p w14:paraId="6B1E325F">
            <w:pPr>
              <w:pStyle w:val="31"/>
              <w:bidi w:val="0"/>
              <w:rPr>
                <w:rFonts w:hint="default" w:ascii="Times New Roman" w:hAnsi="Times New Roman" w:cs="Times New Roman"/>
                <w:color w:val="auto"/>
              </w:rPr>
            </w:pPr>
            <w:r>
              <w:rPr>
                <w:rFonts w:hint="default" w:ascii="Times New Roman" w:hAnsi="Times New Roman" w:cs="Times New Roman"/>
                <w:color w:val="auto"/>
              </w:rPr>
              <w:t>5627</w:t>
            </w:r>
          </w:p>
        </w:tc>
        <w:tc>
          <w:tcPr>
            <w:tcW w:w="662" w:type="pct"/>
            <w:tcBorders>
              <w:tl2br w:val="nil"/>
              <w:tr2bl w:val="nil"/>
            </w:tcBorders>
            <w:noWrap w:val="0"/>
            <w:vAlign w:val="bottom"/>
          </w:tcPr>
          <w:p w14:paraId="51A1573F">
            <w:pPr>
              <w:pStyle w:val="31"/>
              <w:bidi w:val="0"/>
              <w:rPr>
                <w:rFonts w:hint="default" w:ascii="Times New Roman" w:hAnsi="Times New Roman" w:cs="Times New Roman"/>
                <w:color w:val="auto"/>
                <w:lang w:val="en-US"/>
              </w:rPr>
            </w:pPr>
            <w:r>
              <w:rPr>
                <w:rFonts w:hint="default" w:ascii="Times New Roman" w:hAnsi="Times New Roman" w:cs="Times New Roman"/>
                <w:color w:val="auto"/>
                <w:lang w:val="en-US" w:eastAsia="zh-CN"/>
              </w:rPr>
              <w:t>1.</w:t>
            </w:r>
            <w:r>
              <w:rPr>
                <w:rFonts w:hint="eastAsia" w:cs="Times New Roman"/>
                <w:color w:val="auto"/>
                <w:lang w:val="en-US" w:eastAsia="zh-CN"/>
              </w:rPr>
              <w:t>39</w:t>
            </w:r>
          </w:p>
        </w:tc>
        <w:tc>
          <w:tcPr>
            <w:tcW w:w="891" w:type="pct"/>
            <w:tcBorders>
              <w:tl2br w:val="nil"/>
              <w:tr2bl w:val="nil"/>
            </w:tcBorders>
            <w:noWrap w:val="0"/>
            <w:vAlign w:val="bottom"/>
          </w:tcPr>
          <w:p w14:paraId="6743CD83">
            <w:pPr>
              <w:pStyle w:val="31"/>
              <w:bidi w:val="0"/>
              <w:rPr>
                <w:rFonts w:hint="default" w:ascii="Times New Roman" w:hAnsi="Times New Roman" w:cs="Times New Roman"/>
                <w:color w:val="auto"/>
                <w:lang w:val="en-US" w:eastAsia="zh-CN"/>
              </w:rPr>
            </w:pPr>
            <w:r>
              <w:rPr>
                <w:rFonts w:hint="eastAsia" w:cs="Times New Roman"/>
                <w:color w:val="auto"/>
                <w:lang w:val="en-US" w:eastAsia="zh-CN"/>
              </w:rPr>
              <w:t>7.82</w:t>
            </w:r>
            <w:r>
              <w:rPr>
                <w:rFonts w:hint="default" w:ascii="Times New Roman" w:hAnsi="Times New Roman" w:cs="Times New Roman"/>
                <w:color w:val="auto"/>
                <w:lang w:val="en-US" w:eastAsia="zh-CN"/>
              </w:rPr>
              <w:t>×10</w:t>
            </w:r>
            <w:r>
              <w:rPr>
                <w:rFonts w:hint="default" w:ascii="Times New Roman" w:hAnsi="Times New Roman" w:cs="Times New Roman"/>
                <w:color w:val="auto"/>
                <w:vertAlign w:val="superscript"/>
                <w:lang w:val="en-US" w:eastAsia="zh-CN"/>
              </w:rPr>
              <w:t>6</w:t>
            </w:r>
          </w:p>
        </w:tc>
      </w:tr>
    </w:tbl>
    <w:p w14:paraId="18199DBE">
      <w:pPr>
        <w:pStyle w:val="3"/>
        <w:bidi w:val="0"/>
        <w:rPr>
          <w:rFonts w:hint="default" w:ascii="Times New Roman" w:hAnsi="Times New Roman" w:cs="Times New Roman"/>
          <w:color w:val="auto"/>
        </w:rPr>
      </w:pPr>
      <w:bookmarkStart w:id="76" w:name="_Toc292364628"/>
      <w:bookmarkStart w:id="77" w:name="_Toc509842609"/>
      <w:bookmarkStart w:id="78" w:name="_Toc15317"/>
      <w:r>
        <w:rPr>
          <w:rFonts w:hint="default" w:ascii="Times New Roman" w:hAnsi="Times New Roman" w:cs="Times New Roman"/>
          <w:color w:val="auto"/>
        </w:rPr>
        <w:t>风险程度分析</w:t>
      </w:r>
      <w:bookmarkEnd w:id="76"/>
      <w:bookmarkEnd w:id="77"/>
      <w:bookmarkEnd w:id="78"/>
    </w:p>
    <w:p w14:paraId="76CC2922">
      <w:pPr>
        <w:pStyle w:val="4"/>
        <w:bidi w:val="0"/>
        <w:rPr>
          <w:rFonts w:hint="default" w:ascii="Times New Roman" w:hAnsi="Times New Roman" w:cs="Times New Roman"/>
          <w:color w:val="auto"/>
        </w:rPr>
      </w:pPr>
      <w:r>
        <w:rPr>
          <w:rFonts w:hint="default" w:ascii="Times New Roman" w:hAnsi="Times New Roman" w:cs="Times New Roman"/>
          <w:color w:val="auto"/>
        </w:rPr>
        <w:t>5.2.1 出现具有爆炸性、可燃性、毒性化学品泄漏的可能性</w:t>
      </w:r>
    </w:p>
    <w:p w14:paraId="33698FD5">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发生泄漏的原因有：</w:t>
      </w:r>
    </w:p>
    <w:p w14:paraId="79942A2E">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（1）各种设备、管道、阀门之间连接不严密；</w:t>
      </w:r>
    </w:p>
    <w:p w14:paraId="4874C021">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（2）设备故障破裂；</w:t>
      </w:r>
    </w:p>
    <w:p w14:paraId="3541BD9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（3）机、泵密封不严；</w:t>
      </w:r>
    </w:p>
    <w:p w14:paraId="184DB6B4">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（4）液位计破裂；</w:t>
      </w:r>
    </w:p>
    <w:p w14:paraId="2CB1B753">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（5）设备、管道选材不当、维修不及时等，运行过程中破裂；</w:t>
      </w:r>
    </w:p>
    <w:p w14:paraId="166D0C7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（6）设备、容器内危险化学品过量外溢；</w:t>
      </w:r>
    </w:p>
    <w:p w14:paraId="191FF236">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（7）违章操作，导致超温、超压，或运行过程中冷却水突然中断而超温、超压，设备破裂；</w:t>
      </w:r>
    </w:p>
    <w:p w14:paraId="1711DC5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（8）各种设备、管道维护保养不当，未定期检修、检验，意外破裂，泄漏。</w:t>
      </w:r>
    </w:p>
    <w:p w14:paraId="5AA7F506">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该项目生产过程中涉及的爆炸性、可燃性、毒性及腐蚀性化学品见表5.1-1。</w:t>
      </w:r>
    </w:p>
    <w:p w14:paraId="3620B403">
      <w:pPr>
        <w:pStyle w:val="6"/>
        <w:bidi w:val="0"/>
        <w:rPr>
          <w:rFonts w:hint="default" w:ascii="Times New Roman" w:hAnsi="Times New Roman" w:cs="Times New Roman"/>
          <w:color w:val="auto"/>
          <w:lang w:eastAsia="zh-CN"/>
        </w:rPr>
      </w:pPr>
      <w:r>
        <w:rPr>
          <w:rFonts w:hint="eastAsia" w:cs="Times New Roman"/>
          <w:color w:val="auto"/>
          <w:lang w:eastAsia="zh-CN"/>
        </w:rPr>
        <w:t>（</w:t>
      </w:r>
      <w:r>
        <w:rPr>
          <w:rFonts w:hint="default" w:ascii="Times New Roman" w:hAnsi="Times New Roman" w:cs="Times New Roman"/>
          <w:color w:val="auto"/>
          <w:lang w:eastAsia="zh-CN"/>
        </w:rPr>
        <w:t>1）系统中发生爆炸性物质泄漏的可能性</w:t>
      </w:r>
    </w:p>
    <w:p w14:paraId="4756C29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该项目涉及的危险性较大的爆炸性物质主要有油气等。</w:t>
      </w:r>
    </w:p>
    <w:p w14:paraId="283075A1">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易燃气体在空气中分布，其浓度达到爆炸极限，遇到明火、高温、火花后，有可能发生爆炸。</w:t>
      </w:r>
    </w:p>
    <w:p w14:paraId="46988184">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2）系统中发生可燃物质泄漏的可能性</w:t>
      </w:r>
    </w:p>
    <w:p w14:paraId="7CDE32B7">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设备及其管线如本身质量存在缺陷或受到腐蚀、外力破坏，管路、阀门、垫片及其他密封件密封不严，有发生泄漏的可能；液位计失灵，或远程控制阀门失效，可能造成物料的外溢。</w:t>
      </w:r>
    </w:p>
    <w:p w14:paraId="5F8F9C55">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3）系统中发生毒性物质泄漏的可能性</w:t>
      </w:r>
    </w:p>
    <w:p w14:paraId="4C7B4AB0">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设备及管线、阀门存在质量缺陷，或受到外力破坏、</w:t>
      </w:r>
      <w:r>
        <w:rPr>
          <w:rFonts w:hint="eastAsia" w:cs="Times New Roman"/>
          <w:color w:val="auto"/>
          <w:lang w:val="en-US" w:eastAsia="zh-CN"/>
        </w:rPr>
        <w:t>管道</w:t>
      </w:r>
      <w:r>
        <w:rPr>
          <w:rFonts w:hint="default" w:ascii="Times New Roman" w:hAnsi="Times New Roman" w:cs="Times New Roman"/>
          <w:color w:val="auto"/>
          <w:lang w:eastAsia="zh-CN"/>
        </w:rPr>
        <w:t>腐蚀等，可造成易燃易爆物料泄漏；液位计失灵，或远程控制阀门失效，可能造成物料的外溢，遇高温等情况，蒸汽浓度升高，可造成人员中毒。但发生的可能性较小。</w:t>
      </w:r>
    </w:p>
    <w:p w14:paraId="0294012E">
      <w:pPr>
        <w:pStyle w:val="4"/>
        <w:bidi w:val="0"/>
        <w:rPr>
          <w:rFonts w:hint="default" w:ascii="Times New Roman" w:hAnsi="Times New Roman" w:cs="Times New Roman"/>
          <w:color w:val="auto"/>
        </w:rPr>
      </w:pPr>
      <w:r>
        <w:rPr>
          <w:rFonts w:hint="default" w:ascii="Times New Roman" w:hAnsi="Times New Roman" w:cs="Times New Roman"/>
          <w:color w:val="auto"/>
        </w:rPr>
        <w:t>5.2.2 出现具有爆炸性、可燃性的化学品泄漏后具备造成爆炸、火灾事故的条件和需要的时间</w:t>
      </w:r>
    </w:p>
    <w:p w14:paraId="68A93237">
      <w:pPr>
        <w:pStyle w:val="6"/>
        <w:numPr>
          <w:ilvl w:val="0"/>
          <w:numId w:val="7"/>
        </w:numPr>
        <w:bidi w:val="0"/>
        <w:rPr>
          <w:rFonts w:hint="default" w:ascii="Times New Roman" w:hAnsi="Times New Roman" w:cs="Times New Roman"/>
          <w:color w:val="auto"/>
        </w:rPr>
      </w:pPr>
      <w:r>
        <w:rPr>
          <w:rFonts w:hint="default" w:ascii="Times New Roman" w:hAnsi="Times New Roman" w:cs="Times New Roman"/>
          <w:color w:val="auto"/>
        </w:rPr>
        <w:t>火灾、爆炸事故发生的条件</w:t>
      </w:r>
    </w:p>
    <w:p w14:paraId="62EA074E">
      <w:pPr>
        <w:pStyle w:val="6"/>
        <w:bidi w:val="0"/>
        <w:rPr>
          <w:rFonts w:hint="default" w:ascii="Times New Roman" w:hAnsi="Times New Roman" w:cs="Times New Roman"/>
          <w:color w:val="auto"/>
        </w:rPr>
      </w:pPr>
      <w:r>
        <w:rPr>
          <w:rFonts w:hint="default" w:ascii="Times New Roman" w:hAnsi="Times New Roman" w:cs="Times New Roman"/>
          <w:color w:val="auto"/>
        </w:rPr>
        <w:t>火灾、爆炸事故发生的条件包括存在可燃物质、点火源及助燃物质，其中爆炸事故形成的原因还包括易燃物质与助燃物质形成了爆炸环境。出现具有可燃性、爆炸性的化学品泄漏后具备造成火灾、爆炸事故的条件具体见表5.2-1</w:t>
      </w:r>
      <w:r>
        <w:rPr>
          <w:rFonts w:hint="eastAsia" w:cs="Times New Roman"/>
          <w:color w:val="auto"/>
          <w:lang w:eastAsia="zh-CN"/>
        </w:rPr>
        <w:t>、</w:t>
      </w:r>
      <w:r>
        <w:rPr>
          <w:rFonts w:hint="eastAsia" w:cs="Times New Roman"/>
          <w:color w:val="auto"/>
          <w:lang w:val="en-US" w:eastAsia="zh-CN"/>
        </w:rPr>
        <w:t>表</w:t>
      </w:r>
      <w:r>
        <w:rPr>
          <w:rFonts w:hint="default" w:ascii="Times New Roman" w:hAnsi="Times New Roman" w:cs="Times New Roman"/>
          <w:color w:val="auto"/>
        </w:rPr>
        <w:t>5.2-</w:t>
      </w:r>
      <w:r>
        <w:rPr>
          <w:rFonts w:hint="eastAsia" w:cs="Times New Roman"/>
          <w:color w:val="auto"/>
          <w:lang w:val="en-US" w:eastAsia="zh-CN"/>
        </w:rPr>
        <w:t>2</w:t>
      </w:r>
      <w:r>
        <w:rPr>
          <w:rFonts w:hint="default" w:ascii="Times New Roman" w:hAnsi="Times New Roman" w:cs="Times New Roman"/>
          <w:color w:val="auto"/>
        </w:rPr>
        <w:t>。</w:t>
      </w:r>
    </w:p>
    <w:p w14:paraId="143AD15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表5.2-1火灾事故发生的条件</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45"/>
        <w:gridCol w:w="2798"/>
        <w:gridCol w:w="3354"/>
      </w:tblGrid>
      <w:tr w14:paraId="272003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726" w:type="pct"/>
            <w:tcBorders>
              <w:tl2br w:val="nil"/>
              <w:tr2bl w:val="nil"/>
            </w:tcBorders>
            <w:noWrap w:val="0"/>
            <w:vAlign w:val="center"/>
          </w:tcPr>
          <w:p w14:paraId="2087E31E">
            <w:pPr>
              <w:adjustRightInd w:val="0"/>
              <w:snapToGrid w:val="0"/>
              <w:spacing w:before="63" w:beforeLines="20" w:after="63" w:afterLines="20"/>
              <w:jc w:val="center"/>
              <w:rPr>
                <w:rFonts w:hint="default" w:ascii="Times New Roman" w:hAnsi="Times New Roman" w:eastAsia="Times New Roman" w:cs="Times New Roman"/>
                <w:b/>
                <w:color w:val="auto"/>
                <w:sz w:val="21"/>
                <w:szCs w:val="22"/>
              </w:rPr>
            </w:pPr>
            <w:r>
              <w:rPr>
                <w:rFonts w:hint="default" w:ascii="Times New Roman" w:hAnsi="Times New Roman" w:cs="Times New Roman"/>
                <w:b/>
                <w:color w:val="auto"/>
                <w:sz w:val="21"/>
                <w:szCs w:val="22"/>
              </w:rPr>
              <w:t>可燃物质泄漏</w:t>
            </w:r>
          </w:p>
        </w:tc>
        <w:tc>
          <w:tcPr>
            <w:tcW w:w="1488" w:type="pct"/>
            <w:tcBorders>
              <w:tl2br w:val="nil"/>
              <w:tr2bl w:val="nil"/>
            </w:tcBorders>
            <w:noWrap w:val="0"/>
            <w:vAlign w:val="center"/>
          </w:tcPr>
          <w:p w14:paraId="3968B6BC">
            <w:pPr>
              <w:adjustRightInd w:val="0"/>
              <w:snapToGrid w:val="0"/>
              <w:spacing w:before="63" w:beforeLines="20" w:after="63" w:afterLines="20"/>
              <w:jc w:val="center"/>
              <w:rPr>
                <w:rFonts w:hint="default" w:ascii="Times New Roman" w:hAnsi="Times New Roman" w:eastAsia="Times New Roman" w:cs="Times New Roman"/>
                <w:b/>
                <w:color w:val="auto"/>
                <w:sz w:val="21"/>
                <w:szCs w:val="22"/>
              </w:rPr>
            </w:pPr>
            <w:r>
              <w:rPr>
                <w:rFonts w:hint="default" w:ascii="Times New Roman" w:hAnsi="Times New Roman" w:cs="Times New Roman"/>
                <w:b/>
                <w:color w:val="auto"/>
                <w:sz w:val="21"/>
                <w:szCs w:val="22"/>
              </w:rPr>
              <w:t>存在助燃物质</w:t>
            </w:r>
          </w:p>
        </w:tc>
        <w:tc>
          <w:tcPr>
            <w:tcW w:w="1784" w:type="pct"/>
            <w:tcBorders>
              <w:tl2br w:val="nil"/>
              <w:tr2bl w:val="nil"/>
            </w:tcBorders>
            <w:noWrap w:val="0"/>
            <w:vAlign w:val="center"/>
          </w:tcPr>
          <w:p w14:paraId="209D4966">
            <w:pPr>
              <w:adjustRightInd w:val="0"/>
              <w:snapToGrid w:val="0"/>
              <w:spacing w:before="63" w:beforeLines="20" w:after="63" w:afterLines="20"/>
              <w:jc w:val="center"/>
              <w:rPr>
                <w:rFonts w:hint="default" w:ascii="Times New Roman" w:hAnsi="Times New Roman" w:eastAsia="Times New Roman" w:cs="Times New Roman"/>
                <w:b/>
                <w:color w:val="auto"/>
                <w:sz w:val="21"/>
                <w:szCs w:val="22"/>
              </w:rPr>
            </w:pPr>
            <w:r>
              <w:rPr>
                <w:rFonts w:hint="default" w:ascii="Times New Roman" w:hAnsi="Times New Roman" w:cs="Times New Roman"/>
                <w:b/>
                <w:color w:val="auto"/>
                <w:sz w:val="21"/>
                <w:szCs w:val="22"/>
              </w:rPr>
              <w:t>存在点火源</w:t>
            </w:r>
          </w:p>
        </w:tc>
      </w:tr>
      <w:tr w14:paraId="53615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6" w:type="pct"/>
            <w:tcBorders>
              <w:tl2br w:val="nil"/>
              <w:tr2bl w:val="nil"/>
            </w:tcBorders>
            <w:noWrap w:val="0"/>
            <w:vAlign w:val="center"/>
          </w:tcPr>
          <w:p w14:paraId="6EBFBF92">
            <w:pPr>
              <w:pStyle w:val="31"/>
              <w:bidi w:val="0"/>
              <w:jc w:val="left"/>
              <w:rPr>
                <w:rFonts w:hint="default" w:ascii="Times New Roman" w:hAnsi="Times New Roman" w:cs="Times New Roman"/>
                <w:color w:val="auto"/>
              </w:rPr>
            </w:pPr>
            <w:r>
              <w:rPr>
                <w:rFonts w:hint="default" w:ascii="Times New Roman" w:hAnsi="Times New Roman" w:cs="Times New Roman"/>
                <w:color w:val="auto"/>
              </w:rPr>
              <w:t>1、设备与管线泄漏：</w:t>
            </w:r>
          </w:p>
          <w:p w14:paraId="164C9158">
            <w:pPr>
              <w:pStyle w:val="31"/>
              <w:bidi w:val="0"/>
              <w:jc w:val="left"/>
              <w:rPr>
                <w:rFonts w:hint="default" w:ascii="Times New Roman" w:hAnsi="Times New Roman" w:cs="Times New Roman"/>
                <w:color w:val="auto"/>
              </w:rPr>
            </w:pPr>
            <w:r>
              <w:rPr>
                <w:rFonts w:hint="default" w:ascii="Times New Roman" w:hAnsi="Times New Roman" w:cs="Times New Roman"/>
                <w:color w:val="auto"/>
              </w:rPr>
              <w:t>①由于热力作用、材料腐蚀造成穿孔；</w:t>
            </w:r>
          </w:p>
          <w:p w14:paraId="15991667">
            <w:pPr>
              <w:pStyle w:val="31"/>
              <w:bidi w:val="0"/>
              <w:jc w:val="left"/>
              <w:rPr>
                <w:rFonts w:hint="default" w:ascii="Times New Roman" w:hAnsi="Times New Roman" w:cs="Times New Roman"/>
                <w:color w:val="auto"/>
              </w:rPr>
            </w:pPr>
            <w:r>
              <w:rPr>
                <w:rFonts w:hint="default" w:ascii="Times New Roman" w:hAnsi="Times New Roman" w:cs="Times New Roman"/>
                <w:color w:val="auto"/>
              </w:rPr>
              <w:t>②焊缝开裂出现裂纹；</w:t>
            </w:r>
          </w:p>
          <w:p w14:paraId="43610A0C">
            <w:pPr>
              <w:pStyle w:val="31"/>
              <w:bidi w:val="0"/>
              <w:jc w:val="left"/>
              <w:rPr>
                <w:rFonts w:hint="default" w:ascii="Times New Roman" w:hAnsi="Times New Roman" w:cs="Times New Roman"/>
                <w:color w:val="auto"/>
              </w:rPr>
            </w:pPr>
            <w:r>
              <w:rPr>
                <w:rFonts w:hint="default" w:ascii="Times New Roman" w:hAnsi="Times New Roman" w:cs="Times New Roman"/>
                <w:color w:val="auto"/>
              </w:rPr>
              <w:t>③外力破坏引起的泄漏事故；</w:t>
            </w:r>
          </w:p>
          <w:p w14:paraId="4DCBA4E6">
            <w:pPr>
              <w:pStyle w:val="31"/>
              <w:bidi w:val="0"/>
              <w:jc w:val="left"/>
              <w:rPr>
                <w:rFonts w:hint="default" w:ascii="Times New Roman" w:hAnsi="Times New Roman" w:cs="Times New Roman"/>
                <w:color w:val="auto"/>
              </w:rPr>
            </w:pPr>
            <w:r>
              <w:rPr>
                <w:rFonts w:hint="default" w:ascii="Times New Roman" w:hAnsi="Times New Roman" w:cs="Times New Roman"/>
                <w:color w:val="auto"/>
              </w:rPr>
              <w:t>④工质量差；</w:t>
            </w:r>
          </w:p>
          <w:p w14:paraId="08B0F9AA">
            <w:pPr>
              <w:pStyle w:val="31"/>
              <w:bidi w:val="0"/>
              <w:jc w:val="left"/>
              <w:rPr>
                <w:rFonts w:hint="default" w:ascii="Times New Roman" w:hAnsi="Times New Roman" w:cs="Times New Roman"/>
                <w:color w:val="auto"/>
              </w:rPr>
            </w:pPr>
            <w:r>
              <w:rPr>
                <w:rFonts w:hint="default" w:ascii="Times New Roman" w:hAnsi="Times New Roman" w:cs="Times New Roman"/>
                <w:color w:val="auto"/>
              </w:rPr>
              <w:t>⑤管材质量差。</w:t>
            </w:r>
          </w:p>
          <w:p w14:paraId="394251C1">
            <w:pPr>
              <w:pStyle w:val="31"/>
              <w:bidi w:val="0"/>
              <w:jc w:val="left"/>
              <w:rPr>
                <w:rFonts w:hint="default" w:ascii="Times New Roman" w:hAnsi="Times New Roman" w:cs="Times New Roman"/>
                <w:color w:val="auto"/>
              </w:rPr>
            </w:pPr>
            <w:r>
              <w:rPr>
                <w:rFonts w:hint="default" w:ascii="Times New Roman" w:hAnsi="Times New Roman" w:cs="Times New Roman"/>
                <w:color w:val="auto"/>
              </w:rPr>
              <w:t>2、阀门、法兰泄漏：</w:t>
            </w:r>
          </w:p>
          <w:p w14:paraId="231736E7">
            <w:pPr>
              <w:pStyle w:val="31"/>
              <w:bidi w:val="0"/>
              <w:jc w:val="left"/>
              <w:rPr>
                <w:rFonts w:hint="default" w:ascii="Times New Roman" w:hAnsi="Times New Roman" w:cs="Times New Roman"/>
                <w:color w:val="auto"/>
              </w:rPr>
            </w:pPr>
            <w:r>
              <w:rPr>
                <w:rFonts w:hint="default" w:ascii="Times New Roman" w:hAnsi="Times New Roman" w:cs="Times New Roman"/>
                <w:color w:val="auto"/>
              </w:rPr>
              <w:t>①机泵长期运转造成密封泄漏；</w:t>
            </w:r>
          </w:p>
          <w:p w14:paraId="5E899E2C">
            <w:pPr>
              <w:pStyle w:val="31"/>
              <w:bidi w:val="0"/>
              <w:jc w:val="left"/>
              <w:rPr>
                <w:rFonts w:hint="default" w:ascii="Times New Roman" w:hAnsi="Times New Roman" w:cs="Times New Roman"/>
                <w:color w:val="auto"/>
              </w:rPr>
            </w:pPr>
            <w:r>
              <w:rPr>
                <w:rFonts w:hint="default" w:ascii="Times New Roman" w:hAnsi="Times New Roman" w:cs="Times New Roman"/>
                <w:color w:val="auto"/>
              </w:rPr>
              <w:t>②法兰垫片破损或选材不当；</w:t>
            </w:r>
          </w:p>
          <w:p w14:paraId="347E2BF6">
            <w:pPr>
              <w:pStyle w:val="31"/>
              <w:bidi w:val="0"/>
              <w:jc w:val="left"/>
              <w:rPr>
                <w:rFonts w:hint="default" w:ascii="Times New Roman" w:hAnsi="Times New Roman" w:cs="Times New Roman"/>
                <w:color w:val="auto"/>
              </w:rPr>
            </w:pPr>
            <w:r>
              <w:rPr>
                <w:rFonts w:hint="default" w:ascii="Times New Roman" w:hAnsi="Times New Roman" w:cs="Times New Roman"/>
                <w:color w:val="auto"/>
              </w:rPr>
              <w:t>③安装不当；</w:t>
            </w:r>
          </w:p>
          <w:p w14:paraId="72BC43F2">
            <w:pPr>
              <w:pStyle w:val="31"/>
              <w:bidi w:val="0"/>
              <w:jc w:val="left"/>
              <w:rPr>
                <w:rFonts w:hint="default" w:ascii="Times New Roman" w:hAnsi="Times New Roman" w:cs="Times New Roman"/>
                <w:color w:val="auto"/>
              </w:rPr>
            </w:pPr>
            <w:r>
              <w:rPr>
                <w:rFonts w:hint="default" w:ascii="Times New Roman" w:hAnsi="Times New Roman" w:cs="Times New Roman"/>
                <w:color w:val="auto"/>
              </w:rPr>
              <w:t>④易发部位：机泵各设备进出口阀门。</w:t>
            </w:r>
          </w:p>
          <w:p w14:paraId="113DC345">
            <w:pPr>
              <w:pStyle w:val="31"/>
              <w:bidi w:val="0"/>
              <w:jc w:val="left"/>
              <w:rPr>
                <w:rFonts w:hint="default" w:ascii="Times New Roman" w:hAnsi="Times New Roman" w:cs="Times New Roman"/>
                <w:color w:val="auto"/>
              </w:rPr>
            </w:pPr>
            <w:r>
              <w:rPr>
                <w:rFonts w:hint="default" w:ascii="Times New Roman" w:hAnsi="Times New Roman" w:cs="Times New Roman"/>
                <w:color w:val="auto"/>
              </w:rPr>
              <w:t>3、包装容器发生破损泄漏。</w:t>
            </w:r>
          </w:p>
        </w:tc>
        <w:tc>
          <w:tcPr>
            <w:tcW w:w="1488" w:type="pct"/>
            <w:tcBorders>
              <w:tl2br w:val="nil"/>
              <w:tr2bl w:val="nil"/>
            </w:tcBorders>
            <w:noWrap w:val="0"/>
            <w:vAlign w:val="center"/>
          </w:tcPr>
          <w:p w14:paraId="7A5B49ED">
            <w:pPr>
              <w:pStyle w:val="31"/>
              <w:bidi w:val="0"/>
              <w:jc w:val="left"/>
              <w:rPr>
                <w:rFonts w:hint="default" w:ascii="Times New Roman" w:hAnsi="Times New Roman" w:cs="Times New Roman"/>
                <w:color w:val="auto"/>
                <w:lang w:val="en-US"/>
              </w:rPr>
            </w:pPr>
            <w:r>
              <w:rPr>
                <w:rFonts w:hint="default" w:ascii="Times New Roman" w:hAnsi="Times New Roman" w:cs="Times New Roman"/>
                <w:color w:val="auto"/>
              </w:rPr>
              <w:t>易燃易爆物质（如油气等）泄漏，与空气等助燃物质接触</w:t>
            </w:r>
            <w:r>
              <w:rPr>
                <w:rFonts w:hint="eastAsia"/>
                <w:color w:val="auto"/>
                <w:lang w:val="en-US" w:eastAsia="zh-CN"/>
              </w:rPr>
              <w:t>。</w:t>
            </w:r>
          </w:p>
        </w:tc>
        <w:tc>
          <w:tcPr>
            <w:tcW w:w="1784" w:type="pct"/>
            <w:tcBorders>
              <w:tl2br w:val="nil"/>
              <w:tr2bl w:val="nil"/>
            </w:tcBorders>
            <w:noWrap w:val="0"/>
            <w:vAlign w:val="center"/>
          </w:tcPr>
          <w:p w14:paraId="51039CF5">
            <w:pPr>
              <w:pStyle w:val="31"/>
              <w:bidi w:val="0"/>
              <w:jc w:val="left"/>
              <w:rPr>
                <w:rFonts w:hint="default" w:ascii="Times New Roman" w:hAnsi="Times New Roman" w:cs="Times New Roman"/>
                <w:color w:val="auto"/>
              </w:rPr>
            </w:pPr>
            <w:r>
              <w:rPr>
                <w:rFonts w:hint="default" w:ascii="Times New Roman" w:hAnsi="Times New Roman" w:cs="Times New Roman"/>
                <w:color w:val="auto"/>
              </w:rPr>
              <w:t>存在点火源：</w:t>
            </w:r>
          </w:p>
          <w:p w14:paraId="7DDFE2E4">
            <w:pPr>
              <w:pStyle w:val="31"/>
              <w:bidi w:val="0"/>
              <w:jc w:val="left"/>
              <w:rPr>
                <w:rFonts w:hint="default" w:ascii="Times New Roman" w:hAnsi="Times New Roman" w:cs="Times New Roman"/>
                <w:color w:val="auto"/>
              </w:rPr>
            </w:pPr>
            <w:r>
              <w:rPr>
                <w:rFonts w:hint="default" w:ascii="Times New Roman" w:hAnsi="Times New Roman" w:cs="Times New Roman"/>
                <w:color w:val="auto"/>
              </w:rPr>
              <w:t>1、明火源：</w:t>
            </w:r>
          </w:p>
          <w:p w14:paraId="6806B938">
            <w:pPr>
              <w:pStyle w:val="31"/>
              <w:bidi w:val="0"/>
              <w:jc w:val="left"/>
              <w:rPr>
                <w:rFonts w:hint="default" w:ascii="Times New Roman" w:hAnsi="Times New Roman" w:cs="Times New Roman"/>
                <w:color w:val="auto"/>
              </w:rPr>
            </w:pPr>
            <w:r>
              <w:rPr>
                <w:rFonts w:hint="default" w:ascii="Times New Roman" w:hAnsi="Times New Roman" w:cs="Times New Roman"/>
                <w:color w:val="auto"/>
              </w:rPr>
              <w:t>①点火吸烟；②焊接或维修设备时违章动火；③外来人员带入火种；④雷击；</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5 \* GB3 </w:instrText>
            </w:r>
            <w:r>
              <w:rPr>
                <w:rFonts w:hint="default" w:ascii="Times New Roman" w:hAnsi="Times New Roman" w:cs="Times New Roman"/>
                <w:color w:val="auto"/>
              </w:rPr>
              <w:fldChar w:fldCharType="separate"/>
            </w:r>
            <w:r>
              <w:rPr>
                <w:rFonts w:hint="default" w:ascii="Times New Roman" w:hAnsi="Times New Roman" w:cs="Times New Roman"/>
                <w:color w:val="auto"/>
              </w:rPr>
              <w:t>⑤</w:t>
            </w:r>
            <w:r>
              <w:rPr>
                <w:rFonts w:hint="default" w:ascii="Times New Roman" w:hAnsi="Times New Roman" w:cs="Times New Roman"/>
                <w:color w:val="auto"/>
              </w:rPr>
              <w:fldChar w:fldCharType="end"/>
            </w:r>
            <w:r>
              <w:rPr>
                <w:rFonts w:hint="default" w:ascii="Times New Roman" w:hAnsi="Times New Roman" w:cs="Times New Roman"/>
                <w:color w:val="auto"/>
              </w:rPr>
              <w:t>其他火源。</w:t>
            </w:r>
          </w:p>
          <w:p w14:paraId="09312A17">
            <w:pPr>
              <w:pStyle w:val="31"/>
              <w:bidi w:val="0"/>
              <w:jc w:val="left"/>
              <w:rPr>
                <w:rFonts w:hint="default" w:ascii="Times New Roman" w:hAnsi="Times New Roman" w:cs="Times New Roman"/>
                <w:color w:val="auto"/>
              </w:rPr>
            </w:pPr>
            <w:r>
              <w:rPr>
                <w:rFonts w:hint="default" w:ascii="Times New Roman" w:hAnsi="Times New Roman" w:cs="Times New Roman"/>
                <w:color w:val="auto"/>
              </w:rPr>
              <w:t>2、火花：</w:t>
            </w:r>
          </w:p>
          <w:p w14:paraId="2893772E">
            <w:pPr>
              <w:pStyle w:val="31"/>
              <w:bidi w:val="0"/>
              <w:jc w:val="left"/>
              <w:rPr>
                <w:rFonts w:hint="default" w:ascii="Times New Roman" w:hAnsi="Times New Roman" w:cs="Times New Roman"/>
                <w:color w:val="auto"/>
              </w:rPr>
            </w:pPr>
            <w:r>
              <w:rPr>
                <w:rFonts w:hint="default" w:ascii="Times New Roman" w:hAnsi="Times New Roman" w:cs="Times New Roman"/>
                <w:color w:val="auto"/>
              </w:rPr>
              <w:t>①使用钢制工具作业产生撞击火花；②电器火花，防爆电器质量不好，电缆接头不良；③静电火花，管道跨接不良等。</w:t>
            </w:r>
          </w:p>
          <w:p w14:paraId="463AF714">
            <w:pPr>
              <w:pStyle w:val="31"/>
              <w:bidi w:val="0"/>
              <w:jc w:val="left"/>
              <w:rPr>
                <w:rFonts w:hint="default" w:ascii="Times New Roman" w:hAnsi="Times New Roman" w:cs="Times New Roman"/>
                <w:color w:val="auto"/>
              </w:rPr>
            </w:pPr>
            <w:r>
              <w:rPr>
                <w:rFonts w:hint="default" w:ascii="Times New Roman" w:hAnsi="Times New Roman" w:cs="Times New Roman"/>
                <w:color w:val="auto"/>
              </w:rPr>
              <w:t>3、高温、高热。</w:t>
            </w:r>
          </w:p>
        </w:tc>
      </w:tr>
    </w:tbl>
    <w:p w14:paraId="5DF117AB">
      <w:pPr>
        <w:pStyle w:val="30"/>
        <w:keepNext w:val="0"/>
        <w:keepLines w:val="0"/>
        <w:pageBreakBefore w:val="0"/>
        <w:widowControl w:val="0"/>
        <w:kinsoku/>
        <w:wordWrap/>
        <w:overflowPunct/>
        <w:topLinePunct w:val="0"/>
        <w:autoSpaceDE/>
        <w:autoSpaceDN/>
        <w:bidi w:val="0"/>
        <w:adjustRightInd w:val="0"/>
        <w:snapToGrid w:val="0"/>
        <w:spacing w:before="161" w:beforeLines="50"/>
        <w:ind w:firstLine="0" w:firstLineChars="0"/>
        <w:textAlignment w:val="auto"/>
        <w:rPr>
          <w:rFonts w:hint="default" w:ascii="Times New Roman" w:hAnsi="Times New Roman" w:eastAsia="宋体" w:cs="Times New Roman"/>
          <w:color w:val="auto"/>
        </w:rPr>
      </w:pPr>
      <w:bookmarkStart w:id="79" w:name="_Toc509842610"/>
      <w:bookmarkStart w:id="80" w:name="_Toc225904267"/>
      <w:bookmarkStart w:id="81" w:name="_Toc186690696"/>
      <w:r>
        <w:rPr>
          <w:rFonts w:hint="default" w:ascii="Times New Roman" w:hAnsi="Times New Roman" w:eastAsia="宋体" w:cs="Times New Roman"/>
          <w:color w:val="auto"/>
        </w:rPr>
        <w:t>表5.2-1</w:t>
      </w:r>
      <w:r>
        <w:rPr>
          <w:rFonts w:hint="eastAsia" w:eastAsia="宋体" w:cs="Times New Roman"/>
          <w:color w:val="auto"/>
          <w:lang w:val="en-US" w:eastAsia="zh-CN"/>
        </w:rPr>
        <w:t>爆炸</w:t>
      </w:r>
      <w:r>
        <w:rPr>
          <w:rFonts w:hint="default" w:ascii="Times New Roman" w:hAnsi="Times New Roman" w:eastAsia="宋体" w:cs="Times New Roman"/>
          <w:color w:val="auto"/>
        </w:rPr>
        <w:t>事故发生的条件</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45"/>
        <w:gridCol w:w="2798"/>
        <w:gridCol w:w="3354"/>
      </w:tblGrid>
      <w:tr w14:paraId="3B483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726" w:type="pct"/>
            <w:tcBorders>
              <w:tl2br w:val="nil"/>
              <w:tr2bl w:val="nil"/>
            </w:tcBorders>
            <w:noWrap w:val="0"/>
            <w:vAlign w:val="center"/>
          </w:tcPr>
          <w:p w14:paraId="23132181">
            <w:pPr>
              <w:adjustRightInd w:val="0"/>
              <w:snapToGrid w:val="0"/>
              <w:spacing w:before="63" w:beforeLines="20" w:after="63" w:afterLines="20"/>
              <w:jc w:val="center"/>
              <w:rPr>
                <w:rFonts w:hint="default" w:ascii="Times New Roman" w:hAnsi="Times New Roman" w:eastAsia="Times New Roman" w:cs="Times New Roman"/>
                <w:b/>
                <w:color w:val="auto"/>
                <w:sz w:val="21"/>
                <w:szCs w:val="22"/>
              </w:rPr>
            </w:pPr>
            <w:r>
              <w:rPr>
                <w:rFonts w:hint="default" w:ascii="Times New Roman" w:hAnsi="Times New Roman" w:cs="Times New Roman"/>
                <w:b/>
                <w:color w:val="auto"/>
                <w:sz w:val="21"/>
                <w:szCs w:val="22"/>
              </w:rPr>
              <w:t>可燃物质泄漏</w:t>
            </w:r>
          </w:p>
        </w:tc>
        <w:tc>
          <w:tcPr>
            <w:tcW w:w="1488" w:type="pct"/>
            <w:tcBorders>
              <w:tl2br w:val="nil"/>
              <w:tr2bl w:val="nil"/>
            </w:tcBorders>
            <w:noWrap w:val="0"/>
            <w:vAlign w:val="center"/>
          </w:tcPr>
          <w:p w14:paraId="614E1575">
            <w:pPr>
              <w:adjustRightInd w:val="0"/>
              <w:snapToGrid w:val="0"/>
              <w:spacing w:before="63" w:beforeLines="20" w:after="63" w:afterLines="20"/>
              <w:jc w:val="center"/>
              <w:rPr>
                <w:rFonts w:hint="default" w:ascii="Times New Roman" w:hAnsi="Times New Roman" w:eastAsia="Times New Roman" w:cs="Times New Roman"/>
                <w:b/>
                <w:color w:val="auto"/>
                <w:sz w:val="21"/>
                <w:szCs w:val="22"/>
              </w:rPr>
            </w:pPr>
            <w:r>
              <w:rPr>
                <w:rFonts w:hint="default" w:ascii="Times New Roman" w:hAnsi="Times New Roman" w:cs="Times New Roman"/>
                <w:b/>
                <w:color w:val="auto"/>
                <w:sz w:val="21"/>
                <w:szCs w:val="22"/>
              </w:rPr>
              <w:t>存在助燃物质</w:t>
            </w:r>
          </w:p>
        </w:tc>
        <w:tc>
          <w:tcPr>
            <w:tcW w:w="1784" w:type="pct"/>
            <w:tcBorders>
              <w:tl2br w:val="nil"/>
              <w:tr2bl w:val="nil"/>
            </w:tcBorders>
            <w:noWrap w:val="0"/>
            <w:vAlign w:val="center"/>
          </w:tcPr>
          <w:p w14:paraId="59DDEC6A">
            <w:pPr>
              <w:adjustRightInd w:val="0"/>
              <w:snapToGrid w:val="0"/>
              <w:spacing w:before="63" w:beforeLines="20" w:after="63" w:afterLines="20"/>
              <w:jc w:val="center"/>
              <w:rPr>
                <w:rFonts w:hint="default" w:ascii="Times New Roman" w:hAnsi="Times New Roman" w:eastAsia="Times New Roman" w:cs="Times New Roman"/>
                <w:b/>
                <w:color w:val="auto"/>
                <w:sz w:val="21"/>
                <w:szCs w:val="22"/>
              </w:rPr>
            </w:pPr>
            <w:r>
              <w:rPr>
                <w:rFonts w:hint="default" w:ascii="Times New Roman" w:hAnsi="Times New Roman" w:cs="Times New Roman"/>
                <w:b/>
                <w:color w:val="auto"/>
                <w:sz w:val="21"/>
                <w:szCs w:val="22"/>
              </w:rPr>
              <w:t>存在点火源</w:t>
            </w:r>
          </w:p>
        </w:tc>
      </w:tr>
      <w:tr w14:paraId="6E6569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6" w:type="pct"/>
            <w:tcBorders>
              <w:tl2br w:val="nil"/>
              <w:tr2bl w:val="nil"/>
            </w:tcBorders>
            <w:noWrap w:val="0"/>
            <w:vAlign w:val="center"/>
          </w:tcPr>
          <w:p w14:paraId="2A5BE363">
            <w:pPr>
              <w:pStyle w:val="31"/>
              <w:bidi w:val="0"/>
              <w:jc w:val="left"/>
              <w:rPr>
                <w:rFonts w:hint="default" w:ascii="Times New Roman" w:hAnsi="Times New Roman" w:cs="Times New Roman"/>
                <w:color w:val="auto"/>
              </w:rPr>
            </w:pPr>
            <w:r>
              <w:rPr>
                <w:rFonts w:hint="default" w:ascii="Times New Roman" w:hAnsi="Times New Roman" w:cs="Times New Roman"/>
                <w:color w:val="auto"/>
              </w:rPr>
              <w:t>1、设备与管线泄漏：</w:t>
            </w:r>
          </w:p>
          <w:p w14:paraId="3B973770">
            <w:pPr>
              <w:pStyle w:val="31"/>
              <w:bidi w:val="0"/>
              <w:jc w:val="left"/>
              <w:rPr>
                <w:rFonts w:hint="default" w:ascii="Times New Roman" w:hAnsi="Times New Roman" w:cs="Times New Roman"/>
                <w:color w:val="auto"/>
              </w:rPr>
            </w:pPr>
            <w:r>
              <w:rPr>
                <w:rFonts w:hint="default" w:ascii="Times New Roman" w:hAnsi="Times New Roman" w:cs="Times New Roman"/>
                <w:color w:val="auto"/>
              </w:rPr>
              <w:t>①由于热力作用、材料腐蚀造成穿孔；</w:t>
            </w:r>
          </w:p>
          <w:p w14:paraId="72454174">
            <w:pPr>
              <w:pStyle w:val="31"/>
              <w:bidi w:val="0"/>
              <w:jc w:val="left"/>
              <w:rPr>
                <w:rFonts w:hint="default" w:ascii="Times New Roman" w:hAnsi="Times New Roman" w:cs="Times New Roman"/>
                <w:color w:val="auto"/>
              </w:rPr>
            </w:pPr>
            <w:r>
              <w:rPr>
                <w:rFonts w:hint="default" w:ascii="Times New Roman" w:hAnsi="Times New Roman" w:cs="Times New Roman"/>
                <w:color w:val="auto"/>
              </w:rPr>
              <w:t>②焊缝开裂出现裂纹；</w:t>
            </w:r>
          </w:p>
          <w:p w14:paraId="00816377">
            <w:pPr>
              <w:pStyle w:val="31"/>
              <w:bidi w:val="0"/>
              <w:jc w:val="left"/>
              <w:rPr>
                <w:rFonts w:hint="default" w:ascii="Times New Roman" w:hAnsi="Times New Roman" w:cs="Times New Roman"/>
                <w:color w:val="auto"/>
              </w:rPr>
            </w:pPr>
            <w:r>
              <w:rPr>
                <w:rFonts w:hint="default" w:ascii="Times New Roman" w:hAnsi="Times New Roman" w:cs="Times New Roman"/>
                <w:color w:val="auto"/>
              </w:rPr>
              <w:t>③外力破坏引起的泄漏事故；</w:t>
            </w:r>
          </w:p>
          <w:p w14:paraId="07A84173">
            <w:pPr>
              <w:pStyle w:val="31"/>
              <w:bidi w:val="0"/>
              <w:jc w:val="left"/>
              <w:rPr>
                <w:rFonts w:hint="default" w:ascii="Times New Roman" w:hAnsi="Times New Roman" w:cs="Times New Roman"/>
                <w:color w:val="auto"/>
              </w:rPr>
            </w:pPr>
            <w:r>
              <w:rPr>
                <w:rFonts w:hint="default" w:ascii="Times New Roman" w:hAnsi="Times New Roman" w:cs="Times New Roman"/>
                <w:color w:val="auto"/>
              </w:rPr>
              <w:t>④工质量差；</w:t>
            </w:r>
          </w:p>
          <w:p w14:paraId="38EBC5EF">
            <w:pPr>
              <w:pStyle w:val="31"/>
              <w:bidi w:val="0"/>
              <w:jc w:val="left"/>
              <w:rPr>
                <w:rFonts w:hint="default" w:ascii="Times New Roman" w:hAnsi="Times New Roman" w:cs="Times New Roman"/>
                <w:color w:val="auto"/>
              </w:rPr>
            </w:pPr>
            <w:r>
              <w:rPr>
                <w:rFonts w:hint="default" w:ascii="Times New Roman" w:hAnsi="Times New Roman" w:cs="Times New Roman"/>
                <w:color w:val="auto"/>
              </w:rPr>
              <w:t>⑤管材质量差。</w:t>
            </w:r>
          </w:p>
          <w:p w14:paraId="3DE95F5C">
            <w:pPr>
              <w:pStyle w:val="31"/>
              <w:bidi w:val="0"/>
              <w:jc w:val="left"/>
              <w:rPr>
                <w:rFonts w:hint="default" w:ascii="Times New Roman" w:hAnsi="Times New Roman" w:cs="Times New Roman"/>
                <w:color w:val="auto"/>
              </w:rPr>
            </w:pPr>
            <w:r>
              <w:rPr>
                <w:rFonts w:hint="default" w:ascii="Times New Roman" w:hAnsi="Times New Roman" w:cs="Times New Roman"/>
                <w:color w:val="auto"/>
              </w:rPr>
              <w:t>2、阀门、法兰泄漏：</w:t>
            </w:r>
          </w:p>
          <w:p w14:paraId="5E676A3A">
            <w:pPr>
              <w:pStyle w:val="31"/>
              <w:bidi w:val="0"/>
              <w:jc w:val="left"/>
              <w:rPr>
                <w:rFonts w:hint="default" w:ascii="Times New Roman" w:hAnsi="Times New Roman" w:cs="Times New Roman"/>
                <w:color w:val="auto"/>
              </w:rPr>
            </w:pPr>
            <w:r>
              <w:rPr>
                <w:rFonts w:hint="default" w:ascii="Times New Roman" w:hAnsi="Times New Roman" w:cs="Times New Roman"/>
                <w:color w:val="auto"/>
              </w:rPr>
              <w:t>①机泵长期运转造成密封泄漏；</w:t>
            </w:r>
          </w:p>
          <w:p w14:paraId="3A8BF4B8">
            <w:pPr>
              <w:pStyle w:val="31"/>
              <w:bidi w:val="0"/>
              <w:jc w:val="left"/>
              <w:rPr>
                <w:rFonts w:hint="default" w:ascii="Times New Roman" w:hAnsi="Times New Roman" w:cs="Times New Roman"/>
                <w:color w:val="auto"/>
              </w:rPr>
            </w:pPr>
            <w:r>
              <w:rPr>
                <w:rFonts w:hint="default" w:ascii="Times New Roman" w:hAnsi="Times New Roman" w:cs="Times New Roman"/>
                <w:color w:val="auto"/>
              </w:rPr>
              <w:t>②法兰垫片破损或选材不当；</w:t>
            </w:r>
          </w:p>
          <w:p w14:paraId="35B86516">
            <w:pPr>
              <w:pStyle w:val="31"/>
              <w:bidi w:val="0"/>
              <w:jc w:val="left"/>
              <w:rPr>
                <w:rFonts w:hint="default" w:ascii="Times New Roman" w:hAnsi="Times New Roman" w:cs="Times New Roman"/>
                <w:color w:val="auto"/>
              </w:rPr>
            </w:pPr>
            <w:r>
              <w:rPr>
                <w:rFonts w:hint="default" w:ascii="Times New Roman" w:hAnsi="Times New Roman" w:cs="Times New Roman"/>
                <w:color w:val="auto"/>
              </w:rPr>
              <w:t>③安装不当；</w:t>
            </w:r>
          </w:p>
          <w:p w14:paraId="6EFB1282">
            <w:pPr>
              <w:pStyle w:val="31"/>
              <w:bidi w:val="0"/>
              <w:jc w:val="left"/>
              <w:rPr>
                <w:rFonts w:hint="default" w:ascii="Times New Roman" w:hAnsi="Times New Roman" w:cs="Times New Roman"/>
                <w:color w:val="auto"/>
              </w:rPr>
            </w:pPr>
            <w:r>
              <w:rPr>
                <w:rFonts w:hint="default" w:ascii="Times New Roman" w:hAnsi="Times New Roman" w:cs="Times New Roman"/>
                <w:color w:val="auto"/>
              </w:rPr>
              <w:t>④易发部位：机泵各设备进出口阀门。</w:t>
            </w:r>
          </w:p>
          <w:p w14:paraId="2A280FC8">
            <w:pPr>
              <w:pStyle w:val="31"/>
              <w:bidi w:val="0"/>
              <w:jc w:val="left"/>
              <w:rPr>
                <w:rFonts w:hint="default" w:ascii="Times New Roman" w:hAnsi="Times New Roman" w:cs="Times New Roman"/>
                <w:color w:val="auto"/>
              </w:rPr>
            </w:pPr>
            <w:r>
              <w:rPr>
                <w:rFonts w:hint="default" w:ascii="Times New Roman" w:hAnsi="Times New Roman" w:cs="Times New Roman"/>
                <w:color w:val="auto"/>
              </w:rPr>
              <w:t>3、包装容器发生破损泄漏。</w:t>
            </w:r>
          </w:p>
        </w:tc>
        <w:tc>
          <w:tcPr>
            <w:tcW w:w="1488" w:type="pct"/>
            <w:tcBorders>
              <w:tl2br w:val="nil"/>
              <w:tr2bl w:val="nil"/>
            </w:tcBorders>
            <w:noWrap w:val="0"/>
            <w:vAlign w:val="center"/>
          </w:tcPr>
          <w:p w14:paraId="26B96AE7">
            <w:pPr>
              <w:pStyle w:val="31"/>
              <w:bidi w:val="0"/>
              <w:jc w:val="left"/>
              <w:rPr>
                <w:rFonts w:hint="default" w:ascii="Times New Roman" w:hAnsi="Times New Roman" w:cs="Times New Roman"/>
                <w:color w:val="auto"/>
                <w:lang w:val="en-US"/>
              </w:rPr>
            </w:pPr>
            <w:r>
              <w:rPr>
                <w:rFonts w:hint="eastAsia"/>
                <w:color w:val="auto"/>
                <w:lang w:val="en-US" w:eastAsia="zh-CN"/>
              </w:rPr>
              <w:t>易燃易爆物质（如油气等）泄漏，与空气混合达到一定比例（处于爆炸极限范围内），遇高温或者明火、静电等点火源。</w:t>
            </w:r>
          </w:p>
        </w:tc>
        <w:tc>
          <w:tcPr>
            <w:tcW w:w="1784" w:type="pct"/>
            <w:tcBorders>
              <w:tl2br w:val="nil"/>
              <w:tr2bl w:val="nil"/>
            </w:tcBorders>
            <w:noWrap w:val="0"/>
            <w:vAlign w:val="center"/>
          </w:tcPr>
          <w:p w14:paraId="3BFC84E7">
            <w:pPr>
              <w:pStyle w:val="31"/>
              <w:bidi w:val="0"/>
              <w:jc w:val="left"/>
              <w:rPr>
                <w:rFonts w:hint="default" w:ascii="Times New Roman" w:hAnsi="Times New Roman" w:cs="Times New Roman"/>
                <w:color w:val="auto"/>
              </w:rPr>
            </w:pPr>
            <w:r>
              <w:rPr>
                <w:rFonts w:hint="default" w:ascii="Times New Roman" w:hAnsi="Times New Roman" w:cs="Times New Roman"/>
                <w:color w:val="auto"/>
              </w:rPr>
              <w:t>存在点火源：</w:t>
            </w:r>
          </w:p>
          <w:p w14:paraId="0AE28AF3">
            <w:pPr>
              <w:pStyle w:val="31"/>
              <w:bidi w:val="0"/>
              <w:jc w:val="left"/>
              <w:rPr>
                <w:rFonts w:hint="default" w:ascii="Times New Roman" w:hAnsi="Times New Roman" w:cs="Times New Roman"/>
                <w:color w:val="auto"/>
              </w:rPr>
            </w:pPr>
            <w:r>
              <w:rPr>
                <w:rFonts w:hint="default" w:ascii="Times New Roman" w:hAnsi="Times New Roman" w:cs="Times New Roman"/>
                <w:color w:val="auto"/>
              </w:rPr>
              <w:t>1、明火源：</w:t>
            </w:r>
          </w:p>
          <w:p w14:paraId="0370CB1F">
            <w:pPr>
              <w:pStyle w:val="31"/>
              <w:bidi w:val="0"/>
              <w:jc w:val="left"/>
              <w:rPr>
                <w:rFonts w:hint="default" w:ascii="Times New Roman" w:hAnsi="Times New Roman" w:cs="Times New Roman"/>
                <w:color w:val="auto"/>
              </w:rPr>
            </w:pPr>
            <w:r>
              <w:rPr>
                <w:rFonts w:hint="default" w:ascii="Times New Roman" w:hAnsi="Times New Roman" w:cs="Times New Roman"/>
                <w:color w:val="auto"/>
              </w:rPr>
              <w:t>①点火吸烟；②焊接或维修设备时违章动火；③外来人员带入火种；④雷击；</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5 \* GB3 </w:instrText>
            </w:r>
            <w:r>
              <w:rPr>
                <w:rFonts w:hint="default" w:ascii="Times New Roman" w:hAnsi="Times New Roman" w:cs="Times New Roman"/>
                <w:color w:val="auto"/>
              </w:rPr>
              <w:fldChar w:fldCharType="separate"/>
            </w:r>
            <w:r>
              <w:rPr>
                <w:rFonts w:hint="default" w:ascii="Times New Roman" w:hAnsi="Times New Roman" w:cs="Times New Roman"/>
                <w:color w:val="auto"/>
              </w:rPr>
              <w:t>⑤</w:t>
            </w:r>
            <w:r>
              <w:rPr>
                <w:rFonts w:hint="default" w:ascii="Times New Roman" w:hAnsi="Times New Roman" w:cs="Times New Roman"/>
                <w:color w:val="auto"/>
              </w:rPr>
              <w:fldChar w:fldCharType="end"/>
            </w:r>
            <w:r>
              <w:rPr>
                <w:rFonts w:hint="default" w:ascii="Times New Roman" w:hAnsi="Times New Roman" w:cs="Times New Roman"/>
                <w:color w:val="auto"/>
              </w:rPr>
              <w:t>其他火源。</w:t>
            </w:r>
          </w:p>
          <w:p w14:paraId="5560612B">
            <w:pPr>
              <w:pStyle w:val="31"/>
              <w:bidi w:val="0"/>
              <w:jc w:val="left"/>
              <w:rPr>
                <w:rFonts w:hint="default" w:ascii="Times New Roman" w:hAnsi="Times New Roman" w:cs="Times New Roman"/>
                <w:color w:val="auto"/>
              </w:rPr>
            </w:pPr>
            <w:r>
              <w:rPr>
                <w:rFonts w:hint="default" w:ascii="Times New Roman" w:hAnsi="Times New Roman" w:cs="Times New Roman"/>
                <w:color w:val="auto"/>
              </w:rPr>
              <w:t>2、火花：</w:t>
            </w:r>
          </w:p>
          <w:p w14:paraId="2B1F2DEA">
            <w:pPr>
              <w:pStyle w:val="31"/>
              <w:bidi w:val="0"/>
              <w:jc w:val="left"/>
              <w:rPr>
                <w:rFonts w:hint="default" w:ascii="Times New Roman" w:hAnsi="Times New Roman" w:cs="Times New Roman"/>
                <w:color w:val="auto"/>
              </w:rPr>
            </w:pPr>
            <w:r>
              <w:rPr>
                <w:rFonts w:hint="default" w:ascii="Times New Roman" w:hAnsi="Times New Roman" w:cs="Times New Roman"/>
                <w:color w:val="auto"/>
              </w:rPr>
              <w:t>①使用钢制工具作业产生撞击火花；②电器火花，防爆电器质量不好，电缆接头不良；③静电火花，管道跨接不良等。</w:t>
            </w:r>
          </w:p>
          <w:p w14:paraId="4464159D">
            <w:pPr>
              <w:pStyle w:val="31"/>
              <w:bidi w:val="0"/>
              <w:jc w:val="left"/>
              <w:rPr>
                <w:rFonts w:hint="default" w:ascii="Times New Roman" w:hAnsi="Times New Roman" w:cs="Times New Roman"/>
                <w:color w:val="auto"/>
              </w:rPr>
            </w:pPr>
            <w:r>
              <w:rPr>
                <w:rFonts w:hint="default" w:ascii="Times New Roman" w:hAnsi="Times New Roman" w:cs="Times New Roman"/>
                <w:color w:val="auto"/>
              </w:rPr>
              <w:t>3、高温、高热。</w:t>
            </w:r>
          </w:p>
        </w:tc>
      </w:tr>
    </w:tbl>
    <w:p w14:paraId="515D2A76">
      <w:pPr>
        <w:pStyle w:val="3"/>
        <w:bidi w:val="0"/>
        <w:rPr>
          <w:rFonts w:hint="default" w:ascii="Times New Roman" w:hAnsi="Times New Roman" w:cs="Times New Roman"/>
          <w:color w:val="auto"/>
        </w:rPr>
      </w:pPr>
      <w:bookmarkStart w:id="82" w:name="_Toc16591"/>
      <w:r>
        <w:rPr>
          <w:rFonts w:hint="default" w:ascii="Times New Roman" w:hAnsi="Times New Roman" w:cs="Times New Roman"/>
          <w:color w:val="auto"/>
        </w:rPr>
        <w:t>定性、定量评价结果</w:t>
      </w:r>
      <w:bookmarkEnd w:id="79"/>
      <w:bookmarkEnd w:id="80"/>
      <w:bookmarkEnd w:id="82"/>
    </w:p>
    <w:bookmarkEnd w:id="81"/>
    <w:p w14:paraId="7C36982C">
      <w:pPr>
        <w:pStyle w:val="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5.3.1</w:t>
      </w:r>
      <w:r>
        <w:rPr>
          <w:rFonts w:hint="default" w:ascii="Times New Roman" w:hAnsi="Times New Roman" w:eastAsia="黑体" w:cs="Times New Roman"/>
          <w:color w:val="auto"/>
          <w:sz w:val="28"/>
          <w:szCs w:val="28"/>
        </w:rPr>
        <w:t>安全检查表评价结果</w:t>
      </w:r>
    </w:p>
    <w:p w14:paraId="4F074A98">
      <w:pPr>
        <w:pStyle w:val="6"/>
        <w:bidi w:val="0"/>
        <w:rPr>
          <w:rFonts w:hint="default" w:ascii="Times New Roman" w:hAnsi="Times New Roman" w:cs="Times New Roman"/>
          <w:color w:val="auto"/>
        </w:rPr>
      </w:pPr>
      <w:r>
        <w:rPr>
          <w:rFonts w:hint="default" w:ascii="Times New Roman" w:hAnsi="Times New Roman" w:cs="Times New Roman"/>
          <w:color w:val="auto"/>
        </w:rPr>
        <w:t>采用安全检查表法对石油化工总厂储运二部装卸车</w:t>
      </w:r>
      <w:r>
        <w:rPr>
          <w:rFonts w:hint="eastAsia" w:cs="Times New Roman"/>
          <w:color w:val="auto"/>
          <w:lang w:val="en-US" w:eastAsia="zh-CN"/>
        </w:rPr>
        <w:t>废气</w:t>
      </w:r>
      <w:r>
        <w:rPr>
          <w:rFonts w:hint="default" w:ascii="Times New Roman" w:hAnsi="Times New Roman" w:cs="Times New Roman"/>
          <w:color w:val="auto"/>
        </w:rPr>
        <w:t>治理项目的</w:t>
      </w:r>
      <w:r>
        <w:rPr>
          <w:rFonts w:hint="default" w:ascii="Times New Roman" w:hAnsi="Times New Roman" w:cs="Times New Roman"/>
          <w:color w:val="auto"/>
          <w:lang w:val="en-US" w:eastAsia="zh-CN"/>
        </w:rPr>
        <w:t>3</w:t>
      </w:r>
      <w:r>
        <w:rPr>
          <w:rFonts w:hint="default" w:ascii="Times New Roman" w:hAnsi="Times New Roman" w:cs="Times New Roman"/>
          <w:color w:val="auto"/>
        </w:rPr>
        <w:t>个单元中采取的措施情况进行检查、分析、评价。评价结果汇总如下：</w:t>
      </w:r>
    </w:p>
    <w:p w14:paraId="358FCE0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表5.3-1  安全检查表评价结果汇总表</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8"/>
        <w:gridCol w:w="2123"/>
        <w:gridCol w:w="1899"/>
        <w:gridCol w:w="2029"/>
        <w:gridCol w:w="1428"/>
      </w:tblGrid>
      <w:tr w14:paraId="6E4AF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020" w:type="pct"/>
            <w:tcBorders>
              <w:tl2br w:val="nil"/>
              <w:tr2bl w:val="nil"/>
            </w:tcBorders>
            <w:noWrap w:val="0"/>
            <w:vAlign w:val="center"/>
          </w:tcPr>
          <w:p w14:paraId="6AD76EF9">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单元</w:t>
            </w:r>
          </w:p>
        </w:tc>
        <w:tc>
          <w:tcPr>
            <w:tcW w:w="1129" w:type="pct"/>
            <w:tcBorders>
              <w:tl2br w:val="nil"/>
              <w:tr2bl w:val="nil"/>
            </w:tcBorders>
            <w:noWrap w:val="0"/>
            <w:vAlign w:val="center"/>
          </w:tcPr>
          <w:p w14:paraId="1D9FB4D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项目选址及总平面布置单元</w:t>
            </w:r>
          </w:p>
        </w:tc>
        <w:tc>
          <w:tcPr>
            <w:tcW w:w="1010" w:type="pct"/>
            <w:tcBorders>
              <w:tl2br w:val="nil"/>
              <w:tr2bl w:val="nil"/>
            </w:tcBorders>
            <w:noWrap w:val="0"/>
            <w:vAlign w:val="center"/>
          </w:tcPr>
          <w:p w14:paraId="5D38E244">
            <w:pPr>
              <w:pStyle w:val="31"/>
              <w:bidi w:val="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工艺及设备设施单元</w:t>
            </w:r>
          </w:p>
        </w:tc>
        <w:tc>
          <w:tcPr>
            <w:tcW w:w="1079" w:type="pct"/>
            <w:tcBorders>
              <w:tl2br w:val="nil"/>
              <w:tr2bl w:val="nil"/>
            </w:tcBorders>
            <w:noWrap w:val="0"/>
            <w:vAlign w:val="center"/>
          </w:tcPr>
          <w:p w14:paraId="7181D64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公用工程及辅助设施单元</w:t>
            </w:r>
          </w:p>
        </w:tc>
        <w:tc>
          <w:tcPr>
            <w:tcW w:w="759" w:type="pct"/>
            <w:tcBorders>
              <w:tl2br w:val="nil"/>
              <w:tr2bl w:val="nil"/>
            </w:tcBorders>
            <w:noWrap w:val="0"/>
            <w:vAlign w:val="center"/>
          </w:tcPr>
          <w:p w14:paraId="685C90A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合计</w:t>
            </w:r>
          </w:p>
        </w:tc>
      </w:tr>
      <w:tr w14:paraId="5550EF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20" w:type="pct"/>
            <w:tcBorders>
              <w:tl2br w:val="nil"/>
              <w:tr2bl w:val="nil"/>
            </w:tcBorders>
            <w:noWrap w:val="0"/>
            <w:vAlign w:val="center"/>
          </w:tcPr>
          <w:p w14:paraId="4FAC5B08">
            <w:pPr>
              <w:pStyle w:val="31"/>
              <w:bidi w:val="0"/>
              <w:rPr>
                <w:rFonts w:hint="default" w:ascii="Times New Roman" w:hAnsi="Times New Roman" w:cs="Times New Roman"/>
                <w:color w:val="auto"/>
              </w:rPr>
            </w:pPr>
            <w:r>
              <w:rPr>
                <w:rFonts w:hint="default" w:ascii="Times New Roman" w:hAnsi="Times New Roman" w:cs="Times New Roman"/>
                <w:color w:val="auto"/>
              </w:rPr>
              <w:t>总检查项数</w:t>
            </w:r>
          </w:p>
        </w:tc>
        <w:tc>
          <w:tcPr>
            <w:tcW w:w="1129" w:type="pct"/>
            <w:tcBorders>
              <w:tl2br w:val="nil"/>
              <w:tr2bl w:val="nil"/>
            </w:tcBorders>
            <w:noWrap w:val="0"/>
            <w:vAlign w:val="center"/>
          </w:tcPr>
          <w:p w14:paraId="73242757">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25</w:t>
            </w:r>
          </w:p>
        </w:tc>
        <w:tc>
          <w:tcPr>
            <w:tcW w:w="1010" w:type="pct"/>
            <w:tcBorders>
              <w:tl2br w:val="nil"/>
              <w:tr2bl w:val="nil"/>
            </w:tcBorders>
            <w:noWrap w:val="0"/>
            <w:vAlign w:val="center"/>
          </w:tcPr>
          <w:p w14:paraId="3F92D91D">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56</w:t>
            </w:r>
          </w:p>
        </w:tc>
        <w:tc>
          <w:tcPr>
            <w:tcW w:w="1079" w:type="pct"/>
            <w:tcBorders>
              <w:tl2br w:val="nil"/>
              <w:tr2bl w:val="nil"/>
            </w:tcBorders>
            <w:noWrap w:val="0"/>
            <w:vAlign w:val="center"/>
          </w:tcPr>
          <w:p w14:paraId="1E1A3562">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48</w:t>
            </w:r>
          </w:p>
        </w:tc>
        <w:tc>
          <w:tcPr>
            <w:tcW w:w="759" w:type="pct"/>
            <w:tcBorders>
              <w:tl2br w:val="nil"/>
              <w:tr2bl w:val="nil"/>
            </w:tcBorders>
            <w:noWrap w:val="0"/>
            <w:vAlign w:val="center"/>
          </w:tcPr>
          <w:p w14:paraId="0C3DE088">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129</w:t>
            </w:r>
          </w:p>
        </w:tc>
      </w:tr>
      <w:tr w14:paraId="281F34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020" w:type="pct"/>
            <w:tcBorders>
              <w:tl2br w:val="nil"/>
              <w:tr2bl w:val="nil"/>
            </w:tcBorders>
            <w:noWrap w:val="0"/>
            <w:vAlign w:val="center"/>
          </w:tcPr>
          <w:p w14:paraId="12444E22">
            <w:pPr>
              <w:pStyle w:val="31"/>
              <w:bidi w:val="0"/>
              <w:rPr>
                <w:rFonts w:hint="default" w:ascii="Times New Roman" w:hAnsi="Times New Roman" w:cs="Times New Roman"/>
                <w:color w:val="auto"/>
              </w:rPr>
            </w:pPr>
            <w:r>
              <w:rPr>
                <w:rFonts w:hint="default" w:ascii="Times New Roman" w:hAnsi="Times New Roman" w:cs="Times New Roman"/>
                <w:color w:val="auto"/>
              </w:rPr>
              <w:t>符合项</w:t>
            </w:r>
          </w:p>
        </w:tc>
        <w:tc>
          <w:tcPr>
            <w:tcW w:w="1129" w:type="pct"/>
            <w:tcBorders>
              <w:tl2br w:val="nil"/>
              <w:tr2bl w:val="nil"/>
            </w:tcBorders>
            <w:noWrap w:val="0"/>
            <w:vAlign w:val="center"/>
          </w:tcPr>
          <w:p w14:paraId="1C463F3F">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23</w:t>
            </w:r>
          </w:p>
        </w:tc>
        <w:tc>
          <w:tcPr>
            <w:tcW w:w="1010" w:type="pct"/>
            <w:tcBorders>
              <w:tl2br w:val="nil"/>
              <w:tr2bl w:val="nil"/>
            </w:tcBorders>
            <w:noWrap w:val="0"/>
            <w:vAlign w:val="center"/>
          </w:tcPr>
          <w:p w14:paraId="1F1FDFC1">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11</w:t>
            </w:r>
          </w:p>
        </w:tc>
        <w:tc>
          <w:tcPr>
            <w:tcW w:w="1079" w:type="pct"/>
            <w:tcBorders>
              <w:tl2br w:val="nil"/>
              <w:tr2bl w:val="nil"/>
            </w:tcBorders>
            <w:noWrap w:val="0"/>
            <w:vAlign w:val="center"/>
          </w:tcPr>
          <w:p w14:paraId="3CF1D89F">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22</w:t>
            </w:r>
          </w:p>
        </w:tc>
        <w:tc>
          <w:tcPr>
            <w:tcW w:w="759" w:type="pct"/>
            <w:tcBorders>
              <w:tl2br w:val="nil"/>
              <w:tr2bl w:val="nil"/>
            </w:tcBorders>
            <w:noWrap w:val="0"/>
            <w:vAlign w:val="center"/>
          </w:tcPr>
          <w:p w14:paraId="18C13E54">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56</w:t>
            </w:r>
          </w:p>
        </w:tc>
      </w:tr>
      <w:tr w14:paraId="1A0FF4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020" w:type="pct"/>
            <w:tcBorders>
              <w:tl2br w:val="nil"/>
              <w:tr2bl w:val="nil"/>
            </w:tcBorders>
            <w:noWrap w:val="0"/>
            <w:vAlign w:val="center"/>
          </w:tcPr>
          <w:p w14:paraId="65CB6E07">
            <w:pPr>
              <w:pStyle w:val="31"/>
              <w:bidi w:val="0"/>
              <w:rPr>
                <w:rFonts w:hint="default" w:ascii="Times New Roman" w:hAnsi="Times New Roman" w:cs="Times New Roman"/>
                <w:color w:val="auto"/>
              </w:rPr>
            </w:pPr>
            <w:r>
              <w:rPr>
                <w:rFonts w:hint="default" w:ascii="Times New Roman" w:hAnsi="Times New Roman" w:cs="Times New Roman"/>
                <w:color w:val="auto"/>
              </w:rPr>
              <w:t>不符合项</w:t>
            </w:r>
          </w:p>
        </w:tc>
        <w:tc>
          <w:tcPr>
            <w:tcW w:w="1129" w:type="pct"/>
            <w:tcBorders>
              <w:tl2br w:val="nil"/>
              <w:tr2bl w:val="nil"/>
            </w:tcBorders>
            <w:noWrap w:val="0"/>
            <w:vAlign w:val="center"/>
          </w:tcPr>
          <w:p w14:paraId="7BDFA674">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0</w:t>
            </w:r>
          </w:p>
        </w:tc>
        <w:tc>
          <w:tcPr>
            <w:tcW w:w="1010" w:type="pct"/>
            <w:tcBorders>
              <w:tl2br w:val="nil"/>
              <w:tr2bl w:val="nil"/>
            </w:tcBorders>
            <w:noWrap w:val="0"/>
            <w:vAlign w:val="center"/>
          </w:tcPr>
          <w:p w14:paraId="7D2AA632">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0</w:t>
            </w:r>
          </w:p>
        </w:tc>
        <w:tc>
          <w:tcPr>
            <w:tcW w:w="1079" w:type="pct"/>
            <w:tcBorders>
              <w:tl2br w:val="nil"/>
              <w:tr2bl w:val="nil"/>
            </w:tcBorders>
            <w:noWrap w:val="0"/>
            <w:vAlign w:val="center"/>
          </w:tcPr>
          <w:p w14:paraId="1272BD38">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1</w:t>
            </w:r>
          </w:p>
        </w:tc>
        <w:tc>
          <w:tcPr>
            <w:tcW w:w="759" w:type="pct"/>
            <w:tcBorders>
              <w:tl2br w:val="nil"/>
              <w:tr2bl w:val="nil"/>
            </w:tcBorders>
            <w:noWrap w:val="0"/>
            <w:vAlign w:val="center"/>
          </w:tcPr>
          <w:p w14:paraId="1457F90F">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1</w:t>
            </w:r>
          </w:p>
        </w:tc>
      </w:tr>
      <w:tr w14:paraId="15796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20" w:type="pct"/>
            <w:tcBorders>
              <w:tl2br w:val="nil"/>
              <w:tr2bl w:val="nil"/>
            </w:tcBorders>
            <w:noWrap w:val="0"/>
            <w:vAlign w:val="center"/>
          </w:tcPr>
          <w:p w14:paraId="087698E2">
            <w:pPr>
              <w:pStyle w:val="31"/>
              <w:bidi w:val="0"/>
              <w:rPr>
                <w:rFonts w:hint="default" w:ascii="Times New Roman" w:hAnsi="Times New Roman" w:cs="Times New Roman"/>
                <w:color w:val="auto"/>
              </w:rPr>
            </w:pPr>
            <w:r>
              <w:rPr>
                <w:rFonts w:hint="default" w:ascii="Times New Roman" w:hAnsi="Times New Roman" w:cs="Times New Roman"/>
                <w:color w:val="auto"/>
              </w:rPr>
              <w:t>未说明项</w:t>
            </w:r>
          </w:p>
        </w:tc>
        <w:tc>
          <w:tcPr>
            <w:tcW w:w="1129" w:type="pct"/>
            <w:tcBorders>
              <w:tl2br w:val="nil"/>
              <w:tr2bl w:val="nil"/>
            </w:tcBorders>
            <w:noWrap w:val="0"/>
            <w:vAlign w:val="center"/>
          </w:tcPr>
          <w:p w14:paraId="74AF597A">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2</w:t>
            </w:r>
          </w:p>
        </w:tc>
        <w:tc>
          <w:tcPr>
            <w:tcW w:w="1010" w:type="pct"/>
            <w:tcBorders>
              <w:tl2br w:val="nil"/>
              <w:tr2bl w:val="nil"/>
            </w:tcBorders>
            <w:noWrap w:val="0"/>
            <w:vAlign w:val="center"/>
          </w:tcPr>
          <w:p w14:paraId="32B3EAAD">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45</w:t>
            </w:r>
          </w:p>
        </w:tc>
        <w:tc>
          <w:tcPr>
            <w:tcW w:w="1079" w:type="pct"/>
            <w:tcBorders>
              <w:tl2br w:val="nil"/>
              <w:tr2bl w:val="nil"/>
            </w:tcBorders>
            <w:noWrap w:val="0"/>
            <w:vAlign w:val="center"/>
          </w:tcPr>
          <w:p w14:paraId="4B035E21">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25</w:t>
            </w:r>
          </w:p>
        </w:tc>
        <w:tc>
          <w:tcPr>
            <w:tcW w:w="759" w:type="pct"/>
            <w:tcBorders>
              <w:tl2br w:val="nil"/>
              <w:tr2bl w:val="nil"/>
            </w:tcBorders>
            <w:noWrap w:val="0"/>
            <w:vAlign w:val="center"/>
          </w:tcPr>
          <w:p w14:paraId="6862CC83">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72</w:t>
            </w:r>
          </w:p>
        </w:tc>
      </w:tr>
    </w:tbl>
    <w:p w14:paraId="1A8EE0C4">
      <w:pPr>
        <w:pStyle w:val="4"/>
        <w:bidi w:val="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xml:space="preserve">5.3.2 </w:t>
      </w:r>
      <w:r>
        <w:rPr>
          <w:rFonts w:hint="default" w:ascii="Times New Roman" w:hAnsi="Times New Roman" w:eastAsia="黑体" w:cs="Times New Roman"/>
          <w:color w:val="auto"/>
          <w:sz w:val="28"/>
          <w:szCs w:val="28"/>
        </w:rPr>
        <w:t>危险度分析评价结果</w:t>
      </w:r>
    </w:p>
    <w:p w14:paraId="14622C44">
      <w:pPr>
        <w:pStyle w:val="6"/>
        <w:bidi w:val="0"/>
        <w:rPr>
          <w:rFonts w:hint="default" w:ascii="Times New Roman" w:hAnsi="Times New Roman" w:cs="Times New Roman"/>
          <w:color w:val="auto"/>
        </w:rPr>
      </w:pPr>
      <w:bookmarkStart w:id="83" w:name="_Hlk505351096"/>
      <w:r>
        <w:rPr>
          <w:rFonts w:hint="default" w:ascii="Times New Roman" w:hAnsi="Times New Roman" w:cs="Times New Roman"/>
          <w:color w:val="auto"/>
        </w:rPr>
        <w:t>根据危险度评价法，</w:t>
      </w:r>
      <w:r>
        <w:rPr>
          <w:rFonts w:hint="eastAsia" w:cs="Times New Roman"/>
          <w:color w:val="auto"/>
          <w:lang w:val="en-US" w:eastAsia="zh-CN"/>
        </w:rPr>
        <w:t>该项目低温吸收塔的危险度等级为</w:t>
      </w:r>
      <w:r>
        <w:rPr>
          <w:rFonts w:hint="default" w:ascii="Times New Roman" w:hAnsi="Times New Roman" w:cs="Times New Roman"/>
          <w:color w:val="auto"/>
          <w:lang w:val="en-US" w:eastAsia="zh-CN"/>
        </w:rPr>
        <w:t>Ⅲ</w:t>
      </w:r>
      <w:r>
        <w:rPr>
          <w:rFonts w:hint="eastAsia" w:ascii="Times New Roman" w:hAnsi="Times New Roman" w:cs="Times New Roman"/>
          <w:color w:val="auto"/>
          <w:lang w:val="en-US" w:eastAsia="zh-CN"/>
        </w:rPr>
        <w:t>级，属于</w:t>
      </w:r>
      <w:r>
        <w:rPr>
          <w:rFonts w:hint="default" w:ascii="Times New Roman" w:hAnsi="Times New Roman" w:cs="Times New Roman"/>
          <w:color w:val="auto"/>
        </w:rPr>
        <w:t>低度危险</w:t>
      </w:r>
      <w:r>
        <w:rPr>
          <w:rFonts w:hint="eastAsia" w:ascii="Times New Roman" w:hAnsi="Times New Roman" w:cs="Times New Roman"/>
          <w:color w:val="auto"/>
          <w:lang w:eastAsia="zh-CN"/>
        </w:rPr>
        <w:t>；</w:t>
      </w:r>
      <w:r>
        <w:rPr>
          <w:rFonts w:hint="default" w:ascii="Times New Roman" w:hAnsi="Times New Roman" w:cs="Times New Roman"/>
          <w:color w:val="auto"/>
        </w:rPr>
        <w:t>脱硫及总烃浓度均化罐的危险度等级为Ⅱ级，属于中度危险</w:t>
      </w:r>
      <w:r>
        <w:rPr>
          <w:rFonts w:hint="eastAsia" w:cs="Times New Roman"/>
          <w:color w:val="auto"/>
          <w:lang w:eastAsia="zh-CN"/>
        </w:rPr>
        <w:t>；</w:t>
      </w:r>
      <w:r>
        <w:rPr>
          <w:rFonts w:hint="default" w:ascii="Times New Roman" w:hAnsi="Times New Roman" w:cs="Times New Roman"/>
          <w:color w:val="auto"/>
        </w:rPr>
        <w:t>蓄热氧化反应器的危险度等级为Ⅰ级，属于高度危险。</w:t>
      </w:r>
    </w:p>
    <w:p w14:paraId="1BC2040D">
      <w:pPr>
        <w:pStyle w:val="6"/>
        <w:bidi w:val="0"/>
        <w:rPr>
          <w:rFonts w:hint="default" w:ascii="Times New Roman" w:hAnsi="Times New Roman" w:cs="Times New Roman"/>
          <w:color w:val="auto"/>
        </w:rPr>
      </w:pPr>
      <w:r>
        <w:rPr>
          <w:rFonts w:hint="default" w:ascii="Times New Roman" w:hAnsi="Times New Roman" w:cs="Times New Roman"/>
          <w:color w:val="auto"/>
        </w:rPr>
        <w:t>储运二部装卸车</w:t>
      </w:r>
      <w:r>
        <w:rPr>
          <w:rFonts w:hint="eastAsia" w:cs="Times New Roman"/>
          <w:color w:val="auto"/>
          <w:lang w:val="en-US" w:eastAsia="zh-CN"/>
        </w:rPr>
        <w:t>废气</w:t>
      </w:r>
      <w:r>
        <w:rPr>
          <w:rFonts w:hint="default" w:ascii="Times New Roman" w:hAnsi="Times New Roman" w:cs="Times New Roman"/>
          <w:color w:val="auto"/>
        </w:rPr>
        <w:t>治理项目的危险度等级为Ⅰ级，属于高度危险。</w:t>
      </w:r>
    </w:p>
    <w:bookmarkEnd w:id="83"/>
    <w:p w14:paraId="3C96E92B">
      <w:pPr>
        <w:pStyle w:val="3"/>
        <w:bidi w:val="0"/>
        <w:rPr>
          <w:rFonts w:hint="default" w:ascii="Times New Roman" w:hAnsi="Times New Roman" w:cs="Times New Roman"/>
          <w:color w:val="auto"/>
        </w:rPr>
      </w:pPr>
      <w:bookmarkStart w:id="84" w:name="_Toc2771"/>
      <w:r>
        <w:rPr>
          <w:rFonts w:hint="default" w:ascii="Times New Roman" w:hAnsi="Times New Roman" w:cs="Times New Roman"/>
          <w:color w:val="auto"/>
        </w:rPr>
        <w:t>事故案例分析</w:t>
      </w:r>
      <w:bookmarkEnd w:id="84"/>
    </w:p>
    <w:p w14:paraId="4AA7D8F0">
      <w:pPr>
        <w:pStyle w:val="4"/>
        <w:bidi w:val="0"/>
        <w:rPr>
          <w:rFonts w:hint="default" w:ascii="Times New Roman" w:hAnsi="Times New Roman" w:cs="Times New Roman"/>
          <w:color w:val="auto"/>
        </w:rPr>
      </w:pPr>
      <w:r>
        <w:rPr>
          <w:rFonts w:hint="default" w:ascii="Times New Roman" w:hAnsi="Times New Roman" w:cs="Times New Roman"/>
          <w:color w:val="auto"/>
        </w:rPr>
        <w:t>山西晋茂能源科技有限公司“9•14”较大中毒事故</w:t>
      </w:r>
    </w:p>
    <w:p w14:paraId="6C150AAB">
      <w:pPr>
        <w:pStyle w:val="6"/>
        <w:bidi w:val="0"/>
        <w:rPr>
          <w:rFonts w:hint="default" w:ascii="Times New Roman" w:hAnsi="Times New Roman" w:cs="Times New Roman"/>
          <w:color w:val="auto"/>
        </w:rPr>
      </w:pPr>
      <w:r>
        <w:rPr>
          <w:rFonts w:hint="default" w:ascii="Times New Roman" w:hAnsi="Times New Roman" w:cs="Times New Roman"/>
          <w:color w:val="auto"/>
        </w:rPr>
        <w:t>1.事故经过</w:t>
      </w:r>
    </w:p>
    <w:p w14:paraId="672B0074">
      <w:pPr>
        <w:pStyle w:val="6"/>
        <w:bidi w:val="0"/>
        <w:rPr>
          <w:rFonts w:hint="default" w:ascii="Times New Roman" w:hAnsi="Times New Roman" w:cs="Times New Roman"/>
          <w:color w:val="auto"/>
        </w:rPr>
      </w:pPr>
      <w:r>
        <w:rPr>
          <w:rFonts w:hint="default" w:ascii="Times New Roman" w:hAnsi="Times New Roman" w:cs="Times New Roman"/>
          <w:color w:val="auto"/>
        </w:rPr>
        <w:t>2020年9月14日8时40分左右，化产车间副主任甲检查VOCs处理系统设备运行情况时发现系统操作工乙在酸洗塔、碱洗塔排液作业过程中倒地，立即呼喊。正在附近进行维修作业的洗涤岗位操作工丙、化产车间设备副主任丁、维修组长戊、维修工己、维修工庚、维修工辛听到呼喊后，维修组长戊、维修工己、维修工辛感到危险迅速撤离现场，洗涤岗位操作工丙、维修工庚、化产车间设备副主任丁3人在施救过程中中毒倒地。正在脱苯蒸馏泵房内巡检的蒸馏岗位操作工壬、洗涤工癸2人发现情况不对后立即跑回控制室，蒸馏岗位操作工壬电话报告化产车间主任子，洗涤工癸电话报告班长丑。化产车间主任子组织当班班长丑、蒸馏工壬、电工寅等人员佩戴空气呼吸器去事故现场将倒地的5人抬离现场，并组织进行了急救，期间化产车间主任子于9时22分拨打120急救电话求救，并用对讲机将事故情况向公司法人代表汇报。上午9时40分，孝义市人民医院3辆救护车赶到事故现场，将5名中毒人员送往医院进行抢救，系统操作工乙、化产车间副主任甲、化产车间设备副主任丁、维修工庚4人经抢救无效死亡。</w:t>
      </w:r>
    </w:p>
    <w:p w14:paraId="132ABD05">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w:t>
      </w:r>
      <w:r>
        <w:rPr>
          <w:rFonts w:hint="default" w:ascii="Times New Roman" w:hAnsi="Times New Roman" w:cs="Times New Roman"/>
          <w:color w:val="auto"/>
        </w:rPr>
        <w:t>事故原因</w:t>
      </w:r>
    </w:p>
    <w:p w14:paraId="1AEA3DF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1）直接原因</w:t>
      </w:r>
    </w:p>
    <w:p w14:paraId="0B3C46F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违规操作，盲目施救。化产车间VOCs岗位操作工乙未按操作规程作业，在将酸洗塔废液排入地槽后，未将地下槽内的废液转输至焦油氨水机械化澄清槽内，也未确认地槽内废液的pH值，直接打开废酸液排放阀门排液。地下槽内发生化学反应生成大量有毒气体（硫化氢）并迅速扩散至地面，致其中毒。正在进行维修作业的洗涤岗位操作工丙、维修工庚、化产车间设备副主任丁未采取任何防护措施盲目施救，导致事故扩大。</w:t>
      </w:r>
    </w:p>
    <w:p w14:paraId="44E1D5D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2）间接原因</w:t>
      </w:r>
    </w:p>
    <w:p w14:paraId="390F0B6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①企业安全隐患辨识不到位。该企业虽然编制了VOCs装置风险评估报告，但未能充分排查到酸碱废液排放至一个地槽后会有较大的中毒风险，未制定具体的安全隐患防范措施是该起事故发生的重要原因之一。</w:t>
      </w:r>
    </w:p>
    <w:p w14:paraId="39C78AE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②企业安全培训教育不到位。在对化产车间和VOCs岗位人员的培训中，缺少从业人员应对突发性有毒气体泄漏的应急处置能力和应急处置中安全防范要求培训。事故发生后也未按规定及时上报。</w:t>
      </w:r>
    </w:p>
    <w:p w14:paraId="06A0FBCC">
      <w:pPr>
        <w:pStyle w:val="6"/>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w:t>
      </w:r>
      <w:r>
        <w:rPr>
          <w:rFonts w:hint="default" w:ascii="Times New Roman" w:hAnsi="Times New Roman" w:cs="Times New Roman"/>
          <w:color w:val="auto"/>
        </w:rPr>
        <w:t>事故启示及防范措施建议</w:t>
      </w:r>
    </w:p>
    <w:p w14:paraId="5CE871CB">
      <w:pPr>
        <w:pStyle w:val="6"/>
        <w:bidi w:val="0"/>
        <w:rPr>
          <w:rFonts w:hint="default" w:ascii="Times New Roman" w:hAnsi="Times New Roman" w:cs="Times New Roman"/>
          <w:color w:val="auto"/>
          <w:lang w:eastAsia="zh-CN"/>
        </w:rPr>
      </w:pPr>
      <w:r>
        <w:rPr>
          <w:rFonts w:hint="default" w:ascii="Times New Roman" w:hAnsi="Times New Roman" w:cs="Times New Roman"/>
          <w:color w:val="auto"/>
        </w:rPr>
        <w:t>1</w:t>
      </w:r>
      <w:r>
        <w:rPr>
          <w:rFonts w:hint="default" w:ascii="Times New Roman" w:hAnsi="Times New Roman" w:cs="Times New Roman"/>
          <w:color w:val="auto"/>
          <w:lang w:eastAsia="zh-CN"/>
        </w:rPr>
        <w:t>）吸取硫化氢中毒事故教训，把别人的事故当成自己的事故。近几年硫化氢中毒事故频发，2012年以来发生18起硫化氢中毒引发的较大事故，造成62人死亡，企业应充分吸取事故教训。应加强工艺危害分析，尤其是新型煤化工、焦化、炼化、精细化工等使用煤、原油为原料的生产工艺，辨识可能产生硫化氢的场所，并采取有效的防护措施；要重视环保设施改造中的风险，严禁含硫化物废液与酸性介质混排处理。</w:t>
      </w:r>
    </w:p>
    <w:p w14:paraId="5E05D44E">
      <w:pPr>
        <w:pStyle w:val="6"/>
        <w:bidi w:val="0"/>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eastAsia="zh-CN"/>
        </w:rPr>
        <w:t>）加强安全教育培训，提高员工安全素质。事故企业从业人员对可能产生硫化氢风险认知不到位，对突发性有毒气体中毒的应急处置能力和应急处置措施培训不到位，导致员工未采取任何防护措施盲目施救，致使事故扩大。建议加强应急能力的培训，尤其是个人防护器材的佩戴，严禁不采取任何防护措施的情况下盲目施救，造成事故扩大。</w:t>
      </w:r>
      <w:r>
        <w:rPr>
          <w:rFonts w:hint="default" w:ascii="Times New Roman" w:hAnsi="Times New Roman" w:cs="Times New Roman"/>
          <w:color w:val="auto"/>
        </w:rPr>
        <w:br w:type="page"/>
      </w:r>
    </w:p>
    <w:p w14:paraId="48D56F3E">
      <w:pPr>
        <w:pStyle w:val="17"/>
        <w:bidi w:val="0"/>
        <w:rPr>
          <w:rFonts w:hint="default" w:ascii="Times New Roman" w:hAnsi="Times New Roman" w:cs="Times New Roman"/>
          <w:color w:val="auto"/>
        </w:rPr>
      </w:pPr>
      <w:bookmarkStart w:id="85" w:name="_Toc24475"/>
      <w:r>
        <w:rPr>
          <w:rFonts w:hint="default" w:ascii="Times New Roman" w:hAnsi="Times New Roman" w:cs="Times New Roman"/>
          <w:color w:val="auto"/>
          <w:lang w:val="en-US" w:eastAsia="zh-CN"/>
        </w:rPr>
        <w:t>安全条件分析</w:t>
      </w:r>
      <w:bookmarkEnd w:id="85"/>
    </w:p>
    <w:p w14:paraId="4DA919D5">
      <w:pPr>
        <w:pStyle w:val="3"/>
        <w:bidi w:val="0"/>
        <w:rPr>
          <w:rFonts w:hint="default" w:ascii="Times New Roman" w:hAnsi="Times New Roman" w:cs="Times New Roman"/>
          <w:color w:val="auto"/>
        </w:rPr>
      </w:pPr>
      <w:bookmarkStart w:id="86" w:name="_Toc20405"/>
      <w:r>
        <w:rPr>
          <w:rFonts w:hint="default" w:ascii="Times New Roman" w:hAnsi="Times New Roman" w:cs="Times New Roman"/>
          <w:color w:val="auto"/>
        </w:rPr>
        <w:t>建设项目外部安全条件分析</w:t>
      </w:r>
      <w:bookmarkEnd w:id="86"/>
    </w:p>
    <w:p w14:paraId="38F68B2D">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6.1.1 建设项目与国家和当地政府产业政策与布局符合性分析</w:t>
      </w:r>
    </w:p>
    <w:p w14:paraId="4C6965B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根据《淘汰落后危险化学品安全生产工艺技术设备目录（第一批）》的通知（应急厅</w:t>
      </w:r>
      <w:r>
        <w:rPr>
          <w:rFonts w:hint="eastAsia" w:cs="Times New Roman"/>
          <w:color w:val="auto"/>
          <w:lang w:val="en-US" w:eastAsia="zh-CN"/>
        </w:rPr>
        <w:t>[</w:t>
      </w:r>
      <w:r>
        <w:rPr>
          <w:rFonts w:hint="default" w:ascii="Times New Roman" w:hAnsi="Times New Roman" w:cs="Times New Roman"/>
          <w:color w:val="auto"/>
          <w:lang w:val="en-US" w:eastAsia="zh-CN"/>
        </w:rPr>
        <w:t>2020</w:t>
      </w:r>
      <w:r>
        <w:rPr>
          <w:rFonts w:hint="eastAsia" w:cs="Times New Roman"/>
          <w:color w:val="auto"/>
          <w:lang w:val="en-US" w:eastAsia="zh-CN"/>
        </w:rPr>
        <w:t>]</w:t>
      </w:r>
      <w:r>
        <w:rPr>
          <w:rFonts w:hint="default" w:ascii="Times New Roman" w:hAnsi="Times New Roman" w:cs="Times New Roman"/>
          <w:color w:val="auto"/>
          <w:lang w:val="en-US" w:eastAsia="zh-CN"/>
        </w:rPr>
        <w:t>38号）</w:t>
      </w:r>
      <w:r>
        <w:rPr>
          <w:rFonts w:hint="eastAsia" w:cs="Times New Roman"/>
          <w:color w:val="auto"/>
          <w:lang w:val="en-US" w:eastAsia="zh-CN"/>
        </w:rPr>
        <w:t>、</w:t>
      </w:r>
      <w:r>
        <w:rPr>
          <w:rFonts w:hint="default" w:ascii="Times New Roman" w:hAnsi="Times New Roman" w:cs="Times New Roman"/>
          <w:color w:val="auto"/>
          <w:lang w:val="en-US" w:eastAsia="zh-CN"/>
        </w:rPr>
        <w:t>《淘汰落后危险化学品安全生产工艺技术设备目录（第二批）》（应急厅[2024]86号），本项目不涉及淘汰落后工艺技术</w:t>
      </w:r>
      <w:r>
        <w:rPr>
          <w:rFonts w:hint="eastAsia" w:cs="Times New Roman"/>
          <w:color w:val="auto"/>
          <w:lang w:val="en-US" w:eastAsia="zh-CN"/>
        </w:rPr>
        <w:t>设备</w:t>
      </w:r>
      <w:r>
        <w:rPr>
          <w:rFonts w:hint="default" w:ascii="Times New Roman" w:hAnsi="Times New Roman" w:cs="Times New Roman"/>
          <w:color w:val="auto"/>
          <w:lang w:val="en-US" w:eastAsia="zh-CN"/>
        </w:rPr>
        <w:t>。</w:t>
      </w:r>
    </w:p>
    <w:p w14:paraId="78C3198F">
      <w:pPr>
        <w:pStyle w:val="6"/>
        <w:bidi w:val="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根据《产业结构调整指导目录（2024年本）》（国家发展改革委令第7号公布），本项目未列入“限制类”和“淘汰类”</w:t>
      </w:r>
      <w:r>
        <w:rPr>
          <w:rFonts w:hint="eastAsia" w:cs="Times New Roman"/>
          <w:color w:val="auto"/>
          <w:lang w:val="en-US" w:eastAsia="zh-CN"/>
        </w:rPr>
        <w:t>，属于允许类建设项目</w:t>
      </w:r>
      <w:r>
        <w:rPr>
          <w:rFonts w:hint="default" w:ascii="Times New Roman" w:hAnsi="Times New Roman" w:cs="Times New Roman"/>
          <w:color w:val="auto"/>
          <w:lang w:val="en-US" w:eastAsia="zh-CN"/>
        </w:rPr>
        <w:t>。根据《山东省人民政府办公厅关于加强“两高”项目管理的通知》</w:t>
      </w:r>
      <w:r>
        <w:rPr>
          <w:rFonts w:hint="eastAsia" w:cs="Times New Roman"/>
          <w:color w:val="auto"/>
          <w:lang w:val="en-US" w:eastAsia="zh-CN"/>
        </w:rPr>
        <w:t>（</w:t>
      </w:r>
      <w:r>
        <w:rPr>
          <w:rFonts w:hint="default" w:ascii="Times New Roman" w:hAnsi="Times New Roman" w:cs="Times New Roman"/>
          <w:color w:val="auto"/>
          <w:lang w:val="en-US" w:eastAsia="zh-CN"/>
        </w:rPr>
        <w:t>鲁政办字[2021]57号</w:t>
      </w:r>
      <w:r>
        <w:rPr>
          <w:rFonts w:hint="eastAsia" w:cs="Times New Roman"/>
          <w:color w:val="auto"/>
          <w:lang w:val="en-US" w:eastAsia="zh-CN"/>
        </w:rPr>
        <w:t>）</w:t>
      </w:r>
      <w:r>
        <w:rPr>
          <w:rFonts w:hint="default" w:ascii="Times New Roman" w:hAnsi="Times New Roman" w:cs="Times New Roman"/>
          <w:color w:val="auto"/>
          <w:lang w:val="en-US" w:eastAsia="zh-CN"/>
        </w:rPr>
        <w:t>、《关于“两高”项目管理有关事项的补充通知》（鲁发改工业</w:t>
      </w:r>
      <w:r>
        <w:rPr>
          <w:rFonts w:hint="eastAsia" w:cs="Times New Roman"/>
          <w:color w:val="auto"/>
          <w:lang w:val="en-US" w:eastAsia="zh-CN"/>
        </w:rPr>
        <w:t>[</w:t>
      </w:r>
      <w:r>
        <w:rPr>
          <w:rFonts w:hint="default" w:ascii="Times New Roman" w:hAnsi="Times New Roman" w:cs="Times New Roman"/>
          <w:color w:val="auto"/>
          <w:lang w:val="en-US" w:eastAsia="zh-CN"/>
        </w:rPr>
        <w:t>2023</w:t>
      </w:r>
      <w:r>
        <w:rPr>
          <w:rFonts w:hint="eastAsia" w:cs="Times New Roman"/>
          <w:color w:val="auto"/>
          <w:lang w:val="en-US" w:eastAsia="zh-CN"/>
        </w:rPr>
        <w:t>]</w:t>
      </w:r>
      <w:r>
        <w:rPr>
          <w:rFonts w:hint="default" w:ascii="Times New Roman" w:hAnsi="Times New Roman" w:cs="Times New Roman"/>
          <w:color w:val="auto"/>
          <w:lang w:val="en-US" w:eastAsia="zh-CN"/>
        </w:rPr>
        <w:t>34号</w:t>
      </w:r>
      <w:r>
        <w:rPr>
          <w:rFonts w:hint="eastAsia" w:cs="Times New Roman"/>
          <w:color w:val="auto"/>
          <w:lang w:val="en-US" w:eastAsia="zh-CN"/>
        </w:rPr>
        <w:t>）</w:t>
      </w:r>
      <w:r>
        <w:rPr>
          <w:rFonts w:hint="default" w:ascii="Times New Roman" w:hAnsi="Times New Roman" w:cs="Times New Roman"/>
          <w:color w:val="auto"/>
          <w:lang w:val="en-US" w:eastAsia="zh-CN"/>
        </w:rPr>
        <w:t>，本项目不属于“两高”项目。</w:t>
      </w:r>
      <w:r>
        <w:rPr>
          <w:rFonts w:hint="eastAsia" w:cs="Times New Roman"/>
          <w:color w:val="auto"/>
          <w:lang w:val="en-US" w:eastAsia="zh-CN"/>
        </w:rPr>
        <w:t>该项目属于新建非危险化学品建设项目，</w:t>
      </w:r>
      <w:r>
        <w:rPr>
          <w:rFonts w:hint="default" w:ascii="Times New Roman" w:hAnsi="Times New Roman" w:cs="Times New Roman"/>
          <w:color w:val="auto"/>
          <w:lang w:val="en-US" w:eastAsia="zh-CN"/>
        </w:rPr>
        <w:t>不涉及危险化学品生产、储存装置（设施）</w:t>
      </w:r>
      <w:r>
        <w:rPr>
          <w:rFonts w:hint="eastAsia" w:cs="Times New Roman"/>
          <w:color w:val="auto"/>
          <w:lang w:val="en-US" w:eastAsia="zh-CN"/>
        </w:rPr>
        <w:t>，根据《胜利油田建设项目安全设施及职业病防护设施“三同时”管理实施细则》（JSLYT-B08-42-048-2022-3）附件7.2“建设项目分类审查标准”，本项目属于无需开展评价的建设项目，并且本项目已于2024年1月21日取得了《关于石油化工总厂储运二部装卸车废气治理项目可行性研究报告的批复》（胜油公司发计字〔2024〕1号）。</w:t>
      </w:r>
      <w:r>
        <w:rPr>
          <w:rFonts w:hint="default" w:ascii="Times New Roman" w:hAnsi="Times New Roman" w:cs="Times New Roman"/>
          <w:color w:val="auto"/>
          <w:lang w:val="en-US" w:eastAsia="zh-CN"/>
        </w:rPr>
        <w:t>综上所述，本项目与产业政策相符合。</w:t>
      </w:r>
    </w:p>
    <w:p w14:paraId="3D536C32">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6.1.</w:t>
      </w:r>
      <w:r>
        <w:rPr>
          <w:rFonts w:hint="eastAsia" w:cs="Times New Roman"/>
          <w:color w:val="auto"/>
          <w:lang w:val="en-US" w:eastAsia="zh-CN"/>
        </w:rPr>
        <w:t>2</w:t>
      </w:r>
      <w:r>
        <w:rPr>
          <w:rFonts w:hint="default" w:ascii="Times New Roman" w:hAnsi="Times New Roman" w:cs="Times New Roman"/>
          <w:color w:val="auto"/>
          <w:lang w:val="en-US" w:eastAsia="zh-CN"/>
        </w:rPr>
        <w:t xml:space="preserve"> 建设项目与当地政府区域规划符合性分析</w:t>
      </w:r>
    </w:p>
    <w:p w14:paraId="047981EF">
      <w:pPr>
        <w:pStyle w:val="6"/>
        <w:bidi w:val="0"/>
        <w:rPr>
          <w:rFonts w:hint="default" w:ascii="Times New Roman" w:hAnsi="Times New Roman" w:cs="Times New Roman"/>
          <w:color w:val="auto"/>
          <w:lang w:val="en-US" w:eastAsia="zh-CN"/>
        </w:rPr>
      </w:pPr>
      <w:r>
        <w:rPr>
          <w:rFonts w:hint="eastAsia" w:cs="Times New Roman"/>
          <w:color w:val="auto"/>
          <w:lang w:val="en-US" w:eastAsia="zh-CN"/>
        </w:rPr>
        <w:t>该项目在石油化工总厂内进行建设，石油化工总厂厂区在东营区化工产业园区内，属于山东省第四批化工园区，</w:t>
      </w:r>
      <w:r>
        <w:rPr>
          <w:rFonts w:hint="default" w:ascii="Times New Roman" w:hAnsi="Times New Roman" w:cs="Times New Roman"/>
          <w:color w:val="auto"/>
          <w:lang w:val="en-US" w:eastAsia="zh-CN"/>
        </w:rPr>
        <w:t>符合当地规划。</w:t>
      </w:r>
    </w:p>
    <w:p w14:paraId="116C7C0E">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6.1.</w:t>
      </w:r>
      <w:r>
        <w:rPr>
          <w:rFonts w:hint="eastAsia" w:cs="Times New Roman"/>
          <w:color w:val="auto"/>
          <w:lang w:val="en-US" w:eastAsia="zh-CN"/>
        </w:rPr>
        <w:t xml:space="preserve">3 </w:t>
      </w:r>
      <w:r>
        <w:rPr>
          <w:rFonts w:hint="default" w:ascii="Times New Roman" w:hAnsi="Times New Roman" w:cs="Times New Roman"/>
          <w:color w:val="auto"/>
          <w:lang w:val="en-US" w:eastAsia="zh-CN"/>
        </w:rPr>
        <w:t>建设项目周边24小时内储存经营活动和居民生活的情况</w:t>
      </w:r>
    </w:p>
    <w:p w14:paraId="3810F643">
      <w:pPr>
        <w:pStyle w:val="6"/>
        <w:bidi w:val="0"/>
        <w:rPr>
          <w:rFonts w:hint="default" w:ascii="Times New Roman" w:hAnsi="Times New Roman" w:cs="Times New Roman"/>
          <w:color w:val="auto"/>
        </w:rPr>
      </w:pPr>
      <w:r>
        <w:rPr>
          <w:rFonts w:hint="default" w:ascii="Times New Roman" w:hAnsi="Times New Roman" w:cs="Times New Roman"/>
          <w:color w:val="auto"/>
        </w:rPr>
        <w:t>石油化工总厂厂区北面有大赵村、小赵村等村庄以及一个稠油末站油库，海科化工、鑫博化工、万金石化、万通公司，北面700m处有一条由东西向的排水渠－五干排；东临郝纯路（228省道）；南侧为东营益盛销售有限责任公司、神驰化工；西侧为东营胜利中亚化工有限公司、东营宝莫环境工程有限公司。该项目</w:t>
      </w:r>
      <w:r>
        <w:rPr>
          <w:rFonts w:hint="default" w:ascii="Times New Roman" w:hAnsi="Times New Roman" w:cs="Times New Roman"/>
          <w:color w:val="auto"/>
          <w:lang w:val="en-US" w:eastAsia="zh-CN"/>
        </w:rPr>
        <w:t>在石油化工总厂厂区内建设，与</w:t>
      </w:r>
      <w:r>
        <w:rPr>
          <w:rFonts w:hint="default" w:ascii="Times New Roman" w:hAnsi="Times New Roman" w:cs="Times New Roman"/>
          <w:color w:val="auto"/>
        </w:rPr>
        <w:t>周边的防火间距详见表2.3-1。项目周边人员分布情况见下表。</w:t>
      </w:r>
    </w:p>
    <w:p w14:paraId="7336165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表6.1-1项目周边人员主要分布情况表</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3551"/>
        <w:gridCol w:w="1377"/>
        <w:gridCol w:w="1322"/>
        <w:gridCol w:w="2351"/>
      </w:tblGrid>
      <w:tr w14:paraId="011189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12" w:space="0"/>
              <w:left w:val="single" w:color="auto" w:sz="12" w:space="0"/>
              <w:bottom w:val="single" w:color="auto" w:sz="4" w:space="0"/>
              <w:right w:val="single" w:color="auto" w:sz="4" w:space="0"/>
              <w:tl2br w:val="nil"/>
              <w:tr2bl w:val="nil"/>
            </w:tcBorders>
            <w:noWrap w:val="0"/>
            <w:vAlign w:val="center"/>
          </w:tcPr>
          <w:p w14:paraId="75DE1204">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888" w:type="pct"/>
            <w:tcBorders>
              <w:top w:val="single" w:color="auto" w:sz="12" w:space="0"/>
              <w:left w:val="single" w:color="auto" w:sz="4" w:space="0"/>
              <w:bottom w:val="single" w:color="auto" w:sz="4" w:space="0"/>
              <w:right w:val="single" w:color="auto" w:sz="4" w:space="0"/>
              <w:tl2br w:val="nil"/>
              <w:tr2bl w:val="nil"/>
            </w:tcBorders>
            <w:noWrap w:val="0"/>
            <w:vAlign w:val="center"/>
          </w:tcPr>
          <w:p w14:paraId="72455063">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受体名称</w:t>
            </w:r>
          </w:p>
        </w:tc>
        <w:tc>
          <w:tcPr>
            <w:tcW w:w="732" w:type="pct"/>
            <w:tcBorders>
              <w:top w:val="single" w:color="auto" w:sz="12" w:space="0"/>
              <w:left w:val="single" w:color="auto" w:sz="4" w:space="0"/>
              <w:bottom w:val="single" w:color="auto" w:sz="4" w:space="0"/>
              <w:right w:val="single" w:color="auto" w:sz="4" w:space="0"/>
              <w:tl2br w:val="nil"/>
              <w:tr2bl w:val="nil"/>
            </w:tcBorders>
            <w:noWrap w:val="0"/>
            <w:vAlign w:val="center"/>
          </w:tcPr>
          <w:p w14:paraId="25CB0CC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方位</w:t>
            </w:r>
          </w:p>
        </w:tc>
        <w:tc>
          <w:tcPr>
            <w:tcW w:w="703" w:type="pct"/>
            <w:tcBorders>
              <w:top w:val="single" w:color="auto" w:sz="12" w:space="0"/>
              <w:left w:val="single" w:color="auto" w:sz="4" w:space="0"/>
              <w:bottom w:val="single" w:color="auto" w:sz="4" w:space="0"/>
              <w:right w:val="single" w:color="auto" w:sz="4" w:space="0"/>
              <w:tl2br w:val="nil"/>
              <w:tr2bl w:val="nil"/>
            </w:tcBorders>
            <w:noWrap w:val="0"/>
            <w:vAlign w:val="center"/>
          </w:tcPr>
          <w:p w14:paraId="4E0FE0C0">
            <w:pPr>
              <w:pStyle w:val="31"/>
              <w:bidi w:val="0"/>
              <w:rPr>
                <w:rFonts w:hint="default" w:ascii="Times New Roman" w:hAnsi="Times New Roman" w:cs="Times New Roman"/>
                <w:b/>
                <w:bCs/>
                <w:color w:val="auto"/>
              </w:rPr>
            </w:pPr>
            <w:r>
              <w:rPr>
                <w:rFonts w:hint="default" w:ascii="Times New Roman" w:hAnsi="Times New Roman" w:cs="Times New Roman"/>
                <w:b/>
                <w:bCs/>
                <w:color w:val="auto"/>
              </w:rPr>
              <w:t>距离</w:t>
            </w:r>
          </w:p>
        </w:tc>
        <w:tc>
          <w:tcPr>
            <w:tcW w:w="1250" w:type="pct"/>
            <w:tcBorders>
              <w:top w:val="single" w:color="auto" w:sz="12" w:space="0"/>
              <w:left w:val="single" w:color="auto" w:sz="4" w:space="0"/>
              <w:bottom w:val="single" w:color="auto" w:sz="4" w:space="0"/>
              <w:right w:val="single" w:color="auto" w:sz="12" w:space="0"/>
              <w:tl2br w:val="nil"/>
              <w:tr2bl w:val="nil"/>
            </w:tcBorders>
            <w:noWrap w:val="0"/>
            <w:vAlign w:val="center"/>
          </w:tcPr>
          <w:p w14:paraId="5646DD59">
            <w:pPr>
              <w:pStyle w:val="31"/>
              <w:bidi w:val="0"/>
              <w:rPr>
                <w:rFonts w:hint="default" w:ascii="Times New Roman" w:hAnsi="Times New Roman" w:cs="Times New Roman"/>
                <w:b/>
                <w:bCs/>
                <w:color w:val="auto"/>
              </w:rPr>
            </w:pPr>
            <w:r>
              <w:rPr>
                <w:rFonts w:hint="default" w:ascii="Times New Roman" w:hAnsi="Times New Roman" w:cs="Times New Roman"/>
                <w:b/>
                <w:bCs/>
                <w:color w:val="auto"/>
              </w:rPr>
              <w:t>人数</w:t>
            </w:r>
          </w:p>
        </w:tc>
      </w:tr>
      <w:tr w14:paraId="100CA5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4" w:type="pct"/>
            <w:tcBorders>
              <w:top w:val="single" w:color="auto" w:sz="4" w:space="0"/>
              <w:left w:val="single" w:color="auto" w:sz="12" w:space="0"/>
              <w:bottom w:val="single" w:color="auto" w:sz="4" w:space="0"/>
              <w:right w:val="single" w:color="auto" w:sz="4" w:space="0"/>
              <w:tl2br w:val="nil"/>
              <w:tr2bl w:val="nil"/>
            </w:tcBorders>
            <w:noWrap w:val="0"/>
            <w:vAlign w:val="center"/>
          </w:tcPr>
          <w:p w14:paraId="3F610FBA">
            <w:pPr>
              <w:pStyle w:val="31"/>
              <w:bidi w:val="0"/>
              <w:rPr>
                <w:rFonts w:hint="default" w:ascii="Times New Roman" w:hAnsi="Times New Roman" w:cs="Times New Roman"/>
                <w:color w:val="auto"/>
              </w:rPr>
            </w:pPr>
            <w:r>
              <w:rPr>
                <w:rFonts w:hint="default" w:ascii="Times New Roman" w:hAnsi="Times New Roman" w:cs="Times New Roman"/>
                <w:color w:val="auto"/>
              </w:rPr>
              <w:t>1</w:t>
            </w:r>
          </w:p>
        </w:tc>
        <w:tc>
          <w:tcPr>
            <w:tcW w:w="188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C20FA72">
            <w:pPr>
              <w:pStyle w:val="31"/>
              <w:bidi w:val="0"/>
              <w:rPr>
                <w:rFonts w:hint="default" w:ascii="Times New Roman" w:hAnsi="Times New Roman" w:cs="Times New Roman"/>
                <w:color w:val="auto"/>
              </w:rPr>
            </w:pPr>
            <w:r>
              <w:rPr>
                <w:rFonts w:hint="default" w:ascii="Times New Roman" w:hAnsi="Times New Roman" w:cs="Times New Roman"/>
                <w:color w:val="auto"/>
              </w:rPr>
              <w:t>小赵村</w:t>
            </w:r>
          </w:p>
        </w:tc>
        <w:tc>
          <w:tcPr>
            <w:tcW w:w="73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1F537A8">
            <w:pPr>
              <w:pStyle w:val="31"/>
              <w:bidi w:val="0"/>
              <w:rPr>
                <w:rFonts w:hint="default" w:ascii="Times New Roman" w:hAnsi="Times New Roman" w:cs="Times New Roman"/>
                <w:color w:val="auto"/>
              </w:rPr>
            </w:pPr>
            <w:r>
              <w:rPr>
                <w:rFonts w:hint="default" w:ascii="Times New Roman" w:hAnsi="Times New Roman" w:cs="Times New Roman"/>
                <w:color w:val="auto"/>
              </w:rPr>
              <w:t>北侧</w:t>
            </w:r>
          </w:p>
        </w:tc>
        <w:tc>
          <w:tcPr>
            <w:tcW w:w="70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918BA68">
            <w:pPr>
              <w:pStyle w:val="31"/>
              <w:bidi w:val="0"/>
              <w:rPr>
                <w:rFonts w:hint="default" w:ascii="Times New Roman" w:hAnsi="Times New Roman" w:cs="Times New Roman"/>
                <w:color w:val="auto"/>
              </w:rPr>
            </w:pPr>
            <w:r>
              <w:rPr>
                <w:rFonts w:hint="eastAsia" w:cs="Times New Roman"/>
                <w:color w:val="auto"/>
                <w:lang w:val="en-US" w:eastAsia="zh-CN"/>
              </w:rPr>
              <w:t>860</w:t>
            </w:r>
            <w:r>
              <w:rPr>
                <w:rFonts w:hint="default" w:ascii="Times New Roman" w:hAnsi="Times New Roman" w:cs="Times New Roman"/>
                <w:color w:val="auto"/>
              </w:rPr>
              <w:t>m</w:t>
            </w:r>
          </w:p>
        </w:tc>
        <w:tc>
          <w:tcPr>
            <w:tcW w:w="1250" w:type="pct"/>
            <w:tcBorders>
              <w:top w:val="single" w:color="auto" w:sz="4" w:space="0"/>
              <w:left w:val="single" w:color="auto" w:sz="4" w:space="0"/>
              <w:bottom w:val="single" w:color="auto" w:sz="4" w:space="0"/>
              <w:right w:val="single" w:color="auto" w:sz="12" w:space="0"/>
              <w:tl2br w:val="nil"/>
              <w:tr2bl w:val="nil"/>
            </w:tcBorders>
            <w:noWrap w:val="0"/>
            <w:vAlign w:val="center"/>
          </w:tcPr>
          <w:p w14:paraId="07C5DC42">
            <w:pPr>
              <w:pStyle w:val="31"/>
              <w:bidi w:val="0"/>
              <w:rPr>
                <w:rFonts w:hint="default" w:ascii="Times New Roman" w:hAnsi="Times New Roman" w:cs="Times New Roman"/>
                <w:color w:val="auto"/>
              </w:rPr>
            </w:pPr>
            <w:r>
              <w:rPr>
                <w:rFonts w:hint="default" w:ascii="Times New Roman" w:hAnsi="Times New Roman" w:cs="Times New Roman"/>
                <w:color w:val="auto"/>
              </w:rPr>
              <w:t>约230以上</w:t>
            </w:r>
          </w:p>
        </w:tc>
      </w:tr>
      <w:tr w14:paraId="15031E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4" w:space="0"/>
              <w:left w:val="single" w:color="auto" w:sz="12" w:space="0"/>
              <w:bottom w:val="single" w:color="auto" w:sz="4" w:space="0"/>
              <w:right w:val="single" w:color="auto" w:sz="4" w:space="0"/>
              <w:tl2br w:val="nil"/>
              <w:tr2bl w:val="nil"/>
            </w:tcBorders>
            <w:noWrap w:val="0"/>
            <w:vAlign w:val="center"/>
          </w:tcPr>
          <w:p w14:paraId="0C0E9D51">
            <w:pPr>
              <w:pStyle w:val="31"/>
              <w:bidi w:val="0"/>
              <w:rPr>
                <w:rFonts w:hint="default" w:ascii="Times New Roman" w:hAnsi="Times New Roman" w:cs="Times New Roman"/>
                <w:color w:val="auto"/>
              </w:rPr>
            </w:pPr>
            <w:r>
              <w:rPr>
                <w:rFonts w:hint="default" w:ascii="Times New Roman" w:hAnsi="Times New Roman" w:cs="Times New Roman"/>
                <w:color w:val="auto"/>
              </w:rPr>
              <w:t>2</w:t>
            </w:r>
          </w:p>
        </w:tc>
        <w:tc>
          <w:tcPr>
            <w:tcW w:w="188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1AC306C">
            <w:pPr>
              <w:pStyle w:val="31"/>
              <w:bidi w:val="0"/>
              <w:rPr>
                <w:rFonts w:hint="default" w:ascii="Times New Roman" w:hAnsi="Times New Roman" w:cs="Times New Roman"/>
                <w:color w:val="auto"/>
              </w:rPr>
            </w:pPr>
            <w:r>
              <w:rPr>
                <w:rFonts w:hint="default" w:ascii="Times New Roman" w:hAnsi="Times New Roman" w:cs="Times New Roman"/>
                <w:color w:val="auto"/>
              </w:rPr>
              <w:t>大赵村</w:t>
            </w:r>
          </w:p>
        </w:tc>
        <w:tc>
          <w:tcPr>
            <w:tcW w:w="73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210394E">
            <w:pPr>
              <w:pStyle w:val="31"/>
              <w:bidi w:val="0"/>
              <w:rPr>
                <w:rFonts w:hint="default" w:ascii="Times New Roman" w:hAnsi="Times New Roman" w:cs="Times New Roman"/>
                <w:color w:val="auto"/>
              </w:rPr>
            </w:pPr>
            <w:r>
              <w:rPr>
                <w:rFonts w:hint="default" w:ascii="Times New Roman" w:hAnsi="Times New Roman" w:cs="Times New Roman"/>
                <w:color w:val="auto"/>
              </w:rPr>
              <w:t>西北侧</w:t>
            </w:r>
          </w:p>
        </w:tc>
        <w:tc>
          <w:tcPr>
            <w:tcW w:w="70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1E3F5B8">
            <w:pPr>
              <w:pStyle w:val="31"/>
              <w:bidi w:val="0"/>
              <w:rPr>
                <w:rFonts w:hint="default" w:ascii="Times New Roman" w:hAnsi="Times New Roman" w:cs="Times New Roman"/>
                <w:color w:val="auto"/>
              </w:rPr>
            </w:pPr>
            <w:r>
              <w:rPr>
                <w:rFonts w:hint="eastAsia" w:cs="Times New Roman"/>
                <w:color w:val="auto"/>
                <w:lang w:val="en-US" w:eastAsia="zh-CN"/>
              </w:rPr>
              <w:t>约</w:t>
            </w:r>
            <w:r>
              <w:rPr>
                <w:rFonts w:hint="default" w:ascii="Times New Roman" w:hAnsi="Times New Roman" w:cs="Times New Roman"/>
                <w:color w:val="auto"/>
              </w:rPr>
              <w:t>1.</w:t>
            </w:r>
            <w:r>
              <w:rPr>
                <w:rFonts w:hint="eastAsia" w:cs="Times New Roman"/>
                <w:color w:val="auto"/>
                <w:lang w:val="en-US" w:eastAsia="zh-CN"/>
              </w:rPr>
              <w:t>5</w:t>
            </w:r>
            <w:r>
              <w:rPr>
                <w:rFonts w:hint="default" w:ascii="Times New Roman" w:hAnsi="Times New Roman" w:cs="Times New Roman"/>
                <w:color w:val="auto"/>
              </w:rPr>
              <w:t>km</w:t>
            </w:r>
          </w:p>
        </w:tc>
        <w:tc>
          <w:tcPr>
            <w:tcW w:w="1250" w:type="pct"/>
            <w:tcBorders>
              <w:top w:val="single" w:color="auto" w:sz="4" w:space="0"/>
              <w:left w:val="single" w:color="auto" w:sz="4" w:space="0"/>
              <w:bottom w:val="single" w:color="auto" w:sz="4" w:space="0"/>
              <w:right w:val="single" w:color="auto" w:sz="12" w:space="0"/>
              <w:tl2br w:val="nil"/>
              <w:tr2bl w:val="nil"/>
            </w:tcBorders>
            <w:noWrap w:val="0"/>
            <w:vAlign w:val="center"/>
          </w:tcPr>
          <w:p w14:paraId="2BB78B44">
            <w:pPr>
              <w:pStyle w:val="31"/>
              <w:bidi w:val="0"/>
              <w:rPr>
                <w:rFonts w:hint="default" w:ascii="Times New Roman" w:hAnsi="Times New Roman" w:cs="Times New Roman"/>
                <w:color w:val="auto"/>
              </w:rPr>
            </w:pPr>
            <w:r>
              <w:rPr>
                <w:rFonts w:hint="default" w:ascii="Times New Roman" w:hAnsi="Times New Roman" w:cs="Times New Roman"/>
                <w:color w:val="auto"/>
              </w:rPr>
              <w:t>约277以上</w:t>
            </w:r>
          </w:p>
        </w:tc>
      </w:tr>
      <w:tr w14:paraId="4F4775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4" w:space="0"/>
              <w:left w:val="single" w:color="auto" w:sz="12" w:space="0"/>
              <w:bottom w:val="single" w:color="auto" w:sz="4" w:space="0"/>
              <w:right w:val="single" w:color="auto" w:sz="4" w:space="0"/>
              <w:tl2br w:val="nil"/>
              <w:tr2bl w:val="nil"/>
            </w:tcBorders>
            <w:noWrap w:val="0"/>
            <w:vAlign w:val="center"/>
          </w:tcPr>
          <w:p w14:paraId="0E9C1329">
            <w:pPr>
              <w:pStyle w:val="31"/>
              <w:bidi w:val="0"/>
              <w:rPr>
                <w:rFonts w:hint="default" w:ascii="Times New Roman" w:hAnsi="Times New Roman" w:cs="Times New Roman"/>
                <w:color w:val="auto"/>
              </w:rPr>
            </w:pPr>
            <w:r>
              <w:rPr>
                <w:rFonts w:hint="default" w:ascii="Times New Roman" w:hAnsi="Times New Roman" w:cs="Times New Roman"/>
                <w:color w:val="auto"/>
              </w:rPr>
              <w:t>3</w:t>
            </w:r>
          </w:p>
        </w:tc>
        <w:tc>
          <w:tcPr>
            <w:tcW w:w="188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D0A4840">
            <w:pPr>
              <w:pStyle w:val="31"/>
              <w:bidi w:val="0"/>
              <w:rPr>
                <w:rFonts w:hint="default" w:ascii="Times New Roman" w:hAnsi="Times New Roman" w:cs="Times New Roman"/>
                <w:color w:val="auto"/>
              </w:rPr>
            </w:pPr>
            <w:r>
              <w:rPr>
                <w:rFonts w:hint="default" w:ascii="Times New Roman" w:hAnsi="Times New Roman" w:cs="Times New Roman"/>
                <w:color w:val="auto"/>
              </w:rPr>
              <w:t>十一图村</w:t>
            </w:r>
          </w:p>
        </w:tc>
        <w:tc>
          <w:tcPr>
            <w:tcW w:w="73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F8A540E">
            <w:pPr>
              <w:pStyle w:val="31"/>
              <w:bidi w:val="0"/>
              <w:rPr>
                <w:rFonts w:hint="default" w:ascii="Times New Roman" w:hAnsi="Times New Roman" w:cs="Times New Roman"/>
                <w:color w:val="auto"/>
              </w:rPr>
            </w:pPr>
            <w:r>
              <w:rPr>
                <w:rFonts w:hint="default" w:ascii="Times New Roman" w:hAnsi="Times New Roman" w:cs="Times New Roman"/>
                <w:color w:val="auto"/>
              </w:rPr>
              <w:t>南侧</w:t>
            </w:r>
          </w:p>
        </w:tc>
        <w:tc>
          <w:tcPr>
            <w:tcW w:w="70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5FE3D6A">
            <w:pPr>
              <w:pStyle w:val="31"/>
              <w:bidi w:val="0"/>
              <w:rPr>
                <w:rFonts w:hint="default" w:ascii="Times New Roman" w:hAnsi="Times New Roman" w:cs="Times New Roman"/>
                <w:color w:val="auto"/>
              </w:rPr>
            </w:pPr>
            <w:r>
              <w:rPr>
                <w:rFonts w:hint="default" w:ascii="Times New Roman" w:hAnsi="Times New Roman" w:cs="Times New Roman"/>
                <w:color w:val="auto"/>
              </w:rPr>
              <w:t>约1.</w:t>
            </w:r>
            <w:r>
              <w:rPr>
                <w:rFonts w:hint="default" w:ascii="Times New Roman" w:hAnsi="Times New Roman" w:cs="Times New Roman"/>
                <w:color w:val="auto"/>
                <w:lang w:val="en-US" w:eastAsia="zh-CN"/>
              </w:rPr>
              <w:t>2</w:t>
            </w:r>
            <w:r>
              <w:rPr>
                <w:rFonts w:hint="default" w:ascii="Times New Roman" w:hAnsi="Times New Roman" w:cs="Times New Roman"/>
                <w:color w:val="auto"/>
              </w:rPr>
              <w:t>km</w:t>
            </w:r>
          </w:p>
        </w:tc>
        <w:tc>
          <w:tcPr>
            <w:tcW w:w="1250" w:type="pct"/>
            <w:tcBorders>
              <w:top w:val="single" w:color="auto" w:sz="4" w:space="0"/>
              <w:left w:val="single" w:color="auto" w:sz="4" w:space="0"/>
              <w:bottom w:val="single" w:color="auto" w:sz="4" w:space="0"/>
              <w:right w:val="single" w:color="auto" w:sz="12" w:space="0"/>
              <w:tl2br w:val="nil"/>
              <w:tr2bl w:val="nil"/>
            </w:tcBorders>
            <w:noWrap w:val="0"/>
            <w:vAlign w:val="center"/>
          </w:tcPr>
          <w:p w14:paraId="4A7E3E0B">
            <w:pPr>
              <w:pStyle w:val="31"/>
              <w:bidi w:val="0"/>
              <w:rPr>
                <w:rFonts w:hint="default" w:ascii="Times New Roman" w:hAnsi="Times New Roman" w:cs="Times New Roman"/>
                <w:color w:val="auto"/>
              </w:rPr>
            </w:pPr>
            <w:r>
              <w:rPr>
                <w:rFonts w:hint="default" w:ascii="Times New Roman" w:hAnsi="Times New Roman" w:cs="Times New Roman"/>
                <w:color w:val="auto"/>
              </w:rPr>
              <w:t>约960以上</w:t>
            </w:r>
          </w:p>
        </w:tc>
      </w:tr>
      <w:tr w14:paraId="33B3C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4" w:space="0"/>
              <w:left w:val="single" w:color="auto" w:sz="12" w:space="0"/>
              <w:bottom w:val="single" w:color="auto" w:sz="4" w:space="0"/>
              <w:right w:val="single" w:color="auto" w:sz="4" w:space="0"/>
              <w:tl2br w:val="nil"/>
              <w:tr2bl w:val="nil"/>
            </w:tcBorders>
            <w:noWrap w:val="0"/>
            <w:vAlign w:val="center"/>
          </w:tcPr>
          <w:p w14:paraId="307CE8D0">
            <w:pPr>
              <w:pStyle w:val="31"/>
              <w:bidi w:val="0"/>
              <w:rPr>
                <w:rFonts w:hint="default" w:ascii="Times New Roman" w:hAnsi="Times New Roman" w:cs="Times New Roman"/>
                <w:color w:val="auto"/>
              </w:rPr>
            </w:pPr>
            <w:r>
              <w:rPr>
                <w:rFonts w:hint="default" w:ascii="Times New Roman" w:hAnsi="Times New Roman" w:cs="Times New Roman"/>
                <w:color w:val="auto"/>
              </w:rPr>
              <w:t>4</w:t>
            </w:r>
          </w:p>
        </w:tc>
        <w:tc>
          <w:tcPr>
            <w:tcW w:w="188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55AC648">
            <w:pPr>
              <w:pStyle w:val="31"/>
              <w:bidi w:val="0"/>
              <w:rPr>
                <w:rFonts w:hint="default" w:ascii="Times New Roman" w:hAnsi="Times New Roman" w:cs="Times New Roman"/>
                <w:color w:val="auto"/>
              </w:rPr>
            </w:pPr>
            <w:r>
              <w:rPr>
                <w:rFonts w:hint="default" w:ascii="Times New Roman" w:hAnsi="Times New Roman" w:cs="Times New Roman"/>
                <w:color w:val="auto"/>
              </w:rPr>
              <w:t>海科集团</w:t>
            </w:r>
          </w:p>
        </w:tc>
        <w:tc>
          <w:tcPr>
            <w:tcW w:w="73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F86FD64">
            <w:pPr>
              <w:pStyle w:val="31"/>
              <w:bidi w:val="0"/>
              <w:rPr>
                <w:rFonts w:hint="default" w:ascii="Times New Roman" w:hAnsi="Times New Roman" w:cs="Times New Roman"/>
                <w:color w:val="auto"/>
              </w:rPr>
            </w:pPr>
            <w:r>
              <w:rPr>
                <w:rFonts w:hint="default" w:ascii="Times New Roman" w:hAnsi="Times New Roman" w:cs="Times New Roman"/>
                <w:color w:val="auto"/>
              </w:rPr>
              <w:t>东北侧</w:t>
            </w:r>
          </w:p>
        </w:tc>
        <w:tc>
          <w:tcPr>
            <w:tcW w:w="70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61A5035">
            <w:pPr>
              <w:pStyle w:val="31"/>
              <w:bidi w:val="0"/>
              <w:rPr>
                <w:rFonts w:hint="default" w:ascii="Times New Roman" w:hAnsi="Times New Roman" w:cs="Times New Roman"/>
                <w:color w:val="auto"/>
              </w:rPr>
            </w:pPr>
            <w:r>
              <w:rPr>
                <w:rFonts w:hint="default" w:ascii="Times New Roman" w:hAnsi="Times New Roman" w:cs="Times New Roman"/>
                <w:color w:val="auto"/>
                <w:highlight w:val="none"/>
                <w:lang w:val="en-US" w:eastAsia="zh-CN"/>
              </w:rPr>
              <w:t>约430</w:t>
            </w:r>
            <w:r>
              <w:rPr>
                <w:rFonts w:hint="default" w:ascii="Times New Roman" w:hAnsi="Times New Roman" w:cs="Times New Roman"/>
                <w:color w:val="auto"/>
                <w:highlight w:val="none"/>
              </w:rPr>
              <w:t>m</w:t>
            </w:r>
          </w:p>
        </w:tc>
        <w:tc>
          <w:tcPr>
            <w:tcW w:w="1250" w:type="pct"/>
            <w:tcBorders>
              <w:top w:val="single" w:color="auto" w:sz="4" w:space="0"/>
              <w:left w:val="single" w:color="auto" w:sz="4" w:space="0"/>
              <w:bottom w:val="single" w:color="auto" w:sz="4" w:space="0"/>
              <w:right w:val="single" w:color="auto" w:sz="12" w:space="0"/>
              <w:tl2br w:val="nil"/>
              <w:tr2bl w:val="nil"/>
            </w:tcBorders>
            <w:noWrap w:val="0"/>
            <w:vAlign w:val="center"/>
          </w:tcPr>
          <w:p w14:paraId="1CF6B5D9">
            <w:pPr>
              <w:pStyle w:val="31"/>
              <w:bidi w:val="0"/>
              <w:rPr>
                <w:rFonts w:hint="default" w:ascii="Times New Roman" w:hAnsi="Times New Roman" w:cs="Times New Roman"/>
                <w:color w:val="auto"/>
              </w:rPr>
            </w:pPr>
            <w:r>
              <w:rPr>
                <w:rFonts w:hint="default" w:ascii="Times New Roman" w:hAnsi="Times New Roman" w:cs="Times New Roman"/>
                <w:color w:val="auto"/>
              </w:rPr>
              <w:t>约100以上</w:t>
            </w:r>
          </w:p>
        </w:tc>
      </w:tr>
      <w:tr w14:paraId="0ED1A5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4" w:space="0"/>
              <w:left w:val="single" w:color="auto" w:sz="12" w:space="0"/>
              <w:bottom w:val="single" w:color="auto" w:sz="4" w:space="0"/>
              <w:right w:val="single" w:color="auto" w:sz="4" w:space="0"/>
              <w:tl2br w:val="nil"/>
              <w:tr2bl w:val="nil"/>
            </w:tcBorders>
            <w:noWrap w:val="0"/>
            <w:vAlign w:val="center"/>
          </w:tcPr>
          <w:p w14:paraId="31817655">
            <w:pPr>
              <w:pStyle w:val="31"/>
              <w:bidi w:val="0"/>
              <w:rPr>
                <w:rFonts w:hint="default" w:ascii="Times New Roman" w:hAnsi="Times New Roman" w:cs="Times New Roman"/>
                <w:color w:val="auto"/>
              </w:rPr>
            </w:pPr>
            <w:r>
              <w:rPr>
                <w:rFonts w:hint="default" w:ascii="Times New Roman" w:hAnsi="Times New Roman" w:cs="Times New Roman"/>
                <w:color w:val="auto"/>
              </w:rPr>
              <w:t>5</w:t>
            </w:r>
          </w:p>
        </w:tc>
        <w:tc>
          <w:tcPr>
            <w:tcW w:w="188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4553069">
            <w:pPr>
              <w:pStyle w:val="31"/>
              <w:bidi w:val="0"/>
              <w:rPr>
                <w:rFonts w:hint="default" w:ascii="Times New Roman" w:hAnsi="Times New Roman" w:cs="Times New Roman"/>
                <w:color w:val="auto"/>
              </w:rPr>
            </w:pPr>
            <w:r>
              <w:rPr>
                <w:rFonts w:hint="default" w:ascii="Times New Roman" w:hAnsi="Times New Roman" w:cs="Times New Roman"/>
                <w:color w:val="auto"/>
              </w:rPr>
              <w:t>万通公司</w:t>
            </w:r>
          </w:p>
        </w:tc>
        <w:tc>
          <w:tcPr>
            <w:tcW w:w="73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4F3809">
            <w:pPr>
              <w:pStyle w:val="31"/>
              <w:bidi w:val="0"/>
              <w:rPr>
                <w:rFonts w:hint="default" w:ascii="Times New Roman" w:hAnsi="Times New Roman" w:cs="Times New Roman"/>
                <w:color w:val="auto"/>
              </w:rPr>
            </w:pPr>
            <w:r>
              <w:rPr>
                <w:rFonts w:hint="default" w:ascii="Times New Roman" w:hAnsi="Times New Roman" w:cs="Times New Roman"/>
                <w:color w:val="auto"/>
              </w:rPr>
              <w:t>东北侧</w:t>
            </w:r>
          </w:p>
        </w:tc>
        <w:tc>
          <w:tcPr>
            <w:tcW w:w="70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AC1AFC0">
            <w:pPr>
              <w:pStyle w:val="31"/>
              <w:bidi w:val="0"/>
              <w:rPr>
                <w:rFonts w:hint="default" w:ascii="Times New Roman" w:hAnsi="Times New Roman" w:cs="Times New Roman"/>
                <w:color w:val="auto"/>
              </w:rPr>
            </w:pPr>
            <w:r>
              <w:rPr>
                <w:rFonts w:hint="eastAsia" w:cs="Times New Roman"/>
                <w:color w:val="auto"/>
                <w:lang w:val="en-US" w:eastAsia="zh-CN"/>
              </w:rPr>
              <w:t>470</w:t>
            </w:r>
            <w:r>
              <w:rPr>
                <w:rFonts w:hint="default" w:ascii="Times New Roman" w:hAnsi="Times New Roman" w:cs="Times New Roman"/>
                <w:color w:val="auto"/>
              </w:rPr>
              <w:t>m</w:t>
            </w:r>
          </w:p>
        </w:tc>
        <w:tc>
          <w:tcPr>
            <w:tcW w:w="1250" w:type="pct"/>
            <w:tcBorders>
              <w:top w:val="single" w:color="auto" w:sz="4" w:space="0"/>
              <w:left w:val="single" w:color="auto" w:sz="4" w:space="0"/>
              <w:bottom w:val="single" w:color="auto" w:sz="4" w:space="0"/>
              <w:right w:val="single" w:color="auto" w:sz="12" w:space="0"/>
              <w:tl2br w:val="nil"/>
              <w:tr2bl w:val="nil"/>
            </w:tcBorders>
            <w:noWrap w:val="0"/>
            <w:vAlign w:val="center"/>
          </w:tcPr>
          <w:p w14:paraId="3F184729">
            <w:pPr>
              <w:pStyle w:val="31"/>
              <w:bidi w:val="0"/>
              <w:rPr>
                <w:rFonts w:hint="default" w:ascii="Times New Roman" w:hAnsi="Times New Roman" w:cs="Times New Roman"/>
                <w:color w:val="auto"/>
              </w:rPr>
            </w:pPr>
            <w:r>
              <w:rPr>
                <w:rFonts w:hint="default" w:ascii="Times New Roman" w:hAnsi="Times New Roman" w:cs="Times New Roman"/>
                <w:color w:val="auto"/>
              </w:rPr>
              <w:t>约100以上</w:t>
            </w:r>
          </w:p>
        </w:tc>
      </w:tr>
      <w:tr w14:paraId="1F283A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4" w:space="0"/>
              <w:left w:val="single" w:color="auto" w:sz="12" w:space="0"/>
              <w:bottom w:val="single" w:color="auto" w:sz="4" w:space="0"/>
              <w:right w:val="single" w:color="auto" w:sz="4" w:space="0"/>
              <w:tl2br w:val="nil"/>
              <w:tr2bl w:val="nil"/>
            </w:tcBorders>
            <w:noWrap w:val="0"/>
            <w:vAlign w:val="center"/>
          </w:tcPr>
          <w:p w14:paraId="1C5DF7A9">
            <w:pPr>
              <w:pStyle w:val="31"/>
              <w:bidi w:val="0"/>
              <w:rPr>
                <w:rFonts w:hint="default" w:ascii="Times New Roman" w:hAnsi="Times New Roman" w:cs="Times New Roman"/>
                <w:color w:val="auto"/>
              </w:rPr>
            </w:pPr>
            <w:r>
              <w:rPr>
                <w:rFonts w:hint="default" w:ascii="Times New Roman" w:hAnsi="Times New Roman" w:cs="Times New Roman"/>
                <w:color w:val="auto"/>
              </w:rPr>
              <w:t>6</w:t>
            </w:r>
          </w:p>
        </w:tc>
        <w:tc>
          <w:tcPr>
            <w:tcW w:w="188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A691C45">
            <w:pPr>
              <w:pStyle w:val="31"/>
              <w:bidi w:val="0"/>
              <w:rPr>
                <w:rFonts w:hint="default" w:ascii="Times New Roman" w:hAnsi="Times New Roman" w:cs="Times New Roman"/>
                <w:color w:val="auto"/>
              </w:rPr>
            </w:pPr>
            <w:r>
              <w:rPr>
                <w:rFonts w:hint="default" w:ascii="Times New Roman" w:hAnsi="Times New Roman" w:cs="Times New Roman"/>
                <w:color w:val="auto"/>
              </w:rPr>
              <w:t>神驰化工集团公司</w:t>
            </w:r>
          </w:p>
        </w:tc>
        <w:tc>
          <w:tcPr>
            <w:tcW w:w="73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F3D317A">
            <w:pPr>
              <w:pStyle w:val="31"/>
              <w:bidi w:val="0"/>
              <w:rPr>
                <w:rFonts w:hint="default" w:ascii="Times New Roman" w:hAnsi="Times New Roman" w:cs="Times New Roman"/>
                <w:color w:val="auto"/>
              </w:rPr>
            </w:pPr>
            <w:r>
              <w:rPr>
                <w:rFonts w:hint="default" w:ascii="Times New Roman" w:hAnsi="Times New Roman" w:cs="Times New Roman"/>
                <w:color w:val="auto"/>
              </w:rPr>
              <w:t>南侧</w:t>
            </w:r>
          </w:p>
        </w:tc>
        <w:tc>
          <w:tcPr>
            <w:tcW w:w="70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0D14A09">
            <w:pPr>
              <w:pStyle w:val="31"/>
              <w:bidi w:val="0"/>
              <w:rPr>
                <w:rFonts w:hint="default" w:ascii="Times New Roman" w:hAnsi="Times New Roman" w:cs="Times New Roman"/>
                <w:color w:val="auto"/>
              </w:rPr>
            </w:pPr>
            <w:r>
              <w:rPr>
                <w:rFonts w:hint="eastAsia" w:cs="Times New Roman"/>
                <w:color w:val="auto"/>
                <w:highlight w:val="none"/>
                <w:lang w:val="en-US" w:eastAsia="zh-CN"/>
              </w:rPr>
              <w:t>440</w:t>
            </w:r>
            <w:r>
              <w:rPr>
                <w:rFonts w:hint="default" w:ascii="Times New Roman" w:hAnsi="Times New Roman" w:cs="Times New Roman"/>
                <w:color w:val="auto"/>
                <w:highlight w:val="none"/>
              </w:rPr>
              <w:t>m</w:t>
            </w:r>
          </w:p>
        </w:tc>
        <w:tc>
          <w:tcPr>
            <w:tcW w:w="1250" w:type="pct"/>
            <w:tcBorders>
              <w:top w:val="single" w:color="auto" w:sz="4" w:space="0"/>
              <w:left w:val="single" w:color="auto" w:sz="4" w:space="0"/>
              <w:bottom w:val="single" w:color="auto" w:sz="4" w:space="0"/>
              <w:right w:val="single" w:color="auto" w:sz="12" w:space="0"/>
              <w:tl2br w:val="nil"/>
              <w:tr2bl w:val="nil"/>
            </w:tcBorders>
            <w:noWrap w:val="0"/>
            <w:vAlign w:val="center"/>
          </w:tcPr>
          <w:p w14:paraId="1BF0A1D1">
            <w:pPr>
              <w:pStyle w:val="31"/>
              <w:bidi w:val="0"/>
              <w:rPr>
                <w:rFonts w:hint="default" w:ascii="Times New Roman" w:hAnsi="Times New Roman" w:cs="Times New Roman"/>
                <w:color w:val="auto"/>
              </w:rPr>
            </w:pPr>
            <w:r>
              <w:rPr>
                <w:rFonts w:hint="default" w:ascii="Times New Roman" w:hAnsi="Times New Roman" w:cs="Times New Roman"/>
                <w:color w:val="auto"/>
              </w:rPr>
              <w:t>约100以上</w:t>
            </w:r>
          </w:p>
        </w:tc>
      </w:tr>
      <w:tr w14:paraId="3EB042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tcBorders>
              <w:top w:val="single" w:color="auto" w:sz="4" w:space="0"/>
              <w:left w:val="single" w:color="auto" w:sz="12" w:space="0"/>
              <w:bottom w:val="single" w:color="auto" w:sz="12" w:space="0"/>
              <w:right w:val="single" w:color="auto" w:sz="4" w:space="0"/>
              <w:tl2br w:val="nil"/>
              <w:tr2bl w:val="nil"/>
            </w:tcBorders>
            <w:noWrap w:val="0"/>
            <w:vAlign w:val="center"/>
          </w:tcPr>
          <w:p w14:paraId="6F36C254">
            <w:pPr>
              <w:pStyle w:val="31"/>
              <w:bidi w:val="0"/>
              <w:rPr>
                <w:rFonts w:hint="default" w:ascii="Times New Roman" w:hAnsi="Times New Roman" w:cs="Times New Roman"/>
                <w:color w:val="auto"/>
              </w:rPr>
            </w:pPr>
            <w:r>
              <w:rPr>
                <w:rFonts w:hint="default" w:ascii="Times New Roman" w:hAnsi="Times New Roman" w:cs="Times New Roman"/>
                <w:color w:val="auto"/>
              </w:rPr>
              <w:t>7</w:t>
            </w:r>
          </w:p>
        </w:tc>
        <w:tc>
          <w:tcPr>
            <w:tcW w:w="1888" w:type="pct"/>
            <w:tcBorders>
              <w:top w:val="single" w:color="auto" w:sz="4" w:space="0"/>
              <w:left w:val="single" w:color="auto" w:sz="4" w:space="0"/>
              <w:bottom w:val="single" w:color="auto" w:sz="12" w:space="0"/>
              <w:right w:val="single" w:color="auto" w:sz="4" w:space="0"/>
              <w:tl2br w:val="nil"/>
              <w:tr2bl w:val="nil"/>
            </w:tcBorders>
            <w:noWrap w:val="0"/>
            <w:vAlign w:val="center"/>
          </w:tcPr>
          <w:p w14:paraId="6CAC6D14">
            <w:pPr>
              <w:pStyle w:val="31"/>
              <w:bidi w:val="0"/>
              <w:rPr>
                <w:rFonts w:hint="default" w:ascii="Times New Roman" w:hAnsi="Times New Roman" w:cs="Times New Roman"/>
                <w:color w:val="auto"/>
              </w:rPr>
            </w:pPr>
            <w:r>
              <w:rPr>
                <w:rFonts w:hint="default" w:ascii="Times New Roman" w:hAnsi="Times New Roman" w:cs="Times New Roman"/>
                <w:color w:val="auto"/>
              </w:rPr>
              <w:t>东营胜利中亚化工有限公司</w:t>
            </w:r>
          </w:p>
        </w:tc>
        <w:tc>
          <w:tcPr>
            <w:tcW w:w="732" w:type="pct"/>
            <w:tcBorders>
              <w:top w:val="single" w:color="auto" w:sz="4" w:space="0"/>
              <w:left w:val="single" w:color="auto" w:sz="4" w:space="0"/>
              <w:bottom w:val="single" w:color="auto" w:sz="12" w:space="0"/>
              <w:right w:val="single" w:color="auto" w:sz="4" w:space="0"/>
              <w:tl2br w:val="nil"/>
              <w:tr2bl w:val="nil"/>
            </w:tcBorders>
            <w:noWrap w:val="0"/>
            <w:vAlign w:val="center"/>
          </w:tcPr>
          <w:p w14:paraId="51096F76">
            <w:pPr>
              <w:pStyle w:val="31"/>
              <w:bidi w:val="0"/>
              <w:rPr>
                <w:rFonts w:hint="default" w:ascii="Times New Roman" w:hAnsi="Times New Roman" w:cs="Times New Roman"/>
                <w:color w:val="auto"/>
              </w:rPr>
            </w:pPr>
            <w:r>
              <w:rPr>
                <w:rFonts w:hint="default" w:ascii="Times New Roman" w:hAnsi="Times New Roman" w:cs="Times New Roman"/>
                <w:color w:val="auto"/>
              </w:rPr>
              <w:t>西侧</w:t>
            </w:r>
          </w:p>
        </w:tc>
        <w:tc>
          <w:tcPr>
            <w:tcW w:w="703" w:type="pct"/>
            <w:tcBorders>
              <w:top w:val="single" w:color="auto" w:sz="4" w:space="0"/>
              <w:left w:val="single" w:color="auto" w:sz="4" w:space="0"/>
              <w:bottom w:val="single" w:color="auto" w:sz="12" w:space="0"/>
              <w:right w:val="single" w:color="auto" w:sz="4" w:space="0"/>
              <w:tl2br w:val="nil"/>
              <w:tr2bl w:val="nil"/>
            </w:tcBorders>
            <w:noWrap w:val="0"/>
            <w:vAlign w:val="center"/>
          </w:tcPr>
          <w:p w14:paraId="5EBB49AD">
            <w:pPr>
              <w:pStyle w:val="31"/>
              <w:bidi w:val="0"/>
              <w:rPr>
                <w:rFonts w:hint="default" w:ascii="Times New Roman" w:hAnsi="Times New Roman" w:cs="Times New Roman"/>
                <w:color w:val="auto"/>
              </w:rPr>
            </w:pPr>
            <w:r>
              <w:rPr>
                <w:rFonts w:hint="default" w:ascii="Times New Roman" w:hAnsi="Times New Roman" w:cs="Times New Roman"/>
                <w:color w:val="auto"/>
              </w:rPr>
              <w:t>约1.3km</w:t>
            </w:r>
          </w:p>
        </w:tc>
        <w:tc>
          <w:tcPr>
            <w:tcW w:w="1250" w:type="pct"/>
            <w:tcBorders>
              <w:top w:val="single" w:color="auto" w:sz="4" w:space="0"/>
              <w:left w:val="single" w:color="auto" w:sz="4" w:space="0"/>
              <w:bottom w:val="single" w:color="auto" w:sz="12" w:space="0"/>
              <w:right w:val="single" w:color="auto" w:sz="12" w:space="0"/>
              <w:tl2br w:val="nil"/>
              <w:tr2bl w:val="nil"/>
            </w:tcBorders>
            <w:noWrap w:val="0"/>
            <w:vAlign w:val="center"/>
          </w:tcPr>
          <w:p w14:paraId="5EC9467B">
            <w:pPr>
              <w:pStyle w:val="31"/>
              <w:bidi w:val="0"/>
              <w:rPr>
                <w:rFonts w:hint="default" w:ascii="Times New Roman" w:hAnsi="Times New Roman" w:cs="Times New Roman"/>
                <w:color w:val="auto"/>
              </w:rPr>
            </w:pPr>
            <w:r>
              <w:rPr>
                <w:rFonts w:hint="default" w:ascii="Times New Roman" w:hAnsi="Times New Roman" w:cs="Times New Roman"/>
                <w:color w:val="auto"/>
              </w:rPr>
              <w:t>约50以上</w:t>
            </w:r>
          </w:p>
        </w:tc>
      </w:tr>
    </w:tbl>
    <w:p w14:paraId="45F3A5B7">
      <w:pPr>
        <w:pStyle w:val="6"/>
        <w:keepNext w:val="0"/>
        <w:keepLines w:val="0"/>
        <w:pageBreakBefore w:val="0"/>
        <w:widowControl/>
        <w:kinsoku/>
        <w:wordWrap/>
        <w:overflowPunct/>
        <w:topLinePunct w:val="0"/>
        <w:autoSpaceDE/>
        <w:autoSpaceDN/>
        <w:bidi w:val="0"/>
        <w:adjustRightInd/>
        <w:snapToGrid w:val="0"/>
        <w:spacing w:before="161" w:beforeLines="50"/>
        <w:textAlignment w:val="auto"/>
        <w:rPr>
          <w:rFonts w:hint="default" w:ascii="Times New Roman" w:hAnsi="Times New Roman" w:cs="Times New Roman"/>
          <w:color w:val="auto"/>
        </w:rPr>
      </w:pPr>
      <w:r>
        <w:rPr>
          <w:rFonts w:hint="default" w:ascii="Times New Roman" w:hAnsi="Times New Roman" w:cs="Times New Roman"/>
          <w:color w:val="auto"/>
        </w:rPr>
        <w:t>项目厂区附近无风景区和文物古迹，对环境和生态无危害，周边环境符合项目建设条件。项目区内无架空电力、通讯线穿过，地下无输油、输气管线穿过。</w:t>
      </w:r>
    </w:p>
    <w:p w14:paraId="1F20A438">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6.1.</w:t>
      </w:r>
      <w:r>
        <w:rPr>
          <w:rFonts w:hint="eastAsia" w:cs="Times New Roman"/>
          <w:color w:val="auto"/>
          <w:lang w:val="en-US" w:eastAsia="zh-CN"/>
        </w:rPr>
        <w:t>4</w:t>
      </w:r>
      <w:r>
        <w:rPr>
          <w:rFonts w:hint="default" w:ascii="Times New Roman" w:hAnsi="Times New Roman" w:cs="Times New Roman"/>
          <w:color w:val="auto"/>
          <w:lang w:val="en-US" w:eastAsia="zh-CN"/>
        </w:rPr>
        <w:t xml:space="preserve"> 建设项目储存设施与法律法规予以保护区域的安全距离</w:t>
      </w:r>
    </w:p>
    <w:p w14:paraId="01692D8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该项目区与《危险化学品安全管理条例》第十九条规定的场所、区域、设施距离符合相关法律、法规、标准、规范的要求，详见表2.3-3。</w:t>
      </w:r>
    </w:p>
    <w:p w14:paraId="0090C2DA">
      <w:pPr>
        <w:pStyle w:val="4"/>
        <w:bidi w:val="0"/>
        <w:rPr>
          <w:rFonts w:hint="default" w:ascii="Times New Roman" w:hAnsi="Times New Roman" w:cs="Times New Roman"/>
          <w:color w:val="auto"/>
        </w:rPr>
      </w:pPr>
      <w:r>
        <w:rPr>
          <w:rFonts w:hint="default" w:ascii="Times New Roman" w:hAnsi="Times New Roman" w:cs="Times New Roman"/>
          <w:color w:val="auto"/>
        </w:rPr>
        <w:t>6.1.</w:t>
      </w:r>
      <w:r>
        <w:rPr>
          <w:rFonts w:hint="eastAsia" w:cs="Times New Roman"/>
          <w:color w:val="auto"/>
          <w:lang w:val="en-US" w:eastAsia="zh-CN"/>
        </w:rPr>
        <w:t>5</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建设项目内在危险有害因素对周边单位或居民生活的影响</w:t>
      </w:r>
    </w:p>
    <w:p w14:paraId="11F6DF0B">
      <w:pPr>
        <w:pStyle w:val="6"/>
        <w:numPr>
          <w:ilvl w:val="0"/>
          <w:numId w:val="0"/>
        </w:numPr>
        <w:bidi w:val="0"/>
        <w:ind w:firstLine="560" w:firstLineChars="200"/>
        <w:rPr>
          <w:rFonts w:hint="default" w:ascii="Times New Roman" w:hAnsi="Times New Roman" w:cs="Times New Roman"/>
          <w:color w:val="auto"/>
          <w:lang w:eastAsia="zh-CN"/>
        </w:rPr>
      </w:pPr>
      <w:r>
        <w:rPr>
          <w:rFonts w:hint="eastAsia" w:ascii="Times New Roman" w:hAnsi="Times New Roman" w:cs="Times New Roman"/>
          <w:color w:val="auto"/>
          <w:sz w:val="28"/>
          <w:lang w:val="en-US" w:eastAsia="zh-CN"/>
        </w:rPr>
        <w:t>1</w:t>
      </w:r>
      <w:r>
        <w:rPr>
          <w:rFonts w:hint="default" w:ascii="Times New Roman" w:hAnsi="Times New Roman" w:eastAsia="宋体" w:cs="Times New Roman"/>
          <w:color w:val="auto"/>
          <w:sz w:val="28"/>
          <w:lang w:val="zh-CN" w:eastAsia="zh-CN"/>
        </w:rPr>
        <w:t>）</w:t>
      </w:r>
      <w:r>
        <w:rPr>
          <w:rFonts w:hint="default" w:ascii="Times New Roman" w:hAnsi="Times New Roman" w:cs="Times New Roman"/>
          <w:color w:val="auto"/>
          <w:lang w:eastAsia="zh-CN"/>
        </w:rPr>
        <w:t>周边的安全防火距离评价</w:t>
      </w:r>
    </w:p>
    <w:p w14:paraId="7B0785E1">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该项目与周边设施的防火间距符合《石油化工企业设计防火标准（2018版）》（GB 50160-2008）的相关要求。</w:t>
      </w:r>
    </w:p>
    <w:p w14:paraId="2EADC520">
      <w:pPr>
        <w:pStyle w:val="6"/>
        <w:numPr>
          <w:ilvl w:val="0"/>
          <w:numId w:val="0"/>
        </w:numPr>
        <w:bidi w:val="0"/>
        <w:ind w:left="0" w:leftChars="0" w:firstLine="560" w:firstLineChars="200"/>
        <w:rPr>
          <w:rFonts w:hint="default" w:ascii="Times New Roman" w:hAnsi="Times New Roman" w:cs="Times New Roman"/>
          <w:color w:val="auto"/>
          <w:lang w:eastAsia="zh-CN"/>
        </w:rPr>
      </w:pPr>
      <w:r>
        <w:rPr>
          <w:rFonts w:hint="eastAsia" w:ascii="Times New Roman" w:hAnsi="Times New Roman" w:cs="Times New Roman"/>
          <w:color w:val="auto"/>
          <w:sz w:val="28"/>
          <w:lang w:val="en-US" w:eastAsia="zh-CN"/>
        </w:rPr>
        <w:t>2</w:t>
      </w:r>
      <w:r>
        <w:rPr>
          <w:rFonts w:hint="default" w:ascii="Times New Roman" w:hAnsi="Times New Roman" w:eastAsia="宋体" w:cs="Times New Roman"/>
          <w:color w:val="auto"/>
          <w:sz w:val="28"/>
          <w:lang w:val="zh-CN" w:eastAsia="zh-CN"/>
        </w:rPr>
        <w:t>）</w:t>
      </w:r>
      <w:r>
        <w:rPr>
          <w:rFonts w:hint="default" w:ascii="Times New Roman" w:hAnsi="Times New Roman" w:cs="Times New Roman"/>
          <w:color w:val="auto"/>
          <w:lang w:eastAsia="zh-CN"/>
        </w:rPr>
        <w:t>建设项目对周边单位生产、经营活动或者居民生活的影响</w:t>
      </w:r>
    </w:p>
    <w:p w14:paraId="6B5C6C3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①</w:t>
      </w:r>
      <w:r>
        <w:rPr>
          <w:rFonts w:hint="default" w:ascii="Times New Roman" w:hAnsi="Times New Roman" w:cs="Times New Roman"/>
          <w:color w:val="auto"/>
          <w:lang w:eastAsia="zh-CN"/>
        </w:rPr>
        <w:t>对周边单位生产、经营活动的影响</w:t>
      </w:r>
    </w:p>
    <w:p w14:paraId="7AE8D865">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该项目可能发生的最严重的事故是火灾爆炸事故。</w:t>
      </w:r>
    </w:p>
    <w:p w14:paraId="47E1A84B">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储运二部装卸车</w:t>
      </w:r>
      <w:r>
        <w:rPr>
          <w:rFonts w:hint="eastAsia" w:cs="Times New Roman"/>
          <w:color w:val="auto"/>
          <w:lang w:val="en-US" w:eastAsia="zh-CN"/>
        </w:rPr>
        <w:t>废气</w:t>
      </w:r>
      <w:r>
        <w:rPr>
          <w:rFonts w:hint="default" w:ascii="Times New Roman" w:hAnsi="Times New Roman" w:cs="Times New Roman"/>
          <w:color w:val="auto"/>
          <w:lang w:eastAsia="zh-CN"/>
        </w:rPr>
        <w:t>治理项目</w:t>
      </w:r>
      <w:r>
        <w:rPr>
          <w:rFonts w:hint="default" w:ascii="Times New Roman" w:hAnsi="Times New Roman" w:cs="Times New Roman"/>
          <w:color w:val="auto"/>
          <w:lang w:val="en-US" w:eastAsia="zh-CN"/>
        </w:rPr>
        <w:t>新建油气处理单元</w:t>
      </w:r>
      <w:r>
        <w:rPr>
          <w:rFonts w:hint="default" w:ascii="Times New Roman" w:hAnsi="Times New Roman" w:cs="Times New Roman"/>
          <w:color w:val="auto"/>
          <w:lang w:eastAsia="zh-CN"/>
        </w:rPr>
        <w:t>东侧为</w:t>
      </w:r>
      <w:r>
        <w:rPr>
          <w:rFonts w:hint="default" w:ascii="Times New Roman" w:hAnsi="Times New Roman" w:cs="Times New Roman"/>
          <w:color w:val="auto"/>
          <w:lang w:val="en-US" w:eastAsia="zh-CN"/>
        </w:rPr>
        <w:t>16#船燃罐区（相邻最大罐为20000m³固定罐）及泵区</w:t>
      </w:r>
      <w:r>
        <w:rPr>
          <w:rFonts w:hint="default" w:ascii="Times New Roman" w:hAnsi="Times New Roman" w:cs="Times New Roman"/>
          <w:color w:val="auto"/>
          <w:lang w:eastAsia="zh-CN"/>
        </w:rPr>
        <w:t>，南侧为</w:t>
      </w:r>
      <w:r>
        <w:rPr>
          <w:rFonts w:hint="default" w:ascii="Times New Roman" w:hAnsi="Times New Roman" w:cs="Times New Roman"/>
          <w:color w:val="auto"/>
          <w:lang w:val="en-US" w:eastAsia="zh-CN"/>
        </w:rPr>
        <w:t>3#新建柴油罐区</w:t>
      </w:r>
      <w:r>
        <w:rPr>
          <w:rFonts w:hint="default" w:ascii="Times New Roman" w:hAnsi="Times New Roman" w:cs="Times New Roman"/>
          <w:color w:val="auto"/>
          <w:lang w:eastAsia="zh-CN"/>
        </w:rPr>
        <w:t>（相邻最大罐为5000m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内浮顶罐），西侧为</w:t>
      </w:r>
      <w:r>
        <w:rPr>
          <w:rFonts w:hint="default" w:ascii="Times New Roman" w:hAnsi="Times New Roman" w:cs="Times New Roman"/>
          <w:color w:val="auto"/>
          <w:lang w:val="en-US" w:eastAsia="zh-CN"/>
        </w:rPr>
        <w:t>6#</w:t>
      </w:r>
      <w:r>
        <w:rPr>
          <w:rFonts w:hint="default" w:ascii="Times New Roman" w:hAnsi="Times New Roman" w:cs="Times New Roman"/>
          <w:color w:val="auto"/>
          <w:lang w:eastAsia="zh-CN"/>
        </w:rPr>
        <w:t>焦化原料油罐区（相邻最大罐为5000m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lang w:eastAsia="zh-CN"/>
        </w:rPr>
        <w:t>拱顶罐）</w:t>
      </w:r>
      <w:r>
        <w:rPr>
          <w:rFonts w:hint="default" w:ascii="Times New Roman" w:hAnsi="Times New Roman" w:cs="Times New Roman"/>
          <w:color w:val="auto"/>
          <w:lang w:val="en-US" w:eastAsia="zh-CN"/>
        </w:rPr>
        <w:t>及大鹤管装车泵房</w:t>
      </w:r>
      <w:r>
        <w:rPr>
          <w:rFonts w:hint="default" w:ascii="Times New Roman" w:hAnsi="Times New Roman" w:cs="Times New Roman"/>
          <w:color w:val="auto"/>
          <w:lang w:eastAsia="zh-CN"/>
        </w:rPr>
        <w:t>，北侧为</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火车装车台。若该项目的均化罐、反应器等设备发生火灾爆炸事故，可能会对厂区内周边设施造成不同程度影响。</w:t>
      </w:r>
    </w:p>
    <w:p w14:paraId="664A1E6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②</w:t>
      </w:r>
      <w:r>
        <w:rPr>
          <w:rFonts w:hint="default" w:ascii="Times New Roman" w:hAnsi="Times New Roman" w:cs="Times New Roman"/>
          <w:color w:val="auto"/>
          <w:lang w:eastAsia="zh-CN"/>
        </w:rPr>
        <w:t>对周边居民生活的影响</w:t>
      </w:r>
    </w:p>
    <w:p w14:paraId="58EB47FB">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若项目工艺装置发生火灾爆炸事故，一般不会对居民造成影响。因此，除留有规范要求的安全防护距离外，企业还做好安全防范措施、对周边村民进行危险告知和应急预案演练，在此基础上其影响可以接受。</w:t>
      </w:r>
    </w:p>
    <w:p w14:paraId="747E66C9">
      <w:pPr>
        <w:pStyle w:val="4"/>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6.1.</w:t>
      </w:r>
      <w:r>
        <w:rPr>
          <w:rFonts w:hint="eastAsia" w:cs="Times New Roman"/>
          <w:color w:val="auto"/>
          <w:lang w:val="en-US" w:eastAsia="zh-CN"/>
        </w:rPr>
        <w:t>6</w:t>
      </w:r>
      <w:r>
        <w:rPr>
          <w:rFonts w:hint="default" w:ascii="Times New Roman" w:hAnsi="Times New Roman" w:cs="Times New Roman"/>
          <w:color w:val="auto"/>
          <w:lang w:eastAsia="zh-CN"/>
        </w:rPr>
        <w:t xml:space="preserve"> 建设项目周边单位或者居民生活对建设项目的影响</w:t>
      </w:r>
    </w:p>
    <w:p w14:paraId="1A48494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（1）厂外单位生产、经营活动对建设项目的影响</w:t>
      </w:r>
    </w:p>
    <w:p w14:paraId="6F159657">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与厂外周边建构筑物、设施的距离符合相关标准规范的要求，厂外单位生产、经营活动及安全生产事故一般不会波及到该项目区，对该项目影响较小；该项目周边活动人员未经允许进入本项目区，意外损坏或人为破坏等有造成危险物料泄露，甚至发生火灾、爆炸中毒的危险，企业在编制完善的安全管理制度的前提下，加强安全管理，编制事故应急救援预案并定期进行演练的情况下，其对本项目的风险影响程度较低。</w:t>
      </w:r>
    </w:p>
    <w:p w14:paraId="4112D4F7">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（2）厂内周边设施等对建设项目的影响</w:t>
      </w:r>
    </w:p>
    <w:p w14:paraId="10D676C5">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储运二部装卸车</w:t>
      </w:r>
      <w:r>
        <w:rPr>
          <w:rFonts w:hint="eastAsia" w:cs="Times New Roman"/>
          <w:color w:val="auto"/>
          <w:lang w:val="en-US" w:eastAsia="zh-CN"/>
        </w:rPr>
        <w:t>废气</w:t>
      </w:r>
      <w:r>
        <w:rPr>
          <w:rFonts w:hint="default" w:ascii="Times New Roman" w:hAnsi="Times New Roman" w:cs="Times New Roman"/>
          <w:color w:val="auto"/>
          <w:lang w:eastAsia="zh-CN"/>
        </w:rPr>
        <w:t>治理项目</w:t>
      </w:r>
      <w:r>
        <w:rPr>
          <w:rFonts w:hint="default" w:ascii="Times New Roman" w:hAnsi="Times New Roman" w:cs="Times New Roman"/>
          <w:color w:val="auto"/>
          <w:lang w:val="en-US" w:eastAsia="zh-CN"/>
        </w:rPr>
        <w:t>新建油气处理单元</w:t>
      </w:r>
      <w:r>
        <w:rPr>
          <w:rFonts w:hint="default" w:ascii="Times New Roman" w:hAnsi="Times New Roman" w:cs="Times New Roman"/>
          <w:color w:val="auto"/>
          <w:lang w:eastAsia="zh-CN"/>
        </w:rPr>
        <w:t>南侧为</w:t>
      </w:r>
      <w:r>
        <w:rPr>
          <w:rFonts w:hint="default" w:ascii="Times New Roman" w:hAnsi="Times New Roman" w:cs="Times New Roman"/>
          <w:color w:val="auto"/>
          <w:lang w:val="en-US" w:eastAsia="zh-CN"/>
        </w:rPr>
        <w:t>3#新建柴油罐区</w:t>
      </w:r>
      <w:r>
        <w:rPr>
          <w:rFonts w:hint="default" w:ascii="Times New Roman" w:hAnsi="Times New Roman" w:cs="Times New Roman"/>
          <w:color w:val="auto"/>
          <w:lang w:eastAsia="zh-CN"/>
        </w:rPr>
        <w:t>，西侧为</w:t>
      </w:r>
      <w:r>
        <w:rPr>
          <w:rFonts w:hint="default" w:ascii="Times New Roman" w:hAnsi="Times New Roman" w:cs="Times New Roman"/>
          <w:color w:val="auto"/>
          <w:lang w:val="en-US" w:eastAsia="zh-CN"/>
        </w:rPr>
        <w:t>6#</w:t>
      </w:r>
      <w:r>
        <w:rPr>
          <w:rFonts w:hint="default" w:ascii="Times New Roman" w:hAnsi="Times New Roman" w:cs="Times New Roman"/>
          <w:color w:val="auto"/>
          <w:lang w:eastAsia="zh-CN"/>
        </w:rPr>
        <w:t>焦化原料油罐区，北侧为1#火车装车台。若罐区或火车装车台发生重大火灾爆炸事故，有造成本项目发生火灾、爆炸的可能。与本项目相关的公用工程、储罐区、输送管线等发生故障，有造成本项目停产的可能。</w:t>
      </w:r>
    </w:p>
    <w:p w14:paraId="7C419890">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（3）周边居民生活对建设项目的影响</w:t>
      </w:r>
    </w:p>
    <w:p w14:paraId="4C5A7F9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本项目距离村庄较远，且石油化工总厂有严格的进厂制度，周边村庄的居民生活不会对本项目产生不利影响。</w:t>
      </w:r>
    </w:p>
    <w:p w14:paraId="0B870821">
      <w:pPr>
        <w:pStyle w:val="4"/>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6.1.</w:t>
      </w:r>
      <w:r>
        <w:rPr>
          <w:rFonts w:hint="eastAsia" w:cs="Times New Roman"/>
          <w:color w:val="auto"/>
          <w:lang w:val="en-US" w:eastAsia="zh-CN"/>
        </w:rPr>
        <w:t>7</w:t>
      </w:r>
      <w:r>
        <w:rPr>
          <w:rFonts w:hint="default" w:ascii="Times New Roman" w:hAnsi="Times New Roman" w:cs="Times New Roman"/>
          <w:color w:val="auto"/>
          <w:lang w:eastAsia="zh-CN"/>
        </w:rPr>
        <w:t xml:space="preserve"> 建设项目所在地自然条件的影响</w:t>
      </w:r>
    </w:p>
    <w:p w14:paraId="04465C2F">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建设项目受自然条件影响的危险、有害因素主要包括地震、雷击、暴雨、大风、高</w:t>
      </w:r>
      <w:r>
        <w:rPr>
          <w:rFonts w:hint="default" w:ascii="Times New Roman" w:hAnsi="Times New Roman" w:cs="Times New Roman"/>
          <w:color w:val="auto"/>
          <w:lang w:val="en-US" w:eastAsia="zh-CN"/>
        </w:rPr>
        <w:t>温</w:t>
      </w:r>
      <w:r>
        <w:rPr>
          <w:rFonts w:hint="default" w:ascii="Times New Roman" w:hAnsi="Times New Roman" w:cs="Times New Roman"/>
          <w:color w:val="auto"/>
          <w:lang w:eastAsia="zh-CN"/>
        </w:rPr>
        <w:t>、</w:t>
      </w:r>
      <w:r>
        <w:rPr>
          <w:rFonts w:hint="eastAsia" w:cs="Times New Roman"/>
          <w:color w:val="auto"/>
          <w:lang w:val="en-US" w:eastAsia="zh-CN"/>
        </w:rPr>
        <w:t>严寒</w:t>
      </w:r>
      <w:r>
        <w:rPr>
          <w:rFonts w:hint="default" w:ascii="Times New Roman" w:hAnsi="Times New Roman" w:cs="Times New Roman"/>
          <w:color w:val="auto"/>
          <w:lang w:val="en-US" w:eastAsia="zh-CN"/>
        </w:rPr>
        <w:t>、静电、潮湿、腐蚀</w:t>
      </w:r>
      <w:r>
        <w:rPr>
          <w:rFonts w:hint="default" w:ascii="Times New Roman" w:hAnsi="Times New Roman" w:cs="Times New Roman"/>
          <w:color w:val="auto"/>
          <w:lang w:eastAsia="zh-CN"/>
        </w:rPr>
        <w:t>等不良气象条件和地质灾害。</w:t>
      </w:r>
    </w:p>
    <w:p w14:paraId="6D66E289">
      <w:pPr>
        <w:pStyle w:val="6"/>
        <w:keepNext w:val="0"/>
        <w:keepLines w:val="0"/>
        <w:pageBreakBefore w:val="0"/>
        <w:widowControl/>
        <w:numPr>
          <w:ilvl w:val="0"/>
          <w:numId w:val="8"/>
        </w:numPr>
        <w:kinsoku/>
        <w:wordWrap/>
        <w:overflowPunct/>
        <w:topLinePunct w:val="0"/>
        <w:autoSpaceDE/>
        <w:autoSpaceDN/>
        <w:bidi w:val="0"/>
        <w:adjustRightInd/>
        <w:snapToGrid w:val="0"/>
        <w:ind w:left="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地震</w:t>
      </w:r>
    </w:p>
    <w:p w14:paraId="5BA7E9F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根据《建筑抗震设计规范（2016年版）》（GB 50011-2010）的规定，项目所在地区地震烈度为7度，加速度为0.10g。</w:t>
      </w:r>
    </w:p>
    <w:p w14:paraId="1F37BED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该项目建构筑物抗震设防拟按照《石油化工建（构）筑物抗震设防分类标准》（GB 50453-2008）和《建筑抗震设计规范（2016年版）》（GB 50011-2010）的要求设计抗震设防设施，在采取相关抗震设计后，安全风险是可以接受的。</w:t>
      </w:r>
    </w:p>
    <w:p w14:paraId="74BC435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（2）雷击</w:t>
      </w:r>
    </w:p>
    <w:p w14:paraId="0A3E2AA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若该项目所涉及的工艺装置防雷设施不完善，不能覆盖应保护的区域，或防雷设施失效，均有可能遭受雷击而造成设备和设施毁坏或遭到破坏，雷击可能导致物料泄漏，并可能引发火灾爆炸、中毒、窒息等灾害事故，造成人员伤亡及财产损失。雷电产生的接触电压和跨步电压可造成作业人员触电，雷击导致电气设备绝缘损坏也可使作业人员遭到电击。</w:t>
      </w:r>
    </w:p>
    <w:p w14:paraId="148088D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该项目设备设施及建筑物设计有可靠的防雷保护装置，可有效防止雷电对设备设施产生危害。</w:t>
      </w:r>
    </w:p>
    <w:p w14:paraId="2B34BAC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暴雨</w:t>
      </w:r>
    </w:p>
    <w:p w14:paraId="5FCF715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项目所在厂区无有效的防洪排涝设施和措施，长期下大雨、暴雨，建构筑物、设备在雨水的浸泡下，可能发生倒塌事故；如伴随发生台风、飓风等自然灾害，会使生产装置遭到破坏，导致物料大量泄漏，引发火灾、爆炸、中毒事故，造成人员伤亡、财产损失。</w:t>
      </w:r>
    </w:p>
    <w:p w14:paraId="664B5C9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企业在确保产内防洪排涝系统通畅情况下，发生洪涝灾害时可及时排除。</w:t>
      </w:r>
    </w:p>
    <w:p w14:paraId="13C8AA6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（4）大风</w:t>
      </w:r>
    </w:p>
    <w:p w14:paraId="22D509F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大风属偶然发生的临时性载荷。长径比较大、重心较高、迎风面积较大的建（构）筑物以及建（构）筑物的附属设施受风载荷的影响较大。在高大建（构）筑物的受力分析中，不仅要考虑其承载强度，而且要考虑刚度。即使强度符合要求的高大建（构）筑物，若刚度不够，在风载荷的作用下也有可能失稳，而最终导致垮塌，造成人员伤亡和财产损失。</w:t>
      </w:r>
    </w:p>
    <w:p w14:paraId="25B752C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建筑、室外设备在设计时均应充分考虑其承载强度和刚度，该项目设备设施均采用钢框架结构，以消除或降低对建筑物、设备的影响。</w:t>
      </w:r>
    </w:p>
    <w:p w14:paraId="48E87C1B">
      <w:pPr>
        <w:pStyle w:val="6"/>
        <w:numPr>
          <w:ilvl w:val="0"/>
          <w:numId w:val="0"/>
        </w:numPr>
        <w:bidi w:val="0"/>
        <w:ind w:leftChars="20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（5）</w:t>
      </w:r>
      <w:r>
        <w:rPr>
          <w:rFonts w:hint="default" w:ascii="Times New Roman" w:hAnsi="Times New Roman" w:cs="Times New Roman"/>
          <w:color w:val="auto"/>
          <w:lang w:val="en-US" w:eastAsia="zh-CN"/>
        </w:rPr>
        <w:t>高温、严寒</w:t>
      </w:r>
    </w:p>
    <w:p w14:paraId="2C231C5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夏季气候湿热，气温高，冬季寒冷干燥。生产人员在高温环境中易出现操作失误；高温易使物料挥发加剧，</w:t>
      </w:r>
      <w:r>
        <w:rPr>
          <w:rFonts w:hint="eastAsia" w:cs="Times New Roman"/>
          <w:color w:val="auto"/>
          <w:lang w:val="en-US" w:eastAsia="zh-CN"/>
        </w:rPr>
        <w:t>易</w:t>
      </w:r>
      <w:r>
        <w:rPr>
          <w:rFonts w:hint="default" w:ascii="Times New Roman" w:hAnsi="Times New Roman" w:cs="Times New Roman"/>
          <w:color w:val="auto"/>
          <w:lang w:val="en-US" w:eastAsia="zh-CN"/>
        </w:rPr>
        <w:t>引发火灾、爆炸事故，导致人员伤亡、中毒。严寒有可能导致设备、管道、阀门等破裂及人员冻伤，并引起事故发生。企业为员工配备了劳动防护用品（工作服、手套、防毒面具等），发生事故的可能性极低。</w:t>
      </w:r>
    </w:p>
    <w:p w14:paraId="249B0B79">
      <w:pPr>
        <w:pStyle w:val="6"/>
        <w:bidi w:val="0"/>
        <w:rPr>
          <w:rFonts w:hint="default" w:cs="Times New Roman"/>
          <w:color w:val="auto"/>
          <w:lang w:val="en-US" w:eastAsia="zh-CN"/>
        </w:rPr>
      </w:pPr>
      <w:r>
        <w:rPr>
          <w:rFonts w:hint="eastAsia" w:cs="Times New Roman"/>
          <w:color w:val="auto"/>
          <w:lang w:val="en-US" w:eastAsia="zh-CN"/>
        </w:rPr>
        <w:t>（6）静电</w:t>
      </w:r>
    </w:p>
    <w:p w14:paraId="63B31E86">
      <w:pPr>
        <w:pStyle w:val="6"/>
        <w:bidi w:val="0"/>
        <w:rPr>
          <w:rFonts w:hint="eastAsia" w:cs="Times New Roman"/>
          <w:color w:val="auto"/>
          <w:lang w:val="en-US" w:eastAsia="zh-CN"/>
        </w:rPr>
      </w:pPr>
      <w:r>
        <w:rPr>
          <w:rFonts w:hint="eastAsia" w:cs="Times New Roman"/>
          <w:color w:val="auto"/>
          <w:lang w:val="en-US" w:eastAsia="zh-CN"/>
        </w:rPr>
        <w:t>静电火花的能量达到或大于周围可燃物的最小点火能量时，而且可燃物在空气中的浓度或含量在爆炸极限范围以内时，可引起燃烧或爆炸。</w:t>
      </w:r>
    </w:p>
    <w:p w14:paraId="194CBE72">
      <w:pPr>
        <w:pStyle w:val="6"/>
        <w:bidi w:val="0"/>
        <w:rPr>
          <w:rFonts w:hint="eastAsia" w:cs="Times New Roman"/>
          <w:color w:val="auto"/>
          <w:lang w:val="en-US" w:eastAsia="zh-CN"/>
        </w:rPr>
      </w:pPr>
      <w:r>
        <w:rPr>
          <w:rFonts w:hint="eastAsia" w:cs="Times New Roman"/>
          <w:color w:val="auto"/>
          <w:lang w:val="en-US" w:eastAsia="zh-CN"/>
        </w:rPr>
        <w:t>为防止静电危害，装置区设工作接地、保护接地、防雷防静电接地，并采用公共接地网。接地电阻值不大于4欧姆。电气设备正常不带电金属外壳及金属框架设保护接地，管线进装置入口处设防静电接地。该项目采取的防静电设施可有效降低静电危害，保证安全经营。</w:t>
      </w:r>
    </w:p>
    <w:p w14:paraId="62AAF1AD">
      <w:pPr>
        <w:pStyle w:val="6"/>
        <w:bidi w:val="0"/>
        <w:rPr>
          <w:rFonts w:hint="default" w:ascii="Times New Roman" w:hAnsi="Times New Roman" w:cs="Times New Roman"/>
          <w:color w:val="auto"/>
          <w:lang w:val="en-US" w:eastAsia="zh-CN"/>
        </w:rPr>
      </w:pPr>
      <w:r>
        <w:rPr>
          <w:rFonts w:hint="eastAsia" w:cs="Times New Roman"/>
          <w:color w:val="auto"/>
          <w:lang w:val="en-US" w:eastAsia="zh-CN"/>
        </w:rPr>
        <w:t>（7）</w:t>
      </w:r>
      <w:r>
        <w:rPr>
          <w:rFonts w:hint="default" w:ascii="Times New Roman" w:hAnsi="Times New Roman" w:cs="Times New Roman"/>
          <w:color w:val="auto"/>
          <w:lang w:val="en-US" w:eastAsia="zh-CN"/>
        </w:rPr>
        <w:t>潮湿、腐蚀</w:t>
      </w:r>
    </w:p>
    <w:p w14:paraId="2BA9828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空气的高温、潮湿使电气设备材料的绝缘性能下降，使金属产生锈蚀和腐蚀。如果设备、设施外防腐层损坏，潮湿会加剧设备、设施外表的腐蚀，水分子渗入绝缘材料的裂缝和毛细孔中，使漏电流增大，导致绝缘电阻下降。许多电气设备的损坏是由于绝缘材料的热击穿而造成的，高温的环境，加速绝缘材料的老化，失去绝缘性能。</w:t>
      </w:r>
    </w:p>
    <w:p w14:paraId="5F56434C">
      <w:pPr>
        <w:pStyle w:val="6"/>
        <w:bidi w:val="0"/>
        <w:rPr>
          <w:rFonts w:hint="default" w:ascii="Times New Roman" w:hAnsi="Times New Roman" w:cs="Times New Roman"/>
          <w:color w:val="auto"/>
          <w:lang w:val="en-US" w:eastAsia="zh-CN"/>
        </w:rPr>
      </w:pPr>
      <w:r>
        <w:rPr>
          <w:rFonts w:hint="eastAsia" w:cs="Times New Roman"/>
          <w:color w:val="auto"/>
          <w:lang w:val="en-US" w:eastAsia="zh-CN"/>
        </w:rPr>
        <w:t>该地</w:t>
      </w:r>
      <w:r>
        <w:rPr>
          <w:rFonts w:hint="default" w:ascii="Times New Roman" w:hAnsi="Times New Roman" w:cs="Times New Roman"/>
          <w:color w:val="auto"/>
          <w:lang w:val="en-US" w:eastAsia="zh-CN"/>
        </w:rPr>
        <w:t>地下水对混凝土结构具弱腐蚀性，对钢筋混凝土结构中的钢筋在长期浸水条件下的具微腐蚀性，在干湿交替条件下具中等腐蚀性</w:t>
      </w:r>
      <w:r>
        <w:rPr>
          <w:rFonts w:hint="eastAsia" w:cs="Times New Roman"/>
          <w:color w:val="auto"/>
          <w:lang w:val="en-US" w:eastAsia="zh-CN"/>
        </w:rPr>
        <w:t>，</w:t>
      </w:r>
      <w:r>
        <w:rPr>
          <w:rFonts w:hint="default" w:ascii="Times New Roman" w:hAnsi="Times New Roman" w:cs="Times New Roman"/>
          <w:color w:val="auto"/>
          <w:lang w:val="en-US" w:eastAsia="zh-CN"/>
        </w:rPr>
        <w:t>会对地基的钢筋混凝土结构产生较大的腐蚀破坏作用，造成设备基础不牢，严重的可发生倒塌事故。</w:t>
      </w:r>
    </w:p>
    <w:p w14:paraId="2505EEEC">
      <w:pPr>
        <w:pStyle w:val="6"/>
        <w:bidi w:val="0"/>
        <w:rPr>
          <w:rFonts w:hint="default" w:ascii="Times New Roman" w:hAnsi="Times New Roman" w:cs="Times New Roman"/>
          <w:color w:val="auto"/>
          <w:lang w:val="en-US" w:eastAsia="zh-CN"/>
        </w:rPr>
      </w:pPr>
      <w:r>
        <w:rPr>
          <w:rFonts w:hint="eastAsia" w:cs="Times New Roman"/>
          <w:color w:val="auto"/>
          <w:lang w:val="en-US" w:eastAsia="zh-CN"/>
        </w:rPr>
        <w:t>该项目</w:t>
      </w:r>
      <w:r>
        <w:rPr>
          <w:rFonts w:hint="default" w:ascii="Times New Roman" w:hAnsi="Times New Roman" w:cs="Times New Roman"/>
          <w:color w:val="auto"/>
          <w:lang w:val="en-US" w:eastAsia="zh-CN"/>
        </w:rPr>
        <w:t>地面以下基础表面及垫层顶面涂刷环氧沥青或环氧硅氟改性丙烯酸脂肪族聚氨酯（防腐型），厚度不小于500um。</w:t>
      </w:r>
    </w:p>
    <w:p w14:paraId="67563E6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综上，经采取相关的措施后上述自然条件不会对该项目的正常运行造成较大影响，对本项目造成影响的风险程度是可以接受的。</w:t>
      </w:r>
    </w:p>
    <w:p w14:paraId="73687C35">
      <w:pPr>
        <w:pStyle w:val="3"/>
        <w:bidi w:val="0"/>
        <w:rPr>
          <w:rFonts w:hint="default" w:ascii="Times New Roman" w:hAnsi="Times New Roman" w:cs="Times New Roman"/>
          <w:color w:val="auto"/>
          <w:lang w:val="en-US" w:eastAsia="zh-CN"/>
        </w:rPr>
      </w:pPr>
      <w:bookmarkStart w:id="87" w:name="_Toc24390"/>
      <w:r>
        <w:rPr>
          <w:rFonts w:hint="default" w:ascii="Times New Roman" w:hAnsi="Times New Roman" w:cs="Times New Roman"/>
          <w:color w:val="auto"/>
          <w:lang w:val="en-US" w:eastAsia="zh-CN"/>
        </w:rPr>
        <w:t>安全可靠性分析</w:t>
      </w:r>
      <w:bookmarkEnd w:id="87"/>
    </w:p>
    <w:p w14:paraId="691897ED">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6.2.1 主要技术、工艺和装置、设备、设施的安全可靠性</w:t>
      </w:r>
    </w:p>
    <w:p w14:paraId="7E0B639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（1）主要技术、工艺的可靠性分析</w:t>
      </w:r>
    </w:p>
    <w:p w14:paraId="54D8E18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该项目油气回收装置采用撬装式结构，结构紧凑，安装方便，具有如下特点：</w:t>
      </w:r>
    </w:p>
    <w:p w14:paraId="579B3B2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1）低温柴油吸收技术</w:t>
      </w:r>
      <w:r>
        <w:rPr>
          <w:rFonts w:hint="eastAsia" w:ascii="Times New Roman" w:hAnsi="Times New Roman" w:cs="Times New Roman"/>
          <w:color w:val="auto"/>
          <w:lang w:val="en-US" w:eastAsia="zh-CN"/>
        </w:rPr>
        <w:t>利用</w:t>
      </w:r>
      <w:r>
        <w:rPr>
          <w:rFonts w:hint="default" w:ascii="Times New Roman" w:hAnsi="Times New Roman" w:cs="Times New Roman"/>
          <w:color w:val="auto"/>
          <w:lang w:val="en-US" w:eastAsia="zh-CN"/>
        </w:rPr>
        <w:t>油气中烃类物质与柴油吸收机理</w:t>
      </w:r>
      <w:r>
        <w:rPr>
          <w:rFonts w:hint="eastAsia" w:ascii="Times New Roman" w:hAnsi="Times New Roman" w:cs="Times New Roman"/>
          <w:color w:val="auto"/>
          <w:lang w:val="en-US" w:eastAsia="zh-CN"/>
        </w:rPr>
        <w:t>，</w:t>
      </w:r>
      <w:r>
        <w:rPr>
          <w:rFonts w:ascii="Times New Roman" w:hAnsi="Times New Roman"/>
          <w:color w:val="auto"/>
          <w:szCs w:val="24"/>
        </w:rPr>
        <w:t>相似相容原理</w:t>
      </w:r>
      <w:r>
        <w:rPr>
          <w:rFonts w:hint="eastAsia" w:ascii="Times New Roman" w:hAnsi="Times New Roman"/>
          <w:color w:val="auto"/>
          <w:szCs w:val="24"/>
          <w:lang w:eastAsia="zh-CN"/>
        </w:rPr>
        <w:t>，</w:t>
      </w:r>
      <w:r>
        <w:rPr>
          <w:rFonts w:ascii="Times New Roman" w:hAnsi="Times New Roman"/>
          <w:color w:val="auto"/>
          <w:szCs w:val="24"/>
        </w:rPr>
        <w:t>利用易吸收油气的有机溶剂</w:t>
      </w:r>
      <w:r>
        <w:rPr>
          <w:rFonts w:hint="eastAsia" w:ascii="Times New Roman" w:hAnsi="Times New Roman"/>
          <w:color w:val="auto"/>
          <w:szCs w:val="24"/>
          <w:lang w:eastAsia="zh-CN"/>
        </w:rPr>
        <w:t>（</w:t>
      </w:r>
      <w:r>
        <w:rPr>
          <w:rFonts w:ascii="Times New Roman" w:hAnsi="Times New Roman"/>
          <w:color w:val="auto"/>
          <w:szCs w:val="24"/>
        </w:rPr>
        <w:t>汽油、柴油</w:t>
      </w:r>
      <w:r>
        <w:rPr>
          <w:rFonts w:hint="eastAsia" w:ascii="Times New Roman" w:hAnsi="Times New Roman"/>
          <w:color w:val="auto"/>
          <w:szCs w:val="24"/>
          <w:lang w:eastAsia="zh-CN"/>
        </w:rPr>
        <w:t>）</w:t>
      </w:r>
      <w:r>
        <w:rPr>
          <w:rFonts w:ascii="Times New Roman" w:hAnsi="Times New Roman"/>
          <w:color w:val="auto"/>
          <w:szCs w:val="24"/>
        </w:rPr>
        <w:t>与油气接触，将其中的油气溶解从而达到脱除的目的。另外，在低温下进行吸收，也使部分高沸点有机物直接冷凝为液体，大大增强吸收效果。</w:t>
      </w:r>
    </w:p>
    <w:p w14:paraId="2C6C8F7D">
      <w:pPr>
        <w:pStyle w:val="6"/>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w:t>
      </w:r>
      <w:r>
        <w:rPr>
          <w:rFonts w:hint="eastAsia" w:cs="Times New Roman"/>
          <w:color w:val="auto"/>
          <w:lang w:val="en-US" w:eastAsia="zh-CN"/>
        </w:rPr>
        <w:t>“</w:t>
      </w:r>
      <w:r>
        <w:rPr>
          <w:rFonts w:hint="default" w:ascii="Times New Roman" w:hAnsi="Times New Roman" w:cs="Times New Roman"/>
          <w:color w:val="auto"/>
          <w:lang w:val="en-US" w:eastAsia="zh-CN"/>
        </w:rPr>
        <w:t>冷凝+吸附</w:t>
      </w:r>
      <w:r>
        <w:rPr>
          <w:rFonts w:hint="eastAsia" w:cs="Times New Roman"/>
          <w:color w:val="auto"/>
          <w:lang w:val="en-US" w:eastAsia="zh-CN"/>
        </w:rPr>
        <w:t>”</w:t>
      </w:r>
      <w:r>
        <w:rPr>
          <w:rFonts w:hint="default" w:ascii="Times New Roman" w:hAnsi="Times New Roman" w:cs="Times New Roman"/>
          <w:color w:val="auto"/>
          <w:lang w:val="en-US" w:eastAsia="zh-CN"/>
        </w:rPr>
        <w:t>法油气回收工艺是依据油气组分的基本热力学性质参数，采用烃类物质在不同温度下的蒸汽压差异，利用制冷技术先将油气逐级从常温冷却到-25~-75度左右，使大部分油气液化回收，剩余极少量油气经过吸附罐通过特定吸附工艺进行吸附。整机系统通过以上过程不断循环，从而达到油气连续冷却分凝回收，同时确保挥发油气达标排放。</w:t>
      </w:r>
    </w:p>
    <w:p w14:paraId="68D2163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2）蓄热式热氧化（RTO）方式可以回收油气分解时所释放出来的热量</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从而节省油气升温的燃料消耗；净化率较高，三室RTO可达到99%，在所有热力燃烧净化法中净化效率最高。</w:t>
      </w:r>
    </w:p>
    <w:p w14:paraId="4107491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该项目工艺控制拟选用DCS控制，报警采用可燃气体和有毒气体检测报警系统（GDS），自动化水平较高。新增</w:t>
      </w: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台可燃气体检测器。安全设施的配备齐全，工艺的安全性较高</w:t>
      </w:r>
      <w:r>
        <w:rPr>
          <w:rFonts w:hint="eastAsia" w:ascii="Times New Roman" w:hAnsi="Times New Roman" w:cs="Times New Roman"/>
          <w:color w:val="auto"/>
          <w:lang w:val="en-US" w:eastAsia="zh-CN"/>
        </w:rPr>
        <w:t>。</w:t>
      </w:r>
    </w:p>
    <w:p w14:paraId="06B0EB7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（2）主要设备、设施的安全可靠性分析</w:t>
      </w:r>
    </w:p>
    <w:p w14:paraId="17B27B9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1）设备选材、选型</w:t>
      </w:r>
    </w:p>
    <w:p w14:paraId="2D73D0F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未使用国家明令禁止使用的设备。由本报告2.5.3节的内容可知，根据企业提供资料，本项目拟选用设备在可行性研究过程中，对设备的选择，以及在安全可靠性、节能、方便操作与维修等各个方面进行了充分比较。根据国家有关规定、规范等要求对设备、管线的材质进行了选取。装置在国内已有成熟、可靠的同类装置运行。设备选型可靠，采用的设备拟选用具备相应资质的企业设计、生产、安装；低温吸收塔</w:t>
      </w:r>
      <w:r>
        <w:rPr>
          <w:rFonts w:hint="eastAsia" w:cs="Times New Roman"/>
          <w:color w:val="auto"/>
          <w:lang w:val="en-US" w:eastAsia="zh-CN"/>
        </w:rPr>
        <w:t>、冷凝器</w:t>
      </w:r>
      <w:r>
        <w:rPr>
          <w:rFonts w:hint="eastAsia" w:cs="宋体"/>
          <w:bCs/>
          <w:color w:val="auto"/>
          <w:lang w:val="en-US" w:eastAsia="zh-CN"/>
        </w:rPr>
        <w:t>等</w:t>
      </w:r>
      <w:r>
        <w:rPr>
          <w:rFonts w:hint="default" w:ascii="Times New Roman" w:hAnsi="Times New Roman" w:cs="Times New Roman"/>
          <w:color w:val="auto"/>
          <w:lang w:val="en-US" w:eastAsia="zh-CN"/>
        </w:rPr>
        <w:t>特种设备拟采用具备资质的企业生产、安装、调试并经法定部门检验检测合格后投入使用，主要设备、设施安全可靠。</w:t>
      </w:r>
    </w:p>
    <w:p w14:paraId="5991787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2）防爆电气设备的选择</w:t>
      </w:r>
    </w:p>
    <w:p w14:paraId="6D53CA9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本项目仪表优先采用本安型，无本安型时采用隔爆型，防爆等级应不低于iaIIBT4或dIIBT4。</w:t>
      </w:r>
    </w:p>
    <w:p w14:paraId="627D940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现场接线箱采用增安型，防爆等级为ExeII</w:t>
      </w:r>
      <w:r>
        <w:rPr>
          <w:rFonts w:hint="eastAsia" w:cs="Times New Roman"/>
          <w:color w:val="auto"/>
          <w:lang w:val="en-US" w:eastAsia="zh-CN"/>
        </w:rPr>
        <w:t>B</w:t>
      </w:r>
      <w:r>
        <w:rPr>
          <w:rFonts w:hint="default" w:ascii="Times New Roman" w:hAnsi="Times New Roman" w:cs="Times New Roman"/>
          <w:color w:val="auto"/>
          <w:lang w:val="en-US" w:eastAsia="zh-CN"/>
        </w:rPr>
        <w:t>T4。</w:t>
      </w:r>
    </w:p>
    <w:p w14:paraId="6816E63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工艺技术可靠，未使用国家明令禁止使用的设备，该项目在可行性研究过程中，对设备的选择，以及在安全可靠性、节能、方便操作与维修等各个方面进行了充分比较，根据国家有关规定、规范等要求对设备、管线的材质进行了选取。该项目在国内已有成熟、可靠的同类装置运行。设备选型安全、可靠。</w:t>
      </w:r>
    </w:p>
    <w:p w14:paraId="7AA45423">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6.2.2 拟为危险化学品储存过程配套和辅助的工程是否满足安全经营需要</w:t>
      </w:r>
    </w:p>
    <w:p w14:paraId="7888A41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由第二章第2.6节分析可知，该项目所需的水、电、气、供热、消防等均具有较好的匹配性。</w:t>
      </w:r>
    </w:p>
    <w:p w14:paraId="36858220">
      <w:pPr>
        <w:pStyle w:val="3"/>
        <w:bidi w:val="0"/>
        <w:rPr>
          <w:rFonts w:hint="default" w:ascii="Times New Roman" w:hAnsi="Times New Roman" w:cs="Times New Roman"/>
          <w:color w:val="auto"/>
          <w:lang w:val="en-US" w:eastAsia="zh-CN"/>
        </w:rPr>
      </w:pPr>
      <w:bookmarkStart w:id="88" w:name="_Toc20332"/>
      <w:r>
        <w:rPr>
          <w:rFonts w:hint="default" w:ascii="Times New Roman" w:hAnsi="Times New Roman" w:cs="Times New Roman"/>
          <w:color w:val="auto"/>
          <w:lang w:val="en-US" w:eastAsia="zh-CN"/>
        </w:rPr>
        <w:t>生产工艺装置自动化控制分析评价</w:t>
      </w:r>
      <w:bookmarkEnd w:id="88"/>
    </w:p>
    <w:p w14:paraId="293EC71D">
      <w:pPr>
        <w:pStyle w:val="4"/>
        <w:rPr>
          <w:rFonts w:hint="default" w:ascii="Times New Roman" w:hAnsi="Times New Roman" w:cs="Times New Roman"/>
          <w:color w:val="auto"/>
        </w:rPr>
      </w:pPr>
      <w:r>
        <w:rPr>
          <w:rFonts w:hint="default" w:ascii="Times New Roman" w:hAnsi="Times New Roman" w:cs="Times New Roman"/>
          <w:color w:val="auto"/>
        </w:rPr>
        <w:t>6.3.</w:t>
      </w:r>
      <w:r>
        <w:rPr>
          <w:rFonts w:hint="default" w:ascii="Times New Roman" w:hAnsi="Times New Roman" w:cs="Times New Roman"/>
          <w:color w:val="auto"/>
          <w:lang w:val="en-US" w:eastAsia="zh-CN"/>
        </w:rPr>
        <w:t>1</w:t>
      </w:r>
      <w:r>
        <w:rPr>
          <w:rFonts w:hint="default" w:ascii="Times New Roman" w:hAnsi="Times New Roman" w:cs="Times New Roman"/>
          <w:color w:val="auto"/>
        </w:rPr>
        <w:t xml:space="preserve"> 危险工艺自动化控制</w:t>
      </w:r>
    </w:p>
    <w:p w14:paraId="33E9EAD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由危险度评价法可知：储运二部装卸车</w:t>
      </w:r>
      <w:r>
        <w:rPr>
          <w:rFonts w:hint="eastAsia" w:cs="Times New Roman"/>
          <w:color w:val="auto"/>
          <w:lang w:val="en-US" w:eastAsia="zh-CN"/>
        </w:rPr>
        <w:t>废气</w:t>
      </w:r>
      <w:r>
        <w:rPr>
          <w:rFonts w:hint="default" w:ascii="Times New Roman" w:hAnsi="Times New Roman" w:cs="Times New Roman"/>
          <w:color w:val="auto"/>
          <w:lang w:val="en-US" w:eastAsia="zh-CN"/>
        </w:rPr>
        <w:t>治理项目的危险度等级为Ⅰ级。</w:t>
      </w:r>
    </w:p>
    <w:p w14:paraId="3BE5807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（1）根据《</w:t>
      </w:r>
      <w:r>
        <w:rPr>
          <w:rFonts w:hint="default" w:ascii="Times New Roman" w:hAnsi="Times New Roman" w:cs="Times New Roman"/>
          <w:color w:val="auto"/>
        </w:rPr>
        <w:t>《关于公布首批重点监管的危险化工工艺目录的通知》（安监总管三〔2009〕116号）和国家安全监管总局《关于公布第二批重点监管危险化工工艺目录和调整首批重点监管危险化工工艺中部分典型工艺的通知》（安监总管三〔2013〕3号）规定</w:t>
      </w:r>
      <w:r>
        <w:rPr>
          <w:rFonts w:hint="default" w:ascii="Times New Roman" w:hAnsi="Times New Roman" w:cs="Times New Roman"/>
          <w:color w:val="auto"/>
          <w:lang w:val="en-US" w:eastAsia="zh-CN"/>
        </w:rPr>
        <w:t>，本项目改造内容不涉及重点监管的危险化工工艺；</w:t>
      </w:r>
    </w:p>
    <w:p w14:paraId="339E576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cs="Times New Roman"/>
          <w:color w:val="auto"/>
          <w:lang w:val="en-US" w:eastAsia="zh-CN"/>
        </w:rPr>
        <w:t>）该项目</w:t>
      </w:r>
      <w:r>
        <w:rPr>
          <w:rFonts w:hint="default" w:ascii="Times New Roman" w:hAnsi="Times New Roman" w:cs="Times New Roman"/>
          <w:color w:val="auto"/>
          <w:lang w:val="en-US" w:eastAsia="zh-CN"/>
        </w:rPr>
        <w:t>的危险度为Ⅰ级，根据本装置工艺流程为连续生产的特点及要求，现有装置采用分散控制系统（DCS），本评价项目控制方式符合《关于推进化工企业自动化控制及安全联锁技术改造工作的意见》（鲁安监发[2008]149号）等有关规定，能够满足安全经营要求。</w:t>
      </w:r>
    </w:p>
    <w:p w14:paraId="7C300A20">
      <w:pPr>
        <w:pStyle w:val="4"/>
        <w:rPr>
          <w:rFonts w:hint="default" w:ascii="Times New Roman" w:hAnsi="Times New Roman" w:cs="Times New Roman"/>
          <w:color w:val="auto"/>
        </w:rPr>
      </w:pPr>
      <w:r>
        <w:rPr>
          <w:rFonts w:hint="default" w:ascii="Times New Roman" w:hAnsi="Times New Roman" w:cs="Times New Roman"/>
          <w:color w:val="auto"/>
        </w:rPr>
        <w:t>6.3.2 重点监管的危险化学品安全控制</w:t>
      </w:r>
    </w:p>
    <w:p w14:paraId="23541C3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根据国家安监总局颁发的《重点监管的危险化学品名录》（2013年完整版），本项目中甲烷、硫化氢、苯、</w:t>
      </w:r>
      <w:r>
        <w:rPr>
          <w:rFonts w:hint="eastAsia" w:cs="Times New Roman"/>
          <w:color w:val="auto"/>
          <w:lang w:val="en-US" w:eastAsia="zh-CN"/>
        </w:rPr>
        <w:t>MTBE</w:t>
      </w:r>
      <w:r>
        <w:rPr>
          <w:rFonts w:hint="default" w:ascii="Times New Roman" w:hAnsi="Times New Roman" w:cs="Times New Roman"/>
          <w:color w:val="auto"/>
          <w:lang w:val="en-US" w:eastAsia="zh-CN"/>
        </w:rPr>
        <w:t>、甲苯属于重点监管的危险化学品范围。由于项目的原料气中的硫化氢在油气中含量微少（ppm级），甲烷、苯、</w:t>
      </w:r>
      <w:r>
        <w:rPr>
          <w:rFonts w:hint="eastAsia" w:cs="Times New Roman"/>
          <w:color w:val="auto"/>
          <w:lang w:val="en-US" w:eastAsia="zh-CN"/>
        </w:rPr>
        <w:t>MTBE</w:t>
      </w:r>
      <w:r>
        <w:rPr>
          <w:rFonts w:hint="default" w:ascii="Times New Roman" w:hAnsi="Times New Roman" w:cs="Times New Roman"/>
          <w:color w:val="auto"/>
          <w:lang w:val="en-US" w:eastAsia="zh-CN"/>
        </w:rPr>
        <w:t>、甲苯不作为单一物质存在，且在催化剂作用下，与空气发生反应，生成净化气，所以本项目不涉及重点监管的危险化学品。</w:t>
      </w:r>
    </w:p>
    <w:p w14:paraId="5E6B475A">
      <w:pPr>
        <w:pStyle w:val="4"/>
        <w:rPr>
          <w:rFonts w:hint="default" w:ascii="Times New Roman" w:hAnsi="Times New Roman" w:cs="Times New Roman"/>
          <w:color w:val="auto"/>
        </w:rPr>
      </w:pPr>
      <w:r>
        <w:rPr>
          <w:rFonts w:hint="default" w:ascii="Times New Roman" w:hAnsi="Times New Roman" w:cs="Times New Roman"/>
          <w:color w:val="auto"/>
        </w:rPr>
        <w:t>6.3.3重大危险源安全监控系统</w:t>
      </w:r>
    </w:p>
    <w:p w14:paraId="4F80E24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根据《危险化学品重大危险源辨识》（GB18218-2018）及《危险化学品重大危险源监督管理暂行规定》（国家安全生产监督管理总局令第40号，总局令第79号修正）进行辨识，该项目未构成危险化学品重大危险源。</w:t>
      </w:r>
    </w:p>
    <w:p w14:paraId="7C8963F4">
      <w:pPr>
        <w:pStyle w:val="3"/>
        <w:bidi w:val="0"/>
        <w:rPr>
          <w:rFonts w:hint="default" w:ascii="Times New Roman" w:hAnsi="Times New Roman" w:cs="Times New Roman"/>
          <w:color w:val="auto"/>
          <w:lang w:val="en-US" w:eastAsia="zh-CN"/>
        </w:rPr>
      </w:pPr>
      <w:bookmarkStart w:id="89" w:name="_Toc10014"/>
      <w:r>
        <w:rPr>
          <w:rFonts w:hint="default" w:ascii="Times New Roman" w:hAnsi="Times New Roman" w:cs="Times New Roman"/>
          <w:color w:val="auto"/>
          <w:lang w:val="en-US" w:eastAsia="zh-CN"/>
        </w:rPr>
        <w:t>安全管理可靠性分析评价</w:t>
      </w:r>
      <w:bookmarkEnd w:id="89"/>
    </w:p>
    <w:p w14:paraId="7548A7AA">
      <w:pPr>
        <w:pStyle w:val="4"/>
        <w:rPr>
          <w:rFonts w:hint="default" w:ascii="Times New Roman" w:hAnsi="Times New Roman" w:cs="Times New Roman"/>
          <w:color w:val="auto"/>
        </w:rPr>
      </w:pPr>
      <w:r>
        <w:rPr>
          <w:rFonts w:hint="default" w:ascii="Times New Roman" w:hAnsi="Times New Roman" w:cs="Times New Roman"/>
          <w:color w:val="auto"/>
        </w:rPr>
        <w:t>6.4.1安全管理机构及人员配备</w:t>
      </w:r>
    </w:p>
    <w:p w14:paraId="2CA32C5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胜利油田石油化工总厂成立安全生产（QHSE）委员会，由主任崔国居、谷月刚，副主任黄子军、王国锋、戈琳、孙振起、田端强、伊涵涵，以及成员王少君、王明武等组成，安全生产（QHSE）委员会下设办公室及人力资源（培训）专业委员会、承包商专业委员会、生产专业委员会、设备专业委员会、工程专业委员会、公共安全专业委员会。胜利油田石油化工总厂安全管理机构为安全（QHSE）管理部，负责总厂的安全管理工作，并兼任安全生产（QHSE）委员会办公室，同时任命安全总监1名。</w:t>
      </w:r>
    </w:p>
    <w:p w14:paraId="0F82661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本项目储运二部负责管理，储运二部配有专职安全管理人员2名，公司主要负责人、安全管理人员均取得了危险化学品生产安全合格证，且在有效期内。</w:t>
      </w:r>
    </w:p>
    <w:p w14:paraId="0293E757">
      <w:pPr>
        <w:pStyle w:val="4"/>
        <w:bidi w:val="0"/>
        <w:rPr>
          <w:rFonts w:hint="default" w:ascii="Times New Roman" w:hAnsi="Times New Roman" w:cs="Times New Roman"/>
          <w:color w:val="auto"/>
        </w:rPr>
      </w:pPr>
      <w:r>
        <w:rPr>
          <w:rFonts w:hint="default" w:ascii="Times New Roman" w:hAnsi="Times New Roman" w:cs="Times New Roman"/>
          <w:color w:val="auto"/>
        </w:rPr>
        <w:t>6.4.2安全生产责任制的建立和执行情况</w:t>
      </w:r>
    </w:p>
    <w:p w14:paraId="6D3F653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企业制定了各部门、各岗位安全生产责任制，安全生产责任制涵盖了各部门、各岗位。</w:t>
      </w:r>
    </w:p>
    <w:p w14:paraId="28F7A66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w:t>
      </w:r>
      <w:r>
        <w:rPr>
          <w:rFonts w:hint="eastAsia" w:cs="Times New Roman"/>
          <w:color w:val="auto"/>
          <w:lang w:val="en-US" w:eastAsia="zh-CN"/>
        </w:rPr>
        <w:t>企业</w:t>
      </w:r>
      <w:r>
        <w:rPr>
          <w:rFonts w:hint="default" w:ascii="Times New Roman" w:hAnsi="Times New Roman" w:cs="Times New Roman"/>
          <w:color w:val="auto"/>
          <w:lang w:val="en-US" w:eastAsia="zh-CN"/>
        </w:rPr>
        <w:t>的安全生产责任制明确了人员及部门的安全职责。企业签订了各级组织的安全目标责任书，确定了年度安全工作目标，并予以考核。各级组织制定了安全工作规划或计划，以保证安全生产方针和目标的有效完成。</w:t>
      </w:r>
    </w:p>
    <w:p w14:paraId="61E039E0">
      <w:pPr>
        <w:pStyle w:val="4"/>
        <w:bidi w:val="0"/>
        <w:rPr>
          <w:rFonts w:hint="default" w:ascii="Times New Roman" w:hAnsi="Times New Roman" w:cs="Times New Roman"/>
          <w:color w:val="auto"/>
        </w:rPr>
      </w:pPr>
      <w:r>
        <w:rPr>
          <w:rFonts w:hint="default" w:ascii="Times New Roman" w:hAnsi="Times New Roman" w:cs="Times New Roman"/>
          <w:color w:val="auto"/>
        </w:rPr>
        <w:t>6.4.3安全管理制度</w:t>
      </w:r>
    </w:p>
    <w:p w14:paraId="288F10D4">
      <w:pPr>
        <w:pStyle w:val="6"/>
        <w:bidi w:val="0"/>
        <w:rPr>
          <w:rFonts w:hint="default" w:ascii="Times New Roman" w:hAnsi="Times New Roman" w:cs="Times New Roman"/>
          <w:color w:val="auto"/>
        </w:rPr>
      </w:pPr>
      <w:r>
        <w:rPr>
          <w:rFonts w:hint="default" w:ascii="Times New Roman" w:hAnsi="Times New Roman" w:cs="Times New Roman"/>
          <w:color w:val="auto"/>
        </w:rPr>
        <w:t>企业依据自身特点和实际情况，制定了较为完善的安全生产管理制度，主要包括：</w:t>
      </w:r>
    </w:p>
    <w:p w14:paraId="1229623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表6.4-1安全生产管理制度一览表</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3941"/>
        <w:gridCol w:w="649"/>
        <w:gridCol w:w="4110"/>
      </w:tblGrid>
      <w:tr w14:paraId="7580A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371" w:type="pct"/>
            <w:noWrap w:val="0"/>
            <w:vAlign w:val="center"/>
          </w:tcPr>
          <w:p w14:paraId="3D03479F">
            <w:pPr>
              <w:keepNext w:val="0"/>
              <w:keepLines w:val="0"/>
              <w:pageBreakBefore w:val="0"/>
              <w:kinsoku/>
              <w:wordWrap/>
              <w:overflowPunct/>
              <w:topLinePunct w:val="0"/>
              <w:autoSpaceDE/>
              <w:autoSpaceDN/>
              <w:bidi w:val="0"/>
              <w:adjustRightInd w:val="0"/>
              <w:snapToGrid w:val="0"/>
              <w:spacing w:before="34" w:beforeLines="10" w:after="34" w:afterLines="10"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2096" w:type="pct"/>
            <w:noWrap w:val="0"/>
            <w:vAlign w:val="center"/>
          </w:tcPr>
          <w:p w14:paraId="71BE49B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制度名称</w:t>
            </w:r>
          </w:p>
        </w:tc>
        <w:tc>
          <w:tcPr>
            <w:tcW w:w="345" w:type="pct"/>
            <w:noWrap w:val="0"/>
            <w:vAlign w:val="center"/>
          </w:tcPr>
          <w:p w14:paraId="494C09A9">
            <w:pPr>
              <w:keepNext w:val="0"/>
              <w:keepLines w:val="0"/>
              <w:pageBreakBefore w:val="0"/>
              <w:kinsoku/>
              <w:wordWrap/>
              <w:overflowPunct/>
              <w:topLinePunct w:val="0"/>
              <w:autoSpaceDE/>
              <w:autoSpaceDN/>
              <w:bidi w:val="0"/>
              <w:adjustRightInd w:val="0"/>
              <w:snapToGrid w:val="0"/>
              <w:spacing w:before="34" w:beforeLines="10" w:after="34" w:afterLines="10"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2186" w:type="pct"/>
            <w:noWrap w:val="0"/>
            <w:vAlign w:val="center"/>
          </w:tcPr>
          <w:p w14:paraId="6678F09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bottom"/>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制度名称</w:t>
            </w:r>
          </w:p>
        </w:tc>
      </w:tr>
      <w:tr w14:paraId="22E1E6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425087E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eastAsia"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w:t>
            </w:r>
          </w:p>
        </w:tc>
        <w:tc>
          <w:tcPr>
            <w:tcW w:w="2096" w:type="pct"/>
            <w:noWrap w:val="0"/>
            <w:vAlign w:val="center"/>
          </w:tcPr>
          <w:p w14:paraId="3A56474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"C:\\Users\\林\\AppData\\Roaming\\Microsoft\\Word\\厂发\\74石油化工总厂劳动防护用品管理规定.doc"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石油化工总厂劳动防护用品管理规定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1EF53D5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eastAsia"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w:t>
            </w:r>
          </w:p>
        </w:tc>
        <w:tc>
          <w:tcPr>
            <w:tcW w:w="2186" w:type="pct"/>
            <w:noWrap w:val="0"/>
            <w:vAlign w:val="center"/>
          </w:tcPr>
          <w:p w14:paraId="5D3FFAF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"C:\\Users\\林\\AppData\\Roaming\\Microsoft\\Word\\厂发\\216石油化工总厂生产安全事故隐患排查治理管理规定.doc"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石油化工总厂生产安全事故隐患排查治理管理规定</w:t>
            </w:r>
            <w:r>
              <w:rPr>
                <w:rFonts w:hint="default" w:ascii="Times New Roman" w:hAnsi="Times New Roman" w:eastAsia="宋体" w:cs="Times New Roman"/>
                <w:bCs/>
                <w:color w:val="auto"/>
                <w:sz w:val="21"/>
                <w:szCs w:val="21"/>
                <w:u w:val="none"/>
              </w:rPr>
              <w:fldChar w:fldCharType="end"/>
            </w:r>
          </w:p>
        </w:tc>
      </w:tr>
      <w:tr w14:paraId="4B17E5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143E466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w:t>
            </w:r>
          </w:p>
        </w:tc>
        <w:tc>
          <w:tcPr>
            <w:tcW w:w="2096" w:type="pct"/>
            <w:noWrap w:val="0"/>
            <w:vAlign w:val="center"/>
          </w:tcPr>
          <w:p w14:paraId="18F9F2F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能量隔离管理办法</w:t>
            </w:r>
          </w:p>
        </w:tc>
        <w:tc>
          <w:tcPr>
            <w:tcW w:w="345" w:type="pct"/>
            <w:noWrap w:val="0"/>
            <w:vAlign w:val="center"/>
          </w:tcPr>
          <w:p w14:paraId="68AB290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eastAsia"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w:t>
            </w:r>
          </w:p>
        </w:tc>
        <w:tc>
          <w:tcPr>
            <w:tcW w:w="2186" w:type="pct"/>
            <w:noWrap w:val="0"/>
            <w:vAlign w:val="center"/>
          </w:tcPr>
          <w:p w14:paraId="0C5C2088">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"C:\\Users\\林\\AppData\\Roaming\\Microsoft\\Word\\厂发\\141石油化工总厂生产变更安全管理规定.doc"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石油化工总厂生产变更安全管理规定</w:t>
            </w:r>
            <w:r>
              <w:rPr>
                <w:rFonts w:hint="default" w:ascii="Times New Roman" w:hAnsi="Times New Roman" w:eastAsia="宋体" w:cs="Times New Roman"/>
                <w:bCs/>
                <w:color w:val="auto"/>
                <w:sz w:val="21"/>
                <w:szCs w:val="21"/>
                <w:u w:val="none"/>
              </w:rPr>
              <w:fldChar w:fldCharType="end"/>
            </w:r>
          </w:p>
        </w:tc>
      </w:tr>
      <w:tr w14:paraId="233092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302FFA86">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5</w:t>
            </w:r>
          </w:p>
        </w:tc>
        <w:tc>
          <w:tcPr>
            <w:tcW w:w="2096" w:type="pct"/>
            <w:noWrap w:val="0"/>
            <w:vAlign w:val="center"/>
          </w:tcPr>
          <w:p w14:paraId="3E74877B">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"C:\\Users\\林\\AppData\\Roaming\\Microsoft\\Word\\厂发\\49石油化工总厂作业许可管理规定.doc"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石油化工总厂作业许可管理规定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6174C16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6</w:t>
            </w:r>
          </w:p>
        </w:tc>
        <w:tc>
          <w:tcPr>
            <w:tcW w:w="2186" w:type="pct"/>
            <w:noWrap w:val="0"/>
            <w:vAlign w:val="center"/>
          </w:tcPr>
          <w:p w14:paraId="2FAEC63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"C:\\Users\\林\\AppData\\Roaming\\Microsoft\\Word\\厂发\\51石油化工总厂动土作业安全管理规定.doc"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吊装</w:t>
            </w:r>
            <w:r>
              <w:rPr>
                <w:rFonts w:hint="default" w:ascii="Times New Roman" w:hAnsi="Times New Roman" w:eastAsia="宋体" w:cs="Times New Roman"/>
                <w:bCs/>
                <w:color w:val="auto"/>
                <w:sz w:val="21"/>
                <w:szCs w:val="21"/>
                <w:u w:val="none"/>
              </w:rPr>
              <w:t>作业安全管理规定</w:t>
            </w:r>
            <w:r>
              <w:rPr>
                <w:rFonts w:hint="default" w:ascii="Times New Roman" w:hAnsi="Times New Roman" w:eastAsia="宋体" w:cs="Times New Roman"/>
                <w:bCs/>
                <w:color w:val="auto"/>
                <w:sz w:val="21"/>
                <w:szCs w:val="21"/>
                <w:u w:val="none"/>
              </w:rPr>
              <w:fldChar w:fldCharType="end"/>
            </w:r>
          </w:p>
        </w:tc>
      </w:tr>
      <w:tr w14:paraId="25524B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5F7D4362">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7</w:t>
            </w:r>
          </w:p>
        </w:tc>
        <w:tc>
          <w:tcPr>
            <w:tcW w:w="2096" w:type="pct"/>
            <w:noWrap w:val="0"/>
            <w:vAlign w:val="center"/>
          </w:tcPr>
          <w:p w14:paraId="7CAF1AB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"C:\\Users\\林\\AppData\\Roaming\\Microsoft\\Word\\厂发\\51石油化工总厂动土作业安全管理规定.doc"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石油化工总厂动</w:t>
            </w:r>
            <w:r>
              <w:rPr>
                <w:rFonts w:hint="eastAsia" w:ascii="Times New Roman" w:hAnsi="Times New Roman" w:eastAsia="宋体" w:cs="Times New Roman"/>
                <w:bCs/>
                <w:color w:val="auto"/>
                <w:sz w:val="21"/>
                <w:szCs w:val="21"/>
                <w:u w:val="none"/>
                <w:lang w:val="en-US" w:eastAsia="zh-CN"/>
              </w:rPr>
              <w:t>火</w:t>
            </w:r>
            <w:r>
              <w:rPr>
                <w:rFonts w:hint="default" w:ascii="Times New Roman" w:hAnsi="Times New Roman" w:eastAsia="宋体" w:cs="Times New Roman"/>
                <w:bCs/>
                <w:color w:val="auto"/>
                <w:sz w:val="21"/>
                <w:szCs w:val="21"/>
                <w:u w:val="none"/>
              </w:rPr>
              <w:t>作业安全管理规定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3D13A57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8</w:t>
            </w:r>
          </w:p>
        </w:tc>
        <w:tc>
          <w:tcPr>
            <w:tcW w:w="2186" w:type="pct"/>
            <w:noWrap w:val="0"/>
            <w:vAlign w:val="center"/>
          </w:tcPr>
          <w:p w14:paraId="170EFA6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"C:\\Users\\林\\AppData\\Roaming\\Microsoft\\Word\\厂发\\51石油化工总厂动土作业安全管理规定.doc"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石油化工总厂动土作业安全管理规定</w:t>
            </w:r>
            <w:r>
              <w:rPr>
                <w:rFonts w:hint="default" w:ascii="Times New Roman" w:hAnsi="Times New Roman" w:eastAsia="宋体" w:cs="Times New Roman"/>
                <w:bCs/>
                <w:color w:val="auto"/>
                <w:sz w:val="21"/>
                <w:szCs w:val="21"/>
                <w:u w:val="none"/>
              </w:rPr>
              <w:fldChar w:fldCharType="end"/>
            </w:r>
          </w:p>
        </w:tc>
      </w:tr>
      <w:tr w14:paraId="035813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44BA2D7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9</w:t>
            </w:r>
          </w:p>
        </w:tc>
        <w:tc>
          <w:tcPr>
            <w:tcW w:w="2096" w:type="pct"/>
            <w:noWrap w:val="0"/>
            <w:vAlign w:val="center"/>
          </w:tcPr>
          <w:p w14:paraId="636C368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"C:\\Users\\林\\AppData\\Roaming\\Microsoft\\Word\\厂发\\46石油化工总厂高处作业安全管理规定.doc"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石油化工总厂高处作业安全管理规定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148EF66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10</w:t>
            </w:r>
          </w:p>
        </w:tc>
        <w:tc>
          <w:tcPr>
            <w:tcW w:w="2186" w:type="pct"/>
            <w:noWrap w:val="0"/>
            <w:vAlign w:val="center"/>
          </w:tcPr>
          <w:p w14:paraId="038B15B9">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"C:\\Users\\林\\AppData\\Roaming\\Microsoft\\Word\\厂发\\54石油化工总厂盲板作业安全管理规定.doc"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石油化工总厂临时用电</w:t>
            </w:r>
            <w:r>
              <w:rPr>
                <w:rFonts w:hint="eastAsia" w:ascii="Times New Roman" w:hAnsi="Times New Roman" w:eastAsia="宋体" w:cs="Times New Roman"/>
                <w:bCs/>
                <w:color w:val="auto"/>
                <w:sz w:val="21"/>
                <w:szCs w:val="21"/>
                <w:u w:val="none"/>
                <w:lang w:val="en-US" w:eastAsia="zh-CN"/>
              </w:rPr>
              <w:t>作业</w:t>
            </w:r>
            <w:r>
              <w:rPr>
                <w:rFonts w:hint="default" w:ascii="Times New Roman" w:hAnsi="Times New Roman" w:eastAsia="宋体" w:cs="Times New Roman"/>
                <w:bCs/>
                <w:color w:val="auto"/>
                <w:sz w:val="21"/>
                <w:szCs w:val="21"/>
                <w:u w:val="none"/>
              </w:rPr>
              <w:t>安全管理规定</w:t>
            </w:r>
            <w:r>
              <w:rPr>
                <w:rFonts w:hint="default" w:ascii="Times New Roman" w:hAnsi="Times New Roman" w:eastAsia="宋体" w:cs="Times New Roman"/>
                <w:bCs/>
                <w:color w:val="auto"/>
                <w:sz w:val="21"/>
                <w:szCs w:val="21"/>
                <w:u w:val="none"/>
              </w:rPr>
              <w:fldChar w:fldCharType="end"/>
            </w:r>
          </w:p>
        </w:tc>
      </w:tr>
      <w:tr w14:paraId="54E911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27CB443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11</w:t>
            </w:r>
          </w:p>
        </w:tc>
        <w:tc>
          <w:tcPr>
            <w:tcW w:w="2096" w:type="pct"/>
            <w:noWrap w:val="0"/>
            <w:vAlign w:val="center"/>
          </w:tcPr>
          <w:p w14:paraId="09906E9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"C:\\Users\\林\\AppData\\Roaming\\Microsoft\\Word\\厂发\\54石油化工总厂盲板作业安全管理规定.doc"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石油化工总厂盲板</w:t>
            </w:r>
            <w:r>
              <w:rPr>
                <w:rFonts w:hint="eastAsia" w:ascii="Times New Roman" w:hAnsi="Times New Roman" w:eastAsia="宋体" w:cs="Times New Roman"/>
                <w:bCs/>
                <w:color w:val="auto"/>
                <w:sz w:val="21"/>
                <w:szCs w:val="21"/>
                <w:u w:val="none"/>
                <w:lang w:val="en-US" w:eastAsia="zh-CN"/>
              </w:rPr>
              <w:t>抽堵</w:t>
            </w:r>
            <w:r>
              <w:rPr>
                <w:rFonts w:hint="default" w:ascii="Times New Roman" w:hAnsi="Times New Roman" w:eastAsia="宋体" w:cs="Times New Roman"/>
                <w:bCs/>
                <w:color w:val="auto"/>
                <w:sz w:val="21"/>
                <w:szCs w:val="21"/>
                <w:u w:val="none"/>
              </w:rPr>
              <w:t>作业安全管理规定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3EBD624B">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12</w:t>
            </w:r>
          </w:p>
        </w:tc>
        <w:tc>
          <w:tcPr>
            <w:tcW w:w="2186" w:type="pct"/>
            <w:noWrap w:val="0"/>
            <w:vAlign w:val="center"/>
          </w:tcPr>
          <w:p w14:paraId="596AE84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"C:\\Users\\林\\AppData\\Roaming\\Microsoft\\Word\\厂发\\44石油化工总厂进入受限空间作业安全管理规定.doc"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石油化工总厂受限空间作业安全管理规定</w:t>
            </w:r>
            <w:r>
              <w:rPr>
                <w:rFonts w:hint="default" w:ascii="Times New Roman" w:hAnsi="Times New Roman" w:eastAsia="宋体" w:cs="Times New Roman"/>
                <w:bCs/>
                <w:color w:val="auto"/>
                <w:sz w:val="21"/>
                <w:szCs w:val="21"/>
                <w:u w:val="none"/>
              </w:rPr>
              <w:fldChar w:fldCharType="end"/>
            </w:r>
          </w:p>
        </w:tc>
      </w:tr>
      <w:tr w14:paraId="7CB448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1812E4E2">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13</w:t>
            </w:r>
          </w:p>
        </w:tc>
        <w:tc>
          <w:tcPr>
            <w:tcW w:w="2096" w:type="pct"/>
            <w:noWrap w:val="0"/>
            <w:vAlign w:val="center"/>
          </w:tcPr>
          <w:p w14:paraId="7862B69F">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"C:\\Users\\林\\AppData\\Roaming\\Microsoft\\Word\\厂发\\70石油化工总厂关键装置要害（重点）部位安全管理实施细则.doc"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石油化工总厂关键装置（重点）部位安全管理实施细则</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71C1247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14</w:t>
            </w:r>
          </w:p>
        </w:tc>
        <w:tc>
          <w:tcPr>
            <w:tcW w:w="2186" w:type="pct"/>
            <w:noWrap w:val="0"/>
            <w:vAlign w:val="center"/>
          </w:tcPr>
          <w:p w14:paraId="7FF743F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"C:\\Users\\林\\AppData\\Roaming\\Microsoft\\Word\\厂发\\61石油化工总厂装置开停工及检修HSSE管理规定.doc"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石油化工总厂装置开停工及检修HSSE管理规定</w:t>
            </w:r>
            <w:r>
              <w:rPr>
                <w:rFonts w:hint="default" w:ascii="Times New Roman" w:hAnsi="Times New Roman" w:eastAsia="宋体" w:cs="Times New Roman"/>
                <w:bCs/>
                <w:color w:val="auto"/>
                <w:sz w:val="21"/>
                <w:szCs w:val="21"/>
                <w:u w:val="none"/>
              </w:rPr>
              <w:fldChar w:fldCharType="end"/>
            </w:r>
          </w:p>
        </w:tc>
      </w:tr>
      <w:tr w14:paraId="18B4A7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59AE554B">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15</w:t>
            </w:r>
          </w:p>
        </w:tc>
        <w:tc>
          <w:tcPr>
            <w:tcW w:w="2096" w:type="pct"/>
            <w:noWrap w:val="0"/>
            <w:vAlign w:val="center"/>
          </w:tcPr>
          <w:p w14:paraId="687E7772">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"C:\\Users\\林\\AppData\\Roaming\\Microsoft\\Word\\厂发\\60石油化工总厂领导干部"</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石油化工总厂领导干部</w:t>
            </w:r>
            <w:r>
              <w:rPr>
                <w:rFonts w:hint="eastAsia" w:ascii="Times New Roman" w:hAnsi="Times New Roman" w:eastAsia="宋体" w:cs="Times New Roman"/>
                <w:bCs/>
                <w:color w:val="auto"/>
                <w:sz w:val="21"/>
                <w:szCs w:val="21"/>
                <w:u w:val="none"/>
                <w:lang w:eastAsia="zh-CN"/>
              </w:rPr>
              <w:t>“</w:t>
            </w:r>
            <w:r>
              <w:rPr>
                <w:rFonts w:hint="default" w:ascii="Times New Roman" w:hAnsi="Times New Roman" w:eastAsia="宋体" w:cs="Times New Roman"/>
                <w:bCs/>
                <w:color w:val="auto"/>
                <w:sz w:val="21"/>
                <w:szCs w:val="21"/>
                <w:u w:val="none"/>
              </w:rPr>
              <w:t>两特</w:t>
            </w:r>
            <w:r>
              <w:rPr>
                <w:rFonts w:hint="eastAsia" w:ascii="Times New Roman" w:hAnsi="Times New Roman" w:eastAsia="宋体" w:cs="Times New Roman"/>
                <w:bCs/>
                <w:color w:val="auto"/>
                <w:sz w:val="21"/>
                <w:szCs w:val="21"/>
                <w:u w:val="none"/>
                <w:lang w:eastAsia="zh-CN"/>
              </w:rPr>
              <w:t>”</w:t>
            </w:r>
            <w:r>
              <w:rPr>
                <w:rFonts w:hint="default" w:ascii="Times New Roman" w:hAnsi="Times New Roman" w:eastAsia="宋体" w:cs="Times New Roman"/>
                <w:bCs/>
                <w:color w:val="auto"/>
                <w:sz w:val="21"/>
                <w:szCs w:val="21"/>
                <w:u w:val="none"/>
              </w:rPr>
              <w:t>现场带班管理制度</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215BEF19">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16</w:t>
            </w:r>
          </w:p>
        </w:tc>
        <w:tc>
          <w:tcPr>
            <w:tcW w:w="2186" w:type="pct"/>
            <w:noWrap w:val="0"/>
            <w:vAlign w:val="center"/>
          </w:tcPr>
          <w:p w14:paraId="5148A3E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"C:\\Users\\林\\AppData\\Roaming\\Microsoft\\Word\\厂发\\73石油化工总厂高温作业管理规定.doc"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非常规</w:t>
            </w:r>
            <w:r>
              <w:rPr>
                <w:rFonts w:hint="default" w:ascii="Times New Roman" w:hAnsi="Times New Roman" w:eastAsia="宋体" w:cs="Times New Roman"/>
                <w:bCs/>
                <w:color w:val="auto"/>
                <w:sz w:val="21"/>
                <w:szCs w:val="21"/>
                <w:u w:val="none"/>
              </w:rPr>
              <w:t>作业</w:t>
            </w:r>
            <w:r>
              <w:rPr>
                <w:rFonts w:hint="eastAsia" w:ascii="Times New Roman" w:hAnsi="Times New Roman" w:eastAsia="宋体" w:cs="Times New Roman"/>
                <w:bCs/>
                <w:color w:val="auto"/>
                <w:sz w:val="21"/>
                <w:szCs w:val="21"/>
                <w:u w:val="none"/>
                <w:lang w:val="en-US" w:eastAsia="zh-CN"/>
              </w:rPr>
              <w:t>安全</w:t>
            </w:r>
            <w:r>
              <w:rPr>
                <w:rFonts w:hint="default" w:ascii="Times New Roman" w:hAnsi="Times New Roman" w:eastAsia="宋体" w:cs="Times New Roman"/>
                <w:bCs/>
                <w:color w:val="auto"/>
                <w:sz w:val="21"/>
                <w:szCs w:val="21"/>
                <w:u w:val="none"/>
              </w:rPr>
              <w:t>管理</w:t>
            </w:r>
            <w:r>
              <w:rPr>
                <w:rFonts w:hint="eastAsia" w:ascii="Times New Roman" w:hAnsi="Times New Roman" w:eastAsia="宋体" w:cs="Times New Roman"/>
                <w:bCs/>
                <w:color w:val="auto"/>
                <w:sz w:val="21"/>
                <w:szCs w:val="21"/>
                <w:u w:val="none"/>
                <w:lang w:val="en-US" w:eastAsia="zh-CN"/>
              </w:rPr>
              <w:t>办法</w:t>
            </w:r>
            <w:r>
              <w:rPr>
                <w:rFonts w:hint="default" w:ascii="Times New Roman" w:hAnsi="Times New Roman" w:eastAsia="宋体" w:cs="Times New Roman"/>
                <w:bCs/>
                <w:color w:val="auto"/>
                <w:sz w:val="21"/>
                <w:szCs w:val="21"/>
                <w:u w:val="none"/>
              </w:rPr>
              <w:fldChar w:fldCharType="end"/>
            </w:r>
          </w:p>
        </w:tc>
      </w:tr>
      <w:tr w14:paraId="136CA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3D33E20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17</w:t>
            </w:r>
          </w:p>
        </w:tc>
        <w:tc>
          <w:tcPr>
            <w:tcW w:w="2096" w:type="pct"/>
            <w:noWrap w:val="0"/>
            <w:vAlign w:val="center"/>
          </w:tcPr>
          <w:p w14:paraId="3F8ED6EB">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"C:\\Users\\林\\AppData\\Roaming\\Microsoft\\Word\\厂发\\191.石油化工总厂硫化氢防护安全管理规定.doc"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石油化工总厂硫化氢防护安全管理规定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61BA059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18</w:t>
            </w:r>
          </w:p>
        </w:tc>
        <w:tc>
          <w:tcPr>
            <w:tcW w:w="2186" w:type="pct"/>
            <w:noWrap w:val="0"/>
            <w:vAlign w:val="center"/>
          </w:tcPr>
          <w:p w14:paraId="184609C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"C:\\Users\\林\\AppData\\Roaming\\Microsoft\\Word\\厂发\\158石油化工总厂危险化学品泄漏安全管理实施细则.doc"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石油化工总厂危险化学品泄漏安全管理实施细则</w:t>
            </w:r>
            <w:r>
              <w:rPr>
                <w:rFonts w:hint="default" w:ascii="Times New Roman" w:hAnsi="Times New Roman" w:eastAsia="宋体" w:cs="Times New Roman"/>
                <w:bCs/>
                <w:color w:val="auto"/>
                <w:sz w:val="21"/>
                <w:szCs w:val="21"/>
                <w:u w:val="none"/>
              </w:rPr>
              <w:fldChar w:fldCharType="end"/>
            </w:r>
          </w:p>
        </w:tc>
      </w:tr>
      <w:tr w14:paraId="5BBAC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40A7CD46">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19</w:t>
            </w:r>
          </w:p>
        </w:tc>
        <w:tc>
          <w:tcPr>
            <w:tcW w:w="2096" w:type="pct"/>
            <w:noWrap w:val="0"/>
            <w:vAlign w:val="center"/>
          </w:tcPr>
          <w:p w14:paraId="573CAB2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"C:\\Users\\林\\AppData\\Roaming\\Microsoft\\Word\\厂发\\195石油化工总厂安全记录管理规定（试行）.doc"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石油化工总厂安全记录管理规定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45BED0C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20</w:t>
            </w:r>
          </w:p>
        </w:tc>
        <w:tc>
          <w:tcPr>
            <w:tcW w:w="2186" w:type="pct"/>
            <w:noWrap w:val="0"/>
            <w:vAlign w:val="center"/>
          </w:tcPr>
          <w:p w14:paraId="0B56709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"C:\\Users\\林\\AppData\\Roaming\\Microsoft\\Word\\厂发\\73石油化工总厂高温作业管理规定.doc"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石油化工总厂高温作业管理规定</w:t>
            </w:r>
            <w:r>
              <w:rPr>
                <w:rFonts w:hint="default" w:ascii="Times New Roman" w:hAnsi="Times New Roman" w:eastAsia="宋体" w:cs="Times New Roman"/>
                <w:bCs/>
                <w:color w:val="auto"/>
                <w:sz w:val="21"/>
                <w:szCs w:val="21"/>
                <w:u w:val="none"/>
              </w:rPr>
              <w:fldChar w:fldCharType="end"/>
            </w:r>
          </w:p>
        </w:tc>
      </w:tr>
      <w:tr w14:paraId="2D56D8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3B71DCC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21</w:t>
            </w:r>
          </w:p>
        </w:tc>
        <w:tc>
          <w:tcPr>
            <w:tcW w:w="2096" w:type="pct"/>
            <w:noWrap w:val="0"/>
            <w:vAlign w:val="center"/>
          </w:tcPr>
          <w:p w14:paraId="3D86984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"C:\\Users\\林\\AppData\\Roaming\\Microsoft\\Word\\厂发\\41石油化工总厂防雷防静电安全管理规定.doc"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石油化工总厂防雷防静电安全管理规定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5FE1CF9F">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22</w:t>
            </w:r>
          </w:p>
        </w:tc>
        <w:tc>
          <w:tcPr>
            <w:tcW w:w="2186" w:type="pct"/>
            <w:noWrap w:val="0"/>
            <w:vAlign w:val="center"/>
          </w:tcPr>
          <w:p w14:paraId="5C229FA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"C:\\Users\\林\\AppData\\Roaming\\Microsoft\\Word\\厂发\\66石油化工总厂职业健康管理规定.doc"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石油化工总厂职业健康管理规定</w:t>
            </w:r>
            <w:r>
              <w:rPr>
                <w:rFonts w:hint="default" w:ascii="Times New Roman" w:hAnsi="Times New Roman" w:eastAsia="宋体" w:cs="Times New Roman"/>
                <w:bCs/>
                <w:color w:val="auto"/>
                <w:sz w:val="21"/>
                <w:szCs w:val="21"/>
                <w:u w:val="none"/>
              </w:rPr>
              <w:fldChar w:fldCharType="end"/>
            </w:r>
          </w:p>
        </w:tc>
      </w:tr>
      <w:tr w14:paraId="76E6AB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5E5C2952">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23</w:t>
            </w:r>
          </w:p>
        </w:tc>
        <w:tc>
          <w:tcPr>
            <w:tcW w:w="2096" w:type="pct"/>
            <w:noWrap w:val="0"/>
            <w:vAlign w:val="center"/>
          </w:tcPr>
          <w:p w14:paraId="4ACD22D8">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"C:\\Users\\林\\AppData\\Roaming\\Microsoft\\Word\\厂发\\47石油化工总厂放射防护管理规定.doc"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石油化工总厂放射防护管理规定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53A02938">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24</w:t>
            </w:r>
          </w:p>
        </w:tc>
        <w:tc>
          <w:tcPr>
            <w:tcW w:w="2186" w:type="pct"/>
            <w:noWrap w:val="0"/>
            <w:vAlign w:val="center"/>
          </w:tcPr>
          <w:p w14:paraId="42EB0D0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全员</w:t>
            </w:r>
            <w:r>
              <w:rPr>
                <w:rFonts w:hint="default" w:ascii="Times New Roman" w:hAnsi="Times New Roman" w:eastAsia="宋体" w:cs="Times New Roman"/>
                <w:bCs/>
                <w:color w:val="auto"/>
                <w:sz w:val="21"/>
                <w:szCs w:val="21"/>
                <w:u w:val="none"/>
              </w:rPr>
              <w:t>安全行为规范</w:t>
            </w:r>
          </w:p>
        </w:tc>
      </w:tr>
      <w:tr w14:paraId="7517D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22DCD91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25</w:t>
            </w:r>
          </w:p>
        </w:tc>
        <w:tc>
          <w:tcPr>
            <w:tcW w:w="2096" w:type="pct"/>
            <w:noWrap w:val="0"/>
            <w:vAlign w:val="center"/>
          </w:tcPr>
          <w:p w14:paraId="0FD54C0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"C:\\Users\\林\\AppData\\Roaming\\Microsoft\\Word\\厂发\\189.石油化工总厂生产安全风险分级管控和隐患排查治理双重预防机制管理规定.doc"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石油化工总厂生产安全风险分级管控和隐患排查治理双重预防机制管理规定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72D3501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26</w:t>
            </w:r>
          </w:p>
        </w:tc>
        <w:tc>
          <w:tcPr>
            <w:tcW w:w="2186" w:type="pct"/>
            <w:noWrap w:val="0"/>
            <w:vAlign w:val="center"/>
          </w:tcPr>
          <w:p w14:paraId="0FC654E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"C:\\Users\\林\\AppData\\Roaming\\Microsoft\\Word\\厂发\\144石油化工总厂劳动保护费用管理规定.doc"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石油化工总厂劳动保护费用管理规定</w:t>
            </w:r>
            <w:r>
              <w:rPr>
                <w:rFonts w:hint="default" w:ascii="Times New Roman" w:hAnsi="Times New Roman" w:eastAsia="宋体" w:cs="Times New Roman"/>
                <w:bCs/>
                <w:color w:val="auto"/>
                <w:sz w:val="21"/>
                <w:szCs w:val="21"/>
                <w:u w:val="none"/>
              </w:rPr>
              <w:fldChar w:fldCharType="end"/>
            </w:r>
          </w:p>
        </w:tc>
      </w:tr>
      <w:tr w14:paraId="7AB5C0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11A551D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27</w:t>
            </w:r>
          </w:p>
        </w:tc>
        <w:tc>
          <w:tcPr>
            <w:tcW w:w="2096" w:type="pct"/>
            <w:noWrap w:val="0"/>
            <w:vAlign w:val="center"/>
          </w:tcPr>
          <w:p w14:paraId="2B311611">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"C:\\Users\\林\\AppData\\Roaming\\Microsoft\\Word\\厂发\\48石油化工总厂断路作业安全管理规定.doc"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石油化工总厂断路作业安全管理规定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71F26C0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28</w:t>
            </w:r>
          </w:p>
        </w:tc>
        <w:tc>
          <w:tcPr>
            <w:tcW w:w="2186" w:type="pct"/>
            <w:noWrap w:val="0"/>
            <w:vAlign w:val="center"/>
          </w:tcPr>
          <w:p w14:paraId="0823B6F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"C:\\Users\\林\\AppData\\Roaming\\Microsoft\\Word\\厂发\\203石油化工总厂未遂HSSE事件管理规定.doc"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石油化工总厂未遂HSSE事件管理规定</w:t>
            </w:r>
            <w:r>
              <w:rPr>
                <w:rFonts w:hint="default" w:ascii="Times New Roman" w:hAnsi="Times New Roman" w:eastAsia="宋体" w:cs="Times New Roman"/>
                <w:bCs/>
                <w:color w:val="auto"/>
                <w:sz w:val="21"/>
                <w:szCs w:val="21"/>
                <w:u w:val="none"/>
              </w:rPr>
              <w:fldChar w:fldCharType="end"/>
            </w:r>
          </w:p>
        </w:tc>
      </w:tr>
      <w:tr w14:paraId="7B90B6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330736D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29</w:t>
            </w:r>
          </w:p>
        </w:tc>
        <w:tc>
          <w:tcPr>
            <w:tcW w:w="2096" w:type="pct"/>
            <w:noWrap w:val="0"/>
            <w:vAlign w:val="center"/>
          </w:tcPr>
          <w:p w14:paraId="00AFF538">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"C:\\Users\\林\\AppData\\Roaming\\Microsoft\\Word\\厂发\\43石油化工总厂建设项目HSSE"</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石油化工总厂建设项目HSSE</w:t>
            </w:r>
            <w:r>
              <w:rPr>
                <w:rFonts w:hint="eastAsia" w:ascii="Times New Roman" w:hAnsi="Times New Roman" w:eastAsia="宋体" w:cs="Times New Roman"/>
                <w:bCs/>
                <w:color w:val="auto"/>
                <w:sz w:val="21"/>
                <w:szCs w:val="21"/>
                <w:u w:val="none"/>
                <w:lang w:eastAsia="zh-CN"/>
              </w:rPr>
              <w:t>“</w:t>
            </w:r>
            <w:r>
              <w:rPr>
                <w:rFonts w:hint="default" w:ascii="Times New Roman" w:hAnsi="Times New Roman" w:eastAsia="宋体" w:cs="Times New Roman"/>
                <w:bCs/>
                <w:color w:val="auto"/>
                <w:sz w:val="21"/>
                <w:szCs w:val="21"/>
                <w:u w:val="none"/>
              </w:rPr>
              <w:t>三同时</w:t>
            </w:r>
            <w:r>
              <w:rPr>
                <w:rFonts w:hint="eastAsia" w:ascii="Times New Roman" w:hAnsi="Times New Roman" w:eastAsia="宋体" w:cs="Times New Roman"/>
                <w:bCs/>
                <w:color w:val="auto"/>
                <w:sz w:val="21"/>
                <w:szCs w:val="21"/>
                <w:u w:val="none"/>
                <w:lang w:eastAsia="zh-CN"/>
              </w:rPr>
              <w:t>”</w:t>
            </w:r>
            <w:r>
              <w:rPr>
                <w:rFonts w:hint="default" w:ascii="Times New Roman" w:hAnsi="Times New Roman" w:eastAsia="宋体" w:cs="Times New Roman"/>
                <w:bCs/>
                <w:color w:val="auto"/>
                <w:sz w:val="21"/>
                <w:szCs w:val="21"/>
                <w:u w:val="none"/>
              </w:rPr>
              <w:t>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1A1E572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30</w:t>
            </w:r>
          </w:p>
        </w:tc>
        <w:tc>
          <w:tcPr>
            <w:tcW w:w="2186" w:type="pct"/>
            <w:noWrap w:val="0"/>
            <w:vAlign w:val="center"/>
          </w:tcPr>
          <w:p w14:paraId="4624D62B">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"C:\\Users\\林\\AppData\\Roaming\\Microsoft\\Word\\厂发\\64石油化工总厂一般作业安全管理规定.doc"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石油化工总厂一般作业安全管理规定</w:t>
            </w:r>
            <w:r>
              <w:rPr>
                <w:rFonts w:hint="default" w:ascii="Times New Roman" w:hAnsi="Times New Roman" w:eastAsia="宋体" w:cs="Times New Roman"/>
                <w:bCs/>
                <w:color w:val="auto"/>
                <w:sz w:val="21"/>
                <w:szCs w:val="21"/>
                <w:u w:val="none"/>
              </w:rPr>
              <w:fldChar w:fldCharType="end"/>
            </w:r>
          </w:p>
        </w:tc>
      </w:tr>
      <w:tr w14:paraId="4F3349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38DF0C8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31</w:t>
            </w:r>
          </w:p>
        </w:tc>
        <w:tc>
          <w:tcPr>
            <w:tcW w:w="2096" w:type="pct"/>
            <w:noWrap w:val="0"/>
            <w:vAlign w:val="center"/>
          </w:tcPr>
          <w:p w14:paraId="43A3482B">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"C:\\Users\\林\\AppData\\Roaming\\Microsoft\\Word\\厂发\\69石油化工总厂重大危险源管理规定.doc"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石油化工总厂重大危险源管理规定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6558F079">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32</w:t>
            </w:r>
          </w:p>
        </w:tc>
        <w:tc>
          <w:tcPr>
            <w:tcW w:w="2186" w:type="pct"/>
            <w:noWrap w:val="0"/>
            <w:vAlign w:val="center"/>
          </w:tcPr>
          <w:p w14:paraId="00D006C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t>石油化工总厂危险化工工艺安全管理规定</w:t>
            </w:r>
          </w:p>
        </w:tc>
      </w:tr>
      <w:tr w14:paraId="4FC97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664C50C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33</w:t>
            </w:r>
          </w:p>
        </w:tc>
        <w:tc>
          <w:tcPr>
            <w:tcW w:w="2096" w:type="pct"/>
            <w:noWrap w:val="0"/>
            <w:vAlign w:val="center"/>
          </w:tcPr>
          <w:p w14:paraId="0CC6D0A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"C:\\Users\\林\\AppData\\Roaming\\Microsoft\\Word\\厂发\\218石油化工总厂生产安全风险管控规定.doc"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石油化工总厂生产安全风险管控规定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16B38BF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34</w:t>
            </w:r>
          </w:p>
        </w:tc>
        <w:tc>
          <w:tcPr>
            <w:tcW w:w="2186" w:type="pct"/>
            <w:noWrap w:val="0"/>
            <w:vAlign w:val="center"/>
          </w:tcPr>
          <w:p w14:paraId="3522412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危险化学品</w:t>
            </w:r>
            <w:r>
              <w:rPr>
                <w:rFonts w:hint="default" w:ascii="Times New Roman" w:hAnsi="Times New Roman" w:eastAsia="宋体" w:cs="Times New Roman"/>
                <w:bCs/>
                <w:color w:val="auto"/>
                <w:sz w:val="21"/>
                <w:szCs w:val="21"/>
                <w:u w:val="none"/>
              </w:rPr>
              <w:t>安全管理规定</w:t>
            </w:r>
          </w:p>
        </w:tc>
      </w:tr>
      <w:tr w14:paraId="66F7ED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7E8D068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35</w:t>
            </w:r>
          </w:p>
        </w:tc>
        <w:tc>
          <w:tcPr>
            <w:tcW w:w="2096" w:type="pct"/>
            <w:noWrap w:val="0"/>
            <w:vAlign w:val="center"/>
          </w:tcPr>
          <w:p w14:paraId="5122267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"C:\\Users\\林\\AppData\\Roaming\\Microsoft\\Word\\厂发\\170石油化工总厂应急队伍管理办法.doc"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石油化工总厂应急队伍管理办法</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563C290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36</w:t>
            </w:r>
          </w:p>
        </w:tc>
        <w:tc>
          <w:tcPr>
            <w:tcW w:w="2186" w:type="pct"/>
            <w:noWrap w:val="0"/>
            <w:vAlign w:val="center"/>
          </w:tcPr>
          <w:p w14:paraId="5F40EA61">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"C:\\Users\\林\\AppData\\Roaming\\Microsoft\\Word\\厂发\\57石油化工总厂特种（设备）作业人员安全管理规定.doc"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石油化工总厂特种（设备）作业人员安全管理规定</w:t>
            </w:r>
            <w:r>
              <w:rPr>
                <w:rFonts w:hint="default" w:ascii="Times New Roman" w:hAnsi="Times New Roman" w:eastAsia="宋体" w:cs="Times New Roman"/>
                <w:bCs/>
                <w:color w:val="auto"/>
                <w:sz w:val="21"/>
                <w:szCs w:val="21"/>
                <w:u w:val="none"/>
              </w:rPr>
              <w:fldChar w:fldCharType="end"/>
            </w:r>
          </w:p>
        </w:tc>
      </w:tr>
      <w:tr w14:paraId="775397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0FC9DC71">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37</w:t>
            </w:r>
          </w:p>
        </w:tc>
        <w:tc>
          <w:tcPr>
            <w:tcW w:w="2096" w:type="pct"/>
            <w:noWrap w:val="0"/>
            <w:vAlign w:val="center"/>
          </w:tcPr>
          <w:p w14:paraId="5620079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安全生产和环境保护责任制管理办法</w:t>
            </w:r>
          </w:p>
        </w:tc>
        <w:tc>
          <w:tcPr>
            <w:tcW w:w="345" w:type="pct"/>
            <w:noWrap w:val="0"/>
            <w:vAlign w:val="center"/>
          </w:tcPr>
          <w:p w14:paraId="602AE6B7">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38</w:t>
            </w:r>
          </w:p>
        </w:tc>
        <w:tc>
          <w:tcPr>
            <w:tcW w:w="2186" w:type="pct"/>
            <w:noWrap w:val="0"/>
            <w:vAlign w:val="center"/>
          </w:tcPr>
          <w:p w14:paraId="59F557D0">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t>石油化工总厂安全仪表系统安全完整性等级评估管理办法</w:t>
            </w:r>
          </w:p>
        </w:tc>
      </w:tr>
      <w:tr w14:paraId="69F4CE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6720DA8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39</w:t>
            </w:r>
          </w:p>
        </w:tc>
        <w:tc>
          <w:tcPr>
            <w:tcW w:w="2096" w:type="pct"/>
            <w:noWrap w:val="0"/>
            <w:vAlign w:val="center"/>
          </w:tcPr>
          <w:p w14:paraId="07FBBB2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t>石油化工总厂装置设施拆除安全管理办法</w:t>
            </w:r>
          </w:p>
        </w:tc>
        <w:tc>
          <w:tcPr>
            <w:tcW w:w="345" w:type="pct"/>
            <w:noWrap w:val="0"/>
            <w:vAlign w:val="center"/>
          </w:tcPr>
          <w:p w14:paraId="2979BA0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40</w:t>
            </w:r>
          </w:p>
        </w:tc>
        <w:tc>
          <w:tcPr>
            <w:tcW w:w="2186" w:type="pct"/>
            <w:noWrap w:val="0"/>
            <w:vAlign w:val="center"/>
          </w:tcPr>
          <w:p w14:paraId="76266DB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"C:\\Users\\林\\AppData\\Roaming\\Microsoft\\Word\\厂发\\196石油化工总厂承包商安全环保监督管理办法.doc"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石油化工总厂承包商</w:t>
            </w:r>
            <w:r>
              <w:rPr>
                <w:rFonts w:hint="eastAsia" w:ascii="Times New Roman" w:hAnsi="Times New Roman" w:eastAsia="宋体" w:cs="Times New Roman"/>
                <w:bCs/>
                <w:color w:val="auto"/>
                <w:sz w:val="21"/>
                <w:szCs w:val="21"/>
                <w:u w:val="none"/>
                <w:lang w:val="en-US" w:eastAsia="zh-CN"/>
              </w:rPr>
              <w:t>HSSE</w:t>
            </w:r>
            <w:r>
              <w:rPr>
                <w:rFonts w:hint="default" w:ascii="Times New Roman" w:hAnsi="Times New Roman" w:eastAsia="宋体" w:cs="Times New Roman"/>
                <w:bCs/>
                <w:color w:val="auto"/>
                <w:sz w:val="21"/>
                <w:szCs w:val="21"/>
                <w:u w:val="none"/>
              </w:rPr>
              <w:t>监督管理办法</w:t>
            </w:r>
            <w:r>
              <w:rPr>
                <w:rFonts w:hint="default" w:ascii="Times New Roman" w:hAnsi="Times New Roman" w:eastAsia="宋体" w:cs="Times New Roman"/>
                <w:bCs/>
                <w:color w:val="auto"/>
                <w:sz w:val="21"/>
                <w:szCs w:val="21"/>
                <w:u w:val="none"/>
              </w:rPr>
              <w:fldChar w:fldCharType="end"/>
            </w:r>
          </w:p>
        </w:tc>
      </w:tr>
      <w:tr w14:paraId="311048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512E5CF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41</w:t>
            </w:r>
          </w:p>
        </w:tc>
        <w:tc>
          <w:tcPr>
            <w:tcW w:w="2096" w:type="pct"/>
            <w:noWrap w:val="0"/>
            <w:vAlign w:val="center"/>
          </w:tcPr>
          <w:p w14:paraId="226B90B9">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"C:\\Users\\林\\AppData\\Roaming\\Microsoft\\Word\\厂发\\202石油化工总厂建设项目设计安全管理办法.doc"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石油化工总厂建设项目设计安全管理办法</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5D18387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42</w:t>
            </w:r>
          </w:p>
        </w:tc>
        <w:tc>
          <w:tcPr>
            <w:tcW w:w="2186" w:type="pct"/>
            <w:noWrap w:val="0"/>
            <w:vAlign w:val="center"/>
          </w:tcPr>
          <w:p w14:paraId="6B20D49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"C:\\Users\\林\\AppData\\Roaming\\Microsoft\\Word\\厂发\\65石油化工总厂安全设施管理规定.doc"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石油化工总厂安全设施管理规定</w:t>
            </w:r>
            <w:r>
              <w:rPr>
                <w:rFonts w:hint="default" w:ascii="Times New Roman" w:hAnsi="Times New Roman" w:eastAsia="宋体" w:cs="Times New Roman"/>
                <w:bCs/>
                <w:color w:val="auto"/>
                <w:sz w:val="21"/>
                <w:szCs w:val="21"/>
                <w:u w:val="none"/>
              </w:rPr>
              <w:fldChar w:fldCharType="end"/>
            </w:r>
          </w:p>
        </w:tc>
      </w:tr>
      <w:tr w14:paraId="16A84F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6F2B3A01">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43</w:t>
            </w:r>
          </w:p>
        </w:tc>
        <w:tc>
          <w:tcPr>
            <w:tcW w:w="2096" w:type="pct"/>
            <w:noWrap w:val="0"/>
            <w:vAlign w:val="center"/>
          </w:tcPr>
          <w:p w14:paraId="7306877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"C:\\Users\\林\\AppData\\Roaming\\Microsoft\\Word\\厂发\\59石油化工总厂HSSE教育管理规定.doc"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石油化工总厂HSSE教育管理规定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5F5C858A">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44</w:t>
            </w:r>
          </w:p>
        </w:tc>
        <w:tc>
          <w:tcPr>
            <w:tcW w:w="2186" w:type="pct"/>
            <w:noWrap w:val="0"/>
            <w:vAlign w:val="center"/>
          </w:tcPr>
          <w:p w14:paraId="04929EC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"C:\\Users\\林\\AppData\\Roaming\\Microsoft\\Word\\厂发\\183石油化工总厂非生产用燃气使用安全管理办法.doc"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石油化工总厂非生产用燃气使用安全管理办法</w:t>
            </w:r>
            <w:r>
              <w:rPr>
                <w:rFonts w:hint="default" w:ascii="Times New Roman" w:hAnsi="Times New Roman" w:eastAsia="宋体" w:cs="Times New Roman"/>
                <w:bCs/>
                <w:color w:val="auto"/>
                <w:sz w:val="21"/>
                <w:szCs w:val="21"/>
                <w:u w:val="none"/>
              </w:rPr>
              <w:fldChar w:fldCharType="end"/>
            </w:r>
          </w:p>
        </w:tc>
      </w:tr>
      <w:tr w14:paraId="547AEC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463624D8">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45</w:t>
            </w:r>
          </w:p>
        </w:tc>
        <w:tc>
          <w:tcPr>
            <w:tcW w:w="2096" w:type="pct"/>
            <w:noWrap w:val="0"/>
            <w:vAlign w:val="center"/>
          </w:tcPr>
          <w:p w14:paraId="644383D8">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"C:\\Users\\林\\AppData\\Roaming\\Microsoft\\Word\\厂发\\50石油化工总厂罐区安全管理规定.doc"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石油化工总厂罐区安全管理规定</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433234A3">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46</w:t>
            </w:r>
          </w:p>
        </w:tc>
        <w:tc>
          <w:tcPr>
            <w:tcW w:w="2186" w:type="pct"/>
            <w:noWrap w:val="0"/>
            <w:vAlign w:val="center"/>
          </w:tcPr>
          <w:p w14:paraId="1F64CC0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"C:\\Users\\林\\AppData\\Roaming\\Microsoft\\Word\\厂发\\181.石油化工总厂消防安全管理规定.doc"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石油化工总厂消防安全管理规定</w:t>
            </w:r>
            <w:r>
              <w:rPr>
                <w:rFonts w:hint="default" w:ascii="Times New Roman" w:hAnsi="Times New Roman" w:eastAsia="宋体" w:cs="Times New Roman"/>
                <w:bCs/>
                <w:color w:val="auto"/>
                <w:sz w:val="21"/>
                <w:szCs w:val="21"/>
                <w:u w:val="none"/>
              </w:rPr>
              <w:fldChar w:fldCharType="end"/>
            </w:r>
          </w:p>
        </w:tc>
      </w:tr>
      <w:tr w14:paraId="73682A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09CC13D5">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47</w:t>
            </w:r>
          </w:p>
        </w:tc>
        <w:tc>
          <w:tcPr>
            <w:tcW w:w="2096" w:type="pct"/>
            <w:noWrap w:val="0"/>
            <w:vAlign w:val="center"/>
          </w:tcPr>
          <w:p w14:paraId="5AB8A1C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"C:\\Users\\林\\AppData\\Roaming\\Microsoft\\Word\\厂发\\143石油化工总厂液化烃汽车罐车装卸作业安全管理办法.doc"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石油化工总厂液化烃汽车罐车装</w:t>
            </w:r>
            <w:r>
              <w:rPr>
                <w:rFonts w:hint="eastAsia" w:ascii="Times New Roman" w:hAnsi="Times New Roman" w:eastAsia="宋体" w:cs="Times New Roman"/>
                <w:bCs/>
                <w:color w:val="auto"/>
                <w:sz w:val="21"/>
                <w:szCs w:val="21"/>
                <w:u w:val="none"/>
                <w:lang w:val="en-US" w:eastAsia="zh-CN"/>
              </w:rPr>
              <w:t>车</w:t>
            </w:r>
            <w:r>
              <w:rPr>
                <w:rFonts w:hint="default" w:ascii="Times New Roman" w:hAnsi="Times New Roman" w:eastAsia="宋体" w:cs="Times New Roman"/>
                <w:bCs/>
                <w:color w:val="auto"/>
                <w:sz w:val="21"/>
                <w:szCs w:val="21"/>
                <w:u w:val="none"/>
              </w:rPr>
              <w:t>作业安全管理办法</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0E6E063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48</w:t>
            </w:r>
          </w:p>
        </w:tc>
        <w:tc>
          <w:tcPr>
            <w:tcW w:w="2186" w:type="pct"/>
            <w:noWrap w:val="0"/>
            <w:vAlign w:val="center"/>
          </w:tcPr>
          <w:p w14:paraId="45DDB0D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QHSSE负面行为清单管理办法</w:t>
            </w:r>
          </w:p>
        </w:tc>
      </w:tr>
      <w:tr w14:paraId="2DB626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4DFECE1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49</w:t>
            </w:r>
          </w:p>
        </w:tc>
        <w:tc>
          <w:tcPr>
            <w:tcW w:w="2096" w:type="pct"/>
            <w:noWrap w:val="0"/>
            <w:vAlign w:val="center"/>
          </w:tcPr>
          <w:p w14:paraId="182C9DB6">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rPr>
              <w:t>石油化工总厂</w:t>
            </w:r>
            <w:r>
              <w:rPr>
                <w:rFonts w:hint="eastAsia" w:ascii="Times New Roman" w:hAnsi="Times New Roman" w:eastAsia="宋体" w:cs="Times New Roman"/>
                <w:bCs/>
                <w:color w:val="auto"/>
                <w:sz w:val="21"/>
                <w:szCs w:val="21"/>
                <w:u w:val="none"/>
                <w:lang w:val="en-US" w:eastAsia="zh-CN"/>
              </w:rPr>
              <w:t>机动车辆交通安全管理办法</w:t>
            </w:r>
          </w:p>
        </w:tc>
        <w:tc>
          <w:tcPr>
            <w:tcW w:w="345" w:type="pct"/>
            <w:noWrap w:val="0"/>
            <w:vAlign w:val="center"/>
          </w:tcPr>
          <w:p w14:paraId="3F977B22">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50</w:t>
            </w:r>
          </w:p>
        </w:tc>
        <w:tc>
          <w:tcPr>
            <w:tcW w:w="2186" w:type="pct"/>
            <w:noWrap w:val="0"/>
            <w:vAlign w:val="center"/>
          </w:tcPr>
          <w:p w14:paraId="02BD94BD">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t>石油化工总厂QHSSE检查监督管理办法</w:t>
            </w:r>
          </w:p>
        </w:tc>
      </w:tr>
      <w:tr w14:paraId="17AA7D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1" w:type="pct"/>
            <w:noWrap w:val="0"/>
            <w:vAlign w:val="center"/>
          </w:tcPr>
          <w:p w14:paraId="54917A34">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51</w:t>
            </w:r>
          </w:p>
        </w:tc>
        <w:tc>
          <w:tcPr>
            <w:tcW w:w="2096" w:type="pct"/>
            <w:noWrap w:val="0"/>
            <w:vAlign w:val="center"/>
          </w:tcPr>
          <w:p w14:paraId="1155FFFE">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fldChar w:fldCharType="begin"/>
            </w:r>
            <w:r>
              <w:rPr>
                <w:rFonts w:hint="default" w:ascii="Times New Roman" w:hAnsi="Times New Roman" w:eastAsia="宋体" w:cs="Times New Roman"/>
                <w:bCs/>
                <w:color w:val="auto"/>
                <w:sz w:val="21"/>
                <w:szCs w:val="21"/>
                <w:u w:val="none"/>
              </w:rPr>
              <w:instrText xml:space="preserve">HYPERLINK "C:\\Users\\林\\AppData\\Roaming\\Microsoft\\Word\\厂发\\145石油化工总厂安全公示管理办法.doc"</w:instrText>
            </w:r>
            <w:r>
              <w:rPr>
                <w:rFonts w:hint="default" w:ascii="Times New Roman" w:hAnsi="Times New Roman" w:eastAsia="宋体" w:cs="Times New Roman"/>
                <w:bCs/>
                <w:color w:val="auto"/>
                <w:sz w:val="21"/>
                <w:szCs w:val="21"/>
                <w:u w:val="none"/>
              </w:rPr>
              <w:fldChar w:fldCharType="separate"/>
            </w:r>
            <w:r>
              <w:rPr>
                <w:rFonts w:hint="default" w:ascii="Times New Roman" w:hAnsi="Times New Roman" w:eastAsia="宋体" w:cs="Times New Roman"/>
                <w:bCs/>
                <w:color w:val="auto"/>
                <w:sz w:val="21"/>
                <w:szCs w:val="21"/>
                <w:u w:val="none"/>
              </w:rPr>
              <w:t>石油化工总厂安全公示管理办法</w:t>
            </w:r>
            <w:r>
              <w:rPr>
                <w:rFonts w:hint="default" w:ascii="Times New Roman" w:hAnsi="Times New Roman" w:eastAsia="宋体" w:cs="Times New Roman"/>
                <w:bCs/>
                <w:color w:val="auto"/>
                <w:sz w:val="21"/>
                <w:szCs w:val="21"/>
                <w:u w:val="none"/>
              </w:rPr>
              <w:fldChar w:fldCharType="end"/>
            </w:r>
          </w:p>
        </w:tc>
        <w:tc>
          <w:tcPr>
            <w:tcW w:w="345" w:type="pct"/>
            <w:noWrap w:val="0"/>
            <w:vAlign w:val="center"/>
          </w:tcPr>
          <w:p w14:paraId="4436E051">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52</w:t>
            </w:r>
          </w:p>
        </w:tc>
        <w:tc>
          <w:tcPr>
            <w:tcW w:w="2186" w:type="pct"/>
            <w:noWrap w:val="0"/>
            <w:vAlign w:val="center"/>
          </w:tcPr>
          <w:p w14:paraId="4BA718BC">
            <w:pPr>
              <w:keepNext w:val="0"/>
              <w:keepLines w:val="0"/>
              <w:pageBreakBefore w:val="0"/>
              <w:widowControl/>
              <w:kinsoku/>
              <w:wordWrap/>
              <w:overflowPunct/>
              <w:topLinePunct w:val="0"/>
              <w:autoSpaceDE/>
              <w:autoSpaceDN/>
              <w:bidi w:val="0"/>
              <w:adjustRightInd w:val="0"/>
              <w:snapToGrid w:val="0"/>
              <w:spacing w:before="34" w:beforeLines="10" w:after="34" w:afterLines="10" w:line="240" w:lineRule="auto"/>
              <w:ind w:firstLine="0" w:firstLineChars="0"/>
              <w:jc w:val="center"/>
              <w:textAlignment w:val="center"/>
              <w:rPr>
                <w:rFonts w:hint="default" w:ascii="Times New Roman" w:hAnsi="Times New Roman" w:eastAsia="宋体" w:cs="Times New Roman"/>
                <w:bCs/>
                <w:color w:val="auto"/>
                <w:sz w:val="21"/>
                <w:szCs w:val="21"/>
                <w:u w:val="none"/>
              </w:rPr>
            </w:pPr>
            <w:r>
              <w:rPr>
                <w:rFonts w:hint="default" w:ascii="Times New Roman" w:hAnsi="Times New Roman" w:eastAsia="宋体" w:cs="Times New Roman"/>
                <w:bCs/>
                <w:color w:val="auto"/>
                <w:sz w:val="21"/>
                <w:szCs w:val="21"/>
                <w:u w:val="none"/>
              </w:rPr>
              <w:t>石油化工总厂安全生产费用财务管理办法</w:t>
            </w:r>
          </w:p>
        </w:tc>
      </w:tr>
    </w:tbl>
    <w:p w14:paraId="4EF112C3">
      <w:pPr>
        <w:pStyle w:val="4"/>
        <w:bidi w:val="0"/>
        <w:rPr>
          <w:rFonts w:hint="default" w:ascii="Times New Roman" w:hAnsi="Times New Roman" w:cs="Times New Roman"/>
          <w:color w:val="auto"/>
        </w:rPr>
      </w:pPr>
      <w:r>
        <w:rPr>
          <w:rFonts w:hint="default" w:ascii="Times New Roman" w:hAnsi="Times New Roman" w:cs="Times New Roman"/>
          <w:color w:val="auto"/>
        </w:rPr>
        <w:t>6.4.4安全培训</w:t>
      </w:r>
    </w:p>
    <w:p w14:paraId="4A5ABC6C">
      <w:pPr>
        <w:pStyle w:val="6"/>
        <w:bidi w:val="0"/>
        <w:rPr>
          <w:rFonts w:hint="default" w:ascii="Times New Roman" w:hAnsi="Times New Roman" w:cs="Times New Roman"/>
          <w:color w:val="auto"/>
        </w:rPr>
      </w:pPr>
      <w:r>
        <w:rPr>
          <w:rFonts w:hint="default" w:ascii="Times New Roman" w:hAnsi="Times New Roman" w:cs="Times New Roman"/>
          <w:color w:val="auto"/>
        </w:rPr>
        <w:t>安全培训是提高员工安全意识、安全技术素质、防止产生人的不安全行为、减少人的操作失误的重要方法，从而达到保护自己和他人的安全和健康的目的。安全培训包括单位主要负责人的安全培训教育和考核、安全管理人员的安全培训教育和考核、从业人员的安全培训教育和考核、特种作业人员的安全培训教育和考核四个层面。</w:t>
      </w:r>
    </w:p>
    <w:p w14:paraId="7660000D">
      <w:pPr>
        <w:pStyle w:val="6"/>
        <w:bidi w:val="0"/>
        <w:rPr>
          <w:rFonts w:hint="default" w:ascii="Times New Roman" w:hAnsi="Times New Roman" w:cs="Times New Roman"/>
          <w:color w:val="auto"/>
        </w:rPr>
      </w:pPr>
      <w:r>
        <w:rPr>
          <w:rFonts w:hint="default" w:ascii="Times New Roman" w:hAnsi="Times New Roman" w:cs="Times New Roman"/>
          <w:color w:val="auto"/>
        </w:rPr>
        <w:t>企业主要负责人和专职安全生产管理人员均已取得了安全培训合格证书。</w:t>
      </w:r>
    </w:p>
    <w:p w14:paraId="67613279">
      <w:pPr>
        <w:pStyle w:val="6"/>
        <w:bidi w:val="0"/>
        <w:rPr>
          <w:rFonts w:hint="default" w:ascii="Times New Roman" w:hAnsi="Times New Roman" w:cs="Times New Roman"/>
          <w:color w:val="auto"/>
        </w:rPr>
      </w:pPr>
      <w:r>
        <w:rPr>
          <w:rFonts w:hint="default" w:ascii="Times New Roman" w:hAnsi="Times New Roman" w:cs="Times New Roman"/>
          <w:color w:val="auto"/>
        </w:rPr>
        <w:t>企业严格按《生产经营单位安全培训规定》的要求，对该项目的安全管理人员、特种作业人员进行安全培训、教育，并考核合格，取得相应的证书后持证上岗，对其他从业人员进行安全培训、教育，并考核合格。防止因安全培训、教育、考核等落实不到位，导致企业各级负责人、管理人员违章指挥、操作人员安全知识缺乏、技术水平低、违章操作、操作失误等引发生产安全事故。</w:t>
      </w:r>
    </w:p>
    <w:p w14:paraId="58E648AD">
      <w:pPr>
        <w:pStyle w:val="4"/>
        <w:rPr>
          <w:rFonts w:hint="default" w:ascii="Times New Roman" w:hAnsi="Times New Roman" w:cs="Times New Roman"/>
          <w:color w:val="auto"/>
        </w:rPr>
      </w:pPr>
      <w:r>
        <w:rPr>
          <w:rFonts w:hint="default" w:ascii="Times New Roman" w:hAnsi="Times New Roman" w:cs="Times New Roman"/>
          <w:color w:val="auto"/>
        </w:rPr>
        <w:t>6.4.</w:t>
      </w:r>
      <w:r>
        <w:rPr>
          <w:rFonts w:hint="eastAsia" w:cs="Times New Roman"/>
          <w:color w:val="auto"/>
          <w:lang w:val="en-US" w:eastAsia="zh-CN"/>
        </w:rPr>
        <w:t>5</w:t>
      </w:r>
      <w:r>
        <w:rPr>
          <w:rFonts w:hint="default" w:ascii="Times New Roman" w:hAnsi="Times New Roman" w:cs="Times New Roman"/>
          <w:color w:val="auto"/>
        </w:rPr>
        <w:t>安全管理可靠性分析结论</w:t>
      </w:r>
    </w:p>
    <w:p w14:paraId="18058885">
      <w:pPr>
        <w:pStyle w:val="6"/>
        <w:bidi w:val="0"/>
        <w:rPr>
          <w:rFonts w:hint="default" w:ascii="Times New Roman" w:hAnsi="Times New Roman" w:cs="Times New Roman"/>
          <w:color w:val="auto"/>
        </w:rPr>
      </w:pPr>
      <w:r>
        <w:rPr>
          <w:rFonts w:hint="default" w:ascii="Times New Roman" w:hAnsi="Times New Roman" w:cs="Times New Roman"/>
          <w:color w:val="auto"/>
        </w:rPr>
        <w:t>该项目改造完成后安全管理依托现有</w:t>
      </w:r>
      <w:r>
        <w:rPr>
          <w:rFonts w:hint="default" w:ascii="Times New Roman" w:hAnsi="Times New Roman" w:cs="Times New Roman"/>
          <w:color w:val="auto"/>
          <w:lang w:val="en-US" w:eastAsia="zh-CN"/>
        </w:rPr>
        <w:t>储运二部</w:t>
      </w:r>
      <w:r>
        <w:rPr>
          <w:rFonts w:hint="default" w:ascii="Times New Roman" w:hAnsi="Times New Roman" w:cs="Times New Roman"/>
          <w:color w:val="auto"/>
        </w:rPr>
        <w:t>。企业现有安全管理机构的设置和安全管理人员的配备、安全生产责任制、安全管理制度的制定及实施、安全培训方面均符合国家法律、法规、规定。</w:t>
      </w:r>
    </w:p>
    <w:p w14:paraId="58B43B1C">
      <w:pPr>
        <w:pStyle w:val="6"/>
        <w:bidi w:val="0"/>
        <w:rPr>
          <w:rFonts w:hint="default" w:ascii="Times New Roman" w:hAnsi="Times New Roman" w:cs="Times New Roman"/>
          <w:color w:val="auto"/>
        </w:rPr>
        <w:sectPr>
          <w:pgSz w:w="11906" w:h="16838"/>
          <w:pgMar w:top="1417" w:right="1134" w:bottom="1134" w:left="1587" w:header="851" w:footer="454" w:gutter="0"/>
          <w:pgBorders>
            <w:top w:val="none" w:sz="0" w:space="0"/>
            <w:left w:val="none" w:sz="0" w:space="0"/>
            <w:bottom w:val="none" w:sz="0" w:space="0"/>
            <w:right w:val="none" w:sz="0" w:space="0"/>
          </w:pgBorders>
          <w:cols w:space="720" w:num="1"/>
          <w:docGrid w:type="lines" w:linePitch="319" w:charSpace="0"/>
        </w:sectPr>
      </w:pPr>
    </w:p>
    <w:p w14:paraId="7C2060A9">
      <w:pPr>
        <w:pStyle w:val="17"/>
        <w:bidi w:val="0"/>
        <w:rPr>
          <w:rFonts w:hint="default" w:ascii="Times New Roman" w:hAnsi="Times New Roman" w:cs="Times New Roman"/>
          <w:color w:val="auto"/>
          <w:lang w:val="en-US" w:eastAsia="zh-CN"/>
        </w:rPr>
      </w:pPr>
      <w:bookmarkStart w:id="90" w:name="_Toc22924"/>
      <w:r>
        <w:rPr>
          <w:rFonts w:hint="default" w:ascii="Times New Roman" w:hAnsi="Times New Roman" w:cs="Times New Roman"/>
          <w:color w:val="auto"/>
          <w:lang w:val="en-US" w:eastAsia="zh-CN"/>
        </w:rPr>
        <w:t>安全对策措施、建议和结论</w:t>
      </w:r>
      <w:bookmarkEnd w:id="90"/>
    </w:p>
    <w:p w14:paraId="2AA788FB">
      <w:pPr>
        <w:pStyle w:val="3"/>
        <w:bidi w:val="0"/>
        <w:rPr>
          <w:rFonts w:hint="default" w:ascii="Times New Roman" w:hAnsi="Times New Roman" w:cs="Times New Roman"/>
          <w:color w:val="auto"/>
          <w:lang w:val="en-US" w:eastAsia="zh-CN"/>
        </w:rPr>
      </w:pPr>
      <w:bookmarkStart w:id="91" w:name="_Toc16355"/>
      <w:r>
        <w:rPr>
          <w:rFonts w:hint="default" w:ascii="Times New Roman" w:hAnsi="Times New Roman" w:cs="Times New Roman"/>
          <w:color w:val="auto"/>
          <w:lang w:val="en-US" w:eastAsia="zh-CN"/>
        </w:rPr>
        <w:t>可研提出的对策措施</w:t>
      </w:r>
      <w:bookmarkEnd w:id="91"/>
    </w:p>
    <w:p w14:paraId="1E28BE1B">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.1平面布置</w:t>
      </w:r>
    </w:p>
    <w:p w14:paraId="524F0925">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1）平面布置在满足有关防火、防爆及安全卫生标准和规范要求的前提下，尽量采用露天化、集中化和按流程布置，并考虑同类设备相对集中，以达到减少占地、节约投资、降低能耗、便于安全生产操作和检修管理。</w:t>
      </w:r>
    </w:p>
    <w:p w14:paraId="01E67C7D">
      <w:pPr>
        <w:pStyle w:val="6"/>
        <w:bidi w:val="0"/>
        <w:rPr>
          <w:rFonts w:hint="default" w:ascii="Times New Roman" w:hAnsi="Times New Roman" w:eastAsia="宋体"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2）在流程顺畅、方便管理、保证安全、便于检修、符合规划并尽量少影响原有装置生产的前提下，根据流程及各组成部分的生产特点和火灾危险性，结合周边情况、现状地形、地质、风向等条件，按功能分区、紧凑布局，将单元性质相近、功能联系密切的单元集中联合布置。</w:t>
      </w:r>
    </w:p>
    <w:p w14:paraId="69F001AE">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2</w:t>
      </w:r>
      <w:r>
        <w:rPr>
          <w:rFonts w:hint="default" w:ascii="Times New Roman" w:hAnsi="Times New Roman" w:cs="Times New Roman"/>
          <w:color w:val="auto"/>
        </w:rPr>
        <w:t>防火防爆措施</w:t>
      </w:r>
    </w:p>
    <w:p w14:paraId="0490CA6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次装置的防火设计严格执行GB50160-2008《石油化工企业设计防火标准》（2018年版）和GB50016-2014《建筑设计防火规范》（2018年版）等的有关规定。设备平面布置工艺设备间距离符合消防要求，装置与周围装置及设施的间距符合防火间距的要求。</w:t>
      </w:r>
    </w:p>
    <w:p w14:paraId="40B13959">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3</w:t>
      </w:r>
      <w:r>
        <w:rPr>
          <w:rFonts w:hint="default" w:ascii="Times New Roman" w:hAnsi="Times New Roman" w:cs="Times New Roman"/>
          <w:color w:val="auto"/>
        </w:rPr>
        <w:t>压力管道及设备的安全措施</w:t>
      </w:r>
    </w:p>
    <w:p w14:paraId="0F7DF8F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工艺生产过程采用自动监测、监控、在线监测等仪器仪表进行控制。针对引发事故的原因和紧急情况下的需要，设置联锁保护（DCS）。</w:t>
      </w:r>
    </w:p>
    <w:p w14:paraId="07847D29">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4</w:t>
      </w:r>
      <w:r>
        <w:rPr>
          <w:rFonts w:hint="default" w:ascii="Times New Roman" w:hAnsi="Times New Roman" w:cs="Times New Roman"/>
          <w:color w:val="auto"/>
        </w:rPr>
        <w:t>自动控制措施及危险物料检测报警措施</w:t>
      </w:r>
    </w:p>
    <w:p w14:paraId="2AFCE9B6">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1）自动控制水平</w:t>
      </w:r>
    </w:p>
    <w:p w14:paraId="029D290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本项目自动控制水平与现有水平一致，采用集散控制系统（简称DCS）控制生产过程。</w:t>
      </w:r>
    </w:p>
    <w:p w14:paraId="38CB38F1">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2）安全保护系统</w:t>
      </w:r>
    </w:p>
    <w:p w14:paraId="03153A6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装置处于防爆II区域，油气处理系统配套现场一次仪表、室外安装的仪表防护等级不低于IP65，地下安装仪表防护等级不低于IP68。所有信号的接线箱为防爆型。</w:t>
      </w:r>
    </w:p>
    <w:p w14:paraId="29609DE5">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5</w:t>
      </w:r>
      <w:r>
        <w:rPr>
          <w:rFonts w:hint="default" w:ascii="Times New Roman" w:hAnsi="Times New Roman" w:cs="Times New Roman"/>
          <w:color w:val="auto"/>
        </w:rPr>
        <w:t>防雷、防静电接地</w:t>
      </w:r>
    </w:p>
    <w:p w14:paraId="21A70CF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装置区内设工作接地、保护接地、防雷防静电接地，并采用公共接地网。接地电阻值不大于4欧姆。电气设备正常不带电金属外壳及金属框架设保护接地，管线进装置入口处设防静电接地。</w:t>
      </w:r>
    </w:p>
    <w:p w14:paraId="625E6A35">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6</w:t>
      </w:r>
      <w:r>
        <w:rPr>
          <w:rFonts w:hint="default" w:ascii="Times New Roman" w:hAnsi="Times New Roman" w:cs="Times New Roman"/>
          <w:color w:val="auto"/>
        </w:rPr>
        <w:t>防噪声伤害</w:t>
      </w:r>
    </w:p>
    <w:p w14:paraId="34D91377">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1）机泵在设计中选用低噪声系列产品，并根据具体情况采取消声降噪措施，减少噪声对操作人员的危害。</w:t>
      </w:r>
    </w:p>
    <w:p w14:paraId="191EF0FF">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2）在高噪声操作岗位配备防护用品，如耳罩或耳塞等。</w:t>
      </w:r>
    </w:p>
    <w:p w14:paraId="2A44C34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本设计严格执行GB/T50087-2013《工业企业噪声控制设计规范》，设计中优先选用低噪声设备，尽量采用自控和遥控，减少操作人员接触噪声的机会。</w:t>
      </w:r>
    </w:p>
    <w:p w14:paraId="09035712">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7</w:t>
      </w:r>
      <w:r>
        <w:rPr>
          <w:rFonts w:hint="default" w:ascii="Times New Roman" w:hAnsi="Times New Roman" w:cs="Times New Roman"/>
          <w:color w:val="auto"/>
        </w:rPr>
        <w:t>电视监控系统</w:t>
      </w:r>
    </w:p>
    <w:p w14:paraId="10608C2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本项目新增</w:t>
      </w:r>
      <w:r>
        <w:rPr>
          <w:rFonts w:hint="eastAsia" w:ascii="Times New Roman" w:hAnsi="Times New Roman" w:cs="Times New Roman"/>
          <w:color w:val="auto"/>
          <w:lang w:val="en-US" w:eastAsia="zh-CN"/>
        </w:rPr>
        <w:t>2</w:t>
      </w:r>
      <w:r>
        <w:rPr>
          <w:rFonts w:hint="default" w:ascii="Times New Roman" w:hAnsi="Times New Roman" w:cs="Times New Roman"/>
          <w:color w:val="auto"/>
          <w:lang w:val="en-US" w:eastAsia="zh-CN"/>
        </w:rPr>
        <w:t>0000Nm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/h蓄热氧化单元、500Nm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/h低温柴油吸收单元、汽车台500Nm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/h冷却-除雾单元、火车台500Nm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/h冷却-除雾单元、分析小屋及烟囱检测平台各设置1套防爆摄像机，以实现对装置内设备运行情况的监控。</w:t>
      </w:r>
    </w:p>
    <w:p w14:paraId="17621331">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8</w:t>
      </w:r>
      <w:r>
        <w:rPr>
          <w:rFonts w:hint="default" w:ascii="Times New Roman" w:hAnsi="Times New Roman" w:cs="Times New Roman"/>
          <w:color w:val="auto"/>
        </w:rPr>
        <w:t>供电安全措施</w:t>
      </w:r>
    </w:p>
    <w:p w14:paraId="1C6619B8">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1）装置爆炸危险区域的划分和电气设备的选型和安装，遵循GB50058-2014《爆炸危险环境电力装置设计规范》。</w:t>
      </w:r>
    </w:p>
    <w:p w14:paraId="6A7C8B53">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2）装置区内所有正常不带电的金属外壳及爆炸危险区域内的工艺金属设备均可靠接地。</w:t>
      </w:r>
    </w:p>
    <w:p w14:paraId="6824CAAA">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3）供电线路选型采用阻燃电缆。照明电缆及电线均选用铜芯，保护管选用镀锌焊接钢管或可挠金属电线管。</w:t>
      </w:r>
    </w:p>
    <w:p w14:paraId="05667003">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9</w:t>
      </w:r>
      <w:r>
        <w:rPr>
          <w:rFonts w:hint="default" w:ascii="Times New Roman" w:hAnsi="Times New Roman" w:cs="Times New Roman"/>
          <w:color w:val="auto"/>
        </w:rPr>
        <w:t>生产过程中，发生事故和中毒的抢救和应急措施</w:t>
      </w:r>
    </w:p>
    <w:p w14:paraId="09B7AB8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烃类急救措施：皮肤接触应脱去污染的衣着，用肥皂水及清水彻底冲洗，就医。眼睛接触应立即翻开上下眼睑，用流动清水或生理盐水冲洗至少15分钟，就医。吸入应迅速脱离现场至空气新鲜处，保温休息。呼吸困难时给输氧，呼吸停止时立即进行人工呼吸，就医。食入应误服者立即漱口，饮牛奶或植物油，洗胃并灌肠，就医。</w:t>
      </w:r>
    </w:p>
    <w:p w14:paraId="67C5786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防护措施：生产过程密闭，全面通风。高浓度接触时，佩带防毒面具，戴化学安全防护眼镜。穿工作服。必要时戴防护手套。其他防护：工作现场严禁吸烟，避免长期反复接触。</w:t>
      </w:r>
    </w:p>
    <w:p w14:paraId="02C26AA7">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10</w:t>
      </w:r>
      <w:r>
        <w:rPr>
          <w:rFonts w:hint="default" w:ascii="Times New Roman" w:hAnsi="Times New Roman" w:cs="Times New Roman"/>
          <w:color w:val="auto"/>
        </w:rPr>
        <w:t>防高温灼伤措施</w:t>
      </w:r>
    </w:p>
    <w:p w14:paraId="5766F6E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对于表面层温度高于60℃管线，其可触摸到的部位均采用隔热层保护。工艺管线的安装设计全面考虑抗震防震和管线振动、脆性破裂、温差应力破坏、失稳、高温蠕变破裂、腐蚀破裂及密封泄漏、静电等因素，并采取安全措施加以控制。</w:t>
      </w:r>
    </w:p>
    <w:p w14:paraId="30E211E4">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11</w:t>
      </w:r>
      <w:r>
        <w:rPr>
          <w:rFonts w:hint="default" w:ascii="Times New Roman" w:hAnsi="Times New Roman" w:cs="Times New Roman"/>
          <w:color w:val="auto"/>
        </w:rPr>
        <w:t>防止高空坠落措施</w:t>
      </w:r>
    </w:p>
    <w:p w14:paraId="05755E9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为保障人员安全，高层设备平台均设置保护栏杆。</w:t>
      </w:r>
    </w:p>
    <w:p w14:paraId="57C71713">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12</w:t>
      </w:r>
      <w:r>
        <w:rPr>
          <w:rFonts w:hint="default" w:ascii="Times New Roman" w:hAnsi="Times New Roman" w:cs="Times New Roman"/>
          <w:color w:val="auto"/>
        </w:rPr>
        <w:t>照明、接地</w:t>
      </w:r>
    </w:p>
    <w:p w14:paraId="2F409BC5">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1）新增设备平台设置照明设施，照明亮度符合规范要求。</w:t>
      </w:r>
    </w:p>
    <w:p w14:paraId="61427939">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2）新增设备、金属框架均设有防雷，防静电接地系统。</w:t>
      </w:r>
    </w:p>
    <w:p w14:paraId="2AB05982">
      <w:pPr>
        <w:pStyle w:val="4"/>
        <w:rPr>
          <w:rFonts w:hint="default" w:ascii="Times New Roman" w:hAnsi="Times New Roman" w:cs="Times New Roman"/>
          <w:color w:val="auto"/>
        </w:rPr>
      </w:pPr>
      <w:r>
        <w:rPr>
          <w:rFonts w:hint="eastAsia" w:cs="Times New Roman"/>
          <w:color w:val="auto"/>
          <w:lang w:val="en-US" w:eastAsia="zh-CN"/>
        </w:rPr>
        <w:t>7</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eastAsia" w:cs="Times New Roman"/>
          <w:color w:val="auto"/>
          <w:lang w:val="en-US" w:eastAsia="zh-CN"/>
        </w:rPr>
        <w:t>13</w:t>
      </w:r>
      <w:r>
        <w:rPr>
          <w:rFonts w:hint="default" w:ascii="Times New Roman" w:hAnsi="Times New Roman" w:cs="Times New Roman"/>
          <w:color w:val="auto"/>
        </w:rPr>
        <w:t>防震和抗震措施</w:t>
      </w:r>
    </w:p>
    <w:p w14:paraId="2CF71F6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本工程建构筑物的抗震设计严格按《石油化工建（构）筑物抗震设防分类标准》</w:t>
      </w:r>
      <w:r>
        <w:rPr>
          <w:rFonts w:hint="eastAsia" w:cs="Times New Roman"/>
          <w:color w:val="auto"/>
          <w:lang w:val="en-US" w:eastAsia="zh-CN"/>
        </w:rPr>
        <w:t>（</w:t>
      </w:r>
      <w:r>
        <w:rPr>
          <w:rFonts w:hint="default" w:ascii="Times New Roman" w:hAnsi="Times New Roman" w:cs="Times New Roman"/>
          <w:color w:val="auto"/>
          <w:lang w:val="en-US" w:eastAsia="zh-CN"/>
        </w:rPr>
        <w:t>GB50453-2008</w:t>
      </w:r>
      <w:r>
        <w:rPr>
          <w:rFonts w:hint="eastAsia" w:cs="Times New Roman"/>
          <w:color w:val="auto"/>
          <w:lang w:val="en-US" w:eastAsia="zh-CN"/>
        </w:rPr>
        <w:t>）</w:t>
      </w:r>
      <w:r>
        <w:rPr>
          <w:rFonts w:hint="default" w:ascii="Times New Roman" w:hAnsi="Times New Roman" w:cs="Times New Roman"/>
          <w:color w:val="auto"/>
          <w:lang w:val="en-US" w:eastAsia="zh-CN"/>
        </w:rPr>
        <w:t>、《建筑抗震设计规范》</w:t>
      </w:r>
      <w:r>
        <w:rPr>
          <w:rFonts w:hint="eastAsia" w:cs="Times New Roman"/>
          <w:color w:val="auto"/>
          <w:lang w:val="en-US" w:eastAsia="zh-CN"/>
        </w:rPr>
        <w:t>（</w:t>
      </w:r>
      <w:r>
        <w:rPr>
          <w:rFonts w:hint="default" w:ascii="Times New Roman" w:hAnsi="Times New Roman" w:cs="Times New Roman"/>
          <w:color w:val="auto"/>
          <w:lang w:val="en-US" w:eastAsia="zh-CN"/>
        </w:rPr>
        <w:t>GB50011-2010</w:t>
      </w:r>
      <w:r>
        <w:rPr>
          <w:rFonts w:hint="eastAsia" w:cs="Times New Roman"/>
          <w:color w:val="auto"/>
          <w:lang w:val="en-US" w:eastAsia="zh-CN"/>
        </w:rPr>
        <w:t>）</w:t>
      </w:r>
      <w:r>
        <w:rPr>
          <w:rFonts w:hint="default" w:ascii="Times New Roman" w:hAnsi="Times New Roman" w:cs="Times New Roman"/>
          <w:color w:val="auto"/>
          <w:lang w:val="en-US" w:eastAsia="zh-CN"/>
        </w:rPr>
        <w:t>的规定进行抗震设计。</w:t>
      </w:r>
    </w:p>
    <w:p w14:paraId="3773991C">
      <w:pPr>
        <w:pStyle w:val="3"/>
        <w:bidi w:val="0"/>
        <w:rPr>
          <w:rFonts w:hint="default" w:ascii="Times New Roman" w:hAnsi="Times New Roman" w:cs="Times New Roman"/>
          <w:color w:val="auto"/>
          <w:lang w:val="en-US" w:eastAsia="zh-CN"/>
        </w:rPr>
      </w:pPr>
      <w:bookmarkStart w:id="92" w:name="_Toc21866"/>
      <w:r>
        <w:rPr>
          <w:rFonts w:hint="default" w:ascii="Times New Roman" w:hAnsi="Times New Roman" w:cs="Times New Roman"/>
          <w:color w:val="auto"/>
          <w:lang w:val="en-US" w:eastAsia="zh-CN"/>
        </w:rPr>
        <w:t>补充的对策措施与建议</w:t>
      </w:r>
      <w:bookmarkEnd w:id="92"/>
    </w:p>
    <w:p w14:paraId="24AD2780">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平面布置</w:t>
      </w:r>
    </w:p>
    <w:p w14:paraId="6061C177">
      <w:pPr>
        <w:bidi w:val="0"/>
        <w:snapToGrid w:val="0"/>
        <w:spacing w:line="360" w:lineRule="auto"/>
        <w:ind w:firstLine="560" w:firstLineChars="200"/>
        <w:jc w:val="left"/>
        <w:rPr>
          <w:rFonts w:hint="eastAsia"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zh-CN" w:eastAsia="zh-CN"/>
        </w:rPr>
        <w:t>（</w:t>
      </w:r>
      <w:r>
        <w:rPr>
          <w:rFonts w:hint="eastAsia" w:ascii="Times New Roman" w:hAnsi="Times New Roman" w:eastAsia="宋体" w:cs="Times New Roman"/>
          <w:color w:val="auto"/>
          <w:sz w:val="28"/>
          <w:lang w:val="en-US" w:eastAsia="zh-CN"/>
        </w:rPr>
        <w:t>1</w:t>
      </w:r>
      <w:r>
        <w:rPr>
          <w:rFonts w:hint="eastAsia" w:ascii="Times New Roman" w:hAnsi="Times New Roman" w:eastAsia="宋体" w:cs="Times New Roman"/>
          <w:color w:val="auto"/>
          <w:sz w:val="28"/>
          <w:lang w:val="zh-CN" w:eastAsia="zh-CN"/>
        </w:rPr>
        <w:t>）</w:t>
      </w:r>
      <w:r>
        <w:rPr>
          <w:rFonts w:hint="eastAsia" w:ascii="Times New Roman" w:hAnsi="Times New Roman" w:eastAsia="宋体" w:cs="Times New Roman"/>
          <w:color w:val="auto"/>
          <w:sz w:val="28"/>
          <w:lang w:val="en-US" w:eastAsia="zh-CN"/>
        </w:rPr>
        <w:t>本项目新建</w:t>
      </w:r>
      <w:r>
        <w:rPr>
          <w:rFonts w:hint="eastAsia" w:ascii="Times New Roman" w:hAnsi="Times New Roman" w:eastAsia="宋体" w:cs="Times New Roman"/>
          <w:color w:val="auto"/>
          <w:sz w:val="28"/>
          <w:lang w:val="zh-CN" w:eastAsia="zh-CN"/>
        </w:rPr>
        <w:t>油气回收装置内部的设备应紧凑布置，并应满足安装、操作及检修的要求。</w:t>
      </w:r>
    </w:p>
    <w:p w14:paraId="214E9288">
      <w:pPr>
        <w:bidi w:val="0"/>
        <w:snapToGrid w:val="0"/>
        <w:spacing w:line="360" w:lineRule="auto"/>
        <w:ind w:firstLine="560" w:firstLineChars="200"/>
        <w:jc w:val="left"/>
        <w:rPr>
          <w:rFonts w:hint="eastAsia"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zh-CN" w:eastAsia="zh-CN"/>
        </w:rPr>
        <w:t>（</w:t>
      </w:r>
      <w:r>
        <w:rPr>
          <w:rFonts w:hint="eastAsia" w:ascii="Times New Roman" w:hAnsi="Times New Roman" w:eastAsia="宋体" w:cs="Times New Roman"/>
          <w:color w:val="auto"/>
          <w:sz w:val="28"/>
          <w:lang w:val="en-US" w:eastAsia="zh-CN"/>
        </w:rPr>
        <w:t>2</w:t>
      </w:r>
      <w:r>
        <w:rPr>
          <w:rFonts w:hint="eastAsia" w:ascii="Times New Roman" w:hAnsi="Times New Roman" w:eastAsia="宋体" w:cs="Times New Roman"/>
          <w:color w:val="auto"/>
          <w:sz w:val="28"/>
          <w:lang w:val="zh-CN" w:eastAsia="zh-CN"/>
        </w:rPr>
        <w:t>）管架支柱（边缘）、照明电杆、行道树或标志杆等距道路路面边缘不应小于0.5m。</w:t>
      </w:r>
    </w:p>
    <w:p w14:paraId="5BF836C5">
      <w:pPr>
        <w:bidi w:val="0"/>
        <w:snapToGrid w:val="0"/>
        <w:spacing w:line="360" w:lineRule="auto"/>
        <w:ind w:firstLine="560" w:firstLineChars="200"/>
        <w:jc w:val="left"/>
        <w:rPr>
          <w:rFonts w:hint="eastAsia"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zh-CN" w:eastAsia="zh-CN"/>
        </w:rPr>
        <w:t>（</w:t>
      </w:r>
      <w:r>
        <w:rPr>
          <w:rFonts w:hint="eastAsia" w:ascii="Times New Roman" w:hAnsi="Times New Roman" w:eastAsia="宋体" w:cs="Times New Roman"/>
          <w:color w:val="auto"/>
          <w:sz w:val="28"/>
          <w:lang w:val="en-US" w:eastAsia="zh-CN"/>
        </w:rPr>
        <w:t>3</w:t>
      </w:r>
      <w:r>
        <w:rPr>
          <w:rFonts w:hint="eastAsia" w:ascii="Times New Roman" w:hAnsi="Times New Roman" w:eastAsia="宋体" w:cs="Times New Roman"/>
          <w:color w:val="auto"/>
          <w:sz w:val="28"/>
          <w:lang w:val="zh-CN" w:eastAsia="zh-CN"/>
        </w:rPr>
        <w:t>）</w:t>
      </w:r>
      <w:r>
        <w:rPr>
          <w:rFonts w:hint="eastAsia" w:ascii="Times New Roman" w:hAnsi="Times New Roman" w:cs="Times New Roman"/>
          <w:color w:val="auto"/>
          <w:lang w:val="en-US" w:eastAsia="zh-CN"/>
        </w:rPr>
        <w:t>本</w:t>
      </w:r>
      <w:r>
        <w:rPr>
          <w:rFonts w:hint="default" w:ascii="Times New Roman" w:hAnsi="Times New Roman" w:cs="Times New Roman"/>
          <w:color w:val="auto"/>
          <w:lang w:val="en-US" w:eastAsia="zh-CN"/>
        </w:rPr>
        <w:t>项目</w:t>
      </w:r>
      <w:r>
        <w:rPr>
          <w:rFonts w:hint="eastAsia" w:ascii="Times New Roman" w:hAnsi="Times New Roman" w:eastAsia="宋体" w:cs="Times New Roman"/>
          <w:color w:val="auto"/>
          <w:sz w:val="28"/>
          <w:lang w:val="en-US" w:eastAsia="zh-CN"/>
        </w:rPr>
        <w:t>拟</w:t>
      </w:r>
      <w:r>
        <w:rPr>
          <w:rFonts w:hint="default" w:ascii="Times New Roman" w:hAnsi="Times New Roman" w:eastAsia="宋体" w:cs="Times New Roman"/>
          <w:color w:val="auto"/>
          <w:sz w:val="28"/>
          <w:lang w:val="zh-CN"/>
        </w:rPr>
        <w:t>建设施（含“低温柴油吸收单元”、“冷却-除雾”单元、</w:t>
      </w:r>
      <w:r>
        <w:rPr>
          <w:rFonts w:hint="eastAsia" w:ascii="Times New Roman" w:hAnsi="Times New Roman" w:eastAsia="宋体" w:cs="Times New Roman"/>
          <w:color w:val="auto"/>
          <w:sz w:val="28"/>
          <w:lang w:val="zh-CN"/>
        </w:rPr>
        <w:t>“</w:t>
      </w:r>
      <w:r>
        <w:rPr>
          <w:rFonts w:hint="default" w:ascii="Times New Roman" w:hAnsi="Times New Roman" w:eastAsia="宋体" w:cs="Times New Roman"/>
          <w:color w:val="auto"/>
          <w:sz w:val="28"/>
          <w:lang w:val="zh-CN"/>
        </w:rPr>
        <w:t>蓄热氧化单元</w:t>
      </w:r>
      <w:r>
        <w:rPr>
          <w:rFonts w:hint="eastAsia" w:ascii="Times New Roman" w:hAnsi="Times New Roman" w:eastAsia="宋体" w:cs="Times New Roman"/>
          <w:color w:val="auto"/>
          <w:sz w:val="28"/>
          <w:lang w:val="zh-CN"/>
        </w:rPr>
        <w:t>”</w:t>
      </w:r>
      <w:r>
        <w:rPr>
          <w:rFonts w:hint="default" w:ascii="Times New Roman" w:hAnsi="Times New Roman" w:eastAsia="宋体" w:cs="Times New Roman"/>
          <w:color w:val="auto"/>
          <w:sz w:val="28"/>
          <w:lang w:val="zh-CN"/>
        </w:rPr>
        <w:t>）与原有设施（</w:t>
      </w:r>
      <w:r>
        <w:rPr>
          <w:rFonts w:hint="eastAsia" w:ascii="Times New Roman" w:hAnsi="Times New Roman" w:cs="Times New Roman"/>
          <w:color w:val="auto"/>
          <w:sz w:val="28"/>
          <w:lang w:val="en-US" w:eastAsia="zh-CN"/>
        </w:rPr>
        <w:t>西侧</w:t>
      </w:r>
      <w:r>
        <w:rPr>
          <w:rFonts w:hint="default" w:ascii="Times New Roman" w:hAnsi="Times New Roman" w:eastAsia="宋体" w:cs="Times New Roman"/>
          <w:color w:val="auto"/>
          <w:sz w:val="28"/>
          <w:lang w:val="zh-CN"/>
        </w:rPr>
        <w:t>含5000Nm</w:t>
      </w:r>
      <w:r>
        <w:rPr>
          <w:rFonts w:hint="default" w:ascii="Times New Roman" w:hAnsi="Times New Roman" w:eastAsia="宋体" w:cs="Times New Roman"/>
          <w:color w:val="auto"/>
          <w:sz w:val="28"/>
          <w:vertAlign w:val="superscript"/>
          <w:lang w:val="zh-CN"/>
        </w:rPr>
        <w:t>3</w:t>
      </w:r>
      <w:r>
        <w:rPr>
          <w:rFonts w:hint="default" w:ascii="Times New Roman" w:hAnsi="Times New Roman" w:eastAsia="宋体" w:cs="Times New Roman"/>
          <w:color w:val="auto"/>
          <w:sz w:val="28"/>
          <w:lang w:val="zh-CN"/>
        </w:rPr>
        <w:t>/h脱硫及总烃浓度均化-催化氧化单元、</w:t>
      </w:r>
      <w:r>
        <w:rPr>
          <w:rFonts w:hint="eastAsia" w:ascii="Times New Roman" w:hAnsi="Times New Roman" w:cs="Times New Roman"/>
          <w:color w:val="auto"/>
          <w:sz w:val="28"/>
          <w:lang w:val="en-US" w:eastAsia="zh-CN"/>
        </w:rPr>
        <w:t>东侧</w:t>
      </w:r>
      <w:r>
        <w:rPr>
          <w:rFonts w:hint="default" w:ascii="Times New Roman" w:hAnsi="Times New Roman" w:eastAsia="宋体" w:cs="Times New Roman"/>
          <w:color w:val="auto"/>
          <w:sz w:val="28"/>
          <w:lang w:val="zh-CN"/>
        </w:rPr>
        <w:t>火车台油气分液聚结单元）</w:t>
      </w:r>
      <w:r>
        <w:rPr>
          <w:rFonts w:hint="eastAsia" w:ascii="Times New Roman" w:hAnsi="Times New Roman" w:cs="Times New Roman"/>
          <w:color w:val="auto"/>
          <w:sz w:val="28"/>
          <w:lang w:val="en-US" w:eastAsia="zh-CN"/>
        </w:rPr>
        <w:t>作为</w:t>
      </w:r>
      <w:r>
        <w:rPr>
          <w:rFonts w:hint="default" w:ascii="Times New Roman" w:hAnsi="Times New Roman" w:eastAsia="宋体" w:cs="Times New Roman"/>
          <w:color w:val="auto"/>
          <w:sz w:val="28"/>
          <w:lang w:val="zh-CN"/>
        </w:rPr>
        <w:t>一整套油气回收及处理单元</w:t>
      </w:r>
      <w:r>
        <w:rPr>
          <w:rFonts w:hint="eastAsia" w:ascii="Times New Roman" w:hAnsi="Times New Roman" w:eastAsia="宋体" w:cs="Times New Roman"/>
          <w:color w:val="auto"/>
          <w:sz w:val="28"/>
          <w:lang w:val="zh-CN"/>
        </w:rPr>
        <w:t>，</w:t>
      </w:r>
      <w:r>
        <w:rPr>
          <w:rFonts w:hint="default" w:ascii="Times New Roman" w:hAnsi="Times New Roman" w:eastAsia="宋体" w:cs="Times New Roman"/>
          <w:color w:val="auto"/>
          <w:sz w:val="28"/>
          <w:lang w:val="zh-CN"/>
        </w:rPr>
        <w:t>设备间的距离按照装置内设备布置。</w:t>
      </w:r>
      <w:r>
        <w:rPr>
          <w:rFonts w:hint="eastAsia" w:ascii="Times New Roman" w:hAnsi="Times New Roman" w:eastAsia="宋体" w:cs="Times New Roman"/>
          <w:color w:val="auto"/>
          <w:sz w:val="28"/>
          <w:lang w:val="en-US" w:eastAsia="zh-CN"/>
        </w:rPr>
        <w:t>可行性研究</w:t>
      </w:r>
      <w:r>
        <w:rPr>
          <w:rFonts w:hint="eastAsia" w:ascii="Times New Roman" w:hAnsi="Times New Roman" w:eastAsia="宋体" w:cs="Times New Roman"/>
          <w:color w:val="auto"/>
          <w:sz w:val="28"/>
          <w:lang w:val="zh-CN" w:eastAsia="zh-CN"/>
        </w:rPr>
        <w:t>阶段未提供详细的新建油气处理单元设备布置图，本项目新增液环压缩机（可燃气体压缩机）、蓄热氧化反应器（明火设备）与装置内其他设备、设施的防火间距无法测量，建议在下一步安全设施设计阶段严格按照满足《石油化工企业设计防火标准（2018年版）》（GB50160-2008）5.2.1要求对液环压缩机、蓄热氧化反应器与装置内其他设备设施的距离进行详细设计。</w:t>
      </w:r>
    </w:p>
    <w:p w14:paraId="622B3A16">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工艺及设备设施</w:t>
      </w:r>
    </w:p>
    <w:p w14:paraId="33B7EC51">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本项目新建设备、管道和构件的材料应符合下列规定：</w:t>
      </w:r>
    </w:p>
    <w:p w14:paraId="4ABE4722">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设备本体（不含衬里）及其基础，管道（不含衬里）及其支、吊架和基础应采用不燃烧材料，但储罐底板垫层可采用沥青砂；设备和管道的保温层应采用不燃烧材料，当设备和管道的保冷层采用阻燃型泡沫塑料制品时，其氧指数不应小于30；建筑物的构件耐火极限应符合《建筑设计防火规范》（GB50016）的有关规定。</w:t>
      </w:r>
    </w:p>
    <w:p w14:paraId="3FD44D9B">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本项目新增撬装设备的构架平台应设置不少于2个通往地面的梯子，作为安全疏散通道。</w:t>
      </w:r>
    </w:p>
    <w:p w14:paraId="1C314E2A">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本项目新增装置内地坪竖向和排污系统的设计应减少可能泄露的可燃液体在工艺设备附近的滞留时间和扩散范围。火灾事故状态下，受污染的消防水应有效收集和排放。</w:t>
      </w:r>
    </w:p>
    <w:p w14:paraId="683C288E">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本项目新增液环式压缩机的上方不得布置甲、乙和丙类工艺设备（自用的高位润滑油箱不受此限）。</w:t>
      </w:r>
    </w:p>
    <w:p w14:paraId="2A0E5A13">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cs="Times New Roman"/>
          <w:color w:val="auto"/>
          <w:sz w:val="28"/>
          <w:lang w:val="en-US" w:eastAsia="zh-CN"/>
        </w:rPr>
        <w:t>本项目新增液环式压缩机</w:t>
      </w:r>
      <w:r>
        <w:rPr>
          <w:rFonts w:hint="eastAsia" w:ascii="Times New Roman" w:hAnsi="Times New Roman" w:eastAsia="宋体" w:cs="Times New Roman"/>
          <w:color w:val="auto"/>
          <w:sz w:val="28"/>
          <w:lang w:val="en-US" w:eastAsia="zh-CN"/>
        </w:rPr>
        <w:t>泵不得使用皮带传动</w:t>
      </w:r>
      <w:r>
        <w:rPr>
          <w:rFonts w:hint="eastAsia" w:ascii="Times New Roman" w:hAnsi="Times New Roman" w:cs="Times New Roman"/>
          <w:color w:val="auto"/>
          <w:sz w:val="28"/>
          <w:lang w:val="en-US" w:eastAsia="zh-CN"/>
        </w:rPr>
        <w:t>。</w:t>
      </w:r>
    </w:p>
    <w:p w14:paraId="5BE07818">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本项目新增液环式压缩机的进出口应设压力仪表，出口应设温度仪表。新建富油泵、排液泵等输送泵出口应设压力仪表。</w:t>
      </w:r>
    </w:p>
    <w:p w14:paraId="785EAFE2">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color w:val="auto"/>
          <w:lang w:val="en-US" w:eastAsia="zh-CN"/>
        </w:rPr>
        <w:t>风机叶轮应采用不易产生火花的材质。</w:t>
      </w:r>
    </w:p>
    <w:p w14:paraId="59EAC874">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有可能被油气、柴油等物料堵塞或腐蚀的安全阀，在安全阀前应设爆破片或在其出入口管道上采取吹扫、加热或保温等防堵措施。</w:t>
      </w:r>
    </w:p>
    <w:p w14:paraId="444E7570">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紧急排放管宜与油气回收装置或低于油气引燃温度的油气处理装置的尾气排放管合并设置，不应与产生明火或高于油气引燃温度的油气处理装置的尾气排放管合并设置。</w:t>
      </w:r>
    </w:p>
    <w:p w14:paraId="4D64E92A">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highlight w:val="none"/>
          <w:lang w:val="en-US" w:eastAsia="zh-CN"/>
        </w:rPr>
      </w:pPr>
      <w:r>
        <w:rPr>
          <w:rFonts w:hint="eastAsia" w:ascii="Times New Roman" w:hAnsi="Times New Roman" w:eastAsia="宋体" w:cs="Times New Roman"/>
          <w:color w:val="auto"/>
          <w:sz w:val="28"/>
          <w:highlight w:val="none"/>
          <w:lang w:val="en-US" w:eastAsia="zh-CN"/>
        </w:rPr>
        <w:t>当RTO采用燃气作为燃料时，应设置放空设施。</w:t>
      </w:r>
    </w:p>
    <w:p w14:paraId="6B69392F">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本项目除雾器如采用电除雾，应有防止产生负压和控制含氧量超过规定指标的设施。</w:t>
      </w:r>
    </w:p>
    <w:p w14:paraId="5EC528F6">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本项目新增油气回收处理单元的进、出气口应设置油气组分取样口或其他采样设施。</w:t>
      </w:r>
    </w:p>
    <w:p w14:paraId="6660BCB8">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w:t>
      </w:r>
      <w:r>
        <w:rPr>
          <w:rFonts w:ascii="Times New Roman" w:hAnsi="Times New Roman" w:eastAsia="宋体" w:cs="Times New Roman"/>
          <w:color w:val="auto"/>
          <w:sz w:val="28"/>
          <w:lang w:val="zh-CN"/>
        </w:rPr>
        <w:t>2#火车台洗车油气、汽车装车台油气（包含汽柴油、船用燃料油、MTBE）、火车装车台装车油气（包含汽柴油、船用燃料油</w:t>
      </w:r>
      <w:r>
        <w:rPr>
          <w:rFonts w:hint="eastAsia" w:ascii="Times New Roman" w:hAnsi="Times New Roman" w:eastAsia="宋体" w:cs="Times New Roman"/>
          <w:color w:val="auto"/>
          <w:sz w:val="28"/>
          <w:lang w:val="zh-CN"/>
        </w:rPr>
        <w:t>）</w:t>
      </w:r>
      <w:r>
        <w:rPr>
          <w:rFonts w:hint="eastAsia" w:ascii="Times New Roman" w:hAnsi="Times New Roman" w:eastAsia="宋体" w:cs="Times New Roman"/>
          <w:color w:val="auto"/>
          <w:sz w:val="28"/>
          <w:lang w:val="en-US" w:eastAsia="zh-CN"/>
        </w:rPr>
        <w:t>共用新增的油气回收及处理装置，应避免系统之间的相互影响。</w:t>
      </w:r>
    </w:p>
    <w:p w14:paraId="79ACE6C3">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本项目新增低温吸收塔的设计应应符合不列规定：</w:t>
      </w:r>
    </w:p>
    <w:p w14:paraId="6094EAD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①吸收塔宜为填料式；</w:t>
      </w:r>
    </w:p>
    <w:p w14:paraId="69C6701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②填料宜为低压降、规整填料，压降不宜高于1kPa；</w:t>
      </w:r>
    </w:p>
    <w:p w14:paraId="079B9BC2">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③填料层上下段宜设置压力仪表，塔底液体段应设置液位就地指示及远传仪表，并应采取高低液位联锁控制措施；</w:t>
      </w:r>
    </w:p>
    <w:p w14:paraId="7EF2FE8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④吸收塔的设计压力不应低于0.35MPa。</w:t>
      </w:r>
    </w:p>
    <w:p w14:paraId="221408E4">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本项目新增换热器的设计应符合下列规定：</w:t>
      </w:r>
    </w:p>
    <w:p w14:paraId="48DC363D">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①换热器宜选用低压降换热器，压降不宜高于300Pa，设计压力不应低于1.0MPa；</w:t>
      </w:r>
    </w:p>
    <w:p w14:paraId="0C18B5C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②换热器的进出口应设置压力和温度仪表；</w:t>
      </w:r>
    </w:p>
    <w:p w14:paraId="505750D4">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③换热器的总传热系数不应低于50W/（m</w:t>
      </w:r>
      <w:r>
        <w:rPr>
          <w:rFonts w:hint="eastAsia" w:ascii="Times New Roman" w:hAnsi="Times New Roman" w:eastAsia="宋体" w:cs="Times New Roman"/>
          <w:color w:val="auto"/>
          <w:sz w:val="28"/>
          <w:vertAlign w:val="superscript"/>
          <w:lang w:val="en-US" w:eastAsia="zh-CN"/>
        </w:rPr>
        <w:t>2</w:t>
      </w:r>
      <w:r>
        <w:rPr>
          <w:rFonts w:hint="eastAsia" w:ascii="Times New Roman" w:hAnsi="Times New Roman" w:eastAsia="宋体" w:cs="Times New Roman"/>
          <w:color w:val="auto"/>
          <w:sz w:val="28"/>
          <w:lang w:val="en-US" w:eastAsia="zh-CN"/>
        </w:rPr>
        <w:t>·C)。</w:t>
      </w:r>
    </w:p>
    <w:p w14:paraId="71F5BB3F">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制冷系统油气冷凝通道的设计应合下列规定：</w:t>
      </w:r>
    </w:p>
    <w:p w14:paraId="75345009">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①油气冷凝通道应设置自动除霜系统，冷凝后的油水混合物应设置油水分离装置，采用水冷凝器的制冷装置应采取防冻措施；</w:t>
      </w:r>
    </w:p>
    <w:p w14:paraId="72CC9B66">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②当制冷系统连续操作时，油气冷凝通道应设置全通量的备用通道。</w:t>
      </w:r>
    </w:p>
    <w:p w14:paraId="051F9BDC">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新建蓄热氧化单元的设计应符合下列规定：</w:t>
      </w:r>
    </w:p>
    <w:p w14:paraId="1E417780">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①油气处理装置的反应器、换热器、电加热器等设备的设计压力不应低于1.0MPa，并应设置安全泄压装置；</w:t>
      </w:r>
    </w:p>
    <w:p w14:paraId="0391CBCA">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②催化剂的设计使用寿命不应低于3a；</w:t>
      </w:r>
    </w:p>
    <w:p w14:paraId="1696642B">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③反应器的催化剂床层应设置温度检测报警及过热保护措施；</w:t>
      </w:r>
    </w:p>
    <w:p w14:paraId="13A993A7">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④反应器前的油气管道上应设置油气浓度检测及高高联锁关闭切断阀，并应采取防回火措施。</w:t>
      </w:r>
    </w:p>
    <w:p w14:paraId="0F44271D">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default" w:ascii="Times New Roman" w:hAnsi="Times New Roman" w:eastAsia="宋体" w:cs="Times New Roman"/>
          <w:color w:val="auto"/>
          <w:sz w:val="28"/>
          <w:lang w:val="en-US" w:eastAsia="zh-CN"/>
        </w:rPr>
      </w:pPr>
      <w:r>
        <w:rPr>
          <w:rFonts w:hint="default" w:ascii="Times New Roman" w:hAnsi="Times New Roman" w:cs="Times New Roman"/>
          <w:color w:val="auto"/>
          <w:lang w:val="en-US" w:eastAsia="zh-CN"/>
        </w:rPr>
        <w:t>当废气浓度波动较大时，应对废气进行实时监测，对废气浓度检测器与新建RTO装置的距离进行核算，合理确定废气浓度检测器的安装位置，综合考虑仪表检测、信号传输、反馈阀门动作所需时间，气体流速等因素，并采取稀释、缓冲等措施，确保进入蓄热氧化反应器的废气浓度低于爆炸极限下限的25%，避免由于反应时间不足导致废气浓度高于爆炸极限下限的25%的废气进入蓄热氧化反应器内，达不到保护作用。</w:t>
      </w:r>
    </w:p>
    <w:p w14:paraId="22E8000B">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蓄热氧化反应器蓄热室的蓄热体支架（炉栅）应采用高强度、防腐耐温材料。</w:t>
      </w:r>
    </w:p>
    <w:p w14:paraId="552D6068">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蓄热氧化反应器蓄热室的蓄热体比热容应不低于750J/（kg</w:t>
      </w:r>
      <w:r>
        <w:rPr>
          <w:rFonts w:hint="default" w:ascii="Times New Roman" w:hAnsi="Times New Roman" w:eastAsia="宋体" w:cs="Times New Roman"/>
          <w:color w:val="auto"/>
          <w:sz w:val="28"/>
          <w:lang w:val="en-US" w:eastAsia="zh-CN"/>
        </w:rPr>
        <w:t>·</w:t>
      </w:r>
      <w:r>
        <w:rPr>
          <w:rFonts w:hint="eastAsia" w:ascii="Times New Roman" w:hAnsi="Times New Roman" w:eastAsia="宋体" w:cs="Times New Roman"/>
          <w:color w:val="auto"/>
          <w:sz w:val="28"/>
          <w:lang w:val="en-US" w:eastAsia="zh-CN"/>
        </w:rPr>
        <w:t>K），短时间可承受1200℃的高温冲击，使用寿命不低于40000h。</w:t>
      </w:r>
    </w:p>
    <w:p w14:paraId="72BE2FF8">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本项目涉及的管道气体温度超过60℃或蓄热氧化反应装置表面可接触到部位的温度高于60℃时，应做隔热保护或相关警示标识，保温设计应符合SGBZ-0805的相关规定。</w:t>
      </w:r>
    </w:p>
    <w:p w14:paraId="5DC16154">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蓄热氧化反应器的蓄热室和燃烧室内部应装设具有自动报警功能的多点温度、压力检测装置。燃烧室应设置燃烧温度和极限温度检测报警装置，蓄热体上下层应分别设置温度、压差检测装置。</w:t>
      </w:r>
    </w:p>
    <w:p w14:paraId="4316DD85">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蓄热氧化反应器的进气口、出气口应设置温度、压力监控设施。燃烧室内应安装测温装置，数量应不少于2个，安装位置应避开加热器高温区。</w:t>
      </w:r>
    </w:p>
    <w:p w14:paraId="6115E7FD">
      <w:pPr>
        <w:keepNext w:val="0"/>
        <w:keepLines w:val="0"/>
        <w:pageBreakBefore w:val="0"/>
        <w:widowControl/>
        <w:numPr>
          <w:ilvl w:val="0"/>
          <w:numId w:val="9"/>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本项目新建蓄热氧化（RTO）单元的加热系统应设有安全保护和报警装置。若燃烧器启动后点火不正常时，安全保护装置应能自动切断燃料供应。</w:t>
      </w:r>
    </w:p>
    <w:p w14:paraId="5F561C2A">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3</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管道</w:t>
      </w:r>
    </w:p>
    <w:p w14:paraId="7068183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（1）本项目新增油气和柴油管道及其桁架跨越厂内铁路线的净空高度不应小于5.5m，跨越厂内道路的净空高度不应小于5m。新增油气和柴油管道在跨越铁路或道路上不应设置阀门及易发生泄漏的管道附件。</w:t>
      </w:r>
    </w:p>
    <w:p w14:paraId="717BF01E">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（2）本项目新建设备30m以内的管沟应采取防止可燃气体窜入和积聚的措施。</w:t>
      </w:r>
    </w:p>
    <w:p w14:paraId="65A9B9B6">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（3）本项目新建油气管道、柴油输送管道及废气冷凝液管道、检修时排放污水的管道不应沿道路敷设在路面下或路肩上下。</w:t>
      </w:r>
    </w:p>
    <w:p w14:paraId="33D589AD">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（4）本项目新建油气管道、柴油输送管道应架空或沿地敷设。必须采用管沟敷设时，应采取防止油气、柴油在管沟内积聚的措施，并在进、出装置处密封隔断；管沟内的污水应经水封井排入生产污水管道。</w:t>
      </w:r>
    </w:p>
    <w:p w14:paraId="70CD704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（5）连续操作的油气管道的低点应设两道排液阀，排出的液体应排放至密闭系统；仅在开停工时使用的排液阀，可设一道阀门并加丝堵、管帽、盲板或法兰盖。</w:t>
      </w:r>
    </w:p>
    <w:p w14:paraId="153561C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（6）本项目新增液环式压缩机的吸入管道应有防止产生负压的措施。</w:t>
      </w:r>
    </w:p>
    <w:p w14:paraId="5930931D">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（7）进、出装置的油气管道、柴油输送管道，在装置的边界处应设隔断阀和8字盲板，在隔断阀处应设平台，长度等于或大于8m的平台应在两个方向设梯子。</w:t>
      </w:r>
    </w:p>
    <w:p w14:paraId="1A5F3480">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（8）本项目新建油气管道的管径应根据水力计算确定，油气管道的设计压力不应低于1.0MPa，公称压力不应低于1.6MPa。</w:t>
      </w:r>
    </w:p>
    <w:p w14:paraId="0ED95198">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（9）新增油气处理单元的管道器材应符合下列规定：</w:t>
      </w:r>
    </w:p>
    <w:p w14:paraId="23FDBFC4">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①管道宜采用无缝钢管；</w:t>
      </w:r>
    </w:p>
    <w:p w14:paraId="51F03DE5">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②油气管道用阀门应选用钢制阀门；</w:t>
      </w:r>
    </w:p>
    <w:p w14:paraId="2024741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③弯头、三通、异径管、管帽等管件的材质、压力等级应与所连管道一致</w:t>
      </w:r>
      <w:r>
        <w:rPr>
          <w:rFonts w:hint="eastAsia" w:ascii="Times New Roman" w:hAnsi="Times New Roman" w:cs="Times New Roman"/>
          <w:color w:val="auto"/>
          <w:sz w:val="28"/>
          <w:lang w:val="en-US" w:eastAsia="zh-CN"/>
        </w:rPr>
        <w:t>。</w:t>
      </w:r>
    </w:p>
    <w:p w14:paraId="304B4F77">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（10）新增油气处理单元装置入口管道上应设置流量、温度、压力检测仪表；还应在油气收集总管或装置入口管道上设置在线油气浓度检测及其高高浓度联锁保护措施。</w:t>
      </w:r>
    </w:p>
    <w:p w14:paraId="304AAEA9">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（11）油气收集总管应采用地上敷设，并宜坡向油气回收装置和油气处理装置，坡度不宜小于2‰。</w:t>
      </w:r>
    </w:p>
    <w:p w14:paraId="52A96EBD">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（12）油气收集管道上的切断阀应设置在装车台外，并应具有手动和远程操作功能，且与装车合边缘的距离不应小于10m。</w:t>
      </w:r>
    </w:p>
    <w:p w14:paraId="46132504">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（13）尾气排放管道应设置采样口和阻火设施，排放管口应高出10m范围内的平台或建筑物顶3.5m以上。</w:t>
      </w:r>
    </w:p>
    <w:p w14:paraId="328A944E">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（14）油气收集系统应根据储存或装载系统中的油气性质、操作温度及操作压力等因素合理设置，并应符合下列规定：</w:t>
      </w:r>
    </w:p>
    <w:p w14:paraId="6CED2D3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①与装车鹤管和气相臂连接管道上应设爆轰型阻火器；</w:t>
      </w:r>
    </w:p>
    <w:p w14:paraId="2E38D2A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②凝缩液应密闭收集，不得就地排放；</w:t>
      </w:r>
    </w:p>
    <w:p w14:paraId="7EDCEE4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③油气收集系统应采取防止系统压力超高或过低的措施。</w:t>
      </w:r>
    </w:p>
    <w:p w14:paraId="7B403C9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（15）新增瓦斯气管道设置阻火器、切断阀</w:t>
      </w:r>
      <w:r>
        <w:rPr>
          <w:rFonts w:hint="eastAsia" w:ascii="Times New Roman" w:hAnsi="Times New Roman" w:cs="Times New Roman"/>
          <w:color w:val="auto"/>
          <w:sz w:val="28"/>
          <w:lang w:val="en-US" w:eastAsia="zh-CN"/>
        </w:rPr>
        <w:t>。</w:t>
      </w:r>
    </w:p>
    <w:p w14:paraId="20DC232E">
      <w:pPr>
        <w:bidi w:val="0"/>
        <w:snapToGrid w:val="0"/>
        <w:spacing w:line="360" w:lineRule="auto"/>
        <w:ind w:firstLine="560" w:firstLineChars="200"/>
        <w:jc w:val="left"/>
        <w:rPr>
          <w:rFonts w:hint="eastAsia" w:ascii="Times New Roman" w:hAnsi="Times New Roman" w:cs="Times New Roman"/>
          <w:color w:val="auto"/>
          <w:sz w:val="28"/>
          <w:lang w:val="en-US" w:eastAsia="zh-CN"/>
        </w:rPr>
      </w:pPr>
      <w:r>
        <w:rPr>
          <w:rFonts w:hint="eastAsia" w:ascii="Times New Roman" w:hAnsi="Times New Roman" w:cs="Times New Roman"/>
          <w:color w:val="auto"/>
          <w:sz w:val="28"/>
          <w:lang w:val="en-US" w:eastAsia="zh-CN"/>
        </w:rPr>
        <w:t>（16）新增蓄热氧化反应器系统进气管道应设置爆破片，爆破片增设位置开关，爆破片应符合GB/T567（所有部分）的相关规定；炉体宜设置泄爆设施。泄爆气应释放至安全地点，避开人员活动的区域和其他工艺设施。</w:t>
      </w:r>
    </w:p>
    <w:p w14:paraId="2C612D97">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cs="Times New Roman"/>
          <w:color w:val="auto"/>
          <w:sz w:val="28"/>
          <w:lang w:val="en-US" w:eastAsia="zh-CN"/>
        </w:rPr>
        <w:t>（17）</w:t>
      </w:r>
      <w:r>
        <w:rPr>
          <w:rFonts w:hint="eastAsia" w:ascii="Times New Roman" w:hAnsi="Times New Roman" w:eastAsia="宋体" w:cs="Times New Roman"/>
          <w:color w:val="auto"/>
          <w:sz w:val="28"/>
          <w:lang w:val="en-US" w:eastAsia="zh-CN"/>
        </w:rPr>
        <w:t>阻火器的形式应根据油气组成及其安装位置等综合确定，设计流量下的压降不宜大于0.3kPa。</w:t>
      </w:r>
    </w:p>
    <w:p w14:paraId="69F42C0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w:t>
      </w:r>
      <w:r>
        <w:rPr>
          <w:rFonts w:hint="eastAsia" w:ascii="Times New Roman" w:hAnsi="Times New Roman" w:cs="Times New Roman"/>
          <w:color w:val="auto"/>
          <w:sz w:val="28"/>
          <w:lang w:val="en-US" w:eastAsia="zh-CN"/>
        </w:rPr>
        <w:t>8</w:t>
      </w:r>
      <w:r>
        <w:rPr>
          <w:rFonts w:hint="eastAsia" w:ascii="Times New Roman" w:hAnsi="Times New Roman" w:eastAsia="宋体" w:cs="Times New Roman"/>
          <w:color w:val="auto"/>
          <w:sz w:val="28"/>
          <w:lang w:val="en-US" w:eastAsia="zh-CN"/>
        </w:rPr>
        <w:t>）管道阻火器的选用应符合下列规定：</w:t>
      </w:r>
    </w:p>
    <w:p w14:paraId="0116851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①管道阻火器的类型和技术安全等级应根据介质的火焰传播速度、介质在实际工况下的最大试验安全间隙值和安装位置确定；</w:t>
      </w:r>
    </w:p>
    <w:p w14:paraId="2BBD5758">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②阻火器的选用应符合国家现行标准《石油气体管道阻火器》GB/T13347和《石油化工石油气管道阻火器选用、检验及验收标准》SH/T3413的规定；</w:t>
      </w:r>
    </w:p>
    <w:p w14:paraId="2E3AB6FC">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③当用于易聚合、结晶等导致堵塞的场合时，管道阻火器两端宜设置压力监测，并应采取防堵措施。</w:t>
      </w:r>
    </w:p>
    <w:p w14:paraId="40BFA1B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w:t>
      </w:r>
      <w:r>
        <w:rPr>
          <w:rFonts w:hint="eastAsia" w:ascii="Times New Roman" w:hAnsi="Times New Roman" w:cs="Times New Roman"/>
          <w:color w:val="auto"/>
          <w:sz w:val="28"/>
          <w:lang w:val="en-US" w:eastAsia="zh-CN"/>
        </w:rPr>
        <w:t>9</w:t>
      </w:r>
      <w:r>
        <w:rPr>
          <w:rFonts w:hint="eastAsia" w:ascii="Times New Roman" w:hAnsi="Times New Roman" w:eastAsia="宋体" w:cs="Times New Roman"/>
          <w:color w:val="auto"/>
          <w:sz w:val="28"/>
          <w:lang w:val="en-US" w:eastAsia="zh-CN"/>
        </w:rPr>
        <w:t>）新增液环式压缩机应采取防止内部产生火花和火焰传播的措施。</w:t>
      </w:r>
    </w:p>
    <w:p w14:paraId="49A94FC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w:t>
      </w:r>
      <w:r>
        <w:rPr>
          <w:rFonts w:hint="eastAsia" w:ascii="Times New Roman" w:hAnsi="Times New Roman" w:cs="Times New Roman"/>
          <w:color w:val="auto"/>
          <w:sz w:val="28"/>
          <w:lang w:val="en-US" w:eastAsia="zh-CN"/>
        </w:rPr>
        <w:t>20</w:t>
      </w:r>
      <w:r>
        <w:rPr>
          <w:rFonts w:hint="eastAsia" w:ascii="Times New Roman" w:hAnsi="Times New Roman" w:eastAsia="宋体" w:cs="Times New Roman"/>
          <w:color w:val="auto"/>
          <w:sz w:val="28"/>
          <w:lang w:val="en-US" w:eastAsia="zh-CN"/>
        </w:rPr>
        <w:t>）蓄热氧化装置与主体生产工艺设备之间的管道系统中安装阻火器或防火阀，根据有机废气性质，合理选用阻爆轰型阻火器或阻爆燃型阻火器，根据物料性质和具体工艺要求，合理选择防火阀安装位置。</w:t>
      </w:r>
    </w:p>
    <w:p w14:paraId="4453BF52">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w:t>
      </w:r>
      <w:r>
        <w:rPr>
          <w:rFonts w:hint="eastAsia" w:ascii="Times New Roman" w:hAnsi="Times New Roman" w:cs="Times New Roman"/>
          <w:color w:val="auto"/>
          <w:sz w:val="28"/>
          <w:lang w:val="en-US" w:eastAsia="zh-CN"/>
        </w:rPr>
        <w:t>21</w:t>
      </w:r>
      <w:r>
        <w:rPr>
          <w:rFonts w:hint="eastAsia" w:ascii="Times New Roman" w:hAnsi="Times New Roman" w:eastAsia="宋体" w:cs="Times New Roman"/>
          <w:color w:val="auto"/>
          <w:sz w:val="28"/>
          <w:lang w:val="en-US" w:eastAsia="zh-CN"/>
        </w:rPr>
        <w:t>）垫片选用应根据垫片的密封性能、操作压力、工作温度、介质特性等因素确定，宜采用柔性石墨复合垫片、聚四氟乙烯包覆垫片或金属缠绕式垫片，并应分别符合HG/T 20606 和HG/T 20627、SH/T 3402、SH/T 3407、JB/T 6369规定。</w:t>
      </w:r>
    </w:p>
    <w:p w14:paraId="479612EA">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4</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供配电</w:t>
      </w:r>
    </w:p>
    <w:p w14:paraId="4CC9D79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（1）装置内的电缆沟应有防止可燃气体积聚或含有可燃液体的污水进入沟内的措施。电缆沟通入变配电所、控制室的墙洞处，应填实、密封。</w:t>
      </w:r>
    </w:p>
    <w:p w14:paraId="10FED69A">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（2）本项目新建设备30m以内的电缆沟、电缆隧道应采取防止可燃气体窜入和积聚的措施。</w:t>
      </w:r>
    </w:p>
    <w:p w14:paraId="1227A400">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（3）仪表电缆槽宜架空敷设。电缆槽安装在工艺管架上时，宜布置在工艺管架的两侧或顶层。</w:t>
      </w:r>
    </w:p>
    <w:p w14:paraId="77C2E72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（4）仪表及控制系统供电属于一级负荷中特别重要的负荷，应采用UPS供电。</w:t>
      </w:r>
    </w:p>
    <w:p w14:paraId="04354592">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（5）在爆炸性气体环境内钢管配线的电气线路应做好隔离密封。</w:t>
      </w:r>
    </w:p>
    <w:p w14:paraId="3505DC0A">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（6）接插件应接触良好。连接导线应压接或焊接良好。防爆区域采用钢管布线或外套防爆软管护套的防爆阻燃耐油电缆，达到防爆要求。</w:t>
      </w:r>
    </w:p>
    <w:p w14:paraId="6E6CCF4A">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5</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给排水</w:t>
      </w:r>
    </w:p>
    <w:p w14:paraId="6096903E">
      <w:pPr>
        <w:bidi w:val="0"/>
        <w:snapToGrid w:val="0"/>
        <w:spacing w:line="360" w:lineRule="auto"/>
        <w:ind w:firstLine="560" w:firstLineChars="200"/>
        <w:jc w:val="left"/>
        <w:rPr>
          <w:rFonts w:hint="default"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en-US" w:eastAsia="zh-CN"/>
        </w:rPr>
        <w:t>（1）本项目新建油气回收处理单元区内宜设置地面冲洗水设施，冲洗用水可采用生产给水或中水。</w:t>
      </w:r>
    </w:p>
    <w:p w14:paraId="59FA2D3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（2）本项目油气回收处理设施产生的含废气冷凝液、检修时排放污水、被污染的雨水排水出自处应设置水封，水封高度不得小于250mm。</w:t>
      </w:r>
    </w:p>
    <w:p w14:paraId="7742DCF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3）本项目冷却-除雾单元冷凝液直接排入污水处理系统，根据《油气回收处理设施技术标准》（GB/T50759-2022）7.1.3规定油气的凝缩液不得排入污水系统及《石油化工企业设计防火标准（2018年版）》7.3.1规定可燃气体的凝结液不得直接排入生产污水管道，建议在下一步进行安全设施设计阶段对冷凝液的排放进行详细设计。</w:t>
      </w:r>
    </w:p>
    <w:p w14:paraId="7ABBA493">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6</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供气</w:t>
      </w:r>
    </w:p>
    <w:p w14:paraId="236D2C77">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（1）本项目燃料供给系统应设置高低压保护和泄漏报警装置，并应装设压力检测装置。</w:t>
      </w:r>
    </w:p>
    <w:p w14:paraId="2A2C1F9E">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（2）本项目压缩空气系统应设置低压保护和报警装置。</w:t>
      </w:r>
    </w:p>
    <w:p w14:paraId="653C5ED9">
      <w:pPr>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br w:type="page"/>
      </w:r>
    </w:p>
    <w:p w14:paraId="01128B1A">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7</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防雷防静电</w:t>
      </w:r>
    </w:p>
    <w:p w14:paraId="16D010F5">
      <w:pPr>
        <w:bidi w:val="0"/>
        <w:snapToGrid w:val="0"/>
        <w:spacing w:line="360" w:lineRule="auto"/>
        <w:ind w:firstLine="560" w:firstLineChars="200"/>
        <w:jc w:val="left"/>
        <w:rPr>
          <w:rFonts w:hint="default"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en-US" w:eastAsia="zh-CN"/>
        </w:rPr>
        <w:t>（1）本项目新建油气管道、柴油输送管道在下列部位应设静电接地设施：进出装置或设施处；爆炸危险场所的边界；管道泵及泵入口永久过滤器、缓冲器等。</w:t>
      </w:r>
    </w:p>
    <w:p w14:paraId="25030A0A">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（2）各导电部件的外壳表面与接地端子应有有效的电气连接，连接电阻不大于0.10Ω。主要的PE端和各种组成保护接地电路部分金属部件之间的电阻应不大于0.1Ω。</w:t>
      </w:r>
    </w:p>
    <w:p w14:paraId="26F9D8B0">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8</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自动控制系统和电信</w:t>
      </w:r>
    </w:p>
    <w:p w14:paraId="3534996E">
      <w:pPr>
        <w:bidi w:val="0"/>
        <w:snapToGrid w:val="0"/>
        <w:spacing w:line="360" w:lineRule="auto"/>
        <w:ind w:firstLine="560" w:firstLineChars="200"/>
        <w:jc w:val="left"/>
        <w:rPr>
          <w:rFonts w:hint="default"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en-US" w:eastAsia="zh-CN"/>
        </w:rPr>
        <w:t>（1）本项目新建油气回收处理装置的安全联锁系统应独立于DCS系统。</w:t>
      </w:r>
    </w:p>
    <w:p w14:paraId="5167CDBA">
      <w:pPr>
        <w:bidi w:val="0"/>
        <w:snapToGrid w:val="0"/>
        <w:spacing w:line="360" w:lineRule="auto"/>
        <w:ind w:firstLine="560" w:firstLineChars="200"/>
        <w:jc w:val="left"/>
        <w:rPr>
          <w:rFonts w:hint="default"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en-US" w:eastAsia="zh-CN"/>
        </w:rPr>
        <w:t>（2）本项目新建油气回收处理装置的启停宜与其入口的油气压力联锁。</w:t>
      </w:r>
    </w:p>
    <w:p w14:paraId="7C4BDD6D">
      <w:pPr>
        <w:bidi w:val="0"/>
        <w:snapToGrid w:val="0"/>
        <w:spacing w:line="360" w:lineRule="auto"/>
        <w:ind w:firstLine="560" w:firstLineChars="200"/>
        <w:jc w:val="left"/>
        <w:rPr>
          <w:rFonts w:hint="default" w:ascii="Times New Roman" w:hAnsi="Times New Roman" w:eastAsia="宋体" w:cs="Times New Roman"/>
          <w:color w:val="auto"/>
          <w:sz w:val="28"/>
          <w:lang w:val="zh-CN" w:eastAsia="zh-CN"/>
        </w:rPr>
      </w:pPr>
      <w:r>
        <w:rPr>
          <w:rFonts w:hint="eastAsia" w:ascii="Times New Roman" w:hAnsi="Times New Roman" w:eastAsia="宋体" w:cs="Times New Roman"/>
          <w:color w:val="auto"/>
          <w:sz w:val="28"/>
          <w:lang w:val="en-US" w:eastAsia="zh-CN"/>
        </w:rPr>
        <w:t>（3）本项目新建油气回收处理单元</w:t>
      </w:r>
      <w:r>
        <w:rPr>
          <w:rFonts w:hint="default" w:ascii="Times New Roman" w:hAnsi="Times New Roman" w:eastAsia="宋体" w:cs="Times New Roman"/>
          <w:color w:val="auto"/>
          <w:sz w:val="28"/>
          <w:lang w:val="zh-CN"/>
        </w:rPr>
        <w:t>内的机泵运行状态、控制阀门的开关状态，应在</w:t>
      </w:r>
      <w:r>
        <w:rPr>
          <w:rFonts w:hint="eastAsia" w:ascii="Times New Roman" w:hAnsi="Times New Roman" w:eastAsia="宋体" w:cs="Times New Roman"/>
          <w:color w:val="auto"/>
          <w:sz w:val="28"/>
          <w:lang w:val="en-US" w:eastAsia="zh-CN"/>
        </w:rPr>
        <w:t>DCS</w:t>
      </w:r>
      <w:r>
        <w:rPr>
          <w:rFonts w:hint="default" w:ascii="Times New Roman" w:hAnsi="Times New Roman" w:eastAsia="宋体" w:cs="Times New Roman"/>
          <w:color w:val="auto"/>
          <w:sz w:val="28"/>
          <w:lang w:val="zh-CN"/>
        </w:rPr>
        <w:t>系统显示。</w:t>
      </w:r>
    </w:p>
    <w:p w14:paraId="62A6A01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（4）装置现场具有超温、超速等紧急停车保护操作及机泵手动启停操作。阀门应采用电动控制，电动阀开关时间小于15s。</w:t>
      </w:r>
    </w:p>
    <w:p w14:paraId="44BB1B9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（5）蓄热氧化反应器应设置安全可靠的火焰控制系统、温度监测系统、压力控制系统等。</w:t>
      </w:r>
    </w:p>
    <w:p w14:paraId="3C2B6E0C">
      <w:pPr>
        <w:bidi w:val="0"/>
        <w:snapToGrid w:val="0"/>
        <w:spacing w:line="360" w:lineRule="auto"/>
        <w:ind w:firstLine="560" w:firstLineChars="200"/>
        <w:jc w:val="left"/>
        <w:rPr>
          <w:rFonts w:hint="default"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（6）蓄热氧化反应器应具备过热保护功能。</w:t>
      </w:r>
    </w:p>
    <w:p w14:paraId="68A4F728">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9</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火灾和可燃气体报警系统</w:t>
      </w:r>
    </w:p>
    <w:p w14:paraId="2868E881">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（1）火灾自动报警系统的220VAC主电源应优先选择不间断电源（UPS）供电。直流备用电源应采用火灾报警控制器的专用蓄电池，应保证在主电源事故时持续供电时间不少于8小时。</w:t>
      </w:r>
    </w:p>
    <w:p w14:paraId="79125D66">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w:t>
      </w:r>
      <w:r>
        <w:rPr>
          <w:rFonts w:hint="eastAsia" w:ascii="Times New Roman" w:hAnsi="Times New Roman" w:eastAsia="宋体" w:cs="Times New Roman"/>
          <w:color w:val="auto"/>
          <w:sz w:val="28"/>
          <w:highlight w:val="none"/>
          <w:lang w:val="en-US" w:eastAsia="zh-CN"/>
        </w:rPr>
        <w:t>可行性研究阶段未对新增可燃气体检测器</w:t>
      </w:r>
      <w:r>
        <w:rPr>
          <w:rFonts w:hint="default" w:ascii="Times New Roman" w:hAnsi="Times New Roman" w:eastAsia="宋体" w:cs="Times New Roman"/>
          <w:color w:val="auto"/>
          <w:sz w:val="28"/>
          <w:highlight w:val="none"/>
          <w:lang w:val="en-US" w:eastAsia="zh-CN"/>
        </w:rPr>
        <w:t>的型号、高低报值及信号传输情况</w:t>
      </w:r>
      <w:r>
        <w:rPr>
          <w:rFonts w:hint="eastAsia" w:ascii="Times New Roman" w:hAnsi="Times New Roman" w:eastAsia="宋体" w:cs="Times New Roman"/>
          <w:color w:val="auto"/>
          <w:sz w:val="28"/>
          <w:highlight w:val="none"/>
          <w:lang w:val="en-US" w:eastAsia="zh-CN"/>
        </w:rPr>
        <w:t>进行详细介绍，</w:t>
      </w:r>
      <w:r>
        <w:rPr>
          <w:rFonts w:hint="eastAsia" w:ascii="Times New Roman" w:hAnsi="Times New Roman" w:eastAsia="宋体" w:cs="Times New Roman"/>
          <w:color w:val="auto"/>
          <w:sz w:val="28"/>
          <w:lang w:val="en-US" w:eastAsia="zh-CN"/>
        </w:rPr>
        <w:t>建议在下一步进行安全设施设计阶段严格按照《石油化工可燃气体和有毒气体检测报警设计标准》（GB/T 50493-2019）</w:t>
      </w:r>
      <w:r>
        <w:rPr>
          <w:rFonts w:hint="eastAsia" w:ascii="Times New Roman" w:hAnsi="Times New Roman" w:eastAsia="宋体" w:cs="Times New Roman"/>
          <w:color w:val="auto"/>
          <w:sz w:val="28"/>
          <w:highlight w:val="none"/>
          <w:lang w:val="en-US" w:eastAsia="zh-CN"/>
        </w:rPr>
        <w:t>对新增可燃气体检测器进行详细设计</w:t>
      </w:r>
      <w:r>
        <w:rPr>
          <w:rFonts w:hint="eastAsia" w:ascii="Times New Roman" w:hAnsi="Times New Roman" w:eastAsia="宋体" w:cs="Times New Roman"/>
          <w:color w:val="auto"/>
          <w:sz w:val="28"/>
          <w:lang w:val="en-US" w:eastAsia="zh-CN"/>
        </w:rPr>
        <w:t>。</w:t>
      </w:r>
    </w:p>
    <w:p w14:paraId="0760EB0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（3）本项目新建油气回收处理装置区周围应设置手动火灾报警按钮，其间距不宜大于100m。</w:t>
      </w:r>
    </w:p>
    <w:p w14:paraId="1C084852">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10</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施工过程单元安全对策措施</w:t>
      </w:r>
    </w:p>
    <w:p w14:paraId="27083CFE">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（1）严格执行动火制度、检修制度。在禁火区进行动火作业必须进行动火分析，办理动火作业证，不经批准或未办理动火作业证，动火防护措施不落实，不准动火检修。</w:t>
      </w:r>
    </w:p>
    <w:p w14:paraId="2EC06295">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（2）按规定穿戴工作服，不准穿易产生静电火花的化纤或毛制品工作服。</w:t>
      </w:r>
    </w:p>
    <w:p w14:paraId="582E7A52">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（3）在工程建设期间，必须遵守“生产经管单位新建、改建、扩建工程项目的安全设施必须与主体工程同时设计、同时施工、同时投入生产和使用”三同时的安全规定。加强监理，保证建筑施工及安装质量。</w:t>
      </w:r>
    </w:p>
    <w:p w14:paraId="18FC3A3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4）建设单位应认真学习，严格贯彻执行《建设工程安全生产管理条例》，并对设计单位、施工单位、监理单位加强安全生产管理，按相关资质、条件和程度进行审查，明确安全生产责任，制定相应的施工安全管理方案，责成施工单位制定应急预案。并严格按照合法、正规的“施工组织方案”进行施工作业。</w:t>
      </w:r>
    </w:p>
    <w:p w14:paraId="69FE7765">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5）施工场所应符合施工现场的一般规定：施工总平面布置应符合国家防火、工业卫生等有关规定；施工现场工作面、固定生产设备及设施等应设置人行通道，通道无障碍物、设防滑措施和护栏，其宽度不小于0.6m，并在危险地段设置警示标志和警戒线。施工场所应做到清洁、规整。垃圾，废料应及时清除，做到“工完、料尽、场地清”，坚持文明施工。在高处清扫的垃圾和废料，不得向下抛掷，进入施工现场的人员必须正确佩戴安全帽，严禁酒后进入施工现场。</w:t>
      </w:r>
    </w:p>
    <w:p w14:paraId="5A7FF79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6）在大型装置吊装前应制定预防措施，作业前制定施工组织设计，认真检查所需的一切工具设备，参与作业的人员应掌握本专业及本岗位生产技能并取得特种作业人员上岗证，并指定一人负责指挥；正式起吊前应试吊，确认可靠后方可正式起吊。</w:t>
      </w:r>
    </w:p>
    <w:p w14:paraId="02A1402E">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7）设备吊装除应严格遵守相关技术规程外，起重作业过程还应严格执行“十不吊”。起重作业应符合起重工作的一般规定：起重作业的指挥和操作人员必须由专业人员担任，起重设备在使用前应对其安全装置进行检查，保证其灵敏有效；起重机吊运重物时一般应走吊运通道；不明重量、埋在地下的不明物料不得起吊；禁止重物在空中长时间停留；风力六级及六级以上时，不得进行起重作业；大风、大雾、雷雨等恶劣天气或照明不足导致信号不明时，不得进行起重作业。</w:t>
      </w:r>
    </w:p>
    <w:p w14:paraId="5522B571">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8）施工期用电应符合施工用电的一般规定：施工用电的布设应按已批准的施工组织设计进行，不得任意接线，施工用电设施竣工后应经过验收合格后方可投入使用。施工用电应明确管理机构并由专业班组负责运行及维护；严禁非电工拆装施工用电设施：旋工用电投入使用前，应制定运行、维护、使用、检修等管理制度。施工现场临时用电应采取可靠的安全措施。</w:t>
      </w:r>
    </w:p>
    <w:p w14:paraId="12367250">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（9）做好现场的防火工作，配备必要的消防器材，如干粉灭火器、CO</w:t>
      </w:r>
      <w:r>
        <w:rPr>
          <w:rFonts w:hint="eastAsia" w:ascii="Times New Roman" w:hAnsi="Times New Roman" w:eastAsia="宋体" w:cs="Times New Roman"/>
          <w:color w:val="auto"/>
          <w:sz w:val="28"/>
          <w:vertAlign w:val="subscript"/>
          <w:lang w:val="en-US" w:eastAsia="zh-CN"/>
        </w:rPr>
        <w:t>2</w:t>
      </w:r>
      <w:r>
        <w:rPr>
          <w:rFonts w:hint="eastAsia" w:ascii="Times New Roman" w:hAnsi="Times New Roman" w:eastAsia="宋体" w:cs="Times New Roman"/>
          <w:color w:val="auto"/>
          <w:sz w:val="28"/>
          <w:lang w:val="en-US" w:eastAsia="zh-CN"/>
        </w:rPr>
        <w:t>灭火器、泡沫灭火器等，保证施工现场消防通道畅通无阻。现场严禁吸烟，应设立禁烟区标志。非火警严禁动用或拆除现场消防器材。用电焊机等设备时，要带好防护眼镜，周围严禁火种或可燃物，防止火花飞溅，防止火灾发生。每次动火作业结束后及时关闭氧气、乙炔阀门或电源。</w:t>
      </w:r>
    </w:p>
    <w:p w14:paraId="6B4A2F0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10）在工程施工前，施工安装单位应根据有关标准、规程、法规编制施工方案，按施工方案严格执行，施工、安装、检测完毕，应做好安全、质量检查和验收交接。施工单位应按图施工，遇有变更，应由设计、施工安装及生产单位三方商定。重要变更，须报有关部门批准。</w:t>
      </w:r>
    </w:p>
    <w:p w14:paraId="197A7829">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（11）严格执行高处作业、动火作业、临时用电作业、动土作业等票证安全管理制度，严格施工车辆、施工机械安全管理。</w:t>
      </w:r>
    </w:p>
    <w:p w14:paraId="1F777B5F">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（12）加强对施工人员的安全教育，尤其对从未参加施工的新工人、农民工更要加强培训；在施工工地若有不同的施工单位，更要强调相互协作，互通情况，步调一致地搞好施工安全工作。</w:t>
      </w:r>
    </w:p>
    <w:p w14:paraId="403629EC">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13）高处作业人员应进行体格检查，体检合格者方可从事高处作业；高处作业平台、走道、斜道等应装设1.05m高的防护栏杆和18cm高挡脚板或设防护立网；高处作业使用的脚手架，梯子及安全防护网应符合相应的规定，在恶劣天气时应停止室外高处作业，高处作业必须系好安全带，安全带应挂在上方的牢固可靠处。</w:t>
      </w:r>
    </w:p>
    <w:p w14:paraId="05392C5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14）在动工之前，应对作业环境、施工范围、周边间距、使用机械及作业人员等进行调研和分析，制定施工方案，涉及到新建管道的敷设、建构筑物基础及支撑的建设、设备设施的安装，需要进行动土、动火、吊装等危险性较大的作业，应严格执行危险作业工作票证制度。</w:t>
      </w:r>
    </w:p>
    <w:p w14:paraId="4F349037">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11</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其他对策措施</w:t>
      </w:r>
    </w:p>
    <w:p w14:paraId="791BDFF8">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（1）建设项目的安全设施必须与主体工程同时设计、同时施工、同时投入生产和使用；已核准（备案）的项目，必须在通过安全审批后方可开工建设，未经验收合格不得投入生产和使用。</w:t>
      </w:r>
    </w:p>
    <w:p w14:paraId="450801A6">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（2）选择具备相应资质的设计、施工、监理单位。</w:t>
      </w:r>
    </w:p>
    <w:p w14:paraId="62AABAB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（3）企业及设计单位在安全设施设计阶段及施工、运行阶段应按照《国家安全监管总局 住房城乡建设部关于进一步加强危险化学品建设项目安全设计管理的通知》（安监总管三[2013]76号）、《国家安全监管总局关于加强化工过程安全管理的指导意见》（安监总管三[2013]88号）的要求完善相关措施，加强管理。</w:t>
      </w:r>
    </w:p>
    <w:p w14:paraId="7C9AD5E0">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（4）本项目不新增劳动定员，均由原有的储运二部的定员进行调配。项目实施后应对原有操作人员进行新控制系统等设施的专项安全培训教育，并经考核合格上岗。</w:t>
      </w:r>
    </w:p>
    <w:p w14:paraId="6A582FC2">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5）项目特种设备为压力容器、压力管道等，特种设备（压力容器、压力管道等）应选择正规厂家生产的产品，从严把质量关。本项目新增特种设备在投入使用前或者投入使用后30日内，企业应当向特种设备安全监督管理部门登记。登记标志应当置于或者附着于该特种设备的显著位置。安全附件（安全阀、压力表）、可燃气体检测报警器应按要求检定合格。</w:t>
      </w:r>
    </w:p>
    <w:p w14:paraId="31622474">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（6）距下方相邻地板或地面1.2m及以上的平台、通道或工作面的所有敞开边缘应设置防护栏杆。在平台、通道或工作面上可能使用工具、机器部件或物品场合，应在所有敞开边缘设置带踢脚板的防护栏杆。</w:t>
      </w:r>
    </w:p>
    <w:p w14:paraId="1845B9DC">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（7）本项目新增机泵等高速旋转或往复运动的机械零部件应设置可靠的防护设施、挡板或安全围栏。</w:t>
      </w:r>
    </w:p>
    <w:p w14:paraId="62B191CA">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（8）消火栓、灭火器、灭火桶、火灾报警器等消防用具以及严禁人员进入的危险作业区的护栏采用红色。</w:t>
      </w:r>
    </w:p>
    <w:p w14:paraId="0B5803C0">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（9）本项目实施后，应根据本项目的实际情况对原有操作规程、应急预案进行评审、评估，并根据评审、评估结果决定是否需要修订。</w:t>
      </w:r>
    </w:p>
    <w:p w14:paraId="0161203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（10）企业应建立健全各类安全技术档案及安全生产台帐，如：压力容器等特种技术档案，档案内容应包括：技术图纸、设备运行档案、安全部件检测记录、安全操作规程、安全规章制度、特种作业人员台帐等。</w:t>
      </w:r>
    </w:p>
    <w:p w14:paraId="52C54EF7">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（11）防雷装置在投产前应经有关部门检测验收，并定期由有资质机构进行检测并出具报告。</w:t>
      </w:r>
    </w:p>
    <w:p w14:paraId="5DDAD68B">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（12）建议储运二部编制与新建及改造设备工艺相关的应急处置方案，并定期进行演练。建议增加与新建及改造设备工艺相关的应急物资。</w:t>
      </w:r>
    </w:p>
    <w:p w14:paraId="5EE0E4AA">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（13）定期对设备及管路进行检验和维修保养，保证完好，防止泄漏；加强对安全用火的管理，从根本上防止火灾、中毒等事故的发生。</w:t>
      </w:r>
    </w:p>
    <w:p w14:paraId="2624E775">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（14）在建设项目竣工投入经营或者使用前，必须依照有关法律、行政法规的规定对安全设施进行验收；验收合格后，方可投入经营和使用。</w:t>
      </w:r>
    </w:p>
    <w:p w14:paraId="54A642D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（15）下一步安全设施设计阶段应根据《化工和危险化学品生产经营单位重大生产安全事故隐患判定标准（试行）》（安监总管三[2017]121号）的要求进行详细设计。</w:t>
      </w:r>
    </w:p>
    <w:p w14:paraId="47A8BEB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cs="Times New Roman"/>
          <w:color w:val="auto"/>
          <w:sz w:val="28"/>
          <w:lang w:val="en-US" w:eastAsia="zh-CN"/>
        </w:rPr>
        <w:t>（16）</w:t>
      </w:r>
      <w:r>
        <w:rPr>
          <w:rFonts w:hint="eastAsia" w:ascii="Times New Roman" w:hAnsi="Times New Roman" w:eastAsia="宋体" w:cs="Times New Roman"/>
          <w:color w:val="auto"/>
          <w:sz w:val="28"/>
          <w:lang w:val="en-US" w:eastAsia="zh-CN"/>
        </w:rPr>
        <w:t>该项目实施过程中，应按《建设工程消防设计审查验收管理暂行规定》（中华人民共和国住房和城乡建设部令第51号</w:t>
      </w:r>
      <w:r>
        <w:rPr>
          <w:rFonts w:hint="eastAsia" w:ascii="Times New Roman" w:hAnsi="Times New Roman" w:cs="Times New Roman"/>
          <w:color w:val="auto"/>
          <w:sz w:val="28"/>
          <w:lang w:val="en-US" w:eastAsia="zh-CN"/>
        </w:rPr>
        <w:t>，第58号修正</w:t>
      </w:r>
      <w:r>
        <w:rPr>
          <w:rFonts w:hint="eastAsia" w:ascii="Times New Roman" w:hAnsi="Times New Roman" w:eastAsia="宋体" w:cs="Times New Roman"/>
          <w:color w:val="auto"/>
          <w:sz w:val="28"/>
          <w:lang w:val="en-US" w:eastAsia="zh-CN"/>
        </w:rPr>
        <w:t>）要求进行消防设计、消防验收备案。</w:t>
      </w:r>
    </w:p>
    <w:p w14:paraId="666F8F65">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w:t>
      </w:r>
      <w:r>
        <w:rPr>
          <w:rFonts w:hint="eastAsia" w:ascii="Times New Roman" w:hAnsi="Times New Roman" w:cs="Times New Roman"/>
          <w:color w:val="auto"/>
          <w:sz w:val="28"/>
          <w:lang w:val="en-US" w:eastAsia="zh-CN"/>
        </w:rPr>
        <w:t>7</w:t>
      </w:r>
      <w:r>
        <w:rPr>
          <w:rFonts w:hint="eastAsia" w:ascii="Times New Roman" w:hAnsi="Times New Roman" w:eastAsia="宋体" w:cs="Times New Roman"/>
          <w:color w:val="auto"/>
          <w:sz w:val="28"/>
          <w:lang w:val="en-US" w:eastAsia="zh-CN"/>
        </w:rPr>
        <w:t>）石油化工总厂应制定该项目施工期间的生产调度计划，做好协调、调度工作，确保本项目改造过程中，与改造相关的原有设施的正常运行。</w:t>
      </w:r>
    </w:p>
    <w:p w14:paraId="20A93693">
      <w:pPr>
        <w:bidi w:val="0"/>
        <w:snapToGrid w:val="0"/>
        <w:spacing w:line="360" w:lineRule="auto"/>
        <w:ind w:firstLine="560" w:firstLineChars="200"/>
        <w:jc w:val="left"/>
        <w:rPr>
          <w:rFonts w:hint="eastAsia" w:ascii="Times New Roman" w:hAnsi="Times New Roman" w:eastAsia="宋体" w:cs="Times New Roman"/>
          <w:color w:val="auto"/>
          <w:sz w:val="28"/>
          <w:lang w:val="en-US" w:eastAsia="zh-CN"/>
        </w:rPr>
      </w:pPr>
      <w:r>
        <w:rPr>
          <w:rFonts w:hint="eastAsia" w:ascii="Times New Roman" w:hAnsi="Times New Roman" w:eastAsia="宋体" w:cs="Times New Roman"/>
          <w:color w:val="auto"/>
          <w:sz w:val="28"/>
          <w:lang w:val="en-US" w:eastAsia="zh-CN"/>
        </w:rPr>
        <w:t>（1</w:t>
      </w:r>
      <w:r>
        <w:rPr>
          <w:rFonts w:hint="eastAsia" w:ascii="Times New Roman" w:hAnsi="Times New Roman" w:cs="Times New Roman"/>
          <w:color w:val="auto"/>
          <w:sz w:val="28"/>
          <w:lang w:val="en-US" w:eastAsia="zh-CN"/>
        </w:rPr>
        <w:t>8</w:t>
      </w:r>
      <w:r>
        <w:rPr>
          <w:rFonts w:hint="eastAsia" w:ascii="Times New Roman" w:hAnsi="Times New Roman" w:eastAsia="宋体" w:cs="Times New Roman"/>
          <w:color w:val="auto"/>
          <w:sz w:val="28"/>
          <w:lang w:val="en-US" w:eastAsia="zh-CN"/>
        </w:rPr>
        <w:t>）企业应按照《个体防护装备配备规范第2部分：石油、化工、天然气》（GB 39800.2-2020）、《山东省劳动防护用品配备标准》（DB37/T 1922-2011）等法律、法规、标准规范的要求，结合本项目生产实际，为作业人员提供符合国家规定劳动防护用品，建立并完善劳保用品发放制度及台帐。监督指导作业人员正确穿戴好劳动保护用品。</w:t>
      </w:r>
    </w:p>
    <w:p w14:paraId="01FF7494">
      <w:pPr>
        <w:pStyle w:val="3"/>
        <w:bidi w:val="0"/>
        <w:rPr>
          <w:rFonts w:hint="default" w:ascii="Times New Roman" w:hAnsi="Times New Roman" w:cs="Times New Roman"/>
          <w:color w:val="auto"/>
          <w:lang w:val="en-US" w:eastAsia="zh-CN"/>
        </w:rPr>
      </w:pPr>
      <w:bookmarkStart w:id="93" w:name="_Toc14049"/>
      <w:r>
        <w:rPr>
          <w:rFonts w:hint="default" w:ascii="Times New Roman" w:hAnsi="Times New Roman" w:cs="Times New Roman"/>
          <w:color w:val="auto"/>
          <w:lang w:val="en-US" w:eastAsia="zh-CN"/>
        </w:rPr>
        <w:t>结论</w:t>
      </w:r>
      <w:bookmarkEnd w:id="93"/>
    </w:p>
    <w:p w14:paraId="346340F5">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3</w:t>
      </w:r>
      <w:r>
        <w:rPr>
          <w:rFonts w:hint="default" w:ascii="Times New Roman" w:hAnsi="Times New Roman" w:eastAsia="黑体" w:cs="Times New Roman"/>
          <w:color w:val="auto"/>
          <w:kern w:val="2"/>
          <w:sz w:val="28"/>
          <w:szCs w:val="28"/>
          <w:lang w:val="en-US" w:eastAsia="zh-CN" w:bidi="ar-SA"/>
        </w:rPr>
        <w:t>.1 评价结果</w:t>
      </w:r>
    </w:p>
    <w:p w14:paraId="5E9B4DE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cs="Times New Roman"/>
          <w:color w:val="auto"/>
          <w:lang w:val="en-US" w:eastAsia="zh-CN"/>
        </w:rPr>
        <w:t>）</w:t>
      </w:r>
      <w:r>
        <w:rPr>
          <w:rFonts w:hint="default" w:ascii="Times New Roman" w:hAnsi="Times New Roman" w:cs="Times New Roman"/>
          <w:color w:val="auto"/>
          <w:lang w:val="en-US" w:eastAsia="zh-CN"/>
        </w:rPr>
        <w:t>本项目生产过程中涉及的危险化学品主要包括：苯、柴油、硫化氢、甲烷、甲苯、二甲苯、MTBE、压缩氮气、氟利昂R22。</w:t>
      </w:r>
    </w:p>
    <w:p w14:paraId="2BE64B29">
      <w:pPr>
        <w:pStyle w:val="6"/>
        <w:bidi w:val="0"/>
        <w:rPr>
          <w:rFonts w:hint="default" w:ascii="Times New Roman" w:hAnsi="Times New Roman" w:cs="Times New Roman"/>
          <w:color w:val="auto"/>
          <w:lang w:val="en-US" w:eastAsia="zh-CN"/>
        </w:rPr>
      </w:pPr>
      <w:r>
        <w:rPr>
          <w:rFonts w:hint="eastAsia" w:cs="Times New Roman"/>
          <w:color w:val="auto"/>
          <w:lang w:val="en-US" w:eastAsia="zh-CN"/>
        </w:rPr>
        <w:t>（</w:t>
      </w:r>
      <w:r>
        <w:rPr>
          <w:rFonts w:hint="default" w:ascii="Times New Roman" w:hAnsi="Times New Roman" w:cs="Times New Roman"/>
          <w:color w:val="auto"/>
          <w:lang w:val="en-US" w:eastAsia="zh-CN"/>
        </w:rPr>
        <w:t>2）本项目生产过程中主要的危险有害因素为火灾爆炸、中毒和窒息、容器爆炸等，其他的危险有害因素有：机械伤害、高处坠落、物体打击、触电、噪声和振动、</w:t>
      </w:r>
      <w:r>
        <w:rPr>
          <w:rFonts w:hint="eastAsia" w:cs="Times New Roman"/>
          <w:color w:val="auto"/>
          <w:lang w:val="en-US" w:eastAsia="zh-CN"/>
        </w:rPr>
        <w:t>坍塌、</w:t>
      </w:r>
      <w:r>
        <w:rPr>
          <w:rFonts w:hint="default" w:ascii="Times New Roman" w:hAnsi="Times New Roman" w:cs="Times New Roman"/>
          <w:color w:val="auto"/>
          <w:lang w:val="en-US" w:eastAsia="zh-CN"/>
        </w:rPr>
        <w:t>灼烫</w:t>
      </w:r>
      <w:r>
        <w:rPr>
          <w:rFonts w:hint="eastAsia" w:cs="Times New Roman"/>
          <w:color w:val="auto"/>
          <w:lang w:val="en-US" w:eastAsia="zh-CN"/>
        </w:rPr>
        <w:t>等</w:t>
      </w:r>
      <w:r>
        <w:rPr>
          <w:rFonts w:hint="default" w:ascii="Times New Roman" w:hAnsi="Times New Roman" w:cs="Times New Roman"/>
          <w:color w:val="auto"/>
          <w:lang w:val="en-US" w:eastAsia="zh-CN"/>
        </w:rPr>
        <w:t>。</w:t>
      </w:r>
    </w:p>
    <w:p w14:paraId="75A9061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本项目存在的主要环境危险因素有地震、雷击、暴雨、大风、高温、严寒、静电、潮湿、腐蚀等不良气象条件和地质灾害，均可通过一定的技术、管理措施得到有效控制；与周边环境设施之间的影响较小，但不排除特殊情况下，可能发生的第三方破坏。</w:t>
      </w:r>
    </w:p>
    <w:p w14:paraId="1079065C">
      <w:pPr>
        <w:pStyle w:val="6"/>
        <w:bidi w:val="0"/>
        <w:rPr>
          <w:rFonts w:hint="eastAsia" w:cs="Times New Roman"/>
          <w:color w:val="auto"/>
          <w:lang w:val="en-US" w:eastAsia="zh-CN"/>
        </w:rPr>
      </w:pPr>
      <w:r>
        <w:rPr>
          <w:rFonts w:hint="eastAsia" w:cs="Times New Roman"/>
          <w:color w:val="auto"/>
          <w:lang w:val="en-US" w:eastAsia="zh-CN"/>
        </w:rPr>
        <w:t>（4）根据《危险化学品重大危险源辨识》（GB18218-2018），本项目不构成危险化学品重大危险源。</w:t>
      </w:r>
    </w:p>
    <w:p w14:paraId="1792CB3F">
      <w:pPr>
        <w:pStyle w:val="6"/>
        <w:bidi w:val="0"/>
        <w:rPr>
          <w:rFonts w:hint="eastAsia" w:cs="Times New Roman"/>
          <w:color w:val="auto"/>
          <w:lang w:val="en-US" w:eastAsia="zh-CN"/>
        </w:rPr>
      </w:pPr>
      <w:r>
        <w:rPr>
          <w:rFonts w:hint="eastAsia" w:cs="Times New Roman"/>
          <w:color w:val="auto"/>
          <w:lang w:val="en-US" w:eastAsia="zh-CN"/>
        </w:rPr>
        <w:t>（5）根据危险度评价法，本项目的危险度等级为</w:t>
      </w:r>
      <w:r>
        <w:rPr>
          <w:rFonts w:hint="default" w:ascii="Times New Roman" w:hAnsi="Times New Roman" w:cs="Times New Roman"/>
          <w:color w:val="auto"/>
          <w:lang w:val="en-US" w:eastAsia="zh-CN"/>
        </w:rPr>
        <w:t>Ⅰ</w:t>
      </w:r>
      <w:r>
        <w:rPr>
          <w:rFonts w:hint="eastAsia" w:cs="Times New Roman"/>
          <w:color w:val="auto"/>
          <w:lang w:val="en-US" w:eastAsia="zh-CN"/>
        </w:rPr>
        <w:t>级，属于高度危险。</w:t>
      </w:r>
    </w:p>
    <w:p w14:paraId="6F3E05B7">
      <w:pPr>
        <w:pStyle w:val="6"/>
        <w:bidi w:val="0"/>
        <w:rPr>
          <w:rFonts w:hint="default" w:cs="Times New Roman"/>
          <w:color w:val="auto"/>
          <w:lang w:val="en-US" w:eastAsia="zh-CN"/>
        </w:rPr>
      </w:pPr>
      <w:r>
        <w:rPr>
          <w:rFonts w:hint="eastAsia" w:cs="Times New Roman"/>
          <w:color w:val="auto"/>
          <w:lang w:val="en-US" w:eastAsia="zh-CN"/>
        </w:rPr>
        <w:t>（6）本次评价共检查了129项，通过检查表法检查发现可研报告中未提及项有72项，约占总检查项的55.8%；不符合项1项，约占总检查项的0.8%；符合项56项，约占总检查项43.4%。企业应在平面布置、工艺及设备设施、供配电、消防、给排水、防雷防静电、自动控制系统和电信、火灾和可燃气体报警系统等方面进一步落实本报告中提出的对策措施。</w:t>
      </w:r>
    </w:p>
    <w:p w14:paraId="20C7D129">
      <w:pPr>
        <w:widowControl w:val="0"/>
        <w:numPr>
          <w:ilvl w:val="0"/>
          <w:numId w:val="0"/>
        </w:numPr>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default" w:ascii="Times New Roman" w:hAnsi="Times New Roman" w:eastAsia="黑体" w:cs="Times New Roman"/>
          <w:color w:val="auto"/>
          <w:kern w:val="2"/>
          <w:sz w:val="28"/>
          <w:szCs w:val="28"/>
          <w:lang w:val="en-US" w:eastAsia="zh-CN" w:bidi="ar-SA"/>
        </w:rPr>
        <w:t>7.</w:t>
      </w:r>
      <w:r>
        <w:rPr>
          <w:rFonts w:hint="eastAsia" w:ascii="Times New Roman" w:hAnsi="Times New Roman" w:eastAsia="黑体" w:cs="Times New Roman"/>
          <w:color w:val="auto"/>
          <w:kern w:val="2"/>
          <w:sz w:val="28"/>
          <w:szCs w:val="28"/>
          <w:lang w:val="en-US" w:eastAsia="zh-CN" w:bidi="ar-SA"/>
        </w:rPr>
        <w:t>3</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 xml:space="preserve"> 评价</w:t>
      </w:r>
      <w:r>
        <w:rPr>
          <w:rFonts w:hint="eastAsia" w:ascii="Times New Roman" w:hAnsi="Times New Roman" w:eastAsia="黑体" w:cs="Times New Roman"/>
          <w:color w:val="auto"/>
          <w:kern w:val="2"/>
          <w:sz w:val="28"/>
          <w:szCs w:val="28"/>
          <w:lang w:val="en-US" w:eastAsia="zh-CN" w:bidi="ar-SA"/>
        </w:rPr>
        <w:t>结论</w:t>
      </w:r>
    </w:p>
    <w:p w14:paraId="11D2BE7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（1）中国石化股份有限公司胜利油田分公司石油化工总厂储运二部装卸车</w:t>
      </w:r>
      <w:r>
        <w:rPr>
          <w:rFonts w:hint="eastAsia" w:cs="Times New Roman"/>
          <w:color w:val="auto"/>
          <w:lang w:val="en-US" w:eastAsia="zh-CN"/>
        </w:rPr>
        <w:t>废气</w:t>
      </w:r>
      <w:r>
        <w:rPr>
          <w:rFonts w:hint="default" w:ascii="Times New Roman" w:hAnsi="Times New Roman" w:cs="Times New Roman"/>
          <w:color w:val="auto"/>
          <w:lang w:val="en-US" w:eastAsia="zh-CN"/>
        </w:rPr>
        <w:t>治理项目拟在3#新建柴油罐区北侧预留空地进行建建设，项目厂区位于东营市东营区郝纯路，周边与《危险化学品安全管理条例》第十九条规定的八类场所、设施、区域的防火间距符合有关规范、规定要求，气象条件、地质条件满足该项目的要求。该项目所在厂区已取得《土地他项权利证明书》，选址符合政府规划要求。</w:t>
      </w:r>
    </w:p>
    <w:p w14:paraId="58A1862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（2）该项目装置区与周围设施符合《石油化工企业设计防火</w:t>
      </w:r>
      <w:r>
        <w:rPr>
          <w:rFonts w:hint="eastAsia" w:cs="Times New Roman"/>
          <w:color w:val="auto"/>
          <w:lang w:val="en-US" w:eastAsia="zh-CN"/>
        </w:rPr>
        <w:t>标准（2018年版）</w:t>
      </w:r>
      <w:r>
        <w:rPr>
          <w:rFonts w:hint="default" w:ascii="Times New Roman" w:hAnsi="Times New Roman" w:cs="Times New Roman"/>
          <w:color w:val="auto"/>
          <w:lang w:val="en-US" w:eastAsia="zh-CN"/>
        </w:rPr>
        <w:t>》（GB50160-2008）等法律法规的要求。</w:t>
      </w:r>
    </w:p>
    <w:p w14:paraId="17ED64D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（3）该项目采用成熟工艺，设备选型符合国家有关规定要求。</w:t>
      </w:r>
    </w:p>
    <w:p w14:paraId="69106EC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（4）该项目可行性研究报告，针对本项目的危险有害因素及其分布规律，采取了一定的安全措施。评价进一步提出了安全对策措施与建议，为该项目下一步的设计、施工提供依据。</w:t>
      </w:r>
    </w:p>
    <w:p w14:paraId="005C3BC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（5）在该项目的设计、施工及生产试运行过程中，企业在落实可行性研究报告所提出的安全措施的基础上，应切实落实本</w:t>
      </w:r>
      <w:r>
        <w:rPr>
          <w:rFonts w:hint="eastAsia" w:cs="Times New Roman"/>
          <w:color w:val="auto"/>
          <w:lang w:val="en-US" w:eastAsia="zh-CN"/>
        </w:rPr>
        <w:t>安全预评价报告</w:t>
      </w:r>
      <w:r>
        <w:rPr>
          <w:rFonts w:hint="default" w:ascii="Times New Roman" w:hAnsi="Times New Roman" w:cs="Times New Roman"/>
          <w:color w:val="auto"/>
          <w:lang w:val="en-US" w:eastAsia="zh-CN"/>
        </w:rPr>
        <w:t>中提出的安全对策和措施，制订完善的应急救援预案；严格按照“三同时”要求进行建设；加强安全管理，确保安全生产。</w:t>
      </w:r>
    </w:p>
    <w:p w14:paraId="2A63241D">
      <w:pPr>
        <w:pStyle w:val="6"/>
        <w:bidi w:val="0"/>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综合上述，中国石化股份有限公司胜利油田分公司石油化工总厂储运二部装卸车废气治理项目选址得当、工艺技术路线成熟、设备选型可靠、周边防火间距符合国家有关法律、法规、标准、规范的要求，项目设立符合国家有关安全要求。</w:t>
      </w:r>
    </w:p>
    <w:p w14:paraId="7595658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685A7743">
      <w:pPr>
        <w:pStyle w:val="17"/>
        <w:bidi w:val="0"/>
        <w:rPr>
          <w:rFonts w:hint="default" w:ascii="Times New Roman" w:hAnsi="Times New Roman" w:eastAsia="黑体" w:cs="Times New Roman"/>
          <w:color w:val="auto"/>
          <w:kern w:val="2"/>
          <w:szCs w:val="32"/>
          <w:lang w:val="en-US" w:eastAsia="zh-CN" w:bidi="ar-SA"/>
        </w:rPr>
      </w:pPr>
      <w:bookmarkStart w:id="94" w:name="_Toc31041"/>
      <w:bookmarkStart w:id="95" w:name="_Toc509842620"/>
      <w:r>
        <w:rPr>
          <w:rFonts w:hint="default" w:ascii="Times New Roman" w:hAnsi="Times New Roman" w:cs="Times New Roman"/>
          <w:color w:val="auto"/>
          <w:lang w:val="en-US" w:eastAsia="zh-CN"/>
        </w:rPr>
        <w:t>评价单位与建设单位交换意见</w:t>
      </w:r>
      <w:bookmarkEnd w:id="94"/>
      <w:bookmarkEnd w:id="95"/>
    </w:p>
    <w:p w14:paraId="1A4C5AE3">
      <w:pPr>
        <w:pStyle w:val="30"/>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cs="Times New Roman"/>
          <w:color w:val="auto"/>
        </w:rPr>
      </w:pPr>
      <w:r>
        <w:rPr>
          <w:rFonts w:hint="default" w:ascii="Times New Roman" w:hAnsi="Times New Roman" w:cs="Times New Roman"/>
          <w:color w:val="auto"/>
        </w:rPr>
        <w:t>表8-1 评价单位与建设单位交换意见表</w:t>
      </w:r>
    </w:p>
    <w:tbl>
      <w:tblPr>
        <w:tblStyle w:val="20"/>
        <w:tblW w:w="4998"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669"/>
        <w:gridCol w:w="2317"/>
        <w:gridCol w:w="3597"/>
        <w:gridCol w:w="1812"/>
        <w:gridCol w:w="1002"/>
      </w:tblGrid>
      <w:tr w14:paraId="38334C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129FDD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kern w:val="2"/>
                <w:sz w:val="21"/>
                <w:szCs w:val="24"/>
                <w:lang w:val="en-US" w:eastAsia="zh-CN" w:bidi="ar-SA"/>
              </w:rPr>
            </w:pPr>
            <w:r>
              <w:rPr>
                <w:rFonts w:hint="default" w:ascii="Times New Roman" w:hAnsi="Times New Roman" w:eastAsia="宋体" w:cs="Times New Roman"/>
                <w:b/>
                <w:bCs w:val="0"/>
                <w:color w:val="auto"/>
                <w:kern w:val="2"/>
                <w:sz w:val="21"/>
                <w:szCs w:val="24"/>
                <w:lang w:val="en-US" w:eastAsia="zh-CN" w:bidi="ar-SA"/>
              </w:rPr>
              <w:t>序号</w:t>
            </w:r>
          </w:p>
        </w:tc>
        <w:tc>
          <w:tcPr>
            <w:tcW w:w="3147" w:type="pct"/>
            <w:gridSpan w:val="2"/>
            <w:vAlign w:val="center"/>
          </w:tcPr>
          <w:p w14:paraId="2CE430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4"/>
                <w:lang w:val="en-US" w:eastAsia="zh-CN" w:bidi="ar-SA"/>
              </w:rPr>
            </w:pPr>
            <w:r>
              <w:rPr>
                <w:rFonts w:hint="default" w:ascii="Times New Roman" w:hAnsi="Times New Roman" w:eastAsia="宋体" w:cs="Times New Roman"/>
                <w:b/>
                <w:bCs/>
                <w:color w:val="auto"/>
                <w:kern w:val="2"/>
                <w:sz w:val="21"/>
                <w:szCs w:val="24"/>
                <w:lang w:val="en-US" w:eastAsia="zh-CN" w:bidi="ar-SA"/>
              </w:rPr>
              <w:t>交换意见的项目</w:t>
            </w:r>
          </w:p>
        </w:tc>
        <w:tc>
          <w:tcPr>
            <w:tcW w:w="964" w:type="pct"/>
            <w:vAlign w:val="center"/>
          </w:tcPr>
          <w:p w14:paraId="77E884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4"/>
                <w:lang w:val="en-US" w:eastAsia="zh-CN" w:bidi="ar-SA"/>
              </w:rPr>
            </w:pPr>
            <w:r>
              <w:rPr>
                <w:rFonts w:hint="default" w:ascii="Times New Roman" w:hAnsi="Times New Roman" w:eastAsia="宋体" w:cs="Times New Roman"/>
                <w:b/>
                <w:bCs/>
                <w:color w:val="auto"/>
                <w:kern w:val="2"/>
                <w:sz w:val="21"/>
                <w:szCs w:val="24"/>
                <w:lang w:val="en-US" w:eastAsia="zh-CN" w:bidi="ar-SA"/>
              </w:rPr>
              <w:t>建设单位意见</w:t>
            </w:r>
          </w:p>
        </w:tc>
        <w:tc>
          <w:tcPr>
            <w:tcW w:w="531" w:type="pct"/>
            <w:vAlign w:val="center"/>
          </w:tcPr>
          <w:p w14:paraId="4821F8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kern w:val="2"/>
                <w:sz w:val="21"/>
                <w:szCs w:val="24"/>
                <w:lang w:val="en-US" w:eastAsia="zh-CN" w:bidi="ar-SA"/>
              </w:rPr>
            </w:pPr>
            <w:r>
              <w:rPr>
                <w:rFonts w:hint="default" w:ascii="Times New Roman" w:hAnsi="Times New Roman" w:eastAsia="宋体" w:cs="Times New Roman"/>
                <w:b/>
                <w:bCs w:val="0"/>
                <w:color w:val="auto"/>
                <w:kern w:val="2"/>
                <w:sz w:val="21"/>
                <w:szCs w:val="24"/>
                <w:lang w:val="en-US" w:eastAsia="zh-CN" w:bidi="ar-SA"/>
              </w:rPr>
              <w:t>备注</w:t>
            </w:r>
          </w:p>
        </w:tc>
      </w:tr>
      <w:tr w14:paraId="50F05F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38DEDF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1</w:t>
            </w:r>
          </w:p>
        </w:tc>
        <w:tc>
          <w:tcPr>
            <w:tcW w:w="1233" w:type="pct"/>
            <w:vAlign w:val="center"/>
          </w:tcPr>
          <w:p w14:paraId="6C900E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评价对象和范围</w:t>
            </w:r>
          </w:p>
        </w:tc>
        <w:tc>
          <w:tcPr>
            <w:tcW w:w="1914" w:type="pct"/>
            <w:vAlign w:val="center"/>
          </w:tcPr>
          <w:p w14:paraId="2A3E31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是否符合合同的约定</w:t>
            </w:r>
          </w:p>
        </w:tc>
        <w:tc>
          <w:tcPr>
            <w:tcW w:w="964" w:type="pct"/>
            <w:vAlign w:val="center"/>
          </w:tcPr>
          <w:p w14:paraId="42C279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38C0CB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26C0D4C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305240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2</w:t>
            </w:r>
          </w:p>
        </w:tc>
        <w:tc>
          <w:tcPr>
            <w:tcW w:w="1233" w:type="pct"/>
            <w:vAlign w:val="center"/>
          </w:tcPr>
          <w:p w14:paraId="1D0958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建设项目的资料</w:t>
            </w:r>
          </w:p>
        </w:tc>
        <w:tc>
          <w:tcPr>
            <w:tcW w:w="1914" w:type="pct"/>
            <w:vAlign w:val="center"/>
          </w:tcPr>
          <w:p w14:paraId="62E169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是否真实可靠</w:t>
            </w:r>
          </w:p>
        </w:tc>
        <w:tc>
          <w:tcPr>
            <w:tcW w:w="964" w:type="pct"/>
            <w:vAlign w:val="center"/>
          </w:tcPr>
          <w:p w14:paraId="18E9F1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599BA5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51369F1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42FF3C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3</w:t>
            </w:r>
          </w:p>
        </w:tc>
        <w:tc>
          <w:tcPr>
            <w:tcW w:w="1233" w:type="pct"/>
            <w:vAlign w:val="center"/>
          </w:tcPr>
          <w:p w14:paraId="01CF47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建设项目的描述</w:t>
            </w:r>
          </w:p>
        </w:tc>
        <w:tc>
          <w:tcPr>
            <w:tcW w:w="1914" w:type="pct"/>
            <w:vAlign w:val="center"/>
          </w:tcPr>
          <w:p w14:paraId="000E4E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是否符合企业的实际</w:t>
            </w:r>
          </w:p>
        </w:tc>
        <w:tc>
          <w:tcPr>
            <w:tcW w:w="964" w:type="pct"/>
            <w:vAlign w:val="center"/>
          </w:tcPr>
          <w:p w14:paraId="787F12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64D38E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6B9FB18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1C2E92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4</w:t>
            </w:r>
          </w:p>
        </w:tc>
        <w:tc>
          <w:tcPr>
            <w:tcW w:w="1233" w:type="pct"/>
            <w:vAlign w:val="center"/>
          </w:tcPr>
          <w:p w14:paraId="1AFD6C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危险有害因素的分析</w:t>
            </w:r>
          </w:p>
        </w:tc>
        <w:tc>
          <w:tcPr>
            <w:tcW w:w="1914" w:type="pct"/>
            <w:vAlign w:val="center"/>
          </w:tcPr>
          <w:p w14:paraId="4BA9B1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是否符合项目的实际</w:t>
            </w:r>
          </w:p>
        </w:tc>
        <w:tc>
          <w:tcPr>
            <w:tcW w:w="964" w:type="pct"/>
            <w:vAlign w:val="center"/>
          </w:tcPr>
          <w:p w14:paraId="5CACA8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69FEC2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466081C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669BD2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5</w:t>
            </w:r>
          </w:p>
        </w:tc>
        <w:tc>
          <w:tcPr>
            <w:tcW w:w="1233" w:type="pct"/>
            <w:vAlign w:val="center"/>
          </w:tcPr>
          <w:p w14:paraId="01FA03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危险有害程度的分析</w:t>
            </w:r>
          </w:p>
        </w:tc>
        <w:tc>
          <w:tcPr>
            <w:tcW w:w="1914" w:type="pct"/>
            <w:vAlign w:val="center"/>
          </w:tcPr>
          <w:p w14:paraId="78D690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是否符合项目的实际</w:t>
            </w:r>
          </w:p>
        </w:tc>
        <w:tc>
          <w:tcPr>
            <w:tcW w:w="964" w:type="pct"/>
            <w:vAlign w:val="center"/>
          </w:tcPr>
          <w:p w14:paraId="2968A9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7F7E22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4D149D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7F5EBC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6</w:t>
            </w:r>
          </w:p>
        </w:tc>
        <w:tc>
          <w:tcPr>
            <w:tcW w:w="1233" w:type="pct"/>
            <w:vAlign w:val="center"/>
          </w:tcPr>
          <w:p w14:paraId="1F097D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建设项目安全条件分析</w:t>
            </w:r>
          </w:p>
        </w:tc>
        <w:tc>
          <w:tcPr>
            <w:tcW w:w="1914" w:type="pct"/>
            <w:vAlign w:val="center"/>
          </w:tcPr>
          <w:p w14:paraId="16AF8B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是否符合实际和客观公正</w:t>
            </w:r>
          </w:p>
        </w:tc>
        <w:tc>
          <w:tcPr>
            <w:tcW w:w="964" w:type="pct"/>
            <w:vAlign w:val="center"/>
          </w:tcPr>
          <w:p w14:paraId="56F12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5102B8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589800C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388054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7</w:t>
            </w:r>
          </w:p>
        </w:tc>
        <w:tc>
          <w:tcPr>
            <w:tcW w:w="1233" w:type="pct"/>
            <w:vAlign w:val="center"/>
          </w:tcPr>
          <w:p w14:paraId="3A033E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建设项目安全生产条件分析</w:t>
            </w:r>
          </w:p>
        </w:tc>
        <w:tc>
          <w:tcPr>
            <w:tcW w:w="1914" w:type="pct"/>
            <w:vAlign w:val="center"/>
          </w:tcPr>
          <w:p w14:paraId="5637AA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是否符合实际和客观公正</w:t>
            </w:r>
          </w:p>
        </w:tc>
        <w:tc>
          <w:tcPr>
            <w:tcW w:w="964" w:type="pct"/>
            <w:vAlign w:val="center"/>
          </w:tcPr>
          <w:p w14:paraId="760287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61FF92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4B38693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106228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8</w:t>
            </w:r>
          </w:p>
        </w:tc>
        <w:tc>
          <w:tcPr>
            <w:tcW w:w="1233" w:type="pct"/>
            <w:vAlign w:val="center"/>
          </w:tcPr>
          <w:p w14:paraId="6AC038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安全可靠性分析</w:t>
            </w:r>
          </w:p>
        </w:tc>
        <w:tc>
          <w:tcPr>
            <w:tcW w:w="1914" w:type="pct"/>
            <w:vAlign w:val="center"/>
          </w:tcPr>
          <w:p w14:paraId="3AD76C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是否符合建设项目的实际和客观公正</w:t>
            </w:r>
          </w:p>
        </w:tc>
        <w:tc>
          <w:tcPr>
            <w:tcW w:w="964" w:type="pct"/>
            <w:vAlign w:val="center"/>
          </w:tcPr>
          <w:p w14:paraId="14D5C9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5C801B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59BFA30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1F9374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9</w:t>
            </w:r>
          </w:p>
        </w:tc>
        <w:tc>
          <w:tcPr>
            <w:tcW w:w="1233" w:type="pct"/>
            <w:vAlign w:val="center"/>
          </w:tcPr>
          <w:p w14:paraId="400884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安全对策措施建议</w:t>
            </w:r>
          </w:p>
        </w:tc>
        <w:tc>
          <w:tcPr>
            <w:tcW w:w="1914" w:type="pct"/>
            <w:vAlign w:val="center"/>
          </w:tcPr>
          <w:p w14:paraId="104FEB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是否符合建设项目实际、遵循针对性、技术可行性和经济合理性</w:t>
            </w:r>
          </w:p>
        </w:tc>
        <w:tc>
          <w:tcPr>
            <w:tcW w:w="964" w:type="pct"/>
            <w:vAlign w:val="center"/>
          </w:tcPr>
          <w:p w14:paraId="7366FE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711572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43739C6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537E44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10</w:t>
            </w:r>
          </w:p>
        </w:tc>
        <w:tc>
          <w:tcPr>
            <w:tcW w:w="1233" w:type="pct"/>
            <w:vAlign w:val="center"/>
          </w:tcPr>
          <w:p w14:paraId="594741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评价结论</w:t>
            </w:r>
          </w:p>
        </w:tc>
        <w:tc>
          <w:tcPr>
            <w:tcW w:w="1914" w:type="pct"/>
            <w:vAlign w:val="center"/>
          </w:tcPr>
          <w:p w14:paraId="1DAB4E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是否客观、公正、真实，是否符合</w:t>
            </w:r>
          </w:p>
          <w:p w14:paraId="7E863F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企业的实际</w:t>
            </w:r>
          </w:p>
        </w:tc>
        <w:tc>
          <w:tcPr>
            <w:tcW w:w="964" w:type="pct"/>
            <w:vAlign w:val="center"/>
          </w:tcPr>
          <w:p w14:paraId="13E231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25E2BD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4BF534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356" w:type="pct"/>
            <w:vAlign w:val="center"/>
          </w:tcPr>
          <w:p w14:paraId="6AF0A5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11</w:t>
            </w:r>
          </w:p>
        </w:tc>
        <w:tc>
          <w:tcPr>
            <w:tcW w:w="1233" w:type="pct"/>
            <w:vAlign w:val="center"/>
          </w:tcPr>
          <w:p w14:paraId="1BB218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安全评价过程</w:t>
            </w:r>
          </w:p>
        </w:tc>
        <w:tc>
          <w:tcPr>
            <w:tcW w:w="1914" w:type="pct"/>
            <w:vAlign w:val="center"/>
          </w:tcPr>
          <w:p w14:paraId="6FDD7E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是否公正、客观和独立。</w:t>
            </w:r>
          </w:p>
        </w:tc>
        <w:tc>
          <w:tcPr>
            <w:tcW w:w="964" w:type="pct"/>
            <w:vAlign w:val="center"/>
          </w:tcPr>
          <w:p w14:paraId="31CE16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4"/>
                <w:lang w:val="en-US" w:eastAsia="zh-CN" w:bidi="ar-SA"/>
              </w:rPr>
            </w:pPr>
            <w:r>
              <w:rPr>
                <w:rFonts w:hint="default" w:ascii="Times New Roman" w:hAnsi="Times New Roman" w:eastAsia="宋体" w:cs="Times New Roman"/>
                <w:bCs/>
                <w:color w:val="auto"/>
                <w:kern w:val="2"/>
                <w:sz w:val="21"/>
                <w:szCs w:val="24"/>
                <w:lang w:val="en-US" w:eastAsia="zh-CN" w:bidi="ar-SA"/>
              </w:rPr>
              <w:t>□是   □否</w:t>
            </w:r>
          </w:p>
        </w:tc>
        <w:tc>
          <w:tcPr>
            <w:tcW w:w="531" w:type="pct"/>
            <w:vAlign w:val="center"/>
          </w:tcPr>
          <w:p w14:paraId="2FD8A8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410DBE5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5000" w:type="pct"/>
            <w:gridSpan w:val="5"/>
            <w:vAlign w:val="center"/>
          </w:tcPr>
          <w:p w14:paraId="62DB1F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评价机构与建设单位不一致的意见及理由说明</w:t>
            </w:r>
          </w:p>
        </w:tc>
      </w:tr>
      <w:tr w14:paraId="65E1BC6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5000" w:type="pct"/>
            <w:gridSpan w:val="5"/>
            <w:vAlign w:val="center"/>
          </w:tcPr>
          <w:p w14:paraId="1DAB0F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59B31E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34CFF4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3AA84C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191564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tc>
      </w:tr>
      <w:tr w14:paraId="22A9DF4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5000" w:type="pct"/>
            <w:gridSpan w:val="5"/>
            <w:tcBorders>
              <w:top w:val="single" w:color="000000" w:sz="6" w:space="0"/>
            </w:tcBorders>
            <w:vAlign w:val="center"/>
          </w:tcPr>
          <w:p w14:paraId="3A242A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341538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企业确认：</w:t>
            </w:r>
          </w:p>
          <w:p w14:paraId="5B8D93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38B911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5CEE43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（盖章）</w:t>
            </w:r>
          </w:p>
          <w:p w14:paraId="303514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p>
          <w:p w14:paraId="6F4F4A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val="0"/>
                <w:color w:val="auto"/>
                <w:kern w:val="2"/>
                <w:sz w:val="21"/>
                <w:szCs w:val="24"/>
                <w:lang w:val="en-US" w:eastAsia="zh-CN" w:bidi="ar-SA"/>
              </w:rPr>
            </w:pPr>
            <w:r>
              <w:rPr>
                <w:rFonts w:hint="default" w:ascii="Times New Roman" w:hAnsi="Times New Roman" w:eastAsia="宋体" w:cs="Times New Roman"/>
                <w:bCs w:val="0"/>
                <w:color w:val="auto"/>
                <w:kern w:val="2"/>
                <w:sz w:val="21"/>
                <w:szCs w:val="24"/>
                <w:lang w:val="en-US" w:eastAsia="zh-CN" w:bidi="ar-SA"/>
              </w:rPr>
              <w:t xml:space="preserve">                                                         年      月     日</w:t>
            </w:r>
          </w:p>
        </w:tc>
      </w:tr>
    </w:tbl>
    <w:p w14:paraId="021A173E">
      <w:pPr>
        <w:ind w:left="0" w:leftChars="0" w:firstLine="0" w:firstLineChars="0"/>
        <w:rPr>
          <w:rFonts w:hint="default" w:ascii="Times New Roman" w:hAnsi="Times New Roman" w:eastAsia="仿宋" w:cs="Times New Roman"/>
          <w:b/>
          <w:color w:val="auto"/>
          <w:spacing w:val="0"/>
          <w:kern w:val="2"/>
          <w:sz w:val="44"/>
          <w:szCs w:val="44"/>
        </w:rPr>
      </w:pPr>
    </w:p>
    <w:p w14:paraId="09B0CCDB">
      <w:pPr>
        <w:ind w:left="0" w:leftChars="0" w:firstLine="0" w:firstLineChars="0"/>
        <w:rPr>
          <w:rFonts w:hint="default" w:ascii="Times New Roman" w:hAnsi="Times New Roman" w:eastAsia="仿宋" w:cs="Times New Roman"/>
          <w:b/>
          <w:color w:val="auto"/>
          <w:spacing w:val="0"/>
          <w:kern w:val="2"/>
          <w:sz w:val="44"/>
          <w:szCs w:val="44"/>
        </w:rPr>
      </w:pPr>
    </w:p>
    <w:p w14:paraId="4C74631E">
      <w:pPr>
        <w:ind w:left="0" w:leftChars="0" w:firstLine="0" w:firstLineChars="0"/>
        <w:rPr>
          <w:rFonts w:hint="default" w:ascii="Times New Roman" w:hAnsi="Times New Roman" w:eastAsia="仿宋" w:cs="Times New Roman"/>
          <w:b/>
          <w:color w:val="auto"/>
          <w:spacing w:val="0"/>
          <w:kern w:val="2"/>
          <w:sz w:val="44"/>
          <w:szCs w:val="44"/>
        </w:rPr>
      </w:pPr>
    </w:p>
    <w:p w14:paraId="2A0A37E6">
      <w:pPr>
        <w:ind w:left="0" w:leftChars="0" w:firstLine="0" w:firstLineChars="0"/>
        <w:rPr>
          <w:rFonts w:hint="default" w:ascii="Times New Roman" w:hAnsi="Times New Roman" w:eastAsia="仿宋" w:cs="Times New Roman"/>
          <w:b/>
          <w:color w:val="auto"/>
          <w:spacing w:val="0"/>
          <w:kern w:val="2"/>
          <w:sz w:val="44"/>
          <w:szCs w:val="44"/>
        </w:rPr>
      </w:pPr>
      <w:r>
        <w:rPr>
          <w:rFonts w:hint="default" w:ascii="Times New Roman" w:hAnsi="Times New Roman" w:eastAsia="仿宋" w:cs="Times New Roman"/>
          <w:b/>
          <w:color w:val="auto"/>
          <w:spacing w:val="0"/>
          <w:kern w:val="2"/>
          <w:sz w:val="44"/>
          <w:szCs w:val="44"/>
        </w:rPr>
        <w:br w:type="page"/>
      </w:r>
    </w:p>
    <w:p w14:paraId="47A46BE8">
      <w:pPr>
        <w:rPr>
          <w:rFonts w:hint="default" w:ascii="Times New Roman" w:hAnsi="Times New Roman" w:eastAsia="仿宋" w:cs="Times New Roman"/>
          <w:b/>
          <w:color w:val="auto"/>
          <w:spacing w:val="0"/>
          <w:kern w:val="2"/>
          <w:sz w:val="44"/>
          <w:szCs w:val="44"/>
        </w:rPr>
      </w:pPr>
    </w:p>
    <w:p w14:paraId="2F9FC5B0">
      <w:pPr>
        <w:rPr>
          <w:rFonts w:hint="default" w:ascii="Times New Roman" w:hAnsi="Times New Roman" w:eastAsia="仿宋" w:cs="Times New Roman"/>
          <w:b/>
          <w:color w:val="auto"/>
          <w:spacing w:val="0"/>
          <w:kern w:val="2"/>
          <w:sz w:val="44"/>
          <w:szCs w:val="44"/>
        </w:rPr>
      </w:pPr>
    </w:p>
    <w:p w14:paraId="758EBA2C">
      <w:pPr>
        <w:keepNext w:val="0"/>
        <w:keepLines w:val="0"/>
        <w:pageBreakBefore w:val="0"/>
        <w:widowControl w:val="0"/>
        <w:kinsoku/>
        <w:wordWrap/>
        <w:overflowPunct/>
        <w:topLinePunct w:val="0"/>
        <w:autoSpaceDE/>
        <w:autoSpaceDN/>
        <w:bidi w:val="0"/>
        <w:snapToGrid w:val="0"/>
        <w:ind w:firstLine="0" w:firstLineChars="0"/>
        <w:jc w:val="center"/>
        <w:textAlignment w:val="auto"/>
        <w:rPr>
          <w:rFonts w:hint="default" w:ascii="Times New Roman" w:hAnsi="Times New Roman" w:eastAsia="仿宋" w:cs="Times New Roman"/>
          <w:b/>
          <w:color w:val="auto"/>
          <w:spacing w:val="0"/>
          <w:kern w:val="2"/>
          <w:sz w:val="44"/>
          <w:szCs w:val="44"/>
        </w:rPr>
      </w:pPr>
      <w:r>
        <w:rPr>
          <w:rFonts w:hint="default" w:ascii="Times New Roman" w:hAnsi="Times New Roman" w:eastAsia="仿宋" w:cs="Times New Roman"/>
          <w:b/>
          <w:color w:val="auto"/>
          <w:spacing w:val="0"/>
          <w:kern w:val="2"/>
          <w:sz w:val="44"/>
          <w:szCs w:val="44"/>
        </w:rPr>
        <w:t>中国石化股份有限公司</w:t>
      </w:r>
    </w:p>
    <w:p w14:paraId="393B68E7">
      <w:pPr>
        <w:keepNext w:val="0"/>
        <w:keepLines w:val="0"/>
        <w:pageBreakBefore w:val="0"/>
        <w:widowControl w:val="0"/>
        <w:kinsoku/>
        <w:wordWrap/>
        <w:overflowPunct/>
        <w:topLinePunct w:val="0"/>
        <w:autoSpaceDE/>
        <w:autoSpaceDN/>
        <w:bidi w:val="0"/>
        <w:snapToGrid w:val="0"/>
        <w:ind w:firstLine="0" w:firstLineChars="0"/>
        <w:jc w:val="center"/>
        <w:textAlignment w:val="auto"/>
        <w:rPr>
          <w:rFonts w:hint="default" w:ascii="Times New Roman" w:hAnsi="Times New Roman" w:eastAsia="仿宋" w:cs="Times New Roman"/>
          <w:b/>
          <w:color w:val="auto"/>
          <w:spacing w:val="0"/>
          <w:kern w:val="2"/>
          <w:sz w:val="44"/>
          <w:szCs w:val="44"/>
        </w:rPr>
      </w:pPr>
      <w:r>
        <w:rPr>
          <w:rFonts w:hint="default" w:ascii="Times New Roman" w:hAnsi="Times New Roman" w:eastAsia="仿宋" w:cs="Times New Roman"/>
          <w:b/>
          <w:color w:val="auto"/>
          <w:spacing w:val="0"/>
          <w:kern w:val="2"/>
          <w:sz w:val="44"/>
          <w:szCs w:val="44"/>
        </w:rPr>
        <w:t>胜利油田分公司石油化工总厂</w:t>
      </w:r>
    </w:p>
    <w:p w14:paraId="4043320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仿宋" w:cs="Times New Roman"/>
          <w:b/>
          <w:color w:val="auto"/>
          <w:sz w:val="52"/>
          <w:szCs w:val="52"/>
        </w:rPr>
      </w:pPr>
      <w:r>
        <w:rPr>
          <w:rFonts w:hint="default" w:ascii="Times New Roman" w:hAnsi="Times New Roman" w:eastAsia="仿宋" w:cs="Times New Roman"/>
          <w:b/>
          <w:color w:val="auto"/>
          <w:sz w:val="52"/>
          <w:szCs w:val="52"/>
        </w:rPr>
        <w:t>储运二部装卸车废气治理项目</w:t>
      </w:r>
    </w:p>
    <w:p w14:paraId="6B0F3F2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仿宋" w:cs="Times New Roman"/>
          <w:b/>
          <w:bCs/>
          <w:color w:val="auto"/>
          <w:sz w:val="52"/>
          <w:szCs w:val="52"/>
        </w:rPr>
      </w:pPr>
      <w:r>
        <w:rPr>
          <w:rFonts w:hint="eastAsia" w:ascii="Times New Roman" w:hAnsi="Times New Roman" w:eastAsia="仿宋" w:cs="Times New Roman"/>
          <w:b/>
          <w:bCs/>
          <w:color w:val="auto"/>
          <w:sz w:val="52"/>
          <w:szCs w:val="52"/>
          <w:lang w:val="en-US" w:eastAsia="zh-CN"/>
        </w:rPr>
        <w:t>安全预评价</w:t>
      </w:r>
      <w:r>
        <w:rPr>
          <w:rFonts w:hint="default" w:ascii="Times New Roman" w:hAnsi="Times New Roman" w:eastAsia="仿宋" w:cs="Times New Roman"/>
          <w:b/>
          <w:bCs/>
          <w:color w:val="auto"/>
          <w:sz w:val="52"/>
          <w:szCs w:val="52"/>
        </w:rPr>
        <w:t>报告</w:t>
      </w:r>
    </w:p>
    <w:p w14:paraId="2AE53151">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009E8AC1">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72"/>
          <w:szCs w:val="52"/>
        </w:rPr>
      </w:pPr>
      <w:r>
        <w:rPr>
          <w:rFonts w:hint="default" w:ascii="Times New Roman" w:hAnsi="Times New Roman" w:cs="Times New Roman"/>
          <w:b/>
          <w:color w:val="auto"/>
          <w:sz w:val="72"/>
          <w:szCs w:val="52"/>
        </w:rPr>
        <w:t>附    件</w:t>
      </w:r>
    </w:p>
    <w:p w14:paraId="26F1F0CF">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4068F882">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37982D02">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70766C83">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6A17CB45">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1ADB591D">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4ADD0BA7">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0171414C">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52"/>
          <w:szCs w:val="52"/>
        </w:rPr>
      </w:pPr>
    </w:p>
    <w:p w14:paraId="7E73C876">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color w:val="auto"/>
          <w:sz w:val="36"/>
          <w:szCs w:val="36"/>
        </w:rPr>
      </w:pPr>
      <w:r>
        <w:rPr>
          <w:rFonts w:hint="default" w:ascii="Times New Roman" w:hAnsi="Times New Roman" w:cs="Times New Roman"/>
          <w:b/>
          <w:color w:val="auto"/>
          <w:sz w:val="36"/>
          <w:szCs w:val="36"/>
          <w:lang w:val="en-US" w:eastAsia="zh-CN"/>
        </w:rPr>
        <w:t>山东实华</w:t>
      </w:r>
      <w:r>
        <w:rPr>
          <w:rFonts w:hint="default" w:ascii="Times New Roman" w:hAnsi="Times New Roman" w:cs="Times New Roman"/>
          <w:b/>
          <w:color w:val="auto"/>
          <w:sz w:val="36"/>
          <w:szCs w:val="36"/>
        </w:rPr>
        <w:t>安全技术有限公司</w:t>
      </w:r>
    </w:p>
    <w:p w14:paraId="344D7BB4">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Times New Roman" w:hAnsi="Times New Roman" w:cs="Times New Roman"/>
          <w:b/>
          <w:color w:val="auto"/>
          <w:kern w:val="0"/>
          <w:sz w:val="24"/>
        </w:rPr>
      </w:pPr>
    </w:p>
    <w:p w14:paraId="39DC2E8E">
      <w:pPr>
        <w:keepNext w:val="0"/>
        <w:keepLines w:val="0"/>
        <w:pageBreakBefore w:val="0"/>
        <w:widowControl w:val="0"/>
        <w:tabs>
          <w:tab w:val="left" w:pos="-34"/>
          <w:tab w:val="left" w:pos="140"/>
          <w:tab w:val="clear" w:pos="315"/>
        </w:tabs>
        <w:kinsoku/>
        <w:wordWrap/>
        <w:overflowPunct/>
        <w:topLinePunct w:val="0"/>
        <w:autoSpaceDE/>
        <w:autoSpaceDN/>
        <w:bidi w:val="0"/>
        <w:adjustRightInd w:val="0"/>
        <w:snapToGrid w:val="0"/>
        <w:spacing w:before="159" w:beforeLines="50" w:line="360" w:lineRule="auto"/>
        <w:ind w:firstLine="0" w:firstLineChars="0"/>
        <w:textAlignment w:val="auto"/>
        <w:rPr>
          <w:rFonts w:hint="default" w:ascii="Times New Roman" w:hAnsi="Times New Roman" w:cs="Times New Roman"/>
          <w:color w:val="auto"/>
          <w:spacing w:val="6"/>
          <w:sz w:val="28"/>
          <w:szCs w:val="28"/>
        </w:rPr>
      </w:pPr>
    </w:p>
    <w:p w14:paraId="54476272">
      <w:pPr>
        <w:keepNext w:val="0"/>
        <w:keepLines w:val="0"/>
        <w:pageBreakBefore w:val="0"/>
        <w:widowControl w:val="0"/>
        <w:kinsoku/>
        <w:wordWrap/>
        <w:overflowPunct/>
        <w:topLinePunct w:val="0"/>
        <w:autoSpaceDE/>
        <w:autoSpaceDN/>
        <w:bidi w:val="0"/>
        <w:adjustRightInd w:val="0"/>
        <w:snapToGrid w:val="0"/>
        <w:spacing w:line="360" w:lineRule="auto"/>
        <w:ind w:left="160" w:leftChars="57" w:firstLine="0" w:firstLineChars="0"/>
        <w:textAlignment w:val="auto"/>
        <w:rPr>
          <w:rFonts w:hint="default" w:ascii="Times New Roman" w:hAnsi="Times New Roman" w:cs="Times New Roman"/>
          <w:color w:val="auto"/>
          <w:sz w:val="28"/>
          <w:szCs w:val="28"/>
        </w:rPr>
      </w:pPr>
    </w:p>
    <w:p w14:paraId="4029671B">
      <w:pPr>
        <w:adjustRightInd w:val="0"/>
        <w:snapToGrid w:val="0"/>
        <w:spacing w:line="360" w:lineRule="auto"/>
        <w:ind w:left="160" w:leftChars="57" w:firstLine="560" w:firstLineChars="200"/>
        <w:rPr>
          <w:rFonts w:hint="default" w:ascii="Times New Roman" w:hAnsi="Times New Roman" w:cs="Times New Roman"/>
          <w:color w:val="auto"/>
          <w:sz w:val="28"/>
          <w:szCs w:val="28"/>
        </w:rPr>
      </w:pPr>
    </w:p>
    <w:p w14:paraId="7561B61D">
      <w:pPr>
        <w:adjustRightInd w:val="0"/>
        <w:snapToGrid w:val="0"/>
        <w:spacing w:line="360" w:lineRule="auto"/>
        <w:ind w:left="160" w:leftChars="57" w:firstLine="560" w:firstLineChars="200"/>
        <w:rPr>
          <w:rFonts w:hint="default" w:ascii="Times New Roman" w:hAnsi="Times New Roman" w:cs="Times New Roman"/>
          <w:color w:val="auto"/>
          <w:sz w:val="28"/>
          <w:szCs w:val="28"/>
        </w:rPr>
        <w:sectPr>
          <w:pgSz w:w="11906" w:h="16838"/>
          <w:pgMar w:top="1417" w:right="1134" w:bottom="1134" w:left="1587" w:header="851" w:footer="454" w:gutter="0"/>
          <w:pgBorders>
            <w:top w:val="none" w:sz="0" w:space="0"/>
            <w:left w:val="none" w:sz="0" w:space="0"/>
            <w:bottom w:val="none" w:sz="0" w:space="0"/>
            <w:right w:val="none" w:sz="0" w:space="0"/>
          </w:pgBorders>
          <w:cols w:space="720" w:num="1"/>
          <w:docGrid w:type="lines" w:linePitch="319" w:charSpace="0"/>
        </w:sectPr>
      </w:pPr>
    </w:p>
    <w:p w14:paraId="3EA01D00">
      <w:pPr>
        <w:pStyle w:val="17"/>
        <w:numPr>
          <w:ilvl w:val="0"/>
          <w:numId w:val="0"/>
        </w:numPr>
        <w:bidi w:val="0"/>
        <w:ind w:leftChars="0"/>
        <w:rPr>
          <w:rFonts w:hint="default" w:ascii="Times New Roman" w:hAnsi="Times New Roman" w:cs="Times New Roman"/>
          <w:color w:val="auto"/>
          <w:lang w:val="en-US" w:eastAsia="zh-CN"/>
        </w:rPr>
      </w:pPr>
      <w:bookmarkStart w:id="96" w:name="_Toc22276"/>
      <w:r>
        <w:rPr>
          <w:rFonts w:hint="default" w:ascii="Times New Roman" w:hAnsi="Times New Roman" w:cs="Times New Roman"/>
          <w:color w:val="auto"/>
          <w:lang w:val="en-US" w:eastAsia="zh-CN"/>
        </w:rPr>
        <w:t>附件1 危险有害因素分析过程</w:t>
      </w:r>
      <w:bookmarkEnd w:id="96"/>
    </w:p>
    <w:p w14:paraId="46109947">
      <w:pPr>
        <w:pStyle w:val="3"/>
        <w:numPr>
          <w:ilvl w:val="1"/>
          <w:numId w:val="0"/>
        </w:numPr>
        <w:bidi w:val="0"/>
        <w:ind w:left="130" w:leftChars="0"/>
        <w:rPr>
          <w:rFonts w:hint="default" w:ascii="Times New Roman" w:hAnsi="Times New Roman" w:cs="Times New Roman"/>
          <w:color w:val="auto"/>
          <w:lang w:val="en-US" w:eastAsia="zh-CN"/>
        </w:rPr>
      </w:pPr>
      <w:bookmarkStart w:id="97" w:name="_Toc900"/>
      <w:r>
        <w:rPr>
          <w:rFonts w:hint="default" w:ascii="Times New Roman" w:hAnsi="Times New Roman" w:cs="Times New Roman"/>
          <w:color w:val="auto"/>
          <w:lang w:val="en-US" w:eastAsia="zh-CN"/>
        </w:rPr>
        <w:t>F1.1 主要危险、有害物质及其危险、危害特性</w:t>
      </w:r>
      <w:bookmarkEnd w:id="97"/>
    </w:p>
    <w:p w14:paraId="10C24DB4">
      <w:pPr>
        <w:pStyle w:val="6"/>
        <w:bidi w:val="0"/>
        <w:rPr>
          <w:rFonts w:hint="default" w:cs="Times New Roman"/>
          <w:color w:val="auto"/>
          <w:lang w:val="en-US" w:eastAsia="zh-CN"/>
        </w:rPr>
      </w:pPr>
      <w:r>
        <w:rPr>
          <w:rFonts w:hint="default" w:ascii="Times New Roman" w:hAnsi="Times New Roman" w:cs="Times New Roman"/>
          <w:color w:val="auto"/>
          <w:lang w:eastAsia="zh-CN"/>
        </w:rPr>
        <w:t>本</w:t>
      </w:r>
      <w:r>
        <w:rPr>
          <w:rFonts w:hint="eastAsia" w:cs="Times New Roman"/>
          <w:color w:val="auto"/>
          <w:lang w:val="en-US" w:eastAsia="zh-CN"/>
        </w:rPr>
        <w:t>项目</w:t>
      </w:r>
      <w:r>
        <w:rPr>
          <w:rFonts w:hint="default" w:ascii="Times New Roman" w:hAnsi="Times New Roman" w:cs="Times New Roman"/>
          <w:color w:val="auto"/>
          <w:lang w:val="en-US" w:eastAsia="zh-CN"/>
        </w:rPr>
        <w:t>生产过程中涉及的</w:t>
      </w:r>
      <w:r>
        <w:rPr>
          <w:rFonts w:hint="eastAsia" w:cs="Times New Roman"/>
          <w:color w:val="auto"/>
          <w:lang w:val="en-US" w:eastAsia="zh-CN"/>
        </w:rPr>
        <w:t>主要</w:t>
      </w:r>
      <w:r>
        <w:rPr>
          <w:rFonts w:hint="default" w:ascii="Times New Roman" w:hAnsi="Times New Roman" w:cs="Times New Roman"/>
          <w:color w:val="auto"/>
          <w:lang w:eastAsia="zh-CN"/>
        </w:rPr>
        <w:t>危险、有害物质为油气</w:t>
      </w:r>
      <w:r>
        <w:rPr>
          <w:rFonts w:hint="eastAsia" w:cs="Times New Roman"/>
          <w:color w:val="auto"/>
          <w:lang w:eastAsia="zh-CN"/>
        </w:rPr>
        <w:t>（</w:t>
      </w:r>
      <w:r>
        <w:rPr>
          <w:rFonts w:hint="eastAsia" w:cs="Times New Roman"/>
          <w:color w:val="auto"/>
          <w:lang w:val="en-US" w:eastAsia="zh-CN"/>
        </w:rPr>
        <w:t>主要成分就是甲烷、非甲烷总烃、苯系物、MTBE、硫化氢等</w:t>
      </w:r>
      <w:r>
        <w:rPr>
          <w:rFonts w:hint="eastAsia" w:cs="Times New Roman"/>
          <w:color w:val="auto"/>
          <w:lang w:eastAsia="zh-CN"/>
        </w:rPr>
        <w:t>）、柴油、</w:t>
      </w:r>
      <w:r>
        <w:rPr>
          <w:rFonts w:hint="default" w:ascii="Times New Roman" w:hAnsi="Times New Roman" w:cs="Times New Roman"/>
          <w:color w:val="auto"/>
          <w:lang w:eastAsia="zh-CN"/>
        </w:rPr>
        <w:t>压缩氮气</w:t>
      </w:r>
      <w:r>
        <w:rPr>
          <w:rFonts w:hint="eastAsia" w:cs="Times New Roman"/>
          <w:color w:val="auto"/>
          <w:lang w:eastAsia="zh-CN"/>
        </w:rPr>
        <w:t>、</w:t>
      </w:r>
      <w:r>
        <w:rPr>
          <w:rFonts w:hint="default" w:ascii="Times New Roman" w:hAnsi="Times New Roman" w:cs="Times New Roman"/>
          <w:color w:val="auto"/>
          <w:lang w:eastAsia="zh-CN"/>
        </w:rPr>
        <w:t>氟利昂R22</w:t>
      </w:r>
      <w:r>
        <w:rPr>
          <w:rFonts w:hint="eastAsia" w:cs="Times New Roman"/>
          <w:color w:val="auto"/>
          <w:lang w:val="en-US" w:eastAsia="zh-CN"/>
        </w:rPr>
        <w:t>等，其中</w:t>
      </w:r>
      <w:r>
        <w:rPr>
          <w:rFonts w:hint="default" w:ascii="Times New Roman" w:hAnsi="Times New Roman" w:cs="Times New Roman"/>
          <w:color w:val="auto"/>
          <w:lang w:eastAsia="zh-CN"/>
        </w:rPr>
        <w:t>苯、</w:t>
      </w:r>
      <w:r>
        <w:rPr>
          <w:rFonts w:hint="default" w:ascii="Times New Roman" w:hAnsi="Times New Roman" w:cs="Times New Roman"/>
          <w:color w:val="auto"/>
          <w:lang w:val="en-US" w:eastAsia="zh-CN"/>
        </w:rPr>
        <w:t>柴油、</w:t>
      </w:r>
      <w:r>
        <w:rPr>
          <w:rFonts w:hint="default" w:ascii="Times New Roman" w:hAnsi="Times New Roman" w:cs="Times New Roman"/>
          <w:color w:val="auto"/>
          <w:lang w:eastAsia="zh-CN"/>
        </w:rPr>
        <w:t>硫化氢、甲烷、甲苯、</w:t>
      </w:r>
      <w:r>
        <w:rPr>
          <w:rFonts w:hint="default" w:ascii="Times New Roman" w:hAnsi="Times New Roman" w:cs="Times New Roman"/>
          <w:color w:val="auto"/>
          <w:lang w:val="en-US" w:eastAsia="zh-CN"/>
        </w:rPr>
        <w:t>二甲苯、</w:t>
      </w:r>
      <w:r>
        <w:rPr>
          <w:rFonts w:hint="eastAsia" w:cs="Times New Roman"/>
          <w:color w:val="auto"/>
          <w:lang w:val="en-US" w:eastAsia="zh-CN"/>
        </w:rPr>
        <w:t>MTBE、</w:t>
      </w:r>
      <w:r>
        <w:rPr>
          <w:rFonts w:hint="default" w:ascii="Times New Roman" w:hAnsi="Times New Roman" w:cs="Times New Roman"/>
          <w:color w:val="auto"/>
          <w:lang w:eastAsia="zh-CN"/>
        </w:rPr>
        <w:t>压缩氮气、氟利昂R22</w:t>
      </w:r>
      <w:r>
        <w:rPr>
          <w:rFonts w:hint="eastAsia" w:cs="Times New Roman"/>
          <w:color w:val="auto"/>
          <w:lang w:val="en-US" w:eastAsia="zh-CN"/>
        </w:rPr>
        <w:t>属于</w:t>
      </w:r>
      <w:r>
        <w:rPr>
          <w:rFonts w:hint="default" w:ascii="Times New Roman" w:hAnsi="Times New Roman" w:cs="Times New Roman"/>
          <w:color w:val="auto"/>
          <w:lang w:val="en-US" w:eastAsia="zh-CN"/>
        </w:rPr>
        <w:t>《危险化学品目录（2015年版）》（原国家安全生产监督管理局等十部门公告2015年第5号，应急管理部</w:t>
      </w:r>
      <w:r>
        <w:rPr>
          <w:rFonts w:hint="default" w:ascii="Times New Roman" w:hAnsi="Times New Roman" w:cs="Times New Roman"/>
          <w:color w:val="auto"/>
          <w:lang w:eastAsia="zh-CN"/>
        </w:rPr>
        <w:t>等十部委公告</w:t>
      </w:r>
      <w:r>
        <w:rPr>
          <w:rFonts w:hint="default" w:ascii="Times New Roman" w:hAnsi="Times New Roman" w:cs="Times New Roman"/>
          <w:color w:val="auto"/>
          <w:lang w:val="en-US" w:eastAsia="zh-CN"/>
        </w:rPr>
        <w:t>2022</w:t>
      </w:r>
      <w:r>
        <w:rPr>
          <w:rFonts w:hint="default" w:ascii="Times New Roman" w:hAnsi="Times New Roman" w:cs="Times New Roman"/>
          <w:color w:val="auto"/>
          <w:lang w:eastAsia="zh-CN"/>
        </w:rPr>
        <w:t>年第</w:t>
      </w:r>
      <w:r>
        <w:rPr>
          <w:rFonts w:hint="default" w:ascii="Times New Roman" w:hAnsi="Times New Roman" w:cs="Times New Roman"/>
          <w:color w:val="auto"/>
          <w:lang w:val="en-US" w:eastAsia="zh-CN"/>
        </w:rPr>
        <w:t>8</w:t>
      </w:r>
      <w:r>
        <w:rPr>
          <w:rFonts w:hint="default" w:ascii="Times New Roman" w:hAnsi="Times New Roman" w:cs="Times New Roman"/>
          <w:color w:val="auto"/>
          <w:lang w:eastAsia="zh-CN"/>
        </w:rPr>
        <w:t>号</w:t>
      </w:r>
      <w:r>
        <w:rPr>
          <w:rFonts w:hint="default" w:ascii="Times New Roman" w:hAnsi="Times New Roman" w:cs="Times New Roman"/>
          <w:color w:val="auto"/>
          <w:lang w:val="en-US" w:eastAsia="zh-CN"/>
        </w:rPr>
        <w:t>）</w:t>
      </w:r>
      <w:r>
        <w:rPr>
          <w:rFonts w:hint="eastAsia" w:cs="Times New Roman"/>
          <w:color w:val="auto"/>
          <w:lang w:val="en-US" w:eastAsia="zh-CN"/>
        </w:rPr>
        <w:t>规定的危险化学品。</w:t>
      </w:r>
    </w:p>
    <w:p w14:paraId="5EF7661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主要危险、有害物质的危险、有害特性、理化性能参数等如下（数据来源于来源于企业提供资料</w:t>
      </w:r>
      <w:r>
        <w:rPr>
          <w:rFonts w:hint="eastAsia" w:ascii="Times New Roman" w:hAnsi="Times New Roman" w:cs="Times New Roman"/>
          <w:color w:val="auto"/>
          <w:lang w:val="en-US" w:eastAsia="zh-CN"/>
        </w:rPr>
        <w:t>及</w:t>
      </w:r>
      <w:r>
        <w:rPr>
          <w:rFonts w:hint="default" w:ascii="Times New Roman" w:hAnsi="Times New Roman" w:cs="Times New Roman"/>
          <w:color w:val="auto"/>
          <w:lang w:val="en-US" w:eastAsia="zh-CN"/>
        </w:rPr>
        <w:t>国家危险化学品安全公共服务互联网平台）：</w:t>
      </w:r>
    </w:p>
    <w:p w14:paraId="4263CFFF">
      <w:pPr>
        <w:pStyle w:val="6"/>
        <w:bidi w:val="0"/>
        <w:rPr>
          <w:rFonts w:hint="default" w:ascii="Times New Roman" w:hAnsi="Times New Roman" w:cs="Times New Roman"/>
          <w:color w:val="auto"/>
          <w:lang w:val="en-US" w:eastAsia="zh-CN"/>
        </w:rPr>
      </w:pPr>
      <w:r>
        <w:rPr>
          <w:rFonts w:hint="eastAsia"/>
          <w:b/>
          <w:bCs/>
        </w:rPr>
        <w:t>涉及企业机密，不予公开。</w:t>
      </w:r>
    </w:p>
    <w:p w14:paraId="0471CA66">
      <w:pPr>
        <w:pStyle w:val="3"/>
        <w:numPr>
          <w:ilvl w:val="1"/>
          <w:numId w:val="0"/>
        </w:numPr>
        <w:bidi w:val="0"/>
        <w:ind w:left="130" w:leftChars="0"/>
        <w:rPr>
          <w:rFonts w:hint="default" w:ascii="Times New Roman" w:hAnsi="Times New Roman" w:cs="Times New Roman"/>
          <w:color w:val="auto"/>
          <w:lang w:val="en-US" w:eastAsia="zh-CN"/>
        </w:rPr>
      </w:pPr>
      <w:bookmarkStart w:id="98" w:name="_Toc20315"/>
      <w:r>
        <w:rPr>
          <w:rFonts w:hint="default" w:ascii="Times New Roman" w:hAnsi="Times New Roman" w:cs="Times New Roman"/>
          <w:color w:val="auto"/>
          <w:lang w:val="en-US" w:eastAsia="zh-CN"/>
        </w:rPr>
        <w:t>F1.2 建设项目危险有害因素分析</w:t>
      </w:r>
      <w:bookmarkEnd w:id="98"/>
    </w:p>
    <w:p w14:paraId="7119D71E">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F1.2.1 项目施工过程中危险、有害因素分析</w:t>
      </w:r>
    </w:p>
    <w:p w14:paraId="1C10A4B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该项目施工过程中主要存在的危险有害因素如下：</w:t>
      </w:r>
    </w:p>
    <w:p w14:paraId="04A51B3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（1）火灾</w:t>
      </w:r>
    </w:p>
    <w:p w14:paraId="1519070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施工过程中，电气线路过载、短路，会使可燃绝缘层燃烧而引起火灾。短路时在短路处可产生高达700℃的火花，甚至产生6000℃的电弧，不仅会使金属导线熔化和绝缘材料燃烧，还会引起附近可燃物着火。电气线路接触电阻过大，使金属导线变色甚至熔化，严重时引起附近的可燃物着火造成火灾事故。</w:t>
      </w:r>
    </w:p>
    <w:p w14:paraId="2EF6390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（2）触电</w:t>
      </w:r>
    </w:p>
    <w:p w14:paraId="26C9523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在施工过程中，若电气、设备设施外壳没有保护接地，会发生漏电事故或短路，接线头外露等未能及时发现和整改，可能造成触电事故的发生。若作业人员不按照</w:t>
      </w:r>
      <w:r>
        <w:rPr>
          <w:rFonts w:hint="eastAsia" w:cs="Times New Roman"/>
          <w:color w:val="auto"/>
          <w:lang w:val="en-US" w:eastAsia="zh-CN"/>
        </w:rPr>
        <w:t>“</w:t>
      </w:r>
      <w:r>
        <w:rPr>
          <w:rFonts w:hint="default" w:ascii="Times New Roman" w:hAnsi="Times New Roman" w:cs="Times New Roman"/>
          <w:color w:val="auto"/>
          <w:lang w:val="en-US" w:eastAsia="zh-CN"/>
        </w:rPr>
        <w:t>电气安全操作规程</w:t>
      </w:r>
      <w:r>
        <w:rPr>
          <w:rFonts w:hint="eastAsia" w:cs="Times New Roman"/>
          <w:color w:val="auto"/>
          <w:lang w:val="en-US" w:eastAsia="zh-CN"/>
        </w:rPr>
        <w:t>”</w:t>
      </w:r>
      <w:r>
        <w:rPr>
          <w:rFonts w:hint="default" w:ascii="Times New Roman" w:hAnsi="Times New Roman" w:cs="Times New Roman"/>
          <w:color w:val="auto"/>
          <w:lang w:val="en-US" w:eastAsia="zh-CN"/>
        </w:rPr>
        <w:t>进行操作电气设备或缺乏安全用电知识，可能造成触电事故的发生。作业人员违章作业、误操作，没有按规定办理停电手续，非电工作业人员装修电器设备和线路，检修前不进行验电及悬挂标识牌，或电工日常作业时不穿绝缘鞋、安全用具选用不当（过期或不合格）极易发生触电事故。</w:t>
      </w:r>
    </w:p>
    <w:p w14:paraId="6D54F73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（3）高处坠落、物体打击</w:t>
      </w:r>
    </w:p>
    <w:p w14:paraId="3B9F46A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施工过程中存在高处作业和交叉作业，若管理不善，违章作业，不按规定系安全带、戴安全帽，有可能发生高处坠落、物体打击。</w:t>
      </w:r>
    </w:p>
    <w:p w14:paraId="2AFABDB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（4）中毒和窒息</w:t>
      </w:r>
    </w:p>
    <w:p w14:paraId="3DA52F0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本评价施工过程涉及到焊接用的切割气，吹扫等物质，开车、管道、设备安装检修过程若置换不彻底或通风不良，作业时间过长可能中毒窒息。人员在进入密闭容器中作业时，如不注意个人防护可引起中毒。</w:t>
      </w:r>
    </w:p>
    <w:p w14:paraId="2175311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（5）其它伤害</w:t>
      </w:r>
    </w:p>
    <w:p w14:paraId="06D590C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施工过程中还存在车辆伤害、噪声、人员被挤压、砸伤、划伤等危险有害因素。</w:t>
      </w:r>
    </w:p>
    <w:p w14:paraId="7903D57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建筑施工过程中，机械设备较多，某些设备的快速移动部件，摆动部件、啮合部件等零部件若安装不牢、防护装置不完善或作业人员不按操作规程进行作业等潜在危险均会导致机械伤害事故，特别是设备中的旋转、往复、滑动部件会直接造成人员被刮、夹击、碰撞、剪切等伤害。</w:t>
      </w:r>
    </w:p>
    <w:p w14:paraId="4C01EBE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企业应与外来施工队伍签定安全协议，加强监督管理，严格执行各项作业票据管理制度，确保安全施工。</w:t>
      </w:r>
    </w:p>
    <w:p w14:paraId="641724AB">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F1.2.2 项目运营过程的危险、有害因素辨识与分析</w:t>
      </w:r>
    </w:p>
    <w:p w14:paraId="7DDAC79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参照《企业职工伤亡事故分类》（GB/T6441-1986），并结合《生产过程危险和有害因素分类与代码》（GB/T13861-20</w:t>
      </w:r>
      <w:r>
        <w:rPr>
          <w:rFonts w:hint="default" w:ascii="Times New Roman" w:hAnsi="Times New Roman" w:cs="Times New Roman"/>
          <w:color w:val="auto"/>
          <w:lang w:eastAsia="zh-CN"/>
        </w:rPr>
        <w:t>22</w:t>
      </w:r>
      <w:r>
        <w:rPr>
          <w:rFonts w:hint="default" w:ascii="Times New Roman" w:hAnsi="Times New Roman" w:cs="Times New Roman"/>
          <w:color w:val="auto"/>
          <w:lang w:val="en-US" w:eastAsia="zh-CN"/>
        </w:rPr>
        <w:t>），综合考虑起因物、引起事故的诱导性原因、致害物、伤害方式等，对经营储存过程可能存在的主要危险、有害因素及进行辨识与分析。</w:t>
      </w:r>
    </w:p>
    <w:p w14:paraId="17DEB4FC">
      <w:pPr>
        <w:pStyle w:val="6"/>
        <w:bidi w:val="0"/>
        <w:jc w:val="lef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该项目所涉及到的物料中，部分物料易燃易爆，根据火灾危险性分类，其中甲烷、硫化氢属于甲类，柴油属于</w:t>
      </w:r>
      <w:r>
        <w:rPr>
          <w:rFonts w:hint="default" w:ascii="Times New Roman" w:hAnsi="Times New Roman" w:eastAsia="宋体" w:cs="Times New Roman"/>
          <w:color w:val="auto"/>
          <w:lang w:val="en-US" w:eastAsia="zh-CN"/>
        </w:rPr>
        <w:t>乙</w:t>
      </w:r>
      <w:r>
        <w:rPr>
          <w:rFonts w:hint="default" w:ascii="Times New Roman" w:hAnsi="Times New Roman" w:eastAsia="宋体" w:cs="Times New Roman"/>
          <w:color w:val="auto"/>
          <w:vertAlign w:val="subscript"/>
          <w:lang w:val="en-US" w:eastAsia="zh-CN"/>
        </w:rPr>
        <w:t>A</w:t>
      </w:r>
      <w:r>
        <w:rPr>
          <w:rFonts w:hint="default" w:ascii="Times New Roman" w:hAnsi="Times New Roman" w:cs="Times New Roman"/>
          <w:color w:val="auto"/>
          <w:lang w:val="en-US" w:eastAsia="zh-CN"/>
        </w:rPr>
        <w:t>类</w:t>
      </w:r>
      <w:r>
        <w:rPr>
          <w:rFonts w:hint="eastAsia" w:cs="Times New Roman"/>
          <w:color w:val="auto"/>
          <w:lang w:val="en-US" w:eastAsia="zh-CN"/>
        </w:rPr>
        <w:t>，MTBE</w:t>
      </w:r>
      <w:r>
        <w:rPr>
          <w:rFonts w:hint="default" w:ascii="Times New Roman" w:hAnsi="Times New Roman" w:cs="Times New Roman"/>
          <w:color w:val="auto"/>
          <w:lang w:val="en-US" w:eastAsia="zh-CN"/>
        </w:rPr>
        <w:t>、甲苯、苯</w:t>
      </w:r>
      <w:r>
        <w:rPr>
          <w:rFonts w:hint="eastAsia" w:cs="Times New Roman"/>
          <w:color w:val="auto"/>
          <w:lang w:val="en-US" w:eastAsia="zh-CN"/>
        </w:rPr>
        <w:t>、二甲苯</w:t>
      </w:r>
      <w:r>
        <w:rPr>
          <w:rFonts w:hint="default" w:ascii="Times New Roman" w:hAnsi="Times New Roman" w:cs="Times New Roman"/>
          <w:color w:val="auto"/>
          <w:lang w:val="en-US" w:eastAsia="zh-CN"/>
        </w:rPr>
        <w:t>属于甲</w:t>
      </w:r>
      <w:r>
        <w:rPr>
          <w:rFonts w:hint="default" w:ascii="Times New Roman" w:hAnsi="Times New Roman" w:cs="Times New Roman"/>
          <w:color w:val="auto"/>
          <w:vertAlign w:val="subscript"/>
          <w:lang w:val="en-US" w:eastAsia="zh-CN"/>
        </w:rPr>
        <w:t>B</w:t>
      </w:r>
      <w:r>
        <w:rPr>
          <w:rFonts w:hint="default" w:ascii="Times New Roman" w:hAnsi="Times New Roman" w:cs="Times New Roman"/>
          <w:color w:val="auto"/>
          <w:lang w:val="en-US" w:eastAsia="zh-CN"/>
        </w:rPr>
        <w:t>类。</w:t>
      </w:r>
    </w:p>
    <w:p w14:paraId="0A7F8404">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（1）火灾爆炸</w:t>
      </w:r>
    </w:p>
    <w:p w14:paraId="301FBF8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正常的废气处理工艺是连续的工艺过程，系统中的管线、设备及各种附件构成一个密闭系统，若管理和操作不当，可能导致油气泄漏。发生火灾、爆炸是工艺过程中油气发生泄漏引起的，工艺过程中的油气具有易燃、易爆性，泄漏后遇点火源，可能发生火灾事故，若泄漏的油气与空气混合后，达到爆炸极限，形成爆炸性混合气体，遇点火源可能发生爆炸事故。发生泄漏的原因如下。</w:t>
      </w:r>
    </w:p>
    <w:p w14:paraId="746CE924">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1）事故发生部位分析</w:t>
      </w:r>
    </w:p>
    <w:p w14:paraId="415EA71B">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本项目工艺过程可能发生油气泄漏的部位有</w:t>
      </w:r>
      <w:r>
        <w:rPr>
          <w:rFonts w:hint="default" w:ascii="Times New Roman" w:hAnsi="Times New Roman" w:cs="Times New Roman"/>
          <w:color w:val="auto"/>
          <w:lang w:val="en-US" w:eastAsia="zh-CN"/>
        </w:rPr>
        <w:t>新建油气处理单元</w:t>
      </w:r>
      <w:r>
        <w:rPr>
          <w:rFonts w:hint="default" w:ascii="Times New Roman" w:hAnsi="Times New Roman" w:cs="Times New Roman"/>
          <w:color w:val="auto"/>
          <w:lang w:eastAsia="zh-CN"/>
        </w:rPr>
        <w:t>、工艺管线、管线设备连接处、安全附件等。</w:t>
      </w:r>
    </w:p>
    <w:p w14:paraId="44A9A9A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①</w:t>
      </w:r>
      <w:r>
        <w:rPr>
          <w:rFonts w:hint="default" w:ascii="Times New Roman" w:hAnsi="Times New Roman" w:cs="Times New Roman"/>
          <w:color w:val="auto"/>
          <w:lang w:val="en-US" w:eastAsia="zh-CN"/>
        </w:rPr>
        <w:t>新建油气回收及处理装置</w:t>
      </w:r>
      <w:r>
        <w:rPr>
          <w:rFonts w:hint="default" w:ascii="Times New Roman" w:hAnsi="Times New Roman" w:cs="Times New Roman"/>
          <w:color w:val="auto"/>
          <w:lang w:eastAsia="zh-CN"/>
        </w:rPr>
        <w:t>等设备和工艺管道的设计、选型、焊接不当，工艺操作压力波动，容易造成设备和管道超压、疲劳而导致容器、管道破裂，造成油气泄漏，遇火源可能引发火灾爆炸。</w:t>
      </w:r>
    </w:p>
    <w:p w14:paraId="7BC4D9B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②若温度、压力、计量、可燃气体检测报警等现场仪表设计、选型、使用和维护检验不当，仪表的故障或测量误差过大会造成误判断而造成设备、设施超压、超温运行，导致容器、管道破裂，造成油气泄漏，遇火源可能引发火灾爆炸。</w:t>
      </w:r>
    </w:p>
    <w:p w14:paraId="1D55D047">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③工艺操作是承压操作，系统中的管道、设备等均有出现超压的可能性，若其承压能力不够或超压保护失效时，有发生设备、设施爆裂的可能性；若系统的密封性失效，油气在压力作用下喷出，易发生火灾、爆炸事故。</w:t>
      </w:r>
    </w:p>
    <w:p w14:paraId="6160F28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④RTO装置在运行一段时间后，或因为VOCs含焦油、漆雾等粘性物质，或因为不完全燃烧，蓄热床层底部出现积聚、黏附现象，导致蓄热床层底部堵塞，VOCs进入炉体后聚积导致压力增高或串流，从而引发泄漏和火灾等安全事故。</w:t>
      </w:r>
    </w:p>
    <w:p w14:paraId="040FF1DB">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⑤在工艺操作中，操作人员由于自身技术水平不高或责任心不强，或管理过程由于安全制度不落实、安全教育不到位等导致误操作或违章操作、违章指挥，有可能引发设备仪表失效导致油气泄漏，遇火源可能引发火灾爆炸。</w:t>
      </w:r>
    </w:p>
    <w:p w14:paraId="5B671A3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⑥油气的输送的过滤器等未按规范要求接地，或接地装置失效，接地电阻过大，造成静电积聚而产生静电火花，可能导致泄漏天然气发生火灾爆炸。</w:t>
      </w:r>
    </w:p>
    <w:p w14:paraId="53AC2172">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⑦工艺管道防腐不规范，或管道因为杂散电流、电化腐蚀、静电等导致腐蚀加剧容易造成腐蚀穿孔，使油气泄漏，遇火源可能引发火灾爆炸。</w:t>
      </w:r>
    </w:p>
    <w:p w14:paraId="43043893">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⑧爆炸性气体环境的电气线路电缆沟敷设时沟内未充砂，敷设电气线路的沟道、电缆和钢管所穿过的不同区域之间墙的孔洞，未采用非燃性材料严密封堵，造成电缆沟内泄漏油气聚集，或泄漏的油气窜入设置非防爆仪表的房间，可能引发火灾爆炸。</w:t>
      </w:r>
    </w:p>
    <w:p w14:paraId="20F26CC1">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⑨可燃气体检测报警器安装不规范、保护半径不能全覆盖，或未按规定检测、维护而失灵，造成泄漏的可燃气体积聚而浓度超过了爆炸下限而不报警，导致火灾、爆炸。</w:t>
      </w:r>
    </w:p>
    <w:p w14:paraId="0CE94BF6">
      <w:pPr>
        <w:pStyle w:val="6"/>
        <w:bidi w:val="0"/>
        <w:rPr>
          <w:rFonts w:hint="default" w:ascii="Times New Roman" w:hAnsi="Times New Roman" w:cs="Times New Roman"/>
          <w:color w:val="auto"/>
          <w:lang w:eastAsia="zh-CN"/>
        </w:rPr>
      </w:pPr>
      <w:r>
        <w:rPr>
          <w:rFonts w:hint="eastAsia" w:ascii="Times New Roman" w:hAnsi="Times New Roman" w:cs="Times New Roman"/>
          <w:color w:val="auto"/>
          <w:lang w:eastAsia="zh-CN"/>
        </w:rPr>
        <w:t>⑩</w:t>
      </w:r>
      <w:r>
        <w:rPr>
          <w:rFonts w:hint="default" w:ascii="Times New Roman" w:hAnsi="Times New Roman" w:cs="Times New Roman"/>
          <w:color w:val="auto"/>
          <w:lang w:eastAsia="zh-CN"/>
        </w:rPr>
        <w:t>开车前、停车后整个生产系统内易燃易爆、有毒危险化学品没有整体置换，有因温度、压力等状态变化，造成生产系统内形成负压力，吸入空气形成爆炸性气体，从而引发火灾爆炸的危险。</w:t>
      </w:r>
    </w:p>
    <w:p w14:paraId="4283EAB4">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2）点火源分析</w:t>
      </w:r>
    </w:p>
    <w:p w14:paraId="1F1BA2F2">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①明火</w:t>
      </w:r>
    </w:p>
    <w:p w14:paraId="798F4F66">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运行、检修过程中，在装置区内焊接、切割等用火作业，打火机、火柴或点燃的烟头，汽车及其他机动车辆无防火帽时排出的尾气中夹带的火星、火焰等都为明火，违规使用电炉、火炉、喷灯、电热器、非防爆电器等设备。</w:t>
      </w:r>
    </w:p>
    <w:p w14:paraId="1F310162">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②静电火花</w:t>
      </w:r>
    </w:p>
    <w:p w14:paraId="3B542C48">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管道各支管输送时实际风速不同，在汇集点可能会造成局部气体紊流引起静电积聚，从而引发火灾、爆炸事故。</w:t>
      </w:r>
    </w:p>
    <w:p w14:paraId="6E39F9DE">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油气在管道内流动会产生静电聚集，如果管道和设备无防静电接地装置或防静电接地装置失灵，可能产生静电火花。</w:t>
      </w:r>
    </w:p>
    <w:p w14:paraId="545C8EF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运行、检修过程中进装置区人员未按规定着装、或在工作场所梳头、穿脱衣服等产生人体静电火花。</w:t>
      </w:r>
    </w:p>
    <w:p w14:paraId="5CBAC8E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③电气火花</w:t>
      </w:r>
    </w:p>
    <w:p w14:paraId="45A2C3C3">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配电系统电缆老化、短路，设备故障等产生电气火花；配电装置、电气设备等不符合防爆要求，电器设施开启或闭合时能产生电弧及电气火花。</w:t>
      </w:r>
    </w:p>
    <w:p w14:paraId="7EF5E18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④机械火花</w:t>
      </w:r>
    </w:p>
    <w:p w14:paraId="7B2659E1">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运行、检修过程中人员穿铁钉鞋、使用非防爆工具、清管作业时，装球不到位，通球杆撞击球桶等会产生碰撞火花。</w:t>
      </w:r>
    </w:p>
    <w:p w14:paraId="50B2B4D7">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⑤雷击</w:t>
      </w:r>
    </w:p>
    <w:p w14:paraId="3D48ED7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设备设施、建（构）筑物等的防雷设施（如避雷针、避雷网、防雷接地等）未设置或设置不符合要求、损坏等导致起不到防雷效果，直接雷、感应雷及雷电波等侵入引起火花。</w:t>
      </w:r>
    </w:p>
    <w:p w14:paraId="0F86A75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⑥其它起因</w:t>
      </w:r>
    </w:p>
    <w:p w14:paraId="4837F788">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运行、检修过程中其他起因包括人为蓄意破坏及自然灾害或其他不可抗拒突发因素等。</w:t>
      </w:r>
    </w:p>
    <w:p w14:paraId="798B7973">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（2）</w:t>
      </w:r>
      <w:r>
        <w:rPr>
          <w:rFonts w:hint="default" w:ascii="Times New Roman" w:hAnsi="Times New Roman" w:cs="Times New Roman"/>
          <w:color w:val="auto"/>
          <w:lang w:val="en-US" w:eastAsia="zh-CN"/>
        </w:rPr>
        <w:t>中毒和窒息</w:t>
      </w:r>
    </w:p>
    <w:p w14:paraId="65834915">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泄漏的油蒸汽具有一定的毒性，其蒸气可引起眼及上呼吸道刺激症状，如浓度过高，几分钟即可引起呼吸困难、紫绀等缺氧症状。吸入大量蒸气能引起神经麻痹，特别是在无风情况下油气容易聚集，更容易造成中毒和窒息事故。</w:t>
      </w:r>
    </w:p>
    <w:p w14:paraId="353C1D0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新建油气回收及处理装置</w:t>
      </w:r>
      <w:r>
        <w:rPr>
          <w:rFonts w:hint="default" w:ascii="Times New Roman" w:hAnsi="Times New Roman" w:cs="Times New Roman"/>
          <w:color w:val="auto"/>
          <w:lang w:eastAsia="zh-CN"/>
        </w:rPr>
        <w:t>存在材质、设计缺陷，可发生物理爆炸。装置进出口管线腐蚀穿孔或法兰螺栓松动、垫子刺坏，阀门损坏，容器腐蚀穿孔或焊缝破裂，导致未脱硫处理的油气泄漏，周围工作人员未及时疏散，应急救援人员应急防护措施不当或不完善，短时间大量吸入高浓度硫化氢，在短时间内发生中毒甚至可致死亡。</w:t>
      </w:r>
    </w:p>
    <w:p w14:paraId="629D73A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此外，在设备检修时，容器、设备、管线中油气未经吹扫，未经便携式硫化氢检测仪检测，如果浓度超标，可能造成人员中毒窒息，严重可能造成中毒死亡。另外，氮气具有窒息性，操作人员在无防护措施的情况下接触高浓度氮气，有发生窒息的可能性。</w:t>
      </w:r>
    </w:p>
    <w:p w14:paraId="5C1FF460">
      <w:pPr>
        <w:pStyle w:val="6"/>
        <w:bidi w:val="0"/>
        <w:rPr>
          <w:rFonts w:hint="default" w:ascii="Times New Roman" w:hAnsi="Times New Roman" w:cs="Times New Roman"/>
          <w:color w:val="auto"/>
          <w:lang w:val="en-US" w:eastAsia="zh-CN"/>
        </w:rPr>
      </w:pPr>
      <w:r>
        <w:rPr>
          <w:rFonts w:hint="eastAsia" w:cs="Times New Roman"/>
          <w:color w:val="auto"/>
          <w:lang w:eastAsia="zh-CN"/>
        </w:rPr>
        <w:t>（</w:t>
      </w:r>
      <w:r>
        <w:rPr>
          <w:rFonts w:hint="eastAsia" w:cs="Times New Roman"/>
          <w:color w:val="auto"/>
          <w:lang w:val="en-US" w:eastAsia="zh-CN"/>
        </w:rPr>
        <w:t>3</w:t>
      </w:r>
      <w:r>
        <w:rPr>
          <w:rFonts w:hint="eastAsia" w:cs="Times New Roman"/>
          <w:color w:val="auto"/>
          <w:lang w:eastAsia="zh-CN"/>
        </w:rPr>
        <w:t>）</w:t>
      </w:r>
      <w:r>
        <w:rPr>
          <w:rFonts w:hint="eastAsia" w:cs="Times New Roman"/>
          <w:color w:val="auto"/>
          <w:lang w:val="en-US" w:eastAsia="zh-CN"/>
        </w:rPr>
        <w:t>容器爆炸</w:t>
      </w:r>
    </w:p>
    <w:p w14:paraId="7B908B1B">
      <w:pPr>
        <w:pStyle w:val="6"/>
        <w:bidi w:val="0"/>
        <w:rPr>
          <w:rFonts w:hint="default" w:ascii="Times New Roman" w:hAnsi="Times New Roman" w:cs="Times New Roman"/>
          <w:color w:val="auto"/>
          <w:lang w:eastAsia="zh-CN"/>
        </w:rPr>
      </w:pPr>
      <w:r>
        <w:rPr>
          <w:rFonts w:hint="eastAsia" w:cs="Times New Roman"/>
          <w:color w:val="auto"/>
          <w:lang w:val="en-US" w:eastAsia="zh-CN"/>
        </w:rPr>
        <w:t>新增</w:t>
      </w:r>
      <w:r>
        <w:rPr>
          <w:rFonts w:hint="default" w:ascii="Times New Roman" w:hAnsi="Times New Roman" w:cs="Times New Roman"/>
          <w:color w:val="auto"/>
          <w:lang w:eastAsia="zh-CN"/>
        </w:rPr>
        <w:t>RTO</w:t>
      </w:r>
      <w:r>
        <w:rPr>
          <w:rFonts w:hint="eastAsia" w:cs="Times New Roman"/>
          <w:color w:val="auto"/>
          <w:lang w:val="en-US" w:eastAsia="zh-CN"/>
        </w:rPr>
        <w:t>装置</w:t>
      </w:r>
      <w:r>
        <w:rPr>
          <w:rFonts w:hint="default" w:ascii="Times New Roman" w:hAnsi="Times New Roman" w:cs="Times New Roman"/>
          <w:color w:val="auto"/>
          <w:lang w:eastAsia="zh-CN"/>
        </w:rPr>
        <w:t>的日常监控依靠炉膛内高温传感器进行反馈，若监控RTO炉膛内高温传感器反馈的炉膛温度仪发生故障，可能造成进气阀不能正常关闭，旁通阀不能及时打开，从而产生故障，严重时会造成RTO装置的爆炸。</w:t>
      </w:r>
    </w:p>
    <w:p w14:paraId="49C9B8B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若RTO装置的自动控制系统发生故障，造成RTQ装置不能有效控制，严重时会造成这个RTQ装置的爆炸。</w:t>
      </w:r>
    </w:p>
    <w:p w14:paraId="77BDDC4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若RTO装置的进气阀和旁通阀发生故障，在事故状态下不能有效控制RTO装置，严重时会造成RTQ装置的爆炸。</w:t>
      </w:r>
    </w:p>
    <w:p w14:paraId="7D64B07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eastAsia" w:cs="Times New Roman"/>
          <w:color w:val="auto"/>
          <w:lang w:val="en-US" w:eastAsia="zh-CN"/>
        </w:rPr>
        <w:t>4</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灼烫</w:t>
      </w:r>
    </w:p>
    <w:p w14:paraId="051B53DE">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贫柴油</w:t>
      </w:r>
      <w:r>
        <w:rPr>
          <w:rFonts w:hint="eastAsia" w:cs="Times New Roman"/>
          <w:color w:val="auto"/>
          <w:lang w:val="en-US" w:eastAsia="zh-CN"/>
        </w:rPr>
        <w:t>等</w:t>
      </w:r>
      <w:r>
        <w:rPr>
          <w:rFonts w:hint="default" w:ascii="Times New Roman" w:hAnsi="Times New Roman" w:cs="Times New Roman"/>
          <w:color w:val="auto"/>
          <w:lang w:eastAsia="zh-CN"/>
        </w:rPr>
        <w:t>高温管道温度较高，如连接法兰、阀门等因外力破坏、密封损坏等原因发生泄漏喷出，高温物料或蒸汽与人接触，会造成人员严重烫伤。</w:t>
      </w:r>
    </w:p>
    <w:p w14:paraId="02221339">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在设备检修过程中，如物料没有清洗处理干净，工人误接触亦会引起化学灼伤。</w:t>
      </w:r>
    </w:p>
    <w:p w14:paraId="5BC0E43F">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油气回收装置中设有螺杆</w:t>
      </w:r>
      <w:r>
        <w:rPr>
          <w:rFonts w:hint="default" w:ascii="Times New Roman" w:hAnsi="Times New Roman" w:cs="Times New Roman"/>
          <w:color w:val="auto"/>
          <w:lang w:val="en-US" w:eastAsia="zh-CN"/>
        </w:rPr>
        <w:t>式</w:t>
      </w:r>
      <w:r>
        <w:rPr>
          <w:rFonts w:hint="default" w:ascii="Times New Roman" w:hAnsi="Times New Roman" w:cs="Times New Roman"/>
          <w:color w:val="auto"/>
          <w:lang w:eastAsia="zh-CN"/>
        </w:rPr>
        <w:t>制冷机组，若冷冻介质泄漏，有造成工作人员冻伤的危险。若未采取有效防护措施，可能导致低温冻伤事故。患者出现行动迟缓、手足不便、反应迟钝，意识不清、判断力下降，有时会产生幻觉。轻度冻伤时，冷冻部位的皮肤发白、发硬，继后出现肿胀、疼痛。经日晒后，冻伤皮肤脱屑，偶尔面颊和耳的皮肤在几个月甚至几年内，对冷过敏。</w:t>
      </w:r>
    </w:p>
    <w:p w14:paraId="103F7A0C">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eastAsia" w:cs="Times New Roman"/>
          <w:color w:val="auto"/>
          <w:lang w:val="en-US" w:eastAsia="zh-CN"/>
        </w:rPr>
        <w:t>5</w:t>
      </w:r>
      <w:r>
        <w:rPr>
          <w:rFonts w:hint="default" w:ascii="Times New Roman" w:hAnsi="Times New Roman" w:cs="Times New Roman"/>
          <w:color w:val="auto"/>
          <w:lang w:eastAsia="zh-CN"/>
        </w:rPr>
        <w:t>）触电（电气系统的危险有害因素）</w:t>
      </w:r>
    </w:p>
    <w:p w14:paraId="1019BE40">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该项目运行过程中，使用一些电器设备，如机泵设备、照明灯具、电气仪表等，当这些用电设备和设施安装不规范，缺少接地接零、或接地接零损坏失效，操作人员又要频繁接触、操作电器设备设施，存在触电伤害的危险。设备在检修过程中，使用手持移动电动工具，又无漏电保护，手持电动工具漏电时，易发生触电伤害事故。需要沿地面铺设的临时线路无保护套管，线路绝缘损坏，接触人体时都会发生触电伤害事故。</w:t>
      </w:r>
    </w:p>
    <w:p w14:paraId="4470064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电气设备在雨季、潮湿、高温季节，易发生漏电造成人身触电事故。另外，潮湿的天气易腐蚀接地线造成接地不良或接地断路。特别在检修时，会因安全组织措施或安全技术措施不完备而造成触电事故。本项目生产过程中使用的腐蚀性物质会加速电气设备、线路绝缘层的老化；电气线路或电气设备安装、操作不当，保养不善及接地、接零损坏或失效等，也会导致电气设备绝缘性能降低或保护失效，其结果都有可能造成漏电，引起触电事故。</w:t>
      </w:r>
    </w:p>
    <w:p w14:paraId="1DE868B5">
      <w:pPr>
        <w:pStyle w:val="6"/>
        <w:bidi w:val="0"/>
        <w:rPr>
          <w:rFonts w:hint="eastAsia" w:cs="Times New Roman"/>
          <w:color w:val="auto"/>
          <w:lang w:val="en-US" w:eastAsia="zh-CN"/>
        </w:rPr>
      </w:pPr>
      <w:r>
        <w:rPr>
          <w:rFonts w:hint="eastAsia" w:cs="Times New Roman"/>
          <w:color w:val="auto"/>
          <w:lang w:eastAsia="zh-CN"/>
        </w:rPr>
        <w:t>（</w:t>
      </w:r>
      <w:r>
        <w:rPr>
          <w:rFonts w:hint="eastAsia" w:cs="Times New Roman"/>
          <w:color w:val="auto"/>
          <w:lang w:val="en-US" w:eastAsia="zh-CN"/>
        </w:rPr>
        <w:t>6</w:t>
      </w:r>
      <w:r>
        <w:rPr>
          <w:rFonts w:hint="eastAsia" w:cs="Times New Roman"/>
          <w:color w:val="auto"/>
          <w:lang w:eastAsia="zh-CN"/>
        </w:rPr>
        <w:t>）</w:t>
      </w:r>
      <w:r>
        <w:rPr>
          <w:rFonts w:hint="eastAsia" w:cs="Times New Roman"/>
          <w:color w:val="auto"/>
          <w:lang w:val="en-US" w:eastAsia="zh-CN"/>
        </w:rPr>
        <w:t>坍塌</w:t>
      </w:r>
    </w:p>
    <w:p w14:paraId="4D507739">
      <w:pPr>
        <w:pStyle w:val="6"/>
        <w:bidi w:val="0"/>
        <w:rPr>
          <w:rFonts w:hint="eastAsia" w:cs="Times New Roman"/>
          <w:color w:val="auto"/>
          <w:lang w:val="en-US" w:eastAsia="zh-CN"/>
        </w:rPr>
      </w:pPr>
      <w:r>
        <w:rPr>
          <w:rFonts w:hint="eastAsia" w:cs="Times New Roman"/>
          <w:color w:val="auto"/>
          <w:lang w:val="en-US" w:eastAsia="zh-CN"/>
        </w:rPr>
        <w:t>新增排气筒</w:t>
      </w:r>
      <w:r>
        <w:rPr>
          <w:rFonts w:hint="default" w:cs="Times New Roman"/>
          <w:color w:val="auto"/>
          <w:lang w:val="en-US" w:eastAsia="zh-CN"/>
        </w:rPr>
        <w:t>若未定期进行防腐保养，</w:t>
      </w:r>
      <w:r>
        <w:rPr>
          <w:rFonts w:hint="eastAsia" w:cs="Times New Roman"/>
          <w:color w:val="auto"/>
          <w:lang w:val="en-US" w:eastAsia="zh-CN"/>
        </w:rPr>
        <w:t>造成材料</w:t>
      </w:r>
      <w:r>
        <w:rPr>
          <w:rFonts w:hint="default" w:cs="Times New Roman"/>
          <w:color w:val="auto"/>
          <w:lang w:val="en-US" w:eastAsia="zh-CN"/>
        </w:rPr>
        <w:t>腐蚀的，可能造成烟囱的坍塌倾覆</w:t>
      </w:r>
      <w:r>
        <w:rPr>
          <w:rFonts w:hint="eastAsia" w:cs="Times New Roman"/>
          <w:color w:val="auto"/>
          <w:lang w:val="en-US" w:eastAsia="zh-CN"/>
        </w:rPr>
        <w:t>；排气筒设计时，如果对排气筒的承载力、稳定、变形和耐久性考虑不够，或者在选材时不严格按照设计的建筑材料标准进行选材，本项目建成后在运行过程中，有可能发生</w:t>
      </w:r>
      <w:r>
        <w:rPr>
          <w:rFonts w:hint="default" w:cs="Times New Roman"/>
          <w:color w:val="auto"/>
          <w:lang w:val="en-US" w:eastAsia="zh-CN"/>
        </w:rPr>
        <w:t>烟囱的坍塌倾覆</w:t>
      </w:r>
      <w:r>
        <w:rPr>
          <w:rFonts w:hint="eastAsia" w:cs="Times New Roman"/>
          <w:color w:val="auto"/>
          <w:lang w:val="en-US" w:eastAsia="zh-CN"/>
        </w:rPr>
        <w:t>。</w:t>
      </w:r>
    </w:p>
    <w:p w14:paraId="5A25AAF5">
      <w:pPr>
        <w:pStyle w:val="6"/>
        <w:bidi w:val="0"/>
        <w:rPr>
          <w:rFonts w:hint="default" w:cs="Times New Roman"/>
          <w:color w:val="auto"/>
          <w:lang w:val="en-US" w:eastAsia="zh-CN"/>
        </w:rPr>
      </w:pPr>
      <w:r>
        <w:rPr>
          <w:rFonts w:hint="default" w:cs="Times New Roman"/>
          <w:color w:val="auto"/>
          <w:lang w:val="en-US" w:eastAsia="zh-CN"/>
        </w:rPr>
        <w:t>如果对抗震设防烈度考虑不够，在</w:t>
      </w:r>
      <w:r>
        <w:rPr>
          <w:rFonts w:hint="eastAsia" w:cs="Times New Roman"/>
          <w:color w:val="auto"/>
          <w:lang w:val="en-US" w:eastAsia="zh-CN"/>
        </w:rPr>
        <w:t>本项目</w:t>
      </w:r>
      <w:r>
        <w:rPr>
          <w:rFonts w:hint="default" w:cs="Times New Roman"/>
          <w:color w:val="auto"/>
          <w:lang w:val="en-US" w:eastAsia="zh-CN"/>
        </w:rPr>
        <w:t>建成之后，如果发生地震，就可能发生严重的</w:t>
      </w:r>
      <w:r>
        <w:rPr>
          <w:rFonts w:hint="eastAsia" w:cs="Times New Roman"/>
          <w:color w:val="auto"/>
          <w:lang w:val="en-US" w:eastAsia="zh-CN"/>
        </w:rPr>
        <w:t>建构筑物倒塌事故</w:t>
      </w:r>
      <w:r>
        <w:rPr>
          <w:rFonts w:hint="default" w:cs="Times New Roman"/>
          <w:color w:val="auto"/>
          <w:lang w:val="en-US" w:eastAsia="zh-CN"/>
        </w:rPr>
        <w:t>。</w:t>
      </w:r>
    </w:p>
    <w:p w14:paraId="045D0F1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w:t>
      </w:r>
      <w:r>
        <w:rPr>
          <w:rFonts w:hint="eastAsia" w:cs="Times New Roman"/>
          <w:color w:val="auto"/>
          <w:lang w:val="en-US" w:eastAsia="zh-CN"/>
        </w:rPr>
        <w:t>7</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机械伤害</w:t>
      </w:r>
    </w:p>
    <w:p w14:paraId="69D558A6">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本项目装置存在多种机械设备，如</w:t>
      </w:r>
      <w:r>
        <w:rPr>
          <w:rFonts w:hint="default" w:ascii="Times New Roman" w:hAnsi="Times New Roman" w:cs="Times New Roman"/>
          <w:color w:val="auto"/>
          <w:lang w:val="en-US" w:eastAsia="zh-CN"/>
        </w:rPr>
        <w:t>油气输送风机</w:t>
      </w:r>
      <w:r>
        <w:rPr>
          <w:rFonts w:hint="default" w:ascii="Times New Roman" w:hAnsi="Times New Roman" w:cs="Times New Roman"/>
          <w:color w:val="auto"/>
          <w:lang w:eastAsia="zh-CN"/>
        </w:rPr>
        <w:t>、制冷机组等。若机械设备存在本质上的缺陷，转动部位无防护或防护装置不完善、不可靠，操作人员可能因卷入或夹入旋转部件和运动设备之间而造成机械伤害事故。若无安全操作规程或操作规程不健全，作业时管理不善；操作人员未经培训，操作、维修时作业人员不严格执行操作规程、采取相应的安全措施，佩戴相应的劳动防护用品，也可能引发机械伤害事故。</w:t>
      </w:r>
    </w:p>
    <w:p w14:paraId="2225107D">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若工作场地设备布局不合理、通道狭窄，作业区照明不足，地面或脚踏板不平整或有油泥，作业人员因滑倒或跌倒与机械设备相碰撞可能发生机械伤害事故检修作业时，未悬挂“严禁合闸”等警示标志，可能导致检修人员的受伤。</w:t>
      </w:r>
    </w:p>
    <w:p w14:paraId="554B6AB5">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eastAsia" w:cs="Times New Roman"/>
          <w:color w:val="auto"/>
          <w:lang w:val="en-US" w:eastAsia="zh-CN"/>
        </w:rPr>
        <w:t>8</w:t>
      </w:r>
      <w:r>
        <w:rPr>
          <w:rFonts w:hint="default" w:ascii="Times New Roman" w:hAnsi="Times New Roman" w:cs="Times New Roman"/>
          <w:color w:val="auto"/>
          <w:lang w:eastAsia="zh-CN"/>
        </w:rPr>
        <w:t>）高处坠落、物体打击</w:t>
      </w:r>
    </w:p>
    <w:p w14:paraId="7F2E8E3E">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凡在基准面2m以上高处进行的作业为高处作业。作业过程中易发生坠落，造成伤亡事故。该项目装置平台高十几米，操作人员需要到装置平台进行巡检操作，维修人员检修时需要登高作业，如果装置防护栏杆缺乏踢脚板或栏杆高度不符合要求时，存在着高处坠落的危险。</w:t>
      </w:r>
    </w:p>
    <w:p w14:paraId="471B3F11">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在运行及检修过程中，在上下交叉作业时，上部作业工序工具从高处坠落，有对下部作业人员造成高空落物打击，造成事故的可能。物体打击可能的原因有：高处有未被固定的悬浮物被碰撞或因风吹坠落；工具等物品上、下抛掷；设施倒塌；爆炸碎片抛掷、飞散；违章作业、违章指挥、违反劳动纪律。生产经营过程中更换零部件、修理、清扫设备等及沿路管线检修时，物件有可能坠落，发生物体打击事故。</w:t>
      </w:r>
    </w:p>
    <w:p w14:paraId="047BFFD7">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eastAsia" w:cs="Times New Roman"/>
          <w:color w:val="auto"/>
          <w:lang w:val="en-US" w:eastAsia="zh-CN"/>
        </w:rPr>
        <w:t>9</w:t>
      </w:r>
      <w:r>
        <w:rPr>
          <w:rFonts w:hint="default" w:ascii="Times New Roman" w:hAnsi="Times New Roman" w:cs="Times New Roman"/>
          <w:color w:val="auto"/>
          <w:lang w:eastAsia="zh-CN"/>
        </w:rPr>
        <w:t>）噪声与振动危害</w:t>
      </w:r>
    </w:p>
    <w:p w14:paraId="764FD4EA">
      <w:pPr>
        <w:pStyle w:val="6"/>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噪声与振动的来源主要是机泵、制冷机等运转设备。在振动环境中作业，人员近距离操作、运转设备基础未设置防振措施、基础遭到破坏、设备形成共振，可使人员受到振动伤害；噪声能引起职业性噪声聋或引起神经衰弱、心血管疾病和消化系统等疾病的高发，会使操作人员失误率上升，严重的会导致事故发生。</w:t>
      </w:r>
    </w:p>
    <w:p w14:paraId="51E5CAD7">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F1.2.3 公用工程、辅助工程危险性分析</w:t>
      </w:r>
    </w:p>
    <w:p w14:paraId="6093AC3F">
      <w:pPr>
        <w:pStyle w:val="6"/>
        <w:numPr>
          <w:ilvl w:val="0"/>
          <w:numId w:val="1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供配电系统</w:t>
      </w:r>
    </w:p>
    <w:p w14:paraId="5DAED20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1）火灾、爆炸</w:t>
      </w:r>
    </w:p>
    <w:p w14:paraId="29D81A2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供电系统的变压器、开关柜、电缆、电机等电气设备在遭受绝缘故障、短路冲击、雷电过电压等异常状况时，有发生电气火灾的危险。</w:t>
      </w:r>
    </w:p>
    <w:p w14:paraId="3013738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变压器绕组绝缘损坏产生短路，主绝缘击穿，变压器套管闪络，磁路、铁芯故障发热等异常状况可能引发变压器火灾事故；另外，小动物或金属导线、照明线、锡箔和其它杂物造成变压器短路也会引起变压器起火和爆炸。</w:t>
      </w:r>
    </w:p>
    <w:p w14:paraId="5A3CCCC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②输电电缆选型不当，过负荷运行、绝缘老化、电缆受外力机械损伤等原因造成电缆长期过热运行，没有选择耐火、阻燃电缆，没有采取防火封堵、防火涂料等防护措施，会引发电缆火灾事故。</w:t>
      </w:r>
    </w:p>
    <w:p w14:paraId="422E8D4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③变压器、高压开关、架空电力线等场所的电力设备如果没有设置有效的防雷设施，在遭受雷击时引起的过电压会造成设备损坏，并可能引发变压器、配电间的火灾事故。</w:t>
      </w:r>
    </w:p>
    <w:p w14:paraId="288B941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④自控系统工程师站没有设置防雷设施或采取屏蔽，遭受雷击时造成的浪涌超过了弱电设备的承载能力，会造成自动控制系统、通讯系统瘫痪，造成难以挽回的经济损失。用电设备产品质量不佳、绝缘性能不良或因运行不当、维修不善导致绝缘老化破损及设计、安装不规范、违章操作等均可能引发触电危险。如出现短路、过载、接触不良等，也可引发电气火灾危险。</w:t>
      </w:r>
    </w:p>
    <w:p w14:paraId="71C2C47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2）高处坠落</w:t>
      </w:r>
    </w:p>
    <w:p w14:paraId="6A9A3C8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电工检修线路等高处作业，没有工作平台、没有戴好安全带、绳等防护用品，工作时精力不集中，操作时不遵守安全规程，会发生高处坠落的危险。</w:t>
      </w:r>
    </w:p>
    <w:p w14:paraId="4DA4A05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3）触电</w:t>
      </w:r>
    </w:p>
    <w:p w14:paraId="67A5043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用工程系统生产现场配置的电气设备，开关箱外壳，机械设备、电机若缺少触电保护接地，或保护接地线对地电阻超标，一旦出现漏电时，有使作业人员发生触电的危险。管理不当、高温造成电线绝缘部分破损或在潮湿多雨的夏季，易发生触电事故。</w:t>
      </w:r>
    </w:p>
    <w:p w14:paraId="36A590C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另外，雷雨天气在室外操作或在防雷设施周围停留，有发生触电、雷击的危险。</w:t>
      </w:r>
    </w:p>
    <w:p w14:paraId="0F36AD2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（2）给排水系统</w:t>
      </w:r>
    </w:p>
    <w:p w14:paraId="2C0A322C">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1）给水系统</w:t>
      </w:r>
    </w:p>
    <w:p w14:paraId="74A90DD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给水系统机泵设备的高速旋转外露部件没有设置防护罩，作业人员巡检时衣物不甚被卷入，有造成机械伤害的危险。</w:t>
      </w:r>
    </w:p>
    <w:p w14:paraId="1A5430EF">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供水系统的机泵、照明、开关、配电箱等电气系统没有采取有效的保护接地、漏电保护等防护措施时，设备故障状态下漏电，有造成作业人员触电伤害的危险。</w:t>
      </w:r>
    </w:p>
    <w:p w14:paraId="0CF0CDD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2）排水系统</w:t>
      </w:r>
    </w:p>
    <w:p w14:paraId="7C9A92D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排水系统属隐蔽工程，长期使用后可能会存在沼气，人员误入后会造成窒息死亡事故。若房内的机泵设备、照明设施存在漏电、绝缘失效等情况会造成作业人员触电事故。</w:t>
      </w:r>
    </w:p>
    <w:p w14:paraId="17783C8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（3）供气系统</w:t>
      </w:r>
    </w:p>
    <w:p w14:paraId="1895AFB5">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供气系统的不稳定性会引发经营运行事故。仪表净化风供气只用于仪表空压，如果不能满足紧急时仪表用气的储量，无法显示各操作点的操控指数，从而引发大的事故。</w:t>
      </w:r>
    </w:p>
    <w:p w14:paraId="262132E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（4）自动控制系统</w:t>
      </w:r>
    </w:p>
    <w:p w14:paraId="207FF19B">
      <w:pPr>
        <w:pStyle w:val="6"/>
        <w:bidi w:val="0"/>
        <w:rPr>
          <w:rFonts w:hint="default" w:ascii="Times New Roman" w:hAnsi="Times New Roman" w:cs="Times New Roman"/>
          <w:color w:val="auto"/>
        </w:rPr>
      </w:pPr>
      <w:r>
        <w:rPr>
          <w:rFonts w:hint="default" w:ascii="Times New Roman" w:hAnsi="Times New Roman" w:cs="Times New Roman"/>
          <w:color w:val="auto"/>
        </w:rPr>
        <w:t>控制室的操作台、UPS电源柜、配电箱装有大量的仪器、仪表，安装、管理不善可能发生火灾。</w:t>
      </w:r>
    </w:p>
    <w:p w14:paraId="7F85E79F">
      <w:pPr>
        <w:pStyle w:val="6"/>
        <w:bidi w:val="0"/>
        <w:rPr>
          <w:rFonts w:hint="default" w:ascii="Times New Roman" w:hAnsi="Times New Roman" w:cs="Times New Roman"/>
          <w:color w:val="auto"/>
        </w:rPr>
      </w:pPr>
      <w:r>
        <w:rPr>
          <w:rFonts w:hint="default" w:ascii="Times New Roman" w:hAnsi="Times New Roman" w:cs="Times New Roman"/>
          <w:color w:val="auto"/>
        </w:rPr>
        <w:t>现场检测仪表、DCS控制系统失灵，可能导致各塔器的液位、温度、压力指示调节系统失控或有误，进而导致压力容器因超温超压而发生爆炸。</w:t>
      </w:r>
    </w:p>
    <w:p w14:paraId="087D683C">
      <w:pPr>
        <w:pStyle w:val="6"/>
        <w:bidi w:val="0"/>
        <w:rPr>
          <w:rFonts w:hint="default" w:ascii="Times New Roman" w:hAnsi="Times New Roman" w:cs="Times New Roman"/>
          <w:color w:val="auto"/>
        </w:rPr>
      </w:pPr>
      <w:r>
        <w:rPr>
          <w:rFonts w:hint="default" w:ascii="Times New Roman" w:hAnsi="Times New Roman" w:cs="Times New Roman"/>
          <w:color w:val="auto"/>
        </w:rPr>
        <w:t>该装置内存在大量的易燃易爆介质，如果现场仪表防爆等级选择不合理甚至未采用防爆型仪表，现场接线箱、挠性连接管、电缆等安装材料及附件的选择、安装不符合要求，本安型仪表与其关联设备不匹配，防爆区域内设置的分析仪器不防爆或没有采取防爆措施，可能导致电气火花的产生，成为泄漏的易燃易爆介质的点火源，引起火灾爆炸事故。仪表测量管路连接用阀门、法兰等密封不严，测量管线因选材不当、机械损伤或长期使用产生腐蚀穿孔或裂缝，仪表本体因压力等级不满足要求或材质问题产生泄漏，被测的易燃易爆介质就有可能由泄漏点漏出而引发火灾爆炸事故。</w:t>
      </w:r>
    </w:p>
    <w:p w14:paraId="12B6193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rPr>
        <w:t>控制仪表运行需要用电源，若仪表的电源变压设施和配电设施损坏或存在缺陷或受到损伤失效，就有可能引发触电事故。尤其直接采用220V用电仪表，应特别注意用电设施的完好，防止发生触电事故。</w:t>
      </w:r>
    </w:p>
    <w:p w14:paraId="01B58B7E">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F1.2.4 检修过程中主要危险有害因素分析</w:t>
      </w:r>
    </w:p>
    <w:p w14:paraId="6FED47C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（1）用火作业</w:t>
      </w:r>
    </w:p>
    <w:p w14:paraId="106F6CE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检维修过程中，不可避免地要进行用火施工，如更换管段、补漏等等。根据中国石油化工股份有限公司安全用火管理规定，该工程在爆炸危险区域范围内的管线及设备、容器用火，属一级用火作业，如果设备、容器、管线内的油气未排除干净，且没有很好地进行隔离和测爆分析合格，就进行用火作业，极易引起火灾爆炸事故。</w:t>
      </w:r>
    </w:p>
    <w:p w14:paraId="75A54A1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（2）临时用电</w:t>
      </w:r>
    </w:p>
    <w:p w14:paraId="3BFB588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检维修过程中需要临时用电，因此，应严格遵守中国石油化工股份有限公司《临时用电安全管理规定》。如果在防爆场所使用的临时电源、电气元件和线路达不到相应的防爆等级要求，临时用电线路及设备的绝缘性不好；临时用电架空线和离地面的距离不符合规定要求；现场临时用电配电盘、箱安全措施不到位，漏电保护器不好用或存在缺陷，均有可能发生电气伤害事故和人身伤害事故，严重时将危及职工的生命安全。</w:t>
      </w:r>
    </w:p>
    <w:p w14:paraId="3D336A7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（3）破土作业</w:t>
      </w:r>
    </w:p>
    <w:p w14:paraId="59A6AA6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检维修过程中，可能存在开挖、掘进等各种破土作业，应严格遵守中国石油化工股份有限公司《破土作业安全管理规定》。由于地下埋设着供排水管线、其它埋地管道、电缆、电信电缆等生产设施，这些生产设施一旦因施工作业遭到破坏，可能对生产的安全运行造成严重的影响，因此，在破土作业前应充分沟通了解隐蔽工程实际情况并进行危害识别，并制定相应的作业程序及安全措施。</w:t>
      </w:r>
    </w:p>
    <w:p w14:paraId="429077F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（4）其他</w:t>
      </w:r>
    </w:p>
    <w:p w14:paraId="1B771E0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1）由于检维修人员的资格不够、能力不足不能胜任工作任务，致使质量达不到设计要求而存在事故隐患。</w:t>
      </w:r>
    </w:p>
    <w:p w14:paraId="76A158F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2）由于材料、设备自身存在缺陷，导致工程存在事故隐患。</w:t>
      </w:r>
    </w:p>
    <w:p w14:paraId="2B8EC3A7">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3）在检维修操作中违反操作规程，如设备设施防腐绝缘层遭到破坏、焊接存在缺陷、补口质量不合格等，导致工程存在事故隐患。</w:t>
      </w:r>
    </w:p>
    <w:p w14:paraId="7A7C6A5A">
      <w:pPr>
        <w:pStyle w:val="3"/>
        <w:numPr>
          <w:ilvl w:val="1"/>
          <w:numId w:val="0"/>
        </w:numPr>
        <w:bidi w:val="0"/>
        <w:ind w:left="130" w:leftChars="0"/>
        <w:rPr>
          <w:rFonts w:hint="default" w:ascii="Times New Roman" w:hAnsi="Times New Roman" w:cs="Times New Roman"/>
          <w:color w:val="auto"/>
          <w:lang w:val="en-US" w:eastAsia="zh-CN"/>
        </w:rPr>
      </w:pPr>
      <w:bookmarkStart w:id="99" w:name="_Toc20422"/>
      <w:r>
        <w:rPr>
          <w:rFonts w:hint="default" w:ascii="Times New Roman" w:hAnsi="Times New Roman" w:cs="Times New Roman"/>
          <w:color w:val="auto"/>
          <w:lang w:val="en-US" w:eastAsia="zh-CN"/>
        </w:rPr>
        <w:t>F1.3 安全管理缺陷危险性分析</w:t>
      </w:r>
      <w:bookmarkEnd w:id="99"/>
    </w:p>
    <w:p w14:paraId="67177F13">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F1.3.1 人的不安全因素</w:t>
      </w:r>
    </w:p>
    <w:p w14:paraId="0728E01E">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大量事故的统计分析表明，大部分事故是由人的因素造成的。长期超负荷作业致使操作人员疲劳、精力不集中导致误操作；疾病或饮酒致操作和指挥失误；操作人员从事禁忌作业引起事故；人员心理异常、故意犯错或存在识别功能缺陷均可导致事故。</w:t>
      </w:r>
    </w:p>
    <w:p w14:paraId="3293C6A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人的不安全行为主要表现为以下几个方面：</w:t>
      </w:r>
    </w:p>
    <w:p w14:paraId="1A7B8792">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①不专心致志工作，麻痹大意或急噪慌张、判断失误导致事故发生。</w:t>
      </w:r>
    </w:p>
    <w:p w14:paraId="5FF2C74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②不按操作规程进行操作；不按规章制度进行巡回检查，甚至在岗上睡觉，或者串岗，脱岗，岗上看杂志、干私活，或交接班不具体等致使事故隐患不能及时发现，从而酿成事故。</w:t>
      </w:r>
    </w:p>
    <w:p w14:paraId="40DF3D5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③对经营中使用的各种物质组成、性质不了解，缺乏普通的和专业的安全知识，缺乏专业知识和生产技能，因知识和技能的缺陷导致指挥或操作失误，引起事故。</w:t>
      </w:r>
    </w:p>
    <w:p w14:paraId="7D6D7B3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④身体素质差，易疲劳；违章指挥；操作者不负责任，擅离职守；承受不起生活和工作上的压力，心理变态、精神失常、神思恍惚，思想不集中；或过于兴奋，得意忘形等均有可能导致事故发生。</w:t>
      </w:r>
    </w:p>
    <w:p w14:paraId="6B7AAE30">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⑤管理人员安全意识不强，不能保证安全资金的投入，不认真落实防范措施，决策失误或指挥能力差，可间接导致事故发生或使事故扩大。</w:t>
      </w:r>
    </w:p>
    <w:p w14:paraId="1060167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00A0B7E2">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F1.3.2 制度的不安全因素</w:t>
      </w:r>
    </w:p>
    <w:p w14:paraId="2E352C6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制度不健全，就是没有按国家、地区及行业有关法律、法规及标准建立健全符合本单位实际情况的安全管理规章制度，以致人员在生产运行中无章可循，不能及时发现事故隐患或隐患消除措施不合适，以致酿成事故。</w:t>
      </w:r>
    </w:p>
    <w:p w14:paraId="0E5CB656">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措施不具体，就是说制度操作性和针对性不强，甚至是错误的，操作人员虽然有章可循，但实施后不能起到应有的效果，从而导致事故的发生。</w:t>
      </w:r>
    </w:p>
    <w:p w14:paraId="2EE7704D">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执行不落实，是指人员违章操作，即违反操作规程和安全管理规章制度，不按上级主管领导或部门的规定开展生产活动。</w:t>
      </w:r>
    </w:p>
    <w:p w14:paraId="5EFC2A56">
      <w:pPr>
        <w:pStyle w:val="3"/>
        <w:numPr>
          <w:ilvl w:val="1"/>
          <w:numId w:val="0"/>
        </w:numPr>
        <w:bidi w:val="0"/>
        <w:ind w:left="130" w:leftChars="0"/>
        <w:rPr>
          <w:rFonts w:hint="default" w:ascii="Times New Roman" w:hAnsi="Times New Roman" w:cs="Times New Roman"/>
          <w:color w:val="auto"/>
          <w:lang w:val="en-US" w:eastAsia="zh-CN"/>
        </w:rPr>
      </w:pPr>
      <w:bookmarkStart w:id="100" w:name="_Toc23266"/>
      <w:r>
        <w:rPr>
          <w:rFonts w:hint="default" w:ascii="Times New Roman" w:hAnsi="Times New Roman" w:cs="Times New Roman"/>
          <w:color w:val="auto"/>
          <w:lang w:val="en-US" w:eastAsia="zh-CN"/>
        </w:rPr>
        <w:t>F1.4 环境因素分析</w:t>
      </w:r>
      <w:bookmarkEnd w:id="100"/>
    </w:p>
    <w:p w14:paraId="325B99CB">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F1.4.1 区域位置因素</w:t>
      </w:r>
    </w:p>
    <w:p w14:paraId="10DC7FC3">
      <w:pPr>
        <w:pStyle w:val="6"/>
        <w:bidi w:val="0"/>
        <w:rPr>
          <w:rFonts w:hint="default" w:ascii="Times New Roman" w:hAnsi="Times New Roman" w:cs="Times New Roman"/>
          <w:color w:val="auto"/>
          <w:lang w:val="en-US" w:eastAsia="zh-CN"/>
        </w:rPr>
      </w:pPr>
      <w:r>
        <w:rPr>
          <w:rFonts w:hint="eastAsia"/>
          <w:color w:val="auto"/>
          <w:lang w:val="en-US" w:eastAsia="zh-CN"/>
        </w:rPr>
        <w:t>石油化工总厂</w:t>
      </w:r>
      <w:r>
        <w:rPr>
          <w:rFonts w:hint="default" w:ascii="Times New Roman" w:hAnsi="Times New Roman" w:cs="Times New Roman"/>
          <w:color w:val="auto"/>
          <w:lang w:val="en-US" w:eastAsia="zh-CN"/>
        </w:rPr>
        <w:t>四周分布着神驰化工、海科化工、万通化工有限公司等化工企业；周边3km范围内有小赵村、十一图村、小刘村、大赵村、公司生活区、史口镇等18个村庄和中小学及医院；厂区东侧紧邻郝纯路（228省道）、约2000m为张东铁路，西侧约1500m为220国道；约700m处有一条东西向的排水渠—五干渠（引黄干渠）。</w:t>
      </w:r>
    </w:p>
    <w:p w14:paraId="6B9EDF19">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周边较远的区域为农田或荒地，村庄和居民区都离该企业较远。中国石化股份有限公司胜利油田分公司石油化工总厂内设备设施有足够的安全距离，正常状态下，不会对中国石化股份有限公司胜利油田分公司石油化工总厂内设备设施造成影响，但若在事故状态下可能会对中国石化股份有限公司胜利油田分公司石油化工总厂造成影响。中国石化股份有限公司胜利油田分公司石油化工总厂若发生火灾爆炸事故基本不会波及厂区外。</w:t>
      </w:r>
    </w:p>
    <w:p w14:paraId="60CAB034">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F1.4.2 自然环境因素</w:t>
      </w:r>
    </w:p>
    <w:p w14:paraId="46C372C4">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该项目所处区域属北温带半湿润大陆性气候，四季分明，冬寒夏炎。若冬季无防冻措施或防冻措施落实不到位，供水系统会发生冻堵甚至冻裂，影响安全生产。特别是消防冷却水系统的冻堵，会影响消防救援，导致火灾事故扩大。夏季高温天气可加速易燃液体的挥发，使火灾危险性增大。高温环境还会影响劳动者的体能，引起中暑或误操作。</w:t>
      </w:r>
    </w:p>
    <w:p w14:paraId="4A708948">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（2）作业环境光线不良，可引起操作人员视觉疲劳，造成操作失误，导致事故。</w:t>
      </w:r>
    </w:p>
    <w:p w14:paraId="189F501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（3）湿度：本地区湿度适中，且该项目对湿度无严格要求，湿度不会对本项目造成影响。</w:t>
      </w:r>
    </w:p>
    <w:p w14:paraId="1B56718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（4）降水：本地区降雨适中，地势平坦，排水畅通，无严重洪涝，降水不会对本项目造成影响。</w:t>
      </w:r>
    </w:p>
    <w:p w14:paraId="0306B9C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地质：该地处于黄河冲积平原区，地震烈度7度，各岩土层均具一定承载力。厂区无软弱下陷层、震陷及液化土层分部，地层结构较简单，厚度较稳定，无全新活动断裂，无其它不良地质作用分布，稳定性良好，适宜建筑，不会对本项目造成影响。</w:t>
      </w:r>
    </w:p>
    <w:p w14:paraId="1550829A">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盐蚀：用地含盐量较高，会对地基的钢筋混凝土结构产生较大的腐蚀破坏作用，造成设备、机柜间及配电室等建、构筑物基础不牢，严重的可发生倒塌事故，该项目在施工过程中对地基采取相应的防腐蚀保护措施，保证设备、设施基础的牢固。</w:t>
      </w:r>
    </w:p>
    <w:p w14:paraId="17E14BA8">
      <w:pPr>
        <w:pStyle w:val="3"/>
        <w:numPr>
          <w:ilvl w:val="1"/>
          <w:numId w:val="0"/>
        </w:numPr>
        <w:bidi w:val="0"/>
        <w:ind w:left="130" w:leftChars="0"/>
        <w:rPr>
          <w:rFonts w:hint="default" w:ascii="Times New Roman" w:hAnsi="Times New Roman" w:cs="Times New Roman"/>
          <w:color w:val="auto"/>
          <w:lang w:val="en-US" w:eastAsia="zh-CN"/>
        </w:rPr>
      </w:pPr>
      <w:bookmarkStart w:id="101" w:name="_Toc11235"/>
      <w:r>
        <w:rPr>
          <w:rFonts w:hint="default" w:ascii="Times New Roman" w:hAnsi="Times New Roman" w:cs="Times New Roman"/>
          <w:color w:val="auto"/>
          <w:lang w:val="en-US" w:eastAsia="zh-CN"/>
        </w:rPr>
        <w:t>F1.5 重大危险源辨识过程</w:t>
      </w:r>
      <w:bookmarkEnd w:id="101"/>
    </w:p>
    <w:p w14:paraId="06A26027">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F1.5.1 危险化学品重大危险源定义</w:t>
      </w:r>
    </w:p>
    <w:p w14:paraId="333AA925">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危险化学品重大危险源的辨识依据《危险化学品重大危险源辨识》（GB18218-2018）和《危险化学品重大危险源监督管理暂行规定》（安监总局令第40号，79号令修订）规定，危险化学品重大危险源、危险化学品和临界量的定义如下：</w:t>
      </w:r>
    </w:p>
    <w:p w14:paraId="6F6E4C07">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危险化学品重大危险源：指长期地或临时地生产、加工、使用或储存危险化学品，且危险化学品的数量等于或超过临界量的单元。</w:t>
      </w:r>
    </w:p>
    <w:p w14:paraId="3524CA84">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生产单元：危险化学品的生产、加工及使用等的装置及设施，当装置及设施之间有切断阀时，以切断阀作为分隔界限划分为独立的单元。</w:t>
      </w:r>
    </w:p>
    <w:p w14:paraId="1A27DCB3">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储存单元：用于储存危险化学品的储罐或仓库组成的相对独立的区域，储罐区以罐区防火堤为界限划分为独立的单元，仓库以独立库房（独立建筑物）为界限划分为独立的单元。</w:t>
      </w:r>
    </w:p>
    <w:p w14:paraId="39E6732E">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临界量：指对于某种或某类危险化学品规定的数量，若单元中的危险化学品数量等于或超过该数量，则该单元定为重大危险源。</w:t>
      </w:r>
    </w:p>
    <w:p w14:paraId="6E72A099">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依据《危险化学品重大危险源辨识》（GB18218-2018）第4.2.1生产单元、储存单元内存在危险化学品的数量等于或超过表1、表2规定的临界量，即被定为重大危险源。危险化学品的纯物质及其混合物应按GB 30000.2、GB 30000.3、GB 30000.4、GB30000.5、GB 30000.7、GB 30000.8、GB 30000.9、GB 30000.10、GB 30000.11、GB 30000.12、GB 30000.13、GB 30000.14、GB 30000.15、GB 30000.16、GB 30000.18的规定进行分类。单元内存在的危险的化学品数量根据危险化学品种类的多少区分为以下两种情况：</w:t>
      </w:r>
    </w:p>
    <w:p w14:paraId="2FFDD5B2">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生产单元、储存单元内存在危险化学品为单一品种时，该危险化学品的数量即为单元内危险化学品的总量，若等于或超过相应的临界量，则定为重大危险源。</w:t>
      </w:r>
    </w:p>
    <w:p w14:paraId="6B420866">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生产单元、储存单元内存在的危险化学品为多品种时，按式（1）计算，若满足式（1），则定为重大危险源：</w:t>
      </w:r>
    </w:p>
    <w:p w14:paraId="0692EC49">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S=q</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n</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n</w:t>
      </w:r>
      <w:r>
        <w:rPr>
          <w:rFonts w:hint="default" w:ascii="Times New Roman" w:hAnsi="Times New Roman" w:cs="Times New Roman"/>
          <w:color w:val="auto"/>
          <w:lang w:val="en-US" w:eastAsia="zh-CN"/>
        </w:rPr>
        <w:t>≥1...............（1）</w:t>
      </w:r>
    </w:p>
    <w:p w14:paraId="48FD764D">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式中：</w:t>
      </w:r>
    </w:p>
    <w:p w14:paraId="71D5230C">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S—辨识指标；</w:t>
      </w:r>
    </w:p>
    <w:p w14:paraId="0E15E1BB">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n</w:t>
      </w:r>
      <w:r>
        <w:rPr>
          <w:rFonts w:hint="default" w:ascii="Times New Roman" w:hAnsi="Times New Roman" w:cs="Times New Roman"/>
          <w:color w:val="auto"/>
          <w:lang w:val="en-US" w:eastAsia="zh-CN"/>
        </w:rPr>
        <w:t>—每种危险化学品的实际存在量，单位为吨（t）；</w:t>
      </w:r>
    </w:p>
    <w:p w14:paraId="0D326BA1">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n</w:t>
      </w:r>
      <w:r>
        <w:rPr>
          <w:rFonts w:hint="default" w:ascii="Times New Roman" w:hAnsi="Times New Roman" w:cs="Times New Roman"/>
          <w:color w:val="auto"/>
          <w:lang w:val="en-US" w:eastAsia="zh-CN"/>
        </w:rPr>
        <w:t>—与各危险化学品相对应的临界量，单位为吨（t）；</w:t>
      </w:r>
    </w:p>
    <w:p w14:paraId="581CD5FB">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危险化学品储罐以及其他容器、设备及仓储区的危险化学品的实际存在量按设计最大量确定。对于危险化学品混合物，如果混合物与其纯物质属于相同危险类别，则视混合物为纯物质，按混合物整体进行计算。如果混合物与其纯物质不属于相同危险类别，则应按新危险类别考虑其临界量。</w:t>
      </w:r>
    </w:p>
    <w:p w14:paraId="61FB569A">
      <w:pPr>
        <w:pStyle w:val="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F1.5.2 重大危险源辨识过程及结果</w:t>
      </w:r>
    </w:p>
    <w:p w14:paraId="5CCF1DFB">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根据《危险化学品重大危险源辨识》（GB18218-2018），本项目涉及到可构成危险化学品重大危险源的危险化学品为</w:t>
      </w:r>
      <w:r>
        <w:rPr>
          <w:rFonts w:hint="eastAsia" w:cs="Times New Roman"/>
          <w:color w:val="auto"/>
          <w:lang w:val="en-US" w:eastAsia="zh-CN"/>
        </w:rPr>
        <w:t>柴油以及</w:t>
      </w:r>
      <w:r>
        <w:rPr>
          <w:rFonts w:hint="eastAsia"/>
          <w:color w:val="auto"/>
          <w:szCs w:val="28"/>
          <w:lang w:val="en-US" w:eastAsia="zh-CN"/>
        </w:rPr>
        <w:t>油气中</w:t>
      </w:r>
      <w:r>
        <w:rPr>
          <w:color w:val="auto"/>
          <w:szCs w:val="28"/>
        </w:rPr>
        <w:t>甲烷、非甲烷总烃等</w:t>
      </w:r>
      <w:r>
        <w:rPr>
          <w:rFonts w:hint="default" w:ascii="Times New Roman" w:hAnsi="Times New Roman" w:cs="Times New Roman"/>
          <w:color w:val="auto"/>
          <w:lang w:val="en-US" w:eastAsia="zh-CN"/>
        </w:rPr>
        <w:t>。</w:t>
      </w:r>
    </w:p>
    <w:p w14:paraId="38ADCB61">
      <w:pPr>
        <w:pStyle w:val="6"/>
        <w:bidi w:val="0"/>
        <w:rPr>
          <w:rFonts w:hint="default" w:eastAsia="宋体" w:cs="Times New Roman"/>
          <w:color w:val="auto"/>
          <w:lang w:val="en-US" w:eastAsia="zh-CN"/>
        </w:rPr>
      </w:pPr>
      <w:r>
        <w:rPr>
          <w:rFonts w:hint="eastAsia" w:cs="Times New Roman"/>
          <w:color w:val="auto"/>
          <w:lang w:val="en-US" w:eastAsia="zh-CN"/>
        </w:rPr>
        <w:t>本次评价将本项目新建油气回收处理装置以及现有催化氧化处理成套装置作为1个单元进行危险化学品重大危险源辨识。</w:t>
      </w:r>
    </w:p>
    <w:p w14:paraId="003CA3A2">
      <w:pPr>
        <w:pStyle w:val="6"/>
        <w:bidi w:val="0"/>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“冷却</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除雾”</w:t>
      </w:r>
      <w:r>
        <w:rPr>
          <w:rFonts w:hint="eastAsia" w:ascii="Times New Roman" w:hAnsi="Times New Roman" w:cs="Times New Roman"/>
          <w:color w:val="auto"/>
          <w:lang w:val="en-US" w:eastAsia="zh-CN"/>
        </w:rPr>
        <w:t>装置处理船燃汽车装车油气和船燃火车装车油气，船用燃料油不属于重大危险源的辨识范围。</w:t>
      </w:r>
    </w:p>
    <w:p w14:paraId="2DBFADB2">
      <w:pPr>
        <w:pStyle w:val="6"/>
        <w:bidi w:val="0"/>
        <w:rPr>
          <w:rFonts w:hint="default" w:ascii="Times New Roman" w:hAnsi="Times New Roman" w:eastAsia="宋体" w:cs="Times New Roman"/>
          <w:color w:val="auto"/>
          <w:lang w:val="en-US" w:eastAsia="zh-CN"/>
        </w:rPr>
      </w:pPr>
      <w:r>
        <w:rPr>
          <w:rFonts w:hint="eastAsia"/>
          <w:color w:val="auto"/>
          <w:szCs w:val="28"/>
          <w:lang w:val="en-US" w:eastAsia="zh-CN"/>
        </w:rPr>
        <w:t>油气中含有</w:t>
      </w:r>
      <w:r>
        <w:rPr>
          <w:color w:val="auto"/>
          <w:szCs w:val="28"/>
        </w:rPr>
        <w:t>甲烷、非甲烷总烃等</w:t>
      </w:r>
      <w:r>
        <w:rPr>
          <w:rFonts w:hint="eastAsia" w:cs="Times New Roman"/>
          <w:color w:val="auto"/>
          <w:lang w:val="en-US" w:eastAsia="zh-CN"/>
        </w:rPr>
        <w:t>，本次评估按临界量最低的甲烷进行计算。</w:t>
      </w:r>
    </w:p>
    <w:p w14:paraId="2DDDB124">
      <w:pPr>
        <w:adjustRightInd w:val="0"/>
        <w:snapToGrid w:val="0"/>
        <w:spacing w:line="360" w:lineRule="auto"/>
        <w:ind w:firstLine="560" w:firstLineChars="200"/>
        <w:rPr>
          <w:rFonts w:hint="default" w:ascii="Times New Roman" w:hAnsi="Times New Roman" w:eastAsia="宋体" w:cs="Times New Roman"/>
          <w:color w:val="auto"/>
          <w:kern w:val="0"/>
          <w:sz w:val="28"/>
          <w:szCs w:val="28"/>
          <w:lang w:val="en-US" w:eastAsia="zh-CN"/>
        </w:rPr>
      </w:pPr>
      <w:r>
        <w:rPr>
          <w:rFonts w:ascii="Times New Roman" w:hAnsi="Times New Roman" w:eastAsia="宋体" w:cs="Times New Roman"/>
          <w:color w:val="auto"/>
          <w:kern w:val="0"/>
          <w:sz w:val="28"/>
          <w:szCs w:val="28"/>
        </w:rPr>
        <w:t>根据P</w:t>
      </w:r>
      <w:r>
        <w:rPr>
          <w:rFonts w:ascii="Times New Roman" w:hAnsi="Times New Roman" w:eastAsia="宋体" w:cs="Times New Roman"/>
          <w:color w:val="auto"/>
          <w:kern w:val="0"/>
          <w:sz w:val="28"/>
          <w:szCs w:val="28"/>
          <w:vertAlign w:val="subscript"/>
        </w:rPr>
        <w:t>1</w:t>
      </w:r>
      <w:r>
        <w:rPr>
          <w:rFonts w:ascii="Times New Roman" w:hAnsi="Times New Roman" w:eastAsia="宋体" w:cs="Times New Roman"/>
          <w:color w:val="auto"/>
          <w:kern w:val="0"/>
          <w:sz w:val="28"/>
          <w:szCs w:val="28"/>
        </w:rPr>
        <w:t>V</w:t>
      </w:r>
      <w:r>
        <w:rPr>
          <w:rFonts w:ascii="Times New Roman" w:hAnsi="Times New Roman" w:eastAsia="宋体" w:cs="Times New Roman"/>
          <w:color w:val="auto"/>
          <w:kern w:val="0"/>
          <w:sz w:val="28"/>
          <w:szCs w:val="28"/>
          <w:vertAlign w:val="subscript"/>
        </w:rPr>
        <w:t>1</w:t>
      </w:r>
      <w:r>
        <w:rPr>
          <w:rFonts w:ascii="Times New Roman" w:hAnsi="Times New Roman" w:eastAsia="宋体" w:cs="Times New Roman"/>
          <w:color w:val="auto"/>
          <w:kern w:val="0"/>
          <w:sz w:val="28"/>
          <w:szCs w:val="28"/>
        </w:rPr>
        <w:t>/T</w:t>
      </w:r>
      <w:r>
        <w:rPr>
          <w:rFonts w:ascii="Times New Roman" w:hAnsi="Times New Roman" w:eastAsia="宋体" w:cs="Times New Roman"/>
          <w:color w:val="auto"/>
          <w:kern w:val="0"/>
          <w:sz w:val="28"/>
          <w:szCs w:val="28"/>
          <w:vertAlign w:val="subscript"/>
        </w:rPr>
        <w:t>1</w:t>
      </w:r>
      <w:r>
        <w:rPr>
          <w:rFonts w:ascii="Times New Roman" w:hAnsi="Times New Roman" w:eastAsia="宋体" w:cs="Times New Roman"/>
          <w:color w:val="auto"/>
          <w:kern w:val="0"/>
          <w:sz w:val="28"/>
          <w:szCs w:val="28"/>
        </w:rPr>
        <w:t>=P</w:t>
      </w:r>
      <w:r>
        <w:rPr>
          <w:rFonts w:ascii="Times New Roman" w:hAnsi="Times New Roman" w:eastAsia="宋体" w:cs="Times New Roman"/>
          <w:color w:val="auto"/>
          <w:kern w:val="0"/>
          <w:sz w:val="28"/>
          <w:szCs w:val="28"/>
          <w:vertAlign w:val="subscript"/>
        </w:rPr>
        <w:t>2</w:t>
      </w:r>
      <w:r>
        <w:rPr>
          <w:rFonts w:ascii="Times New Roman" w:hAnsi="Times New Roman" w:eastAsia="宋体" w:cs="Times New Roman"/>
          <w:color w:val="auto"/>
          <w:kern w:val="0"/>
          <w:sz w:val="28"/>
          <w:szCs w:val="28"/>
        </w:rPr>
        <w:t>V</w:t>
      </w:r>
      <w:r>
        <w:rPr>
          <w:rFonts w:ascii="Times New Roman" w:hAnsi="Times New Roman" w:eastAsia="宋体" w:cs="Times New Roman"/>
          <w:color w:val="auto"/>
          <w:kern w:val="0"/>
          <w:sz w:val="28"/>
          <w:szCs w:val="28"/>
          <w:vertAlign w:val="subscript"/>
        </w:rPr>
        <w:t>2</w:t>
      </w:r>
      <w:r>
        <w:rPr>
          <w:rFonts w:ascii="Times New Roman" w:hAnsi="Times New Roman" w:eastAsia="宋体" w:cs="Times New Roman"/>
          <w:color w:val="auto"/>
          <w:kern w:val="0"/>
          <w:sz w:val="28"/>
          <w:szCs w:val="28"/>
        </w:rPr>
        <w:t>/T</w:t>
      </w:r>
      <w:r>
        <w:rPr>
          <w:rFonts w:ascii="Times New Roman" w:hAnsi="Times New Roman" w:eastAsia="宋体" w:cs="Times New Roman"/>
          <w:color w:val="auto"/>
          <w:kern w:val="0"/>
          <w:sz w:val="28"/>
          <w:szCs w:val="28"/>
          <w:vertAlign w:val="subscript"/>
        </w:rPr>
        <w:t>2</w:t>
      </w:r>
      <w:r>
        <w:rPr>
          <w:rFonts w:hint="eastAsia" w:ascii="Times New Roman" w:hAnsi="Times New Roman" w:eastAsia="宋体" w:cs="Times New Roman"/>
          <w:color w:val="auto"/>
          <w:kern w:val="0"/>
          <w:sz w:val="28"/>
          <w:szCs w:val="28"/>
        </w:rPr>
        <w:t>，</w:t>
      </w:r>
      <w:r>
        <w:rPr>
          <w:rFonts w:ascii="Times New Roman" w:hAnsi="Times New Roman" w:eastAsia="宋体" w:cs="Times New Roman"/>
          <w:color w:val="auto"/>
          <w:kern w:val="0"/>
          <w:sz w:val="28"/>
          <w:szCs w:val="28"/>
        </w:rPr>
        <w:t>取标况下压力P</w:t>
      </w:r>
      <w:r>
        <w:rPr>
          <w:rFonts w:hint="eastAsia" w:ascii="Times New Roman" w:hAnsi="Times New Roman" w:eastAsia="宋体" w:cs="Times New Roman"/>
          <w:color w:val="auto"/>
          <w:kern w:val="0"/>
          <w:sz w:val="28"/>
          <w:szCs w:val="28"/>
          <w:vertAlign w:val="subscript"/>
        </w:rPr>
        <w:t>1</w:t>
      </w:r>
      <w:r>
        <w:rPr>
          <w:rFonts w:ascii="Times New Roman" w:hAnsi="Times New Roman" w:eastAsia="宋体" w:cs="Times New Roman"/>
          <w:color w:val="auto"/>
          <w:kern w:val="0"/>
          <w:sz w:val="28"/>
          <w:szCs w:val="28"/>
        </w:rPr>
        <w:t>=</w:t>
      </w:r>
      <w:r>
        <w:rPr>
          <w:rFonts w:hint="eastAsia" w:ascii="Times New Roman" w:hAnsi="Times New Roman" w:eastAsia="宋体" w:cs="Times New Roman"/>
          <w:color w:val="auto"/>
          <w:kern w:val="0"/>
          <w:sz w:val="28"/>
          <w:szCs w:val="28"/>
        </w:rPr>
        <w:t>0.101M</w:t>
      </w:r>
      <w:r>
        <w:rPr>
          <w:rFonts w:ascii="Times New Roman" w:hAnsi="Times New Roman" w:eastAsia="宋体" w:cs="Times New Roman"/>
          <w:color w:val="auto"/>
          <w:kern w:val="0"/>
          <w:sz w:val="28"/>
          <w:szCs w:val="28"/>
        </w:rPr>
        <w:t>Pa，温度T</w:t>
      </w:r>
      <w:r>
        <w:rPr>
          <w:rFonts w:hint="eastAsia" w:ascii="Times New Roman" w:hAnsi="Times New Roman" w:eastAsia="宋体" w:cs="Times New Roman"/>
          <w:color w:val="auto"/>
          <w:kern w:val="0"/>
          <w:sz w:val="28"/>
          <w:szCs w:val="28"/>
          <w:vertAlign w:val="subscript"/>
        </w:rPr>
        <w:t>1</w:t>
      </w:r>
      <w:r>
        <w:rPr>
          <w:rFonts w:ascii="Times New Roman" w:hAnsi="Times New Roman" w:eastAsia="宋体" w:cs="Times New Roman"/>
          <w:color w:val="auto"/>
          <w:kern w:val="0"/>
          <w:sz w:val="28"/>
          <w:szCs w:val="28"/>
        </w:rPr>
        <w:t>=0℃</w:t>
      </w:r>
      <w:r>
        <w:rPr>
          <w:rFonts w:hint="eastAsia" w:ascii="Times New Roman" w:hAnsi="Times New Roman" w:eastAsia="宋体" w:cs="Times New Roman"/>
          <w:color w:val="auto"/>
          <w:kern w:val="0"/>
          <w:sz w:val="28"/>
          <w:szCs w:val="28"/>
          <w:lang w:eastAsia="zh-CN"/>
        </w:rPr>
        <w:t>（</w:t>
      </w:r>
      <w:r>
        <w:rPr>
          <w:rFonts w:hint="eastAsia" w:ascii="Times New Roman" w:hAnsi="Times New Roman" w:eastAsia="宋体" w:cs="Times New Roman"/>
          <w:color w:val="auto"/>
          <w:kern w:val="0"/>
          <w:sz w:val="28"/>
          <w:szCs w:val="28"/>
          <w:lang w:val="en-US" w:eastAsia="zh-CN"/>
        </w:rPr>
        <w:t>273K</w:t>
      </w:r>
      <w:r>
        <w:rPr>
          <w:rFonts w:hint="eastAsia" w:ascii="Times New Roman" w:hAnsi="Times New Roman" w:eastAsia="宋体" w:cs="Times New Roman"/>
          <w:color w:val="auto"/>
          <w:kern w:val="0"/>
          <w:sz w:val="28"/>
          <w:szCs w:val="28"/>
          <w:lang w:eastAsia="zh-CN"/>
        </w:rPr>
        <w:t>）</w:t>
      </w:r>
      <w:r>
        <w:rPr>
          <w:rFonts w:ascii="Times New Roman" w:hAnsi="Times New Roman" w:eastAsia="宋体" w:cs="Times New Roman"/>
          <w:color w:val="auto"/>
          <w:kern w:val="0"/>
          <w:sz w:val="28"/>
          <w:szCs w:val="28"/>
        </w:rPr>
        <w:t>，</w:t>
      </w:r>
      <w:r>
        <w:rPr>
          <w:rFonts w:hint="eastAsia" w:ascii="Times New Roman" w:hAnsi="Times New Roman" w:eastAsia="宋体" w:cs="Times New Roman"/>
          <w:color w:val="auto"/>
          <w:kern w:val="0"/>
          <w:sz w:val="28"/>
          <w:szCs w:val="28"/>
        </w:rPr>
        <w:t>根据设备的操作条件</w:t>
      </w:r>
      <w:r>
        <w:rPr>
          <w:rFonts w:hint="eastAsia" w:ascii="Times New Roman" w:hAnsi="Times New Roman" w:eastAsia="宋体" w:cs="Times New Roman"/>
          <w:color w:val="auto"/>
          <w:kern w:val="0"/>
          <w:sz w:val="28"/>
          <w:szCs w:val="28"/>
          <w:lang w:eastAsia="zh-CN"/>
        </w:rPr>
        <w:t>，</w:t>
      </w:r>
      <w:r>
        <w:rPr>
          <w:rFonts w:ascii="Times New Roman" w:hAnsi="Times New Roman" w:eastAsia="宋体" w:cs="Times New Roman"/>
          <w:color w:val="auto"/>
          <w:kern w:val="0"/>
          <w:sz w:val="28"/>
          <w:szCs w:val="28"/>
        </w:rPr>
        <w:t>换算标况下气体体积</w:t>
      </w:r>
      <w:r>
        <w:rPr>
          <w:rFonts w:hint="eastAsia" w:ascii="Times New Roman" w:hAnsi="Times New Roman" w:eastAsia="宋体" w:cs="Times New Roman"/>
          <w:color w:val="auto"/>
          <w:kern w:val="0"/>
          <w:sz w:val="28"/>
          <w:szCs w:val="28"/>
          <w:lang w:eastAsia="zh-CN"/>
        </w:rPr>
        <w:t>，</w:t>
      </w:r>
      <w:r>
        <w:rPr>
          <w:rFonts w:hint="eastAsia" w:ascii="Times New Roman" w:hAnsi="Times New Roman" w:eastAsia="宋体" w:cs="Times New Roman"/>
          <w:color w:val="auto"/>
          <w:kern w:val="0"/>
          <w:sz w:val="28"/>
          <w:szCs w:val="28"/>
          <w:lang w:val="en-US" w:eastAsia="zh-CN"/>
        </w:rPr>
        <w:t>如下表所示。</w:t>
      </w:r>
    </w:p>
    <w:p w14:paraId="2A4A7D28">
      <w:pPr>
        <w:widowControl w:val="0"/>
        <w:bidi w:val="0"/>
        <w:adjustRightInd w:val="0"/>
        <w:snapToGrid w:val="0"/>
        <w:spacing w:line="240" w:lineRule="auto"/>
        <w:ind w:firstLine="482" w:firstLineChars="200"/>
        <w:jc w:val="center"/>
        <w:rPr>
          <w:rFonts w:hint="default" w:ascii="Times New Roman" w:hAnsi="Times New Roman" w:eastAsia="宋体" w:cs="Times New Roman"/>
          <w:b/>
          <w:bCs/>
          <w:color w:val="auto"/>
          <w:kern w:val="0"/>
          <w:sz w:val="24"/>
          <w:szCs w:val="24"/>
          <w:lang w:val="en-US" w:eastAsia="zh-CN" w:bidi="ar-SA"/>
        </w:rPr>
      </w:pPr>
      <w:r>
        <w:rPr>
          <w:rFonts w:hint="default" w:ascii="Times New Roman" w:hAnsi="Times New Roman" w:eastAsia="宋体" w:cs="Times New Roman"/>
          <w:b/>
          <w:bCs/>
          <w:color w:val="auto"/>
          <w:kern w:val="0"/>
          <w:sz w:val="24"/>
          <w:szCs w:val="24"/>
          <w:lang w:val="zh-CN" w:eastAsia="zh-CN" w:bidi="ar-SA"/>
        </w:rPr>
        <w:t>附表</w:t>
      </w:r>
      <w:r>
        <w:rPr>
          <w:rFonts w:hint="eastAsia" w:ascii="Times New Roman" w:hAnsi="Times New Roman" w:eastAsia="宋体" w:cs="Times New Roman"/>
          <w:b/>
          <w:bCs/>
          <w:color w:val="auto"/>
          <w:kern w:val="0"/>
          <w:sz w:val="24"/>
          <w:szCs w:val="24"/>
          <w:lang w:val="en-US" w:eastAsia="zh-CN" w:bidi="ar-SA"/>
        </w:rPr>
        <w:t>1.5</w:t>
      </w:r>
      <w:r>
        <w:rPr>
          <w:rFonts w:hint="default" w:ascii="Times New Roman" w:hAnsi="Times New Roman" w:eastAsia="宋体" w:cs="Times New Roman"/>
          <w:b/>
          <w:bCs/>
          <w:color w:val="auto"/>
          <w:kern w:val="0"/>
          <w:sz w:val="24"/>
          <w:szCs w:val="24"/>
          <w:lang w:val="zh-CN" w:eastAsia="zh-CN" w:bidi="ar-SA"/>
        </w:rPr>
        <w:t>-</w:t>
      </w:r>
      <w:r>
        <w:rPr>
          <w:rFonts w:hint="eastAsia" w:ascii="Times New Roman" w:hAnsi="Times New Roman" w:eastAsia="宋体" w:cs="Times New Roman"/>
          <w:b/>
          <w:bCs/>
          <w:color w:val="auto"/>
          <w:kern w:val="0"/>
          <w:sz w:val="24"/>
          <w:szCs w:val="24"/>
          <w:lang w:val="en-US" w:eastAsia="zh-CN" w:bidi="ar-SA"/>
        </w:rPr>
        <w:t>2</w:t>
      </w:r>
      <w:r>
        <w:rPr>
          <w:rFonts w:hint="default" w:ascii="Times New Roman" w:hAnsi="Times New Roman" w:eastAsia="宋体" w:cs="Times New Roman"/>
          <w:b/>
          <w:bCs/>
          <w:color w:val="auto"/>
          <w:kern w:val="0"/>
          <w:sz w:val="24"/>
          <w:szCs w:val="24"/>
          <w:lang w:val="zh-CN"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标况下气体体积一览表</w:t>
      </w:r>
    </w:p>
    <w:tbl>
      <w:tblPr>
        <w:tblStyle w:val="20"/>
        <w:tblW w:w="4993"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3"/>
        <w:gridCol w:w="2076"/>
        <w:gridCol w:w="1135"/>
        <w:gridCol w:w="834"/>
        <w:gridCol w:w="994"/>
        <w:gridCol w:w="1133"/>
        <w:gridCol w:w="873"/>
        <w:gridCol w:w="793"/>
        <w:gridCol w:w="1138"/>
      </w:tblGrid>
      <w:tr w14:paraId="21A07F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tblHeader/>
          <w:jc w:val="center"/>
        </w:trPr>
        <w:tc>
          <w:tcPr>
            <w:tcW w:w="219" w:type="pct"/>
            <w:noWrap w:val="0"/>
            <w:vAlign w:val="center"/>
          </w:tcPr>
          <w:p w14:paraId="5337EF3F">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序号</w:t>
            </w:r>
          </w:p>
        </w:tc>
        <w:tc>
          <w:tcPr>
            <w:tcW w:w="1105" w:type="pct"/>
            <w:noWrap w:val="0"/>
            <w:vAlign w:val="center"/>
          </w:tcPr>
          <w:p w14:paraId="267C90B6">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容器名称</w:t>
            </w:r>
          </w:p>
        </w:tc>
        <w:tc>
          <w:tcPr>
            <w:tcW w:w="604" w:type="pct"/>
            <w:noWrap w:val="0"/>
            <w:vAlign w:val="center"/>
          </w:tcPr>
          <w:p w14:paraId="20E6A78F">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主要介质</w:t>
            </w:r>
          </w:p>
        </w:tc>
        <w:tc>
          <w:tcPr>
            <w:tcW w:w="444" w:type="pct"/>
            <w:noWrap w:val="0"/>
            <w:vAlign w:val="center"/>
          </w:tcPr>
          <w:p w14:paraId="2249AF29">
            <w:pPr>
              <w:widowControl w:val="0"/>
              <w:bidi w:val="0"/>
              <w:spacing w:line="240" w:lineRule="auto"/>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0"/>
                <w:sz w:val="21"/>
                <w:szCs w:val="21"/>
                <w:lang w:val="en-US" w:eastAsia="zh-CN" w:bidi="ar-SA"/>
              </w:rPr>
              <w:t>容量（m</w:t>
            </w:r>
            <w:r>
              <w:rPr>
                <w:rFonts w:ascii="Times New Roman" w:hAnsi="Times New Roman" w:eastAsia="宋体" w:cs="Times New Roman"/>
                <w:b/>
                <w:bCs/>
                <w:color w:val="auto"/>
                <w:kern w:val="0"/>
                <w:sz w:val="21"/>
                <w:szCs w:val="21"/>
                <w:vertAlign w:val="superscript"/>
                <w:lang w:val="en-US" w:eastAsia="zh-CN" w:bidi="ar-SA"/>
              </w:rPr>
              <w:t>3</w:t>
            </w:r>
            <w:r>
              <w:rPr>
                <w:rFonts w:ascii="Times New Roman" w:hAnsi="Times New Roman" w:eastAsia="宋体" w:cs="Times New Roman"/>
                <w:b/>
                <w:bCs/>
                <w:color w:val="auto"/>
                <w:kern w:val="0"/>
                <w:sz w:val="21"/>
                <w:szCs w:val="21"/>
                <w:lang w:val="en-US" w:eastAsia="zh-CN" w:bidi="ar-SA"/>
              </w:rPr>
              <w:t>）</w:t>
            </w:r>
          </w:p>
        </w:tc>
        <w:tc>
          <w:tcPr>
            <w:tcW w:w="529" w:type="pct"/>
            <w:noWrap w:val="0"/>
            <w:vAlign w:val="center"/>
          </w:tcPr>
          <w:p w14:paraId="5CCBF2CA">
            <w:pPr>
              <w:widowControl w:val="0"/>
              <w:bidi w:val="0"/>
              <w:spacing w:line="240" w:lineRule="auto"/>
              <w:ind w:firstLine="0" w:firstLineChars="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操作压力</w:t>
            </w:r>
          </w:p>
        </w:tc>
        <w:tc>
          <w:tcPr>
            <w:tcW w:w="603" w:type="pct"/>
            <w:noWrap w:val="0"/>
            <w:vAlign w:val="center"/>
          </w:tcPr>
          <w:p w14:paraId="1281A628">
            <w:pPr>
              <w:widowControl w:val="0"/>
              <w:bidi w:val="0"/>
              <w:spacing w:line="240" w:lineRule="auto"/>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温度</w:t>
            </w:r>
            <w:r>
              <w:rPr>
                <w:rFonts w:hint="eastAsia" w:ascii="Times New Roman" w:hAnsi="Times New Roman" w:eastAsia="宋体" w:cs="Times New Roman"/>
                <w:b/>
                <w:bCs/>
                <w:color w:val="auto"/>
                <w:kern w:val="2"/>
                <w:sz w:val="21"/>
                <w:szCs w:val="21"/>
                <w:lang w:val="en-US" w:eastAsia="zh-CN" w:bidi="ar-SA"/>
              </w:rPr>
              <w:t>（℃）</w:t>
            </w:r>
          </w:p>
        </w:tc>
        <w:tc>
          <w:tcPr>
            <w:tcW w:w="464" w:type="pct"/>
            <w:noWrap w:val="0"/>
            <w:vAlign w:val="center"/>
          </w:tcPr>
          <w:p w14:paraId="1E988E76">
            <w:pPr>
              <w:widowControl w:val="0"/>
              <w:bidi w:val="0"/>
              <w:spacing w:line="240" w:lineRule="auto"/>
              <w:ind w:firstLine="0" w:firstLineChars="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P</w:t>
            </w:r>
            <w:r>
              <w:rPr>
                <w:rFonts w:hint="eastAsia" w:ascii="Times New Roman" w:hAnsi="Times New Roman" w:eastAsia="宋体" w:cs="Times New Roman"/>
                <w:b/>
                <w:bCs/>
                <w:color w:val="auto"/>
                <w:kern w:val="2"/>
                <w:sz w:val="21"/>
                <w:szCs w:val="21"/>
                <w:vertAlign w:val="subscript"/>
                <w:lang w:val="en-US" w:eastAsia="zh-CN" w:bidi="ar-SA"/>
              </w:rPr>
              <w:t>2</w:t>
            </w:r>
            <w:r>
              <w:rPr>
                <w:rFonts w:hint="eastAsia" w:ascii="Times New Roman" w:hAnsi="Times New Roman" w:eastAsia="宋体" w:cs="Times New Roman"/>
                <w:b/>
                <w:bCs/>
                <w:color w:val="auto"/>
                <w:kern w:val="2"/>
                <w:sz w:val="21"/>
                <w:szCs w:val="21"/>
                <w:vertAlign w:val="baseline"/>
                <w:lang w:val="en-US" w:eastAsia="zh-CN" w:bidi="ar-SA"/>
              </w:rPr>
              <w:t>（MPa）</w:t>
            </w:r>
          </w:p>
        </w:tc>
        <w:tc>
          <w:tcPr>
            <w:tcW w:w="422" w:type="pct"/>
            <w:noWrap w:val="0"/>
            <w:vAlign w:val="center"/>
          </w:tcPr>
          <w:p w14:paraId="2B987E1D">
            <w:pPr>
              <w:widowControl w:val="0"/>
              <w:bidi w:val="0"/>
              <w:spacing w:line="240" w:lineRule="auto"/>
              <w:ind w:firstLine="0" w:firstLineChars="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T</w:t>
            </w:r>
            <w:r>
              <w:rPr>
                <w:rFonts w:hint="eastAsia" w:ascii="Times New Roman" w:hAnsi="Times New Roman" w:eastAsia="宋体" w:cs="Times New Roman"/>
                <w:b/>
                <w:bCs/>
                <w:color w:val="auto"/>
                <w:kern w:val="2"/>
                <w:sz w:val="21"/>
                <w:szCs w:val="21"/>
                <w:vertAlign w:val="subscript"/>
                <w:lang w:val="en-US" w:eastAsia="zh-CN" w:bidi="ar-SA"/>
              </w:rPr>
              <w:t>2</w:t>
            </w:r>
            <w:r>
              <w:rPr>
                <w:rFonts w:hint="eastAsia" w:ascii="Times New Roman" w:hAnsi="Times New Roman" w:eastAsia="宋体" w:cs="Times New Roman"/>
                <w:b/>
                <w:bCs/>
                <w:color w:val="auto"/>
                <w:kern w:val="2"/>
                <w:sz w:val="21"/>
                <w:szCs w:val="21"/>
                <w:lang w:val="en-US" w:eastAsia="zh-CN" w:bidi="ar-SA"/>
              </w:rPr>
              <w:t>（℃）</w:t>
            </w:r>
          </w:p>
        </w:tc>
        <w:tc>
          <w:tcPr>
            <w:tcW w:w="606" w:type="pct"/>
            <w:noWrap w:val="0"/>
            <w:vAlign w:val="center"/>
          </w:tcPr>
          <w:p w14:paraId="780D5CA7">
            <w:pPr>
              <w:widowControl w:val="0"/>
              <w:bidi w:val="0"/>
              <w:spacing w:line="240" w:lineRule="auto"/>
              <w:ind w:firstLine="0" w:firstLineChars="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SA"/>
              </w:rPr>
              <w:t>标况下体积（m</w:t>
            </w:r>
            <w:r>
              <w:rPr>
                <w:rFonts w:hint="eastAsia" w:ascii="Times New Roman" w:hAnsi="Times New Roman" w:eastAsia="宋体" w:cs="Times New Roman"/>
                <w:b/>
                <w:bCs/>
                <w:color w:val="auto"/>
                <w:kern w:val="0"/>
                <w:sz w:val="21"/>
                <w:szCs w:val="21"/>
                <w:vertAlign w:val="superscript"/>
                <w:lang w:val="en-US" w:eastAsia="zh-CN" w:bidi="ar-SA"/>
              </w:rPr>
              <w:t>3</w:t>
            </w:r>
            <w:r>
              <w:rPr>
                <w:rFonts w:hint="eastAsia" w:ascii="Times New Roman" w:hAnsi="Times New Roman" w:eastAsia="宋体" w:cs="Times New Roman"/>
                <w:b/>
                <w:bCs/>
                <w:color w:val="auto"/>
                <w:kern w:val="0"/>
                <w:sz w:val="21"/>
                <w:szCs w:val="21"/>
                <w:lang w:val="en-US" w:eastAsia="zh-CN" w:bidi="ar-SA"/>
              </w:rPr>
              <w:t>）</w:t>
            </w:r>
          </w:p>
        </w:tc>
      </w:tr>
      <w:tr w14:paraId="441C07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219" w:type="pct"/>
            <w:noWrap w:val="0"/>
            <w:vAlign w:val="center"/>
          </w:tcPr>
          <w:p w14:paraId="454D0374">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1105" w:type="pct"/>
            <w:noWrap w:val="0"/>
            <w:vAlign w:val="center"/>
          </w:tcPr>
          <w:p w14:paraId="57DE54C6">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低温吸收塔</w:t>
            </w:r>
          </w:p>
        </w:tc>
        <w:tc>
          <w:tcPr>
            <w:tcW w:w="604" w:type="pct"/>
            <w:noWrap w:val="0"/>
            <w:vAlign w:val="center"/>
          </w:tcPr>
          <w:p w14:paraId="3FAB0F61">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甲烷</w:t>
            </w:r>
          </w:p>
        </w:tc>
        <w:tc>
          <w:tcPr>
            <w:tcW w:w="444" w:type="pct"/>
            <w:noWrap w:val="0"/>
            <w:vAlign w:val="center"/>
          </w:tcPr>
          <w:p w14:paraId="1B284EDF">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约</w:t>
            </w:r>
            <w:r>
              <w:rPr>
                <w:rFonts w:hint="eastAsia" w:ascii="Times New Roman" w:hAnsi="Times New Roman" w:eastAsia="宋体" w:cs="Times New Roman"/>
                <w:color w:val="auto"/>
                <w:kern w:val="2"/>
                <w:sz w:val="21"/>
                <w:szCs w:val="21"/>
                <w:lang w:val="en-US" w:eastAsia="zh-CN" w:bidi="ar-SA"/>
              </w:rPr>
              <w:t>21.59</w:t>
            </w:r>
            <w:r>
              <w:rPr>
                <w:rFonts w:hint="eastAsia" w:ascii="Times New Roman" w:hAnsi="Times New Roman" w:eastAsia="宋体" w:cs="Times New Roman"/>
                <w:color w:val="auto"/>
                <w:kern w:val="2"/>
                <w:sz w:val="21"/>
                <w:szCs w:val="21"/>
                <w:vertAlign w:val="superscript"/>
                <w:lang w:val="en-US" w:eastAsia="zh-CN" w:bidi="ar-SA"/>
              </w:rPr>
              <w:t>①</w:t>
            </w:r>
          </w:p>
        </w:tc>
        <w:tc>
          <w:tcPr>
            <w:tcW w:w="529" w:type="pct"/>
            <w:noWrap w:val="0"/>
            <w:vAlign w:val="center"/>
          </w:tcPr>
          <w:p w14:paraId="59098834">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0.2</w:t>
            </w:r>
            <w:r>
              <w:rPr>
                <w:rFonts w:hint="eastAsia" w:ascii="Times New Roman" w:hAnsi="Times New Roman" w:eastAsia="宋体" w:cs="Times New Roman"/>
                <w:b w:val="0"/>
                <w:bCs w:val="0"/>
                <w:color w:val="auto"/>
                <w:kern w:val="0"/>
                <w:sz w:val="21"/>
                <w:szCs w:val="21"/>
                <w:lang w:val="en-US" w:eastAsia="zh-CN" w:bidi="ar-SA"/>
              </w:rPr>
              <w:t>MPa</w:t>
            </w:r>
          </w:p>
        </w:tc>
        <w:tc>
          <w:tcPr>
            <w:tcW w:w="603" w:type="pct"/>
            <w:noWrap w:val="0"/>
            <w:vAlign w:val="center"/>
          </w:tcPr>
          <w:p w14:paraId="1966A17D">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5~15</w:t>
            </w:r>
            <w:r>
              <w:rPr>
                <w:rFonts w:hint="eastAsia" w:ascii="Times New Roman" w:hAnsi="Times New Roman" w:cs="Times New Roman"/>
                <w:color w:val="auto"/>
                <w:kern w:val="2"/>
                <w:sz w:val="21"/>
                <w:szCs w:val="21"/>
                <w:vertAlign w:val="superscript"/>
                <w:lang w:val="en-US" w:eastAsia="zh-CN" w:bidi="ar-SA"/>
              </w:rPr>
              <w:t>②</w:t>
            </w:r>
          </w:p>
        </w:tc>
        <w:tc>
          <w:tcPr>
            <w:tcW w:w="464" w:type="pct"/>
            <w:noWrap w:val="0"/>
            <w:vAlign w:val="center"/>
          </w:tcPr>
          <w:p w14:paraId="06DC6E79">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0.2</w:t>
            </w:r>
          </w:p>
        </w:tc>
        <w:tc>
          <w:tcPr>
            <w:tcW w:w="422" w:type="pct"/>
            <w:noWrap w:val="0"/>
            <w:vAlign w:val="center"/>
          </w:tcPr>
          <w:p w14:paraId="008464D6">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w:t>
            </w:r>
          </w:p>
        </w:tc>
        <w:tc>
          <w:tcPr>
            <w:tcW w:w="606" w:type="pct"/>
            <w:noWrap w:val="0"/>
            <w:vAlign w:val="center"/>
          </w:tcPr>
          <w:p w14:paraId="777AA4E1">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约</w:t>
            </w:r>
            <w:r>
              <w:rPr>
                <w:rFonts w:hint="eastAsia" w:ascii="Times New Roman" w:hAnsi="Times New Roman" w:eastAsia="宋体" w:cs="Times New Roman"/>
                <w:color w:val="auto"/>
                <w:kern w:val="2"/>
                <w:sz w:val="21"/>
                <w:szCs w:val="21"/>
                <w:lang w:val="en-US" w:eastAsia="zh-CN" w:bidi="ar-SA"/>
              </w:rPr>
              <w:t>42</w:t>
            </w:r>
          </w:p>
        </w:tc>
      </w:tr>
      <w:tr w14:paraId="02CB7B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219" w:type="pct"/>
            <w:noWrap w:val="0"/>
            <w:vAlign w:val="center"/>
          </w:tcPr>
          <w:p w14:paraId="7C1036D8">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1105" w:type="pct"/>
            <w:noWrap w:val="0"/>
            <w:vAlign w:val="center"/>
          </w:tcPr>
          <w:p w14:paraId="02491F58">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脱硫及总烃浓度均化罐</w:t>
            </w:r>
            <w:r>
              <w:rPr>
                <w:rFonts w:hint="eastAsia" w:ascii="Times New Roman" w:hAnsi="Times New Roman" w:eastAsia="宋体" w:cs="Times New Roman"/>
                <w:color w:val="auto"/>
                <w:kern w:val="2"/>
                <w:sz w:val="21"/>
                <w:szCs w:val="21"/>
                <w:lang w:val="en-US" w:eastAsia="zh-CN" w:bidi="ar-SA"/>
              </w:rPr>
              <w:t>（蓄热氧化装置）</w:t>
            </w:r>
          </w:p>
        </w:tc>
        <w:tc>
          <w:tcPr>
            <w:tcW w:w="604" w:type="pct"/>
            <w:noWrap w:val="0"/>
            <w:vAlign w:val="center"/>
          </w:tcPr>
          <w:p w14:paraId="5AA3400B">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甲烷</w:t>
            </w:r>
          </w:p>
        </w:tc>
        <w:tc>
          <w:tcPr>
            <w:tcW w:w="444" w:type="pct"/>
            <w:noWrap w:val="0"/>
            <w:vAlign w:val="center"/>
          </w:tcPr>
          <w:p w14:paraId="13DFAA48">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约23</w:t>
            </w:r>
          </w:p>
        </w:tc>
        <w:tc>
          <w:tcPr>
            <w:tcW w:w="529" w:type="pct"/>
            <w:noWrap w:val="0"/>
            <w:vAlign w:val="center"/>
          </w:tcPr>
          <w:p w14:paraId="14C386A6">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常压</w:t>
            </w:r>
          </w:p>
        </w:tc>
        <w:tc>
          <w:tcPr>
            <w:tcW w:w="603" w:type="pct"/>
            <w:noWrap w:val="0"/>
            <w:vAlign w:val="center"/>
          </w:tcPr>
          <w:p w14:paraId="2434DA41">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常温</w:t>
            </w:r>
          </w:p>
        </w:tc>
        <w:tc>
          <w:tcPr>
            <w:tcW w:w="464" w:type="pct"/>
            <w:noWrap w:val="0"/>
            <w:vAlign w:val="center"/>
          </w:tcPr>
          <w:p w14:paraId="2C70CA68">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0.101</w:t>
            </w:r>
          </w:p>
        </w:tc>
        <w:tc>
          <w:tcPr>
            <w:tcW w:w="422" w:type="pct"/>
            <w:noWrap w:val="0"/>
            <w:vAlign w:val="center"/>
          </w:tcPr>
          <w:p w14:paraId="591AD82F">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606" w:type="pct"/>
            <w:noWrap w:val="0"/>
            <w:vAlign w:val="center"/>
          </w:tcPr>
          <w:p w14:paraId="09743846">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约21.1</w:t>
            </w:r>
          </w:p>
        </w:tc>
      </w:tr>
      <w:tr w14:paraId="15DD3C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19" w:type="pct"/>
            <w:noWrap w:val="0"/>
            <w:vAlign w:val="center"/>
          </w:tcPr>
          <w:p w14:paraId="7AEBE60B">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1105" w:type="pct"/>
            <w:noWrap w:val="0"/>
            <w:vAlign w:val="center"/>
          </w:tcPr>
          <w:p w14:paraId="2EA14041">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蓄热氧化反应器</w:t>
            </w:r>
            <w:r>
              <w:rPr>
                <w:rFonts w:hint="eastAsia" w:ascii="Times New Roman" w:hAnsi="Times New Roman" w:eastAsia="宋体" w:cs="Times New Roman"/>
                <w:color w:val="auto"/>
                <w:kern w:val="2"/>
                <w:sz w:val="21"/>
                <w:szCs w:val="21"/>
                <w:lang w:val="en-US" w:eastAsia="zh-CN" w:bidi="ar-SA"/>
              </w:rPr>
              <w:t>（蓄热氧化装置）</w:t>
            </w:r>
          </w:p>
        </w:tc>
        <w:tc>
          <w:tcPr>
            <w:tcW w:w="604" w:type="pct"/>
            <w:noWrap w:val="0"/>
            <w:vAlign w:val="center"/>
          </w:tcPr>
          <w:p w14:paraId="240C66DD">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甲烷</w:t>
            </w:r>
          </w:p>
        </w:tc>
        <w:tc>
          <w:tcPr>
            <w:tcW w:w="444" w:type="pct"/>
            <w:noWrap w:val="0"/>
            <w:vAlign w:val="center"/>
          </w:tcPr>
          <w:p w14:paraId="49449E14">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80</w:t>
            </w:r>
          </w:p>
        </w:tc>
        <w:tc>
          <w:tcPr>
            <w:tcW w:w="529" w:type="pct"/>
            <w:noWrap w:val="0"/>
            <w:vAlign w:val="center"/>
          </w:tcPr>
          <w:p w14:paraId="16A016F4">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&lt;8kPa</w:t>
            </w:r>
            <w:r>
              <w:rPr>
                <w:rFonts w:hint="eastAsia" w:ascii="Times New Roman" w:hAnsi="Times New Roman" w:cs="Times New Roman"/>
                <w:color w:val="auto"/>
                <w:kern w:val="2"/>
                <w:sz w:val="21"/>
                <w:szCs w:val="21"/>
                <w:vertAlign w:val="superscript"/>
                <w:lang w:val="en-US" w:eastAsia="zh-CN" w:bidi="ar-SA"/>
              </w:rPr>
              <w:t>③</w:t>
            </w:r>
          </w:p>
        </w:tc>
        <w:tc>
          <w:tcPr>
            <w:tcW w:w="603" w:type="pct"/>
            <w:noWrap w:val="0"/>
            <w:vAlign w:val="center"/>
          </w:tcPr>
          <w:p w14:paraId="72189A23">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750~900</w:t>
            </w:r>
            <w:r>
              <w:rPr>
                <w:rFonts w:hint="eastAsia" w:ascii="Times New Roman" w:hAnsi="Times New Roman" w:cs="Times New Roman"/>
                <w:color w:val="auto"/>
                <w:kern w:val="2"/>
                <w:sz w:val="21"/>
                <w:szCs w:val="21"/>
                <w:vertAlign w:val="superscript"/>
                <w:lang w:val="en-US" w:eastAsia="zh-CN" w:bidi="ar-SA"/>
              </w:rPr>
              <w:t>③</w:t>
            </w:r>
          </w:p>
        </w:tc>
        <w:tc>
          <w:tcPr>
            <w:tcW w:w="464" w:type="pct"/>
            <w:noWrap w:val="0"/>
            <w:vAlign w:val="center"/>
          </w:tcPr>
          <w:p w14:paraId="5A908F3F">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0.10</w:t>
            </w:r>
            <w:r>
              <w:rPr>
                <w:rFonts w:hint="eastAsia" w:ascii="Times New Roman" w:hAnsi="Times New Roman" w:cs="Times New Roman"/>
                <w:color w:val="auto"/>
                <w:kern w:val="2"/>
                <w:sz w:val="21"/>
                <w:szCs w:val="21"/>
                <w:lang w:val="en-US" w:eastAsia="zh-CN" w:bidi="ar-SA"/>
              </w:rPr>
              <w:t>9</w:t>
            </w:r>
          </w:p>
        </w:tc>
        <w:tc>
          <w:tcPr>
            <w:tcW w:w="422" w:type="pct"/>
            <w:noWrap w:val="0"/>
            <w:vAlign w:val="center"/>
          </w:tcPr>
          <w:p w14:paraId="6A2A7E4C">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750</w:t>
            </w:r>
          </w:p>
        </w:tc>
        <w:tc>
          <w:tcPr>
            <w:tcW w:w="606" w:type="pct"/>
            <w:noWrap w:val="0"/>
            <w:vAlign w:val="center"/>
          </w:tcPr>
          <w:p w14:paraId="0A64153E">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23</w:t>
            </w:r>
          </w:p>
        </w:tc>
      </w:tr>
      <w:tr w14:paraId="2AA975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19" w:type="pct"/>
            <w:vAlign w:val="center"/>
          </w:tcPr>
          <w:p w14:paraId="4BF9F7EA">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1105" w:type="pct"/>
            <w:vAlign w:val="center"/>
          </w:tcPr>
          <w:p w14:paraId="6C66CC06">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脱硫及总烃浓度均化罐（现有催化氧化装置）</w:t>
            </w:r>
          </w:p>
        </w:tc>
        <w:tc>
          <w:tcPr>
            <w:tcW w:w="604" w:type="pct"/>
            <w:vAlign w:val="center"/>
          </w:tcPr>
          <w:p w14:paraId="5531CFBF">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甲烷</w:t>
            </w:r>
          </w:p>
        </w:tc>
        <w:tc>
          <w:tcPr>
            <w:tcW w:w="444" w:type="pct"/>
            <w:vAlign w:val="center"/>
          </w:tcPr>
          <w:p w14:paraId="31BC0880">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49.2</w:t>
            </w:r>
          </w:p>
        </w:tc>
        <w:tc>
          <w:tcPr>
            <w:tcW w:w="529" w:type="pct"/>
            <w:vAlign w:val="center"/>
          </w:tcPr>
          <w:p w14:paraId="3F417C69">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-10～10kPa</w:t>
            </w:r>
            <w:r>
              <w:rPr>
                <w:rFonts w:hint="eastAsia" w:ascii="Times New Roman" w:hAnsi="Times New Roman" w:cs="Times New Roman"/>
                <w:color w:val="auto"/>
                <w:kern w:val="2"/>
                <w:sz w:val="21"/>
                <w:szCs w:val="21"/>
                <w:vertAlign w:val="superscript"/>
                <w:lang w:val="en-US" w:eastAsia="zh-CN" w:bidi="ar-SA"/>
              </w:rPr>
              <w:t>④</w:t>
            </w:r>
          </w:p>
        </w:tc>
        <w:tc>
          <w:tcPr>
            <w:tcW w:w="603" w:type="pct"/>
            <w:vAlign w:val="center"/>
          </w:tcPr>
          <w:p w14:paraId="2B7FD68F">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常温</w:t>
            </w:r>
          </w:p>
        </w:tc>
        <w:tc>
          <w:tcPr>
            <w:tcW w:w="464" w:type="pct"/>
            <w:vAlign w:val="center"/>
          </w:tcPr>
          <w:p w14:paraId="5685EAEC">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0.102</w:t>
            </w:r>
          </w:p>
        </w:tc>
        <w:tc>
          <w:tcPr>
            <w:tcW w:w="422" w:type="pct"/>
            <w:vAlign w:val="center"/>
          </w:tcPr>
          <w:p w14:paraId="2A34CE33">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606" w:type="pct"/>
            <w:vAlign w:val="center"/>
          </w:tcPr>
          <w:p w14:paraId="14D3339D">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45.5</w:t>
            </w:r>
          </w:p>
        </w:tc>
      </w:tr>
      <w:tr w14:paraId="7CF5C4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19" w:type="pct"/>
            <w:vAlign w:val="center"/>
          </w:tcPr>
          <w:p w14:paraId="6B742FBE">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w:t>
            </w:r>
          </w:p>
        </w:tc>
        <w:tc>
          <w:tcPr>
            <w:tcW w:w="1105" w:type="pct"/>
            <w:vAlign w:val="center"/>
          </w:tcPr>
          <w:p w14:paraId="068928CE">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换热-加热-反应组合反应器（现有催化氧化装置）</w:t>
            </w:r>
          </w:p>
        </w:tc>
        <w:tc>
          <w:tcPr>
            <w:tcW w:w="604" w:type="pct"/>
            <w:vAlign w:val="center"/>
          </w:tcPr>
          <w:p w14:paraId="3544AA7A">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甲烷</w:t>
            </w:r>
          </w:p>
        </w:tc>
        <w:tc>
          <w:tcPr>
            <w:tcW w:w="444" w:type="pct"/>
            <w:vAlign w:val="center"/>
          </w:tcPr>
          <w:p w14:paraId="1D1620FD">
            <w:pPr>
              <w:widowControl w:val="0"/>
              <w:bidi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85.8</w:t>
            </w:r>
          </w:p>
        </w:tc>
        <w:tc>
          <w:tcPr>
            <w:tcW w:w="529" w:type="pct"/>
            <w:vAlign w:val="center"/>
          </w:tcPr>
          <w:p w14:paraId="7B34D599">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0.4～5.2kPa</w:t>
            </w:r>
            <w:r>
              <w:rPr>
                <w:rFonts w:hint="eastAsia" w:ascii="Times New Roman" w:hAnsi="Times New Roman" w:cs="Times New Roman"/>
                <w:color w:val="auto"/>
                <w:kern w:val="2"/>
                <w:sz w:val="21"/>
                <w:szCs w:val="21"/>
                <w:vertAlign w:val="superscript"/>
                <w:lang w:val="en-US" w:eastAsia="zh-CN" w:bidi="ar-SA"/>
              </w:rPr>
              <w:t>⑤</w:t>
            </w:r>
          </w:p>
        </w:tc>
        <w:tc>
          <w:tcPr>
            <w:tcW w:w="603" w:type="pct"/>
            <w:vAlign w:val="center"/>
          </w:tcPr>
          <w:p w14:paraId="7DEF7904">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30～500</w:t>
            </w:r>
            <w:r>
              <w:rPr>
                <w:rFonts w:hint="eastAsia" w:ascii="Times New Roman" w:hAnsi="Times New Roman" w:cs="Times New Roman"/>
                <w:color w:val="auto"/>
                <w:kern w:val="2"/>
                <w:sz w:val="21"/>
                <w:szCs w:val="21"/>
                <w:vertAlign w:val="superscript"/>
                <w:lang w:val="en-US" w:eastAsia="zh-CN" w:bidi="ar-SA"/>
              </w:rPr>
              <w:t>⑤</w:t>
            </w:r>
          </w:p>
        </w:tc>
        <w:tc>
          <w:tcPr>
            <w:tcW w:w="464" w:type="pct"/>
            <w:vAlign w:val="center"/>
          </w:tcPr>
          <w:p w14:paraId="3FF54E70">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0.1062</w:t>
            </w:r>
          </w:p>
        </w:tc>
        <w:tc>
          <w:tcPr>
            <w:tcW w:w="422" w:type="pct"/>
            <w:vAlign w:val="center"/>
          </w:tcPr>
          <w:p w14:paraId="06B5FB8A">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w:t>
            </w:r>
          </w:p>
        </w:tc>
        <w:tc>
          <w:tcPr>
            <w:tcW w:w="606" w:type="pct"/>
            <w:vAlign w:val="center"/>
          </w:tcPr>
          <w:p w14:paraId="299A44DE">
            <w:pPr>
              <w:widowControl w:val="0"/>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81.3</w:t>
            </w:r>
          </w:p>
        </w:tc>
      </w:tr>
    </w:tbl>
    <w:p w14:paraId="59DB21DE">
      <w:pPr>
        <w:pStyle w:val="6"/>
        <w:bidi w:val="0"/>
        <w:rPr>
          <w:rFonts w:hint="default" w:cs="Times New Roman"/>
          <w:color w:val="auto"/>
          <w:sz w:val="21"/>
          <w:szCs w:val="18"/>
          <w:lang w:val="en-US" w:eastAsia="zh-CN"/>
        </w:rPr>
      </w:pPr>
      <w:r>
        <w:rPr>
          <w:rFonts w:hint="default" w:ascii="Times New Roman" w:hAnsi="Times New Roman" w:cs="Times New Roman"/>
          <w:color w:val="auto"/>
          <w:sz w:val="21"/>
          <w:szCs w:val="18"/>
          <w:lang w:eastAsia="zh-CN"/>
        </w:rPr>
        <w:t>注：</w:t>
      </w:r>
      <w:r>
        <w:rPr>
          <w:rFonts w:hint="eastAsia" w:cs="Times New Roman"/>
          <w:color w:val="auto"/>
          <w:sz w:val="21"/>
          <w:szCs w:val="18"/>
          <w:lang w:val="en-US" w:eastAsia="zh-CN"/>
        </w:rPr>
        <w:t>①</w:t>
      </w:r>
      <w:r>
        <w:rPr>
          <w:rFonts w:hint="default" w:ascii="Times New Roman" w:hAnsi="Times New Roman" w:cs="Times New Roman"/>
          <w:color w:val="auto"/>
          <w:sz w:val="21"/>
          <w:szCs w:val="18"/>
          <w:lang w:eastAsia="zh-CN"/>
        </w:rPr>
        <w:t>根据《中国石化危险化学品重大危险源辨识指导意见》</w:t>
      </w:r>
      <w:r>
        <w:rPr>
          <w:rFonts w:hint="eastAsia" w:cs="Times New Roman"/>
          <w:color w:val="auto"/>
          <w:sz w:val="21"/>
          <w:szCs w:val="18"/>
          <w:lang w:val="en-US" w:eastAsia="zh-CN"/>
        </w:rPr>
        <w:t>附件2注1填料塔通常液体体积百分比为10-15%，取15%，则气体体积为85%。</w:t>
      </w:r>
    </w:p>
    <w:p w14:paraId="6111C266">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根据《中国石化危险化学品重大危险源辨识指导意见》4.2条的要求，本次辨识危险化学品实际存在量的情况如下：</w:t>
      </w:r>
    </w:p>
    <w:p w14:paraId="06204799">
      <w:pPr>
        <w:pStyle w:val="30"/>
        <w:bidi w:val="0"/>
        <w:rPr>
          <w:rFonts w:hint="default" w:ascii="Times New Roman" w:hAnsi="Times New Roman" w:cs="Times New Roman"/>
          <w:color w:val="auto"/>
        </w:rPr>
      </w:pPr>
      <w:r>
        <w:rPr>
          <w:rFonts w:hint="default" w:ascii="Times New Roman" w:hAnsi="Times New Roman" w:cs="Times New Roman"/>
          <w:color w:val="auto"/>
        </w:rPr>
        <w:t>附表</w:t>
      </w:r>
      <w:r>
        <w:rPr>
          <w:rFonts w:hint="eastAsia" w:cs="Times New Roman"/>
          <w:color w:val="auto"/>
          <w:lang w:val="en-US" w:eastAsia="zh-CN"/>
        </w:rPr>
        <w:t>1.5</w:t>
      </w:r>
      <w:r>
        <w:rPr>
          <w:rFonts w:hint="default" w:ascii="Times New Roman" w:hAnsi="Times New Roman" w:cs="Times New Roman"/>
          <w:color w:val="auto"/>
        </w:rPr>
        <w:t xml:space="preserve">-1 </w:t>
      </w:r>
      <w:r>
        <w:rPr>
          <w:rFonts w:hint="eastAsia" w:cs="Times New Roman"/>
          <w:color w:val="auto"/>
          <w:lang w:val="en-US" w:eastAsia="zh-CN"/>
        </w:rPr>
        <w:t xml:space="preserve"> </w:t>
      </w:r>
      <w:r>
        <w:rPr>
          <w:rFonts w:hint="default" w:ascii="Times New Roman" w:hAnsi="Times New Roman" w:cs="Times New Roman"/>
          <w:color w:val="auto"/>
        </w:rPr>
        <w:t>危险化学品重大危险源辨识表</w:t>
      </w:r>
    </w:p>
    <w:tbl>
      <w:tblPr>
        <w:tblStyle w:val="20"/>
        <w:tblW w:w="4996"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1448"/>
        <w:gridCol w:w="952"/>
        <w:gridCol w:w="1125"/>
        <w:gridCol w:w="1478"/>
        <w:gridCol w:w="1212"/>
        <w:gridCol w:w="1109"/>
        <w:gridCol w:w="1642"/>
      </w:tblGrid>
      <w:tr w14:paraId="441734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tblHeader/>
          <w:jc w:val="center"/>
        </w:trPr>
        <w:tc>
          <w:tcPr>
            <w:tcW w:w="227" w:type="pct"/>
            <w:noWrap w:val="0"/>
            <w:vAlign w:val="center"/>
          </w:tcPr>
          <w:p w14:paraId="548EF162">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771" w:type="pct"/>
            <w:noWrap w:val="0"/>
            <w:vAlign w:val="center"/>
          </w:tcPr>
          <w:p w14:paraId="116E7D1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容器名称</w:t>
            </w:r>
          </w:p>
        </w:tc>
        <w:tc>
          <w:tcPr>
            <w:tcW w:w="507" w:type="pct"/>
            <w:noWrap w:val="0"/>
            <w:vAlign w:val="center"/>
          </w:tcPr>
          <w:p w14:paraId="6296413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主要介质</w:t>
            </w:r>
          </w:p>
        </w:tc>
        <w:tc>
          <w:tcPr>
            <w:tcW w:w="599" w:type="pct"/>
            <w:noWrap w:val="0"/>
            <w:vAlign w:val="center"/>
          </w:tcPr>
          <w:p w14:paraId="07683A96">
            <w:pPr>
              <w:pStyle w:val="31"/>
              <w:bidi w:val="0"/>
              <w:rPr>
                <w:rFonts w:hint="default" w:ascii="Times New Roman" w:hAnsi="Times New Roman" w:cs="Times New Roman"/>
                <w:b/>
                <w:bCs/>
                <w:color w:val="auto"/>
              </w:rPr>
            </w:pPr>
            <w:r>
              <w:rPr>
                <w:rFonts w:hint="eastAsia" w:ascii="Times New Roman" w:hAnsi="Times New Roman" w:cs="Times New Roman"/>
                <w:b/>
                <w:bCs/>
                <w:color w:val="auto"/>
                <w:kern w:val="0"/>
                <w:szCs w:val="21"/>
              </w:rPr>
              <w:t>标况下体积</w:t>
            </w:r>
            <w:r>
              <w:rPr>
                <w:rFonts w:ascii="Times New Roman" w:hAnsi="Times New Roman" w:cs="Times New Roman"/>
                <w:b/>
                <w:bCs/>
                <w:color w:val="auto"/>
                <w:kern w:val="0"/>
                <w:szCs w:val="21"/>
              </w:rPr>
              <w:t>（m</w:t>
            </w:r>
            <w:r>
              <w:rPr>
                <w:rFonts w:ascii="Times New Roman" w:hAnsi="Times New Roman" w:cs="Times New Roman"/>
                <w:b/>
                <w:bCs/>
                <w:color w:val="auto"/>
                <w:kern w:val="0"/>
                <w:szCs w:val="21"/>
                <w:vertAlign w:val="superscript"/>
              </w:rPr>
              <w:t>3</w:t>
            </w:r>
            <w:r>
              <w:rPr>
                <w:rFonts w:ascii="Times New Roman" w:hAnsi="Times New Roman" w:cs="Times New Roman"/>
                <w:b/>
                <w:bCs/>
                <w:color w:val="auto"/>
                <w:kern w:val="0"/>
                <w:szCs w:val="21"/>
              </w:rPr>
              <w:t>）</w:t>
            </w:r>
          </w:p>
        </w:tc>
        <w:tc>
          <w:tcPr>
            <w:tcW w:w="787" w:type="pct"/>
            <w:noWrap w:val="0"/>
            <w:vAlign w:val="center"/>
          </w:tcPr>
          <w:p w14:paraId="7160B377">
            <w:pPr>
              <w:pStyle w:val="31"/>
              <w:bidi w:val="0"/>
              <w:rPr>
                <w:rFonts w:ascii="Times New Roman" w:hAnsi="Times New Roman" w:cs="Times New Roman"/>
                <w:b/>
                <w:bCs/>
                <w:color w:val="auto"/>
                <w:kern w:val="0"/>
                <w:szCs w:val="21"/>
              </w:rPr>
            </w:pPr>
            <w:r>
              <w:rPr>
                <w:rFonts w:hint="eastAsia" w:ascii="Times New Roman" w:hAnsi="Times New Roman" w:cs="Times New Roman"/>
                <w:b/>
                <w:bCs/>
                <w:color w:val="auto"/>
                <w:kern w:val="0"/>
                <w:szCs w:val="21"/>
              </w:rPr>
              <w:t>最大储存量（t）</w:t>
            </w:r>
          </w:p>
        </w:tc>
        <w:tc>
          <w:tcPr>
            <w:tcW w:w="645" w:type="pct"/>
            <w:noWrap w:val="0"/>
            <w:vAlign w:val="center"/>
          </w:tcPr>
          <w:p w14:paraId="5022DE85">
            <w:pPr>
              <w:pStyle w:val="31"/>
              <w:bidi w:val="0"/>
              <w:rPr>
                <w:rFonts w:hint="default" w:ascii="Times New Roman" w:hAnsi="Times New Roman" w:cs="Times New Roman"/>
                <w:b/>
                <w:bCs/>
                <w:color w:val="auto"/>
              </w:rPr>
            </w:pPr>
            <w:r>
              <w:rPr>
                <w:rFonts w:hint="eastAsia" w:ascii="Times New Roman" w:hAnsi="Times New Roman" w:cs="Times New Roman"/>
                <w:b/>
                <w:bCs/>
                <w:color w:val="auto"/>
                <w:kern w:val="0"/>
                <w:szCs w:val="21"/>
              </w:rPr>
              <w:t>临界量（t）</w:t>
            </w:r>
          </w:p>
        </w:tc>
        <w:tc>
          <w:tcPr>
            <w:tcW w:w="590" w:type="pct"/>
            <w:noWrap w:val="0"/>
            <w:vAlign w:val="center"/>
          </w:tcPr>
          <w:p w14:paraId="0271DD1E">
            <w:pPr>
              <w:pStyle w:val="31"/>
              <w:bidi w:val="0"/>
              <w:rPr>
                <w:rFonts w:hint="eastAsia" w:ascii="Times New Roman" w:hAnsi="Times New Roman" w:cs="Times New Roman"/>
                <w:b/>
                <w:bCs/>
                <w:color w:val="auto"/>
                <w:kern w:val="0"/>
                <w:szCs w:val="21"/>
              </w:rPr>
            </w:pPr>
            <w:r>
              <w:rPr>
                <w:rFonts w:hint="eastAsia" w:ascii="Times New Roman" w:hAnsi="Times New Roman" w:cs="Times New Roman"/>
                <w:b/>
                <w:bCs/>
                <w:color w:val="auto"/>
                <w:kern w:val="0"/>
                <w:szCs w:val="21"/>
              </w:rPr>
              <w:t>q/Q</w:t>
            </w:r>
          </w:p>
        </w:tc>
        <w:tc>
          <w:tcPr>
            <w:tcW w:w="869" w:type="pct"/>
            <w:noWrap w:val="0"/>
            <w:vAlign w:val="center"/>
          </w:tcPr>
          <w:p w14:paraId="2B904035">
            <w:pPr>
              <w:pStyle w:val="31"/>
              <w:bidi w:val="0"/>
              <w:rPr>
                <w:rFonts w:hint="eastAsia" w:ascii="Times New Roman" w:hAnsi="Times New Roman" w:cs="Times New Roman"/>
                <w:b/>
                <w:bCs/>
                <w:color w:val="auto"/>
                <w:kern w:val="0"/>
                <w:szCs w:val="21"/>
              </w:rPr>
            </w:pPr>
            <w:r>
              <w:rPr>
                <w:rFonts w:hint="default" w:ascii="Times New Roman" w:hAnsi="Times New Roman" w:eastAsia="宋体" w:cs="Times New Roman"/>
                <w:b/>
                <w:bCs/>
                <w:snapToGrid w:val="0"/>
                <w:color w:val="auto"/>
                <w:spacing w:val="-2"/>
                <w:kern w:val="0"/>
                <w:sz w:val="21"/>
                <w:szCs w:val="21"/>
              </w:rPr>
              <w:t>q</w:t>
            </w:r>
            <w:r>
              <w:rPr>
                <w:rFonts w:hint="default" w:ascii="Times New Roman" w:hAnsi="Times New Roman" w:eastAsia="宋体" w:cs="Times New Roman"/>
                <w:b/>
                <w:bCs/>
                <w:snapToGrid w:val="0"/>
                <w:color w:val="auto"/>
                <w:spacing w:val="-4"/>
                <w:kern w:val="0"/>
                <w:position w:val="-1"/>
                <w:sz w:val="21"/>
                <w:szCs w:val="21"/>
                <w:vertAlign w:val="subscript"/>
              </w:rPr>
              <w:t>1</w:t>
            </w:r>
            <w:r>
              <w:rPr>
                <w:rFonts w:hint="default" w:ascii="Times New Roman" w:hAnsi="Times New Roman" w:eastAsia="宋体" w:cs="Times New Roman"/>
                <w:b/>
                <w:bCs/>
                <w:snapToGrid w:val="0"/>
                <w:color w:val="auto"/>
                <w:spacing w:val="-4"/>
                <w:kern w:val="0"/>
                <w:sz w:val="21"/>
                <w:szCs w:val="21"/>
              </w:rPr>
              <w:t>/</w:t>
            </w:r>
            <w:r>
              <w:rPr>
                <w:rFonts w:hint="default" w:ascii="Times New Roman" w:hAnsi="Times New Roman" w:eastAsia="宋体" w:cs="Times New Roman"/>
                <w:b/>
                <w:bCs/>
                <w:snapToGrid w:val="0"/>
                <w:color w:val="auto"/>
                <w:spacing w:val="-2"/>
                <w:kern w:val="0"/>
                <w:sz w:val="21"/>
                <w:szCs w:val="21"/>
              </w:rPr>
              <w:t>Q</w:t>
            </w:r>
            <w:r>
              <w:rPr>
                <w:rFonts w:hint="default" w:ascii="Times New Roman" w:hAnsi="Times New Roman" w:eastAsia="宋体" w:cs="Times New Roman"/>
                <w:b/>
                <w:bCs/>
                <w:snapToGrid w:val="0"/>
                <w:color w:val="auto"/>
                <w:spacing w:val="-4"/>
                <w:kern w:val="0"/>
                <w:position w:val="-1"/>
                <w:sz w:val="21"/>
                <w:szCs w:val="21"/>
                <w:vertAlign w:val="subscript"/>
              </w:rPr>
              <w:t>1</w:t>
            </w:r>
            <w:r>
              <w:rPr>
                <w:rFonts w:hint="default" w:ascii="Times New Roman" w:hAnsi="Times New Roman" w:eastAsia="宋体" w:cs="Times New Roman"/>
                <w:b/>
                <w:bCs/>
                <w:snapToGrid w:val="0"/>
                <w:color w:val="auto"/>
                <w:spacing w:val="-2"/>
                <w:kern w:val="0"/>
                <w:sz w:val="21"/>
                <w:szCs w:val="21"/>
              </w:rPr>
              <w:t>+…</w:t>
            </w:r>
            <w:r>
              <w:rPr>
                <w:rFonts w:hint="default" w:ascii="Times New Roman" w:hAnsi="Times New Roman" w:eastAsia="宋体" w:cs="Times New Roman"/>
                <w:b/>
                <w:bCs/>
                <w:snapToGrid w:val="0"/>
                <w:color w:val="auto"/>
                <w:spacing w:val="12"/>
                <w:kern w:val="0"/>
                <w:sz w:val="21"/>
                <w:szCs w:val="21"/>
              </w:rPr>
              <w:t>+</w:t>
            </w:r>
            <w:r>
              <w:rPr>
                <w:rFonts w:hint="default" w:ascii="Times New Roman" w:hAnsi="Times New Roman" w:eastAsia="宋体" w:cs="Times New Roman"/>
                <w:b/>
                <w:bCs/>
                <w:snapToGrid w:val="0"/>
                <w:color w:val="auto"/>
                <w:kern w:val="0"/>
                <w:sz w:val="21"/>
                <w:szCs w:val="21"/>
              </w:rPr>
              <w:t>q</w:t>
            </w:r>
            <w:r>
              <w:rPr>
                <w:rFonts w:hint="default" w:ascii="Times New Roman" w:hAnsi="Times New Roman" w:eastAsia="宋体" w:cs="Times New Roman"/>
                <w:b/>
                <w:bCs/>
                <w:snapToGrid w:val="0"/>
                <w:color w:val="auto"/>
                <w:kern w:val="0"/>
                <w:position w:val="-1"/>
                <w:sz w:val="21"/>
                <w:szCs w:val="21"/>
                <w:vertAlign w:val="subscript"/>
              </w:rPr>
              <w:t>n</w:t>
            </w:r>
            <w:r>
              <w:rPr>
                <w:rFonts w:hint="default" w:ascii="Times New Roman" w:hAnsi="Times New Roman" w:eastAsia="宋体" w:cs="Times New Roman"/>
                <w:b/>
                <w:bCs/>
                <w:snapToGrid w:val="0"/>
                <w:color w:val="auto"/>
                <w:spacing w:val="11"/>
                <w:kern w:val="0"/>
                <w:sz w:val="21"/>
                <w:szCs w:val="21"/>
              </w:rPr>
              <w:t>/</w:t>
            </w:r>
            <w:r>
              <w:rPr>
                <w:rFonts w:hint="default" w:ascii="Times New Roman" w:hAnsi="Times New Roman" w:eastAsia="宋体" w:cs="Times New Roman"/>
                <w:b/>
                <w:bCs/>
                <w:snapToGrid w:val="0"/>
                <w:color w:val="auto"/>
                <w:kern w:val="0"/>
                <w:sz w:val="21"/>
                <w:szCs w:val="21"/>
              </w:rPr>
              <w:t>Q</w:t>
            </w:r>
            <w:r>
              <w:rPr>
                <w:rFonts w:hint="default" w:ascii="Times New Roman" w:hAnsi="Times New Roman" w:eastAsia="宋体" w:cs="Times New Roman"/>
                <w:b/>
                <w:bCs/>
                <w:snapToGrid w:val="0"/>
                <w:color w:val="auto"/>
                <w:kern w:val="0"/>
                <w:position w:val="-1"/>
                <w:sz w:val="21"/>
                <w:szCs w:val="21"/>
                <w:vertAlign w:val="subscript"/>
              </w:rPr>
              <w:t>n</w:t>
            </w:r>
          </w:p>
        </w:tc>
      </w:tr>
      <w:tr w14:paraId="3E1892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27" w:type="pct"/>
            <w:vMerge w:val="restart"/>
            <w:noWrap w:val="0"/>
            <w:vAlign w:val="center"/>
          </w:tcPr>
          <w:p w14:paraId="7A01627A">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1</w:t>
            </w:r>
          </w:p>
        </w:tc>
        <w:tc>
          <w:tcPr>
            <w:tcW w:w="771" w:type="pct"/>
            <w:vMerge w:val="restart"/>
            <w:noWrap w:val="0"/>
            <w:vAlign w:val="center"/>
          </w:tcPr>
          <w:p w14:paraId="1142A78A">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低温吸收塔</w:t>
            </w:r>
          </w:p>
        </w:tc>
        <w:tc>
          <w:tcPr>
            <w:tcW w:w="507" w:type="pct"/>
            <w:noWrap w:val="0"/>
            <w:vAlign w:val="center"/>
          </w:tcPr>
          <w:p w14:paraId="46F81E4C">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柴油</w:t>
            </w:r>
          </w:p>
        </w:tc>
        <w:tc>
          <w:tcPr>
            <w:tcW w:w="599" w:type="pct"/>
            <w:noWrap w:val="0"/>
            <w:vAlign w:val="center"/>
          </w:tcPr>
          <w:p w14:paraId="11A9181E">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约3.81</w:t>
            </w:r>
          </w:p>
        </w:tc>
        <w:tc>
          <w:tcPr>
            <w:tcW w:w="787" w:type="pct"/>
            <w:noWrap w:val="0"/>
            <w:vAlign w:val="center"/>
          </w:tcPr>
          <w:p w14:paraId="0EB9010A">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0.004</w:t>
            </w:r>
          </w:p>
        </w:tc>
        <w:tc>
          <w:tcPr>
            <w:tcW w:w="645" w:type="pct"/>
            <w:noWrap w:val="0"/>
            <w:vAlign w:val="center"/>
          </w:tcPr>
          <w:p w14:paraId="615CDE43">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5000</w:t>
            </w:r>
          </w:p>
        </w:tc>
        <w:tc>
          <w:tcPr>
            <w:tcW w:w="590" w:type="pct"/>
            <w:noWrap w:val="0"/>
            <w:vAlign w:val="center"/>
          </w:tcPr>
          <w:p w14:paraId="7CBA8EAE">
            <w:pPr>
              <w:pStyle w:val="3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0.0000008</w:t>
            </w:r>
          </w:p>
        </w:tc>
        <w:tc>
          <w:tcPr>
            <w:tcW w:w="869" w:type="pct"/>
            <w:vMerge w:val="restart"/>
            <w:noWrap w:val="0"/>
            <w:vAlign w:val="center"/>
          </w:tcPr>
          <w:p w14:paraId="0CBFD1C8">
            <w:pPr>
              <w:pStyle w:val="31"/>
              <w:bidi w:val="0"/>
              <w:rPr>
                <w:rFonts w:hint="default" w:eastAsia="宋体" w:cs="Times New Roman"/>
                <w:color w:val="auto"/>
                <w:lang w:val="en-US" w:eastAsia="zh-CN"/>
              </w:rPr>
            </w:pPr>
            <w:r>
              <w:rPr>
                <w:rFonts w:hint="eastAsia" w:cs="Times New Roman"/>
                <w:color w:val="auto"/>
                <w:lang w:val="en-US" w:eastAsia="zh-CN"/>
              </w:rPr>
              <w:t>0.0034＜1</w:t>
            </w:r>
          </w:p>
        </w:tc>
      </w:tr>
      <w:tr w14:paraId="670287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27" w:type="pct"/>
            <w:vMerge w:val="continue"/>
            <w:noWrap w:val="0"/>
            <w:vAlign w:val="center"/>
          </w:tcPr>
          <w:p w14:paraId="7A9D28AF">
            <w:pPr>
              <w:pStyle w:val="31"/>
              <w:bidi w:val="0"/>
              <w:rPr>
                <w:rFonts w:hint="eastAsia" w:cs="Times New Roman"/>
                <w:color w:val="auto"/>
                <w:lang w:val="en-US" w:eastAsia="zh-CN"/>
              </w:rPr>
            </w:pPr>
          </w:p>
        </w:tc>
        <w:tc>
          <w:tcPr>
            <w:tcW w:w="771" w:type="pct"/>
            <w:vMerge w:val="continue"/>
            <w:noWrap w:val="0"/>
            <w:vAlign w:val="center"/>
          </w:tcPr>
          <w:p w14:paraId="22881109">
            <w:pPr>
              <w:pStyle w:val="31"/>
              <w:bidi w:val="0"/>
              <w:rPr>
                <w:rFonts w:hint="eastAsia" w:cs="Times New Roman"/>
                <w:color w:val="auto"/>
                <w:lang w:val="en-US" w:eastAsia="zh-CN"/>
              </w:rPr>
            </w:pPr>
          </w:p>
        </w:tc>
        <w:tc>
          <w:tcPr>
            <w:tcW w:w="507" w:type="pct"/>
            <w:noWrap w:val="0"/>
            <w:vAlign w:val="center"/>
          </w:tcPr>
          <w:p w14:paraId="082C937E">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甲烷</w:t>
            </w:r>
          </w:p>
        </w:tc>
        <w:tc>
          <w:tcPr>
            <w:tcW w:w="599" w:type="pct"/>
            <w:noWrap w:val="0"/>
            <w:vAlign w:val="center"/>
          </w:tcPr>
          <w:p w14:paraId="7241C840">
            <w:pPr>
              <w:pStyle w:val="31"/>
              <w:bidi w:val="0"/>
              <w:rPr>
                <w:rFonts w:hint="default" w:ascii="Times New Roman" w:hAnsi="Times New Roman" w:cs="Times New Roman"/>
                <w:color w:val="auto"/>
                <w:lang w:val="en-US"/>
              </w:rPr>
            </w:pPr>
            <w:r>
              <w:rPr>
                <w:rFonts w:hint="eastAsia" w:cs="Times New Roman"/>
                <w:color w:val="auto"/>
                <w:lang w:val="en-US" w:eastAsia="zh-CN"/>
              </w:rPr>
              <w:t>约42</w:t>
            </w:r>
          </w:p>
        </w:tc>
        <w:tc>
          <w:tcPr>
            <w:tcW w:w="787" w:type="pct"/>
            <w:noWrap w:val="0"/>
            <w:vAlign w:val="center"/>
          </w:tcPr>
          <w:p w14:paraId="5BD1061C">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0.033</w:t>
            </w:r>
          </w:p>
        </w:tc>
        <w:tc>
          <w:tcPr>
            <w:tcW w:w="645" w:type="pct"/>
            <w:noWrap w:val="0"/>
            <w:vAlign w:val="center"/>
          </w:tcPr>
          <w:p w14:paraId="4C4C0714">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50</w:t>
            </w:r>
          </w:p>
        </w:tc>
        <w:tc>
          <w:tcPr>
            <w:tcW w:w="590" w:type="pct"/>
            <w:noWrap w:val="0"/>
            <w:vAlign w:val="center"/>
          </w:tcPr>
          <w:p w14:paraId="73CFEDD0">
            <w:pPr>
              <w:pStyle w:val="31"/>
              <w:bidi w:val="0"/>
              <w:rPr>
                <w:rFonts w:hint="default" w:eastAsia="宋体" w:cs="Times New Roman"/>
                <w:color w:val="auto"/>
                <w:lang w:val="en-US" w:eastAsia="zh-CN"/>
              </w:rPr>
            </w:pPr>
            <w:r>
              <w:rPr>
                <w:rFonts w:hint="eastAsia" w:eastAsia="宋体" w:cs="Times New Roman"/>
                <w:color w:val="auto"/>
                <w:lang w:val="en-US" w:eastAsia="zh-CN"/>
              </w:rPr>
              <w:t>0.00066</w:t>
            </w:r>
          </w:p>
        </w:tc>
        <w:tc>
          <w:tcPr>
            <w:tcW w:w="869" w:type="pct"/>
            <w:vMerge w:val="continue"/>
            <w:noWrap w:val="0"/>
            <w:vAlign w:val="center"/>
          </w:tcPr>
          <w:p w14:paraId="16714D29">
            <w:pPr>
              <w:pStyle w:val="31"/>
              <w:bidi w:val="0"/>
              <w:rPr>
                <w:rFonts w:hint="default" w:ascii="Times New Roman" w:hAnsi="Times New Roman" w:eastAsia="宋体" w:cs="Times New Roman"/>
                <w:color w:val="auto"/>
                <w:lang w:val="en-US" w:eastAsia="zh-CN"/>
              </w:rPr>
            </w:pPr>
          </w:p>
        </w:tc>
      </w:tr>
      <w:tr w14:paraId="1879CC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27" w:type="pct"/>
            <w:noWrap w:val="0"/>
            <w:vAlign w:val="center"/>
          </w:tcPr>
          <w:p w14:paraId="0723B8D7">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2</w:t>
            </w:r>
          </w:p>
        </w:tc>
        <w:tc>
          <w:tcPr>
            <w:tcW w:w="771" w:type="pct"/>
            <w:noWrap w:val="0"/>
            <w:vAlign w:val="center"/>
          </w:tcPr>
          <w:p w14:paraId="440778DF">
            <w:pPr>
              <w:pStyle w:val="31"/>
              <w:bidi w:val="0"/>
              <w:rPr>
                <w:rFonts w:hint="eastAsia" w:ascii="Times New Roman" w:hAnsi="Times New Roman" w:eastAsia="宋体" w:cs="Times New Roman"/>
                <w:color w:val="auto"/>
                <w:lang w:eastAsia="zh-CN"/>
              </w:rPr>
            </w:pPr>
            <w:r>
              <w:rPr>
                <w:rFonts w:hint="default" w:ascii="Times New Roman" w:hAnsi="Times New Roman" w:cs="Times New Roman"/>
                <w:color w:val="auto"/>
              </w:rPr>
              <w:t>脱硫及总烃浓度均化罐</w:t>
            </w:r>
            <w:r>
              <w:rPr>
                <w:rFonts w:hint="eastAsia" w:cs="Times New Roman"/>
                <w:color w:val="auto"/>
                <w:lang w:eastAsia="zh-CN"/>
              </w:rPr>
              <w:t>（蓄热氧化</w:t>
            </w:r>
            <w:r>
              <w:rPr>
                <w:rFonts w:hint="eastAsia" w:cs="Times New Roman"/>
                <w:color w:val="auto"/>
                <w:lang w:val="en-US" w:eastAsia="zh-CN"/>
              </w:rPr>
              <w:t>装置</w:t>
            </w:r>
            <w:r>
              <w:rPr>
                <w:rFonts w:hint="eastAsia" w:cs="Times New Roman"/>
                <w:color w:val="auto"/>
                <w:lang w:eastAsia="zh-CN"/>
              </w:rPr>
              <w:t>）</w:t>
            </w:r>
          </w:p>
        </w:tc>
        <w:tc>
          <w:tcPr>
            <w:tcW w:w="507" w:type="pct"/>
            <w:noWrap w:val="0"/>
            <w:vAlign w:val="center"/>
          </w:tcPr>
          <w:p w14:paraId="69353634">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甲烷</w:t>
            </w:r>
          </w:p>
        </w:tc>
        <w:tc>
          <w:tcPr>
            <w:tcW w:w="599" w:type="pct"/>
            <w:noWrap w:val="0"/>
            <w:vAlign w:val="center"/>
          </w:tcPr>
          <w:p w14:paraId="5818EFD4">
            <w:pPr>
              <w:pStyle w:val="31"/>
              <w:bidi w:val="0"/>
              <w:rPr>
                <w:rFonts w:hint="default" w:ascii="Times New Roman" w:hAnsi="Times New Roman" w:cs="Times New Roman"/>
                <w:color w:val="auto"/>
              </w:rPr>
            </w:pPr>
            <w:r>
              <w:rPr>
                <w:rFonts w:hint="eastAsia" w:ascii="Times New Roman" w:hAnsi="Times New Roman" w:cs="Times New Roman"/>
                <w:color w:val="auto"/>
                <w:kern w:val="2"/>
                <w:sz w:val="21"/>
                <w:szCs w:val="21"/>
                <w:lang w:val="en-US" w:eastAsia="zh-CN" w:bidi="ar-SA"/>
              </w:rPr>
              <w:t>约21.1</w:t>
            </w:r>
          </w:p>
        </w:tc>
        <w:tc>
          <w:tcPr>
            <w:tcW w:w="787" w:type="pct"/>
            <w:noWrap w:val="0"/>
            <w:vAlign w:val="center"/>
          </w:tcPr>
          <w:p w14:paraId="77A88C85">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0.017</w:t>
            </w:r>
          </w:p>
        </w:tc>
        <w:tc>
          <w:tcPr>
            <w:tcW w:w="645" w:type="pct"/>
            <w:noWrap w:val="0"/>
            <w:vAlign w:val="center"/>
          </w:tcPr>
          <w:p w14:paraId="41C01F17">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50</w:t>
            </w:r>
          </w:p>
        </w:tc>
        <w:tc>
          <w:tcPr>
            <w:tcW w:w="590" w:type="pct"/>
            <w:noWrap w:val="0"/>
            <w:vAlign w:val="center"/>
          </w:tcPr>
          <w:p w14:paraId="265A56B5">
            <w:pPr>
              <w:pStyle w:val="31"/>
              <w:bidi w:val="0"/>
              <w:rPr>
                <w:rFonts w:hint="default" w:eastAsia="宋体" w:cs="Times New Roman"/>
                <w:color w:val="auto"/>
                <w:lang w:val="en-US" w:eastAsia="zh-CN"/>
              </w:rPr>
            </w:pPr>
            <w:r>
              <w:rPr>
                <w:rFonts w:hint="eastAsia" w:eastAsia="宋体" w:cs="Times New Roman"/>
                <w:color w:val="auto"/>
                <w:lang w:val="en-US" w:eastAsia="zh-CN"/>
              </w:rPr>
              <w:t>0.00034</w:t>
            </w:r>
          </w:p>
        </w:tc>
        <w:tc>
          <w:tcPr>
            <w:tcW w:w="869" w:type="pct"/>
            <w:vMerge w:val="continue"/>
            <w:noWrap w:val="0"/>
            <w:vAlign w:val="center"/>
          </w:tcPr>
          <w:p w14:paraId="7B129EE7">
            <w:pPr>
              <w:pStyle w:val="31"/>
              <w:bidi w:val="0"/>
              <w:rPr>
                <w:rFonts w:hint="default" w:ascii="Times New Roman" w:hAnsi="Times New Roman" w:eastAsia="宋体" w:cs="Times New Roman"/>
                <w:color w:val="auto"/>
                <w:lang w:val="en-US" w:eastAsia="zh-CN"/>
              </w:rPr>
            </w:pPr>
          </w:p>
        </w:tc>
      </w:tr>
      <w:tr w14:paraId="2AF42C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27" w:type="pct"/>
            <w:noWrap w:val="0"/>
            <w:vAlign w:val="center"/>
          </w:tcPr>
          <w:p w14:paraId="0CEEB628">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3</w:t>
            </w:r>
          </w:p>
        </w:tc>
        <w:tc>
          <w:tcPr>
            <w:tcW w:w="771" w:type="pct"/>
            <w:noWrap w:val="0"/>
            <w:vAlign w:val="center"/>
          </w:tcPr>
          <w:p w14:paraId="2796E1FA">
            <w:pPr>
              <w:pStyle w:val="31"/>
              <w:bidi w:val="0"/>
              <w:rPr>
                <w:rFonts w:hint="default" w:ascii="Times New Roman" w:hAnsi="Times New Roman" w:cs="Times New Roman"/>
                <w:color w:val="auto"/>
              </w:rPr>
            </w:pPr>
            <w:r>
              <w:rPr>
                <w:rFonts w:hint="default" w:ascii="Times New Roman" w:hAnsi="Times New Roman" w:cs="Times New Roman"/>
                <w:color w:val="auto"/>
              </w:rPr>
              <w:t>蓄热氧化反应器</w:t>
            </w:r>
            <w:r>
              <w:rPr>
                <w:rFonts w:hint="eastAsia" w:cs="Times New Roman"/>
                <w:color w:val="auto"/>
                <w:lang w:eastAsia="zh-CN"/>
              </w:rPr>
              <w:t>（蓄热氧化</w:t>
            </w:r>
            <w:r>
              <w:rPr>
                <w:rFonts w:hint="eastAsia" w:cs="Times New Roman"/>
                <w:color w:val="auto"/>
                <w:lang w:val="en-US" w:eastAsia="zh-CN"/>
              </w:rPr>
              <w:t>装置</w:t>
            </w:r>
            <w:r>
              <w:rPr>
                <w:rFonts w:hint="eastAsia" w:cs="Times New Roman"/>
                <w:color w:val="auto"/>
                <w:lang w:eastAsia="zh-CN"/>
              </w:rPr>
              <w:t>）</w:t>
            </w:r>
          </w:p>
        </w:tc>
        <w:tc>
          <w:tcPr>
            <w:tcW w:w="507" w:type="pct"/>
            <w:noWrap w:val="0"/>
            <w:vAlign w:val="center"/>
          </w:tcPr>
          <w:p w14:paraId="4F964E98">
            <w:pPr>
              <w:pStyle w:val="31"/>
              <w:bidi w:val="0"/>
              <w:rPr>
                <w:rFonts w:hint="eastAsia" w:ascii="Times New Roman" w:hAnsi="Times New Roman" w:eastAsia="宋体" w:cs="Times New Roman"/>
                <w:color w:val="auto"/>
                <w:lang w:val="en-US" w:eastAsia="zh-CN"/>
              </w:rPr>
            </w:pPr>
            <w:r>
              <w:rPr>
                <w:rFonts w:hint="eastAsia" w:cs="Times New Roman"/>
                <w:color w:val="auto"/>
                <w:lang w:val="en-US" w:eastAsia="zh-CN"/>
              </w:rPr>
              <w:t>甲烷</w:t>
            </w:r>
          </w:p>
        </w:tc>
        <w:tc>
          <w:tcPr>
            <w:tcW w:w="599" w:type="pct"/>
            <w:noWrap w:val="0"/>
            <w:vAlign w:val="center"/>
          </w:tcPr>
          <w:p w14:paraId="7C2845B7">
            <w:pPr>
              <w:pStyle w:val="31"/>
              <w:bidi w:val="0"/>
              <w:rPr>
                <w:rFonts w:hint="default" w:ascii="Times New Roman" w:hAnsi="Times New Roman" w:eastAsia="宋体" w:cs="Times New Roman"/>
                <w:color w:val="auto"/>
                <w:lang w:val="en-US" w:eastAsia="zh-CN"/>
              </w:rPr>
            </w:pPr>
            <w:r>
              <w:rPr>
                <w:rFonts w:hint="eastAsia" w:cs="Times New Roman"/>
                <w:color w:val="auto"/>
                <w:kern w:val="2"/>
                <w:sz w:val="21"/>
                <w:szCs w:val="21"/>
                <w:lang w:val="en-US" w:eastAsia="zh-CN" w:bidi="ar-SA"/>
              </w:rPr>
              <w:t>23</w:t>
            </w:r>
          </w:p>
        </w:tc>
        <w:tc>
          <w:tcPr>
            <w:tcW w:w="787" w:type="pct"/>
            <w:noWrap w:val="0"/>
            <w:vAlign w:val="center"/>
          </w:tcPr>
          <w:p w14:paraId="083BFFD0">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0.018</w:t>
            </w:r>
          </w:p>
        </w:tc>
        <w:tc>
          <w:tcPr>
            <w:tcW w:w="645" w:type="pct"/>
            <w:noWrap w:val="0"/>
            <w:vAlign w:val="center"/>
          </w:tcPr>
          <w:p w14:paraId="62943CA3">
            <w:pPr>
              <w:pStyle w:val="31"/>
              <w:bidi w:val="0"/>
              <w:rPr>
                <w:rFonts w:hint="default" w:ascii="Times New Roman" w:hAnsi="Times New Roman" w:eastAsia="宋体" w:cs="Times New Roman"/>
                <w:color w:val="auto"/>
                <w:lang w:val="en-US" w:eastAsia="zh-CN"/>
              </w:rPr>
            </w:pPr>
            <w:r>
              <w:rPr>
                <w:rFonts w:hint="eastAsia" w:cs="Times New Roman"/>
                <w:color w:val="auto"/>
                <w:lang w:val="en-US" w:eastAsia="zh-CN"/>
              </w:rPr>
              <w:t>50</w:t>
            </w:r>
          </w:p>
        </w:tc>
        <w:tc>
          <w:tcPr>
            <w:tcW w:w="590" w:type="pct"/>
            <w:noWrap w:val="0"/>
            <w:vAlign w:val="center"/>
          </w:tcPr>
          <w:p w14:paraId="46C24DB2">
            <w:pPr>
              <w:pStyle w:val="31"/>
              <w:bidi w:val="0"/>
              <w:rPr>
                <w:rFonts w:hint="default" w:eastAsia="宋体" w:cs="Times New Roman"/>
                <w:color w:val="auto"/>
                <w:lang w:val="en-US" w:eastAsia="zh-CN"/>
              </w:rPr>
            </w:pPr>
            <w:r>
              <w:rPr>
                <w:rFonts w:hint="eastAsia" w:eastAsia="宋体" w:cs="Times New Roman"/>
                <w:color w:val="auto"/>
                <w:lang w:val="en-US" w:eastAsia="zh-CN"/>
              </w:rPr>
              <w:t>0.00036</w:t>
            </w:r>
          </w:p>
        </w:tc>
        <w:tc>
          <w:tcPr>
            <w:tcW w:w="869" w:type="pct"/>
            <w:vMerge w:val="continue"/>
            <w:noWrap w:val="0"/>
            <w:vAlign w:val="center"/>
          </w:tcPr>
          <w:p w14:paraId="0A1CF9D3">
            <w:pPr>
              <w:pStyle w:val="31"/>
              <w:bidi w:val="0"/>
              <w:rPr>
                <w:rFonts w:hint="default" w:ascii="Times New Roman" w:hAnsi="Times New Roman" w:eastAsia="宋体" w:cs="Times New Roman"/>
                <w:color w:val="auto"/>
                <w:lang w:val="en-US" w:eastAsia="zh-CN"/>
              </w:rPr>
            </w:pPr>
          </w:p>
        </w:tc>
      </w:tr>
      <w:tr w14:paraId="08EC3A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27" w:type="pct"/>
            <w:noWrap w:val="0"/>
            <w:vAlign w:val="center"/>
          </w:tcPr>
          <w:p w14:paraId="4FB5BCF0">
            <w:pPr>
              <w:pStyle w:val="31"/>
              <w:bidi w:val="0"/>
              <w:rPr>
                <w:rFonts w:hint="default" w:cs="Times New Roman"/>
                <w:color w:val="auto"/>
                <w:lang w:val="en-US" w:eastAsia="zh-CN"/>
              </w:rPr>
            </w:pPr>
            <w:r>
              <w:rPr>
                <w:rFonts w:hint="eastAsia" w:cs="Times New Roman"/>
                <w:color w:val="auto"/>
                <w:lang w:val="en-US" w:eastAsia="zh-CN"/>
              </w:rPr>
              <w:t>4</w:t>
            </w:r>
          </w:p>
        </w:tc>
        <w:tc>
          <w:tcPr>
            <w:tcW w:w="771" w:type="pct"/>
            <w:noWrap w:val="0"/>
            <w:vAlign w:val="center"/>
          </w:tcPr>
          <w:p w14:paraId="52D4A6C1">
            <w:pPr>
              <w:pStyle w:val="31"/>
              <w:bidi w:val="0"/>
              <w:rPr>
                <w:rFonts w:hint="default" w:eastAsia="宋体" w:cs="Times New Roman"/>
                <w:color w:val="auto"/>
                <w:lang w:val="en-US" w:eastAsia="zh-CN"/>
              </w:rPr>
            </w:pPr>
            <w:r>
              <w:rPr>
                <w:rFonts w:hint="eastAsia" w:eastAsia="宋体" w:cs="Times New Roman"/>
                <w:color w:val="auto"/>
                <w:lang w:val="en-US" w:eastAsia="zh-CN"/>
              </w:rPr>
              <w:t>脱硫及总烃浓度均化罐（现有</w:t>
            </w:r>
            <w:r>
              <w:rPr>
                <w:rFonts w:hint="eastAsia" w:cs="Times New Roman"/>
                <w:color w:val="auto"/>
                <w:lang w:val="en-US" w:eastAsia="zh-CN"/>
              </w:rPr>
              <w:t>催化氧化装置</w:t>
            </w:r>
            <w:r>
              <w:rPr>
                <w:rFonts w:hint="eastAsia" w:eastAsia="宋体" w:cs="Times New Roman"/>
                <w:color w:val="auto"/>
                <w:lang w:val="en-US" w:eastAsia="zh-CN"/>
              </w:rPr>
              <w:t>）</w:t>
            </w:r>
          </w:p>
        </w:tc>
        <w:tc>
          <w:tcPr>
            <w:tcW w:w="507" w:type="pct"/>
            <w:noWrap w:val="0"/>
            <w:vAlign w:val="center"/>
          </w:tcPr>
          <w:p w14:paraId="77B5280F">
            <w:pPr>
              <w:pStyle w:val="31"/>
              <w:bidi w:val="0"/>
              <w:rPr>
                <w:rFonts w:hint="default" w:eastAsia="宋体" w:cs="Times New Roman"/>
                <w:color w:val="auto"/>
                <w:lang w:val="en-US" w:eastAsia="zh-CN"/>
              </w:rPr>
            </w:pPr>
            <w:r>
              <w:rPr>
                <w:rFonts w:hint="eastAsia" w:eastAsia="宋体" w:cs="Times New Roman"/>
                <w:color w:val="auto"/>
                <w:lang w:val="en-US" w:eastAsia="zh-CN"/>
              </w:rPr>
              <w:t>甲烷</w:t>
            </w:r>
          </w:p>
        </w:tc>
        <w:tc>
          <w:tcPr>
            <w:tcW w:w="599" w:type="pct"/>
            <w:noWrap w:val="0"/>
            <w:vAlign w:val="center"/>
          </w:tcPr>
          <w:p w14:paraId="276A39F7">
            <w:pPr>
              <w:pStyle w:val="31"/>
              <w:bidi w:val="0"/>
              <w:rPr>
                <w:rFonts w:hint="default" w:eastAsia="宋体" w:cs="Times New Roman"/>
                <w:color w:val="auto"/>
                <w:lang w:val="en-US" w:eastAsia="zh-CN"/>
              </w:rPr>
            </w:pPr>
            <w:r>
              <w:rPr>
                <w:rFonts w:hint="eastAsia" w:ascii="Times New Roman" w:hAnsi="Times New Roman" w:eastAsia="宋体" w:cs="Times New Roman"/>
                <w:color w:val="auto"/>
                <w:kern w:val="2"/>
                <w:sz w:val="21"/>
                <w:szCs w:val="21"/>
                <w:lang w:val="en-US" w:eastAsia="zh-CN" w:bidi="ar-SA"/>
              </w:rPr>
              <w:t>45.5</w:t>
            </w:r>
          </w:p>
        </w:tc>
        <w:tc>
          <w:tcPr>
            <w:tcW w:w="787" w:type="pct"/>
            <w:noWrap w:val="0"/>
            <w:vAlign w:val="center"/>
          </w:tcPr>
          <w:p w14:paraId="3041BDEE">
            <w:pPr>
              <w:pStyle w:val="31"/>
              <w:bidi w:val="0"/>
              <w:rPr>
                <w:rFonts w:hint="default" w:eastAsia="宋体" w:cs="Times New Roman"/>
                <w:color w:val="auto"/>
                <w:lang w:val="en-US" w:eastAsia="zh-CN"/>
              </w:rPr>
            </w:pPr>
            <w:r>
              <w:rPr>
                <w:rFonts w:hint="eastAsia" w:eastAsia="宋体" w:cs="Times New Roman"/>
                <w:color w:val="auto"/>
                <w:lang w:val="en-US" w:eastAsia="zh-CN"/>
              </w:rPr>
              <w:t>0.03</w:t>
            </w:r>
            <w:r>
              <w:rPr>
                <w:rFonts w:hint="eastAsia" w:cs="Times New Roman"/>
                <w:color w:val="auto"/>
                <w:lang w:val="en-US" w:eastAsia="zh-CN"/>
              </w:rPr>
              <w:t>6</w:t>
            </w:r>
          </w:p>
        </w:tc>
        <w:tc>
          <w:tcPr>
            <w:tcW w:w="645" w:type="pct"/>
            <w:noWrap w:val="0"/>
            <w:vAlign w:val="center"/>
          </w:tcPr>
          <w:p w14:paraId="2F56C66E">
            <w:pPr>
              <w:pStyle w:val="31"/>
              <w:bidi w:val="0"/>
              <w:rPr>
                <w:rFonts w:hint="default" w:eastAsia="宋体" w:cs="Times New Roman"/>
                <w:color w:val="auto"/>
                <w:lang w:val="en-US" w:eastAsia="zh-CN"/>
              </w:rPr>
            </w:pPr>
            <w:r>
              <w:rPr>
                <w:rFonts w:hint="eastAsia" w:eastAsia="宋体" w:cs="Times New Roman"/>
                <w:color w:val="auto"/>
                <w:lang w:val="en-US" w:eastAsia="zh-CN"/>
              </w:rPr>
              <w:t>50</w:t>
            </w:r>
          </w:p>
        </w:tc>
        <w:tc>
          <w:tcPr>
            <w:tcW w:w="590" w:type="pct"/>
            <w:noWrap w:val="0"/>
            <w:vAlign w:val="center"/>
          </w:tcPr>
          <w:p w14:paraId="2923CD8C">
            <w:pPr>
              <w:pStyle w:val="31"/>
              <w:bidi w:val="0"/>
              <w:rPr>
                <w:rFonts w:hint="eastAsia" w:eastAsia="宋体" w:cs="Times New Roman"/>
                <w:color w:val="auto"/>
                <w:lang w:val="en-US" w:eastAsia="zh-CN"/>
              </w:rPr>
            </w:pPr>
            <w:r>
              <w:rPr>
                <w:rFonts w:hint="eastAsia" w:eastAsia="宋体" w:cs="Times New Roman"/>
                <w:color w:val="auto"/>
                <w:lang w:val="en-US" w:eastAsia="zh-CN"/>
              </w:rPr>
              <w:t>0.00072</w:t>
            </w:r>
          </w:p>
        </w:tc>
        <w:tc>
          <w:tcPr>
            <w:tcW w:w="869" w:type="pct"/>
            <w:vMerge w:val="continue"/>
            <w:noWrap w:val="0"/>
            <w:vAlign w:val="center"/>
          </w:tcPr>
          <w:p w14:paraId="0AD36103">
            <w:pPr>
              <w:pStyle w:val="31"/>
              <w:bidi w:val="0"/>
              <w:rPr>
                <w:rFonts w:hint="default" w:eastAsia="宋体" w:cs="Times New Roman"/>
                <w:color w:val="auto"/>
                <w:lang w:val="en-US" w:eastAsia="zh-CN"/>
              </w:rPr>
            </w:pPr>
          </w:p>
        </w:tc>
      </w:tr>
      <w:tr w14:paraId="59ABFF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227" w:type="pct"/>
            <w:noWrap w:val="0"/>
            <w:vAlign w:val="center"/>
          </w:tcPr>
          <w:p w14:paraId="6C7D7363">
            <w:pPr>
              <w:pStyle w:val="31"/>
              <w:bidi w:val="0"/>
              <w:rPr>
                <w:rFonts w:hint="default" w:cs="Times New Roman"/>
                <w:color w:val="auto"/>
                <w:lang w:val="en-US" w:eastAsia="zh-CN"/>
              </w:rPr>
            </w:pPr>
            <w:r>
              <w:rPr>
                <w:rFonts w:hint="eastAsia" w:cs="Times New Roman"/>
                <w:color w:val="auto"/>
                <w:lang w:val="en-US" w:eastAsia="zh-CN"/>
              </w:rPr>
              <w:t>5</w:t>
            </w:r>
          </w:p>
        </w:tc>
        <w:tc>
          <w:tcPr>
            <w:tcW w:w="771" w:type="pct"/>
            <w:noWrap w:val="0"/>
            <w:vAlign w:val="center"/>
          </w:tcPr>
          <w:p w14:paraId="135E0EFF">
            <w:pPr>
              <w:pStyle w:val="31"/>
              <w:bidi w:val="0"/>
              <w:rPr>
                <w:rFonts w:hint="default" w:eastAsia="宋体" w:cs="Times New Roman"/>
                <w:color w:val="auto"/>
                <w:lang w:val="en-US" w:eastAsia="zh-CN"/>
              </w:rPr>
            </w:pPr>
            <w:r>
              <w:rPr>
                <w:rFonts w:hint="eastAsia" w:eastAsia="宋体" w:cs="Times New Roman"/>
                <w:color w:val="auto"/>
                <w:lang w:val="en-US" w:eastAsia="zh-CN"/>
              </w:rPr>
              <w:t>换热-加热-反应组合反应器（现有</w:t>
            </w:r>
            <w:r>
              <w:rPr>
                <w:rFonts w:hint="eastAsia" w:cs="Times New Roman"/>
                <w:color w:val="auto"/>
                <w:lang w:val="en-US" w:eastAsia="zh-CN"/>
              </w:rPr>
              <w:t>催化氧化装置</w:t>
            </w:r>
            <w:r>
              <w:rPr>
                <w:rFonts w:hint="eastAsia" w:eastAsia="宋体" w:cs="Times New Roman"/>
                <w:color w:val="auto"/>
                <w:lang w:val="en-US" w:eastAsia="zh-CN"/>
              </w:rPr>
              <w:t>）</w:t>
            </w:r>
          </w:p>
        </w:tc>
        <w:tc>
          <w:tcPr>
            <w:tcW w:w="507" w:type="pct"/>
            <w:noWrap w:val="0"/>
            <w:vAlign w:val="center"/>
          </w:tcPr>
          <w:p w14:paraId="33CC9220">
            <w:pPr>
              <w:pStyle w:val="31"/>
              <w:bidi w:val="0"/>
              <w:rPr>
                <w:rFonts w:hint="default" w:eastAsia="宋体" w:cs="Times New Roman"/>
                <w:color w:val="auto"/>
                <w:lang w:val="en-US" w:eastAsia="zh-CN"/>
              </w:rPr>
            </w:pPr>
            <w:r>
              <w:rPr>
                <w:rFonts w:hint="eastAsia" w:eastAsia="宋体" w:cs="Times New Roman"/>
                <w:color w:val="auto"/>
                <w:lang w:val="en-US" w:eastAsia="zh-CN"/>
              </w:rPr>
              <w:t>甲烷</w:t>
            </w:r>
          </w:p>
        </w:tc>
        <w:tc>
          <w:tcPr>
            <w:tcW w:w="599" w:type="pct"/>
            <w:noWrap w:val="0"/>
            <w:vAlign w:val="center"/>
          </w:tcPr>
          <w:p w14:paraId="65F7AEC9">
            <w:pPr>
              <w:pStyle w:val="31"/>
              <w:bidi w:val="0"/>
              <w:rPr>
                <w:rFonts w:hint="default" w:eastAsia="宋体" w:cs="Times New Roman"/>
                <w:color w:val="auto"/>
                <w:lang w:val="en-US" w:eastAsia="zh-CN"/>
              </w:rPr>
            </w:pPr>
            <w:r>
              <w:rPr>
                <w:rFonts w:hint="default" w:ascii="Times New Roman" w:hAnsi="Times New Roman" w:eastAsia="宋体" w:cs="Times New Roman"/>
                <w:color w:val="auto"/>
                <w:kern w:val="2"/>
                <w:sz w:val="21"/>
                <w:szCs w:val="21"/>
                <w:lang w:val="en-US" w:eastAsia="zh-CN" w:bidi="ar-SA"/>
              </w:rPr>
              <w:t>81.3</w:t>
            </w:r>
          </w:p>
        </w:tc>
        <w:tc>
          <w:tcPr>
            <w:tcW w:w="787" w:type="pct"/>
            <w:noWrap w:val="0"/>
            <w:vAlign w:val="center"/>
          </w:tcPr>
          <w:p w14:paraId="105BC770">
            <w:pPr>
              <w:pStyle w:val="31"/>
              <w:bidi w:val="0"/>
              <w:rPr>
                <w:rFonts w:hint="default" w:eastAsia="宋体" w:cs="Times New Roman"/>
                <w:color w:val="auto"/>
                <w:lang w:val="en-US" w:eastAsia="zh-CN"/>
              </w:rPr>
            </w:pPr>
            <w:r>
              <w:rPr>
                <w:rFonts w:hint="eastAsia" w:eastAsia="宋体" w:cs="Times New Roman"/>
                <w:color w:val="auto"/>
                <w:lang w:val="en-US" w:eastAsia="zh-CN"/>
              </w:rPr>
              <w:t>0.0</w:t>
            </w:r>
            <w:r>
              <w:rPr>
                <w:rFonts w:hint="eastAsia" w:cs="Times New Roman"/>
                <w:color w:val="auto"/>
                <w:lang w:val="en-US" w:eastAsia="zh-CN"/>
              </w:rPr>
              <w:t>64</w:t>
            </w:r>
          </w:p>
        </w:tc>
        <w:tc>
          <w:tcPr>
            <w:tcW w:w="645" w:type="pct"/>
            <w:noWrap w:val="0"/>
            <w:vAlign w:val="center"/>
          </w:tcPr>
          <w:p w14:paraId="20BE154F">
            <w:pPr>
              <w:pStyle w:val="31"/>
              <w:bidi w:val="0"/>
              <w:rPr>
                <w:rFonts w:hint="default" w:eastAsia="宋体" w:cs="Times New Roman"/>
                <w:color w:val="auto"/>
                <w:lang w:val="en-US" w:eastAsia="zh-CN"/>
              </w:rPr>
            </w:pPr>
            <w:r>
              <w:rPr>
                <w:rFonts w:hint="eastAsia" w:eastAsia="宋体" w:cs="Times New Roman"/>
                <w:color w:val="auto"/>
                <w:lang w:val="en-US" w:eastAsia="zh-CN"/>
              </w:rPr>
              <w:t>50</w:t>
            </w:r>
          </w:p>
        </w:tc>
        <w:tc>
          <w:tcPr>
            <w:tcW w:w="590" w:type="pct"/>
            <w:noWrap w:val="0"/>
            <w:vAlign w:val="center"/>
          </w:tcPr>
          <w:p w14:paraId="1F2C77A3">
            <w:pPr>
              <w:pStyle w:val="31"/>
              <w:bidi w:val="0"/>
              <w:rPr>
                <w:rFonts w:hint="eastAsia" w:eastAsia="宋体" w:cs="Times New Roman"/>
                <w:color w:val="auto"/>
                <w:lang w:val="en-US" w:eastAsia="zh-CN"/>
              </w:rPr>
            </w:pPr>
            <w:r>
              <w:rPr>
                <w:rFonts w:hint="eastAsia" w:eastAsia="宋体" w:cs="Times New Roman"/>
                <w:color w:val="auto"/>
                <w:lang w:val="en-US" w:eastAsia="zh-CN"/>
              </w:rPr>
              <w:t>0.00128</w:t>
            </w:r>
          </w:p>
        </w:tc>
        <w:tc>
          <w:tcPr>
            <w:tcW w:w="869" w:type="pct"/>
            <w:vMerge w:val="continue"/>
            <w:noWrap w:val="0"/>
            <w:vAlign w:val="center"/>
          </w:tcPr>
          <w:p w14:paraId="0979B2A9">
            <w:pPr>
              <w:pStyle w:val="31"/>
              <w:bidi w:val="0"/>
              <w:rPr>
                <w:rFonts w:hint="default" w:eastAsia="宋体" w:cs="Times New Roman"/>
                <w:color w:val="auto"/>
                <w:lang w:val="en-US" w:eastAsia="zh-CN"/>
              </w:rPr>
            </w:pPr>
          </w:p>
        </w:tc>
      </w:tr>
      <w:tr w14:paraId="78B24E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3" w:hRule="atLeast"/>
          <w:jc w:val="center"/>
        </w:trPr>
        <w:tc>
          <w:tcPr>
            <w:tcW w:w="5000" w:type="pct"/>
            <w:gridSpan w:val="8"/>
            <w:noWrap w:val="0"/>
            <w:vAlign w:val="center"/>
          </w:tcPr>
          <w:p w14:paraId="5FF17080">
            <w:pPr>
              <w:pStyle w:val="31"/>
              <w:bidi w:val="0"/>
              <w:rPr>
                <w:rFonts w:hint="eastAsia" w:eastAsia="宋体" w:cs="Times New Roman"/>
                <w:color w:val="auto"/>
                <w:lang w:val="en-US" w:eastAsia="zh-CN"/>
              </w:rPr>
            </w:pPr>
            <w:r>
              <w:rPr>
                <w:rFonts w:hint="eastAsia" w:cs="Times New Roman"/>
                <w:color w:val="auto"/>
                <w:lang w:val="en-US" w:eastAsia="zh-CN"/>
              </w:rPr>
              <w:t>0.0034＜1</w:t>
            </w:r>
            <w:r>
              <w:rPr>
                <w:rFonts w:ascii="Times New Roman" w:hAnsi="Times New Roman" w:eastAsia="宋体" w:cs="Times New Roman"/>
                <w:color w:val="auto"/>
                <w:kern w:val="2"/>
                <w:sz w:val="21"/>
                <w:szCs w:val="21"/>
                <w:lang w:val="en-US" w:eastAsia="zh-CN" w:bidi="ar-SA"/>
              </w:rPr>
              <w:t>，因此</w:t>
            </w:r>
            <w:r>
              <w:rPr>
                <w:rFonts w:hint="eastAsia" w:ascii="Times New Roman" w:hAnsi="Times New Roman" w:eastAsia="宋体" w:cs="Times New Roman"/>
                <w:color w:val="auto"/>
                <w:kern w:val="2"/>
                <w:sz w:val="21"/>
                <w:szCs w:val="21"/>
                <w:lang w:val="en-US" w:eastAsia="zh-CN" w:bidi="ar-SA"/>
              </w:rPr>
              <w:t>石油化工总厂储运二部</w:t>
            </w:r>
            <w:r>
              <w:rPr>
                <w:rFonts w:hint="eastAsia" w:cs="Times New Roman"/>
                <w:color w:val="auto"/>
                <w:kern w:val="2"/>
                <w:sz w:val="21"/>
                <w:szCs w:val="21"/>
                <w:lang w:val="en-US" w:eastAsia="zh-CN" w:bidi="ar-SA"/>
              </w:rPr>
              <w:t>装卸车废气治理项目</w:t>
            </w:r>
            <w:r>
              <w:rPr>
                <w:rFonts w:hint="default" w:ascii="Times New Roman" w:hAnsi="Times New Roman" w:eastAsia="宋体" w:cs="Times New Roman"/>
                <w:bCs w:val="0"/>
                <w:snapToGrid w:val="0"/>
                <w:color w:val="auto"/>
                <w:spacing w:val="8"/>
                <w:kern w:val="0"/>
                <w:sz w:val="21"/>
                <w:szCs w:val="21"/>
                <w:lang w:val="en-US" w:eastAsia="zh-CN"/>
              </w:rPr>
              <w:t>未</w:t>
            </w:r>
            <w:r>
              <w:rPr>
                <w:rFonts w:hint="default" w:ascii="Times New Roman" w:hAnsi="Times New Roman" w:eastAsia="宋体" w:cs="Times New Roman"/>
                <w:bCs w:val="0"/>
                <w:snapToGrid w:val="0"/>
                <w:color w:val="auto"/>
                <w:spacing w:val="8"/>
                <w:kern w:val="0"/>
                <w:sz w:val="21"/>
                <w:szCs w:val="21"/>
              </w:rPr>
              <w:t>构成危险化学</w:t>
            </w:r>
            <w:r>
              <w:rPr>
                <w:rFonts w:hint="default" w:ascii="Times New Roman" w:hAnsi="Times New Roman" w:eastAsia="宋体" w:cs="Times New Roman"/>
                <w:bCs w:val="0"/>
                <w:snapToGrid w:val="0"/>
                <w:color w:val="auto"/>
                <w:spacing w:val="7"/>
                <w:kern w:val="0"/>
                <w:sz w:val="21"/>
                <w:szCs w:val="21"/>
              </w:rPr>
              <w:t>品</w:t>
            </w:r>
            <w:r>
              <w:rPr>
                <w:rFonts w:hint="default" w:ascii="Times New Roman" w:hAnsi="Times New Roman" w:eastAsia="宋体" w:cs="Times New Roman"/>
                <w:bCs w:val="0"/>
                <w:snapToGrid w:val="0"/>
                <w:color w:val="auto"/>
                <w:spacing w:val="5"/>
                <w:kern w:val="0"/>
                <w:sz w:val="21"/>
                <w:szCs w:val="21"/>
              </w:rPr>
              <w:t>重大危险源</w:t>
            </w:r>
            <w:r>
              <w:rPr>
                <w:rFonts w:hint="eastAsia" w:ascii="Times New Roman" w:hAnsi="Times New Roman" w:cs="Times New Roman"/>
                <w:bCs w:val="0"/>
                <w:snapToGrid w:val="0"/>
                <w:color w:val="auto"/>
                <w:spacing w:val="5"/>
                <w:kern w:val="0"/>
                <w:sz w:val="21"/>
                <w:szCs w:val="21"/>
                <w:lang w:eastAsia="zh-CN"/>
              </w:rPr>
              <w:t>。</w:t>
            </w:r>
          </w:p>
        </w:tc>
      </w:tr>
    </w:tbl>
    <w:p w14:paraId="041F4B68">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管道内的物质含量极少，本次评估忽略不计。</w:t>
      </w:r>
    </w:p>
    <w:p w14:paraId="141EBB47">
      <w:pPr>
        <w:pStyle w:val="6"/>
        <w:bidi w:val="0"/>
        <w:rPr>
          <w:rFonts w:hint="default" w:ascii="Times New Roman" w:hAnsi="Times New Roman" w:cs="Times New Roman"/>
          <w:color w:val="auto"/>
          <w:lang w:val="en-US" w:eastAsia="zh-CN"/>
        </w:rPr>
      </w:pPr>
      <w:r>
        <w:rPr>
          <w:rFonts w:hint="eastAsia" w:cs="Times New Roman"/>
          <w:color w:val="auto"/>
          <w:lang w:val="en-US" w:eastAsia="zh-CN"/>
        </w:rPr>
        <w:t>综上所述，</w:t>
      </w:r>
      <w:r>
        <w:rPr>
          <w:rFonts w:hint="default" w:ascii="Times New Roman" w:hAnsi="Times New Roman" w:cs="Times New Roman"/>
          <w:color w:val="auto"/>
          <w:lang w:val="en-US" w:eastAsia="zh-CN"/>
        </w:rPr>
        <w:t>依据国家标准《危险化学品重大危险源辨识》（GB18218-2018）规定，本次评估以</w:t>
      </w:r>
      <w:r>
        <w:rPr>
          <w:rFonts w:hint="eastAsia" w:cs="Times New Roman"/>
          <w:color w:val="auto"/>
          <w:lang w:val="en-US" w:eastAsia="zh-CN"/>
        </w:rPr>
        <w:t>新建油气回收处理装置以及现有催化氧化处理成套装置作为1个单元</w:t>
      </w:r>
      <w:r>
        <w:rPr>
          <w:rFonts w:hint="default" w:ascii="Times New Roman" w:hAnsi="Times New Roman" w:cs="Times New Roman"/>
          <w:color w:val="auto"/>
          <w:lang w:val="en-US" w:eastAsia="zh-CN"/>
        </w:rPr>
        <w:t>进行危险化学品重大危险源辨识</w:t>
      </w:r>
      <w:r>
        <w:rPr>
          <w:rFonts w:hint="eastAsia" w:cs="Times New Roman"/>
          <w:color w:val="auto"/>
          <w:lang w:val="en-US" w:eastAsia="zh-CN"/>
        </w:rPr>
        <w:t>，本项目未</w:t>
      </w:r>
      <w:r>
        <w:rPr>
          <w:rFonts w:hint="default" w:ascii="Times New Roman" w:hAnsi="Times New Roman" w:cs="Times New Roman"/>
          <w:color w:val="auto"/>
          <w:lang w:val="en-US" w:eastAsia="zh-CN"/>
        </w:rPr>
        <w:t>构成危险化学品重大危险源。</w:t>
      </w:r>
      <w:r>
        <w:rPr>
          <w:rFonts w:hint="default" w:ascii="Times New Roman" w:hAnsi="Times New Roman" w:cs="Times New Roman"/>
          <w:color w:val="auto"/>
          <w:lang w:val="en-US" w:eastAsia="zh-CN"/>
        </w:rPr>
        <w:br w:type="page"/>
      </w:r>
    </w:p>
    <w:p w14:paraId="27CE3F0C">
      <w:pPr>
        <w:pStyle w:val="17"/>
        <w:numPr>
          <w:ilvl w:val="0"/>
          <w:numId w:val="0"/>
        </w:numPr>
        <w:bidi w:val="0"/>
        <w:ind w:leftChars="0"/>
        <w:rPr>
          <w:rFonts w:hint="default" w:ascii="Times New Roman" w:hAnsi="Times New Roman" w:cs="Times New Roman"/>
          <w:color w:val="auto"/>
          <w:lang w:val="en-US" w:eastAsia="zh-CN"/>
        </w:rPr>
      </w:pPr>
      <w:bookmarkStart w:id="102" w:name="_Toc23448"/>
      <w:r>
        <w:rPr>
          <w:rFonts w:hint="default" w:ascii="Times New Roman" w:hAnsi="Times New Roman" w:cs="Times New Roman"/>
          <w:color w:val="auto"/>
          <w:lang w:val="en-US" w:eastAsia="zh-CN"/>
        </w:rPr>
        <w:t>附件2 选用的安全评价方法简介</w:t>
      </w:r>
      <w:bookmarkEnd w:id="102"/>
    </w:p>
    <w:p w14:paraId="5A9AB658">
      <w:pPr>
        <w:pStyle w:val="3"/>
        <w:numPr>
          <w:ilvl w:val="1"/>
          <w:numId w:val="0"/>
        </w:numPr>
        <w:bidi w:val="0"/>
        <w:ind w:left="130" w:leftChars="0"/>
        <w:rPr>
          <w:rFonts w:hint="default" w:ascii="Times New Roman" w:hAnsi="Times New Roman" w:cs="Times New Roman"/>
          <w:color w:val="auto"/>
          <w:lang w:val="en-US" w:eastAsia="zh-CN"/>
        </w:rPr>
      </w:pPr>
      <w:bookmarkStart w:id="103" w:name="_Toc14145"/>
      <w:r>
        <w:rPr>
          <w:rFonts w:hint="default" w:ascii="Times New Roman" w:hAnsi="Times New Roman" w:cs="Times New Roman"/>
          <w:color w:val="auto"/>
          <w:lang w:val="en-US" w:eastAsia="zh-CN"/>
        </w:rPr>
        <w:t>F2.1 安全检查表法（SCL）</w:t>
      </w:r>
      <w:bookmarkEnd w:id="103"/>
    </w:p>
    <w:p w14:paraId="7FA55499">
      <w:pPr>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所采取的安全卫生防护设施及技术措施的全面性和可靠性进行逐项检查的基础上，对其与国家有关法律、法规、技术标准的符合情况做出分析和判断，发现存在的问题及潜在的危险，并据此提出安全对策措施及建议。</w:t>
      </w:r>
    </w:p>
    <w:p w14:paraId="10679A42">
      <w:pPr>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安全检查表以下列格式列出，对于设计方案中已经涉及且符合要求的检查内容，在检查结果栏中标以</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，对于不符合要求的检查项目在检查结果栏中标以</w:t>
      </w:r>
      <w:r>
        <w:rPr>
          <w:rFonts w:hint="default"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。见附表2</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rPr>
        <w:t>-1。</w:t>
      </w:r>
    </w:p>
    <w:p w14:paraId="11E32F9F">
      <w:pPr>
        <w:pStyle w:val="30"/>
        <w:bidi w:val="0"/>
        <w:rPr>
          <w:rFonts w:hint="default" w:ascii="Times New Roman" w:hAnsi="Times New Roman" w:cs="Times New Roman"/>
          <w:color w:val="auto"/>
        </w:rPr>
      </w:pPr>
      <w:r>
        <w:rPr>
          <w:rFonts w:hint="default" w:ascii="Times New Roman" w:hAnsi="Times New Roman" w:cs="Times New Roman"/>
          <w:color w:val="auto"/>
        </w:rPr>
        <w:t>附表</w:t>
      </w:r>
      <w:r>
        <w:rPr>
          <w:rFonts w:hint="default" w:ascii="Times New Roman" w:hAnsi="Times New Roman" w:cs="Times New Roman"/>
          <w:color w:val="auto"/>
          <w:lang w:val="en-US" w:eastAsia="zh-CN"/>
        </w:rPr>
        <w:t>2.2</w:t>
      </w:r>
      <w:r>
        <w:rPr>
          <w:rFonts w:hint="default" w:ascii="Times New Roman" w:hAnsi="Times New Roman" w:cs="Times New Roman"/>
          <w:color w:val="auto"/>
        </w:rPr>
        <w:t>-1 安全检查表</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31"/>
        <w:gridCol w:w="1881"/>
        <w:gridCol w:w="1881"/>
        <w:gridCol w:w="2625"/>
        <w:gridCol w:w="1879"/>
      </w:tblGrid>
      <w:tr w14:paraId="0AA059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2" w:type="pct"/>
            <w:noWrap w:val="0"/>
            <w:vAlign w:val="center"/>
          </w:tcPr>
          <w:p w14:paraId="696C39D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000" w:type="pct"/>
            <w:noWrap w:val="0"/>
            <w:vAlign w:val="center"/>
          </w:tcPr>
          <w:p w14:paraId="0634B43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检查内容</w:t>
            </w:r>
          </w:p>
        </w:tc>
        <w:tc>
          <w:tcPr>
            <w:tcW w:w="1000" w:type="pct"/>
            <w:noWrap w:val="0"/>
            <w:vAlign w:val="center"/>
          </w:tcPr>
          <w:p w14:paraId="4219A626">
            <w:pPr>
              <w:pStyle w:val="31"/>
              <w:bidi w:val="0"/>
              <w:rPr>
                <w:rFonts w:hint="default" w:ascii="Times New Roman" w:hAnsi="Times New Roman" w:cs="Times New Roman"/>
                <w:b/>
                <w:bCs/>
                <w:color w:val="auto"/>
              </w:rPr>
            </w:pPr>
            <w:r>
              <w:rPr>
                <w:rFonts w:hint="default" w:ascii="Times New Roman" w:hAnsi="Times New Roman" w:cs="Times New Roman"/>
                <w:b/>
                <w:bCs/>
                <w:color w:val="auto"/>
              </w:rPr>
              <w:t>参考依据</w:t>
            </w:r>
          </w:p>
        </w:tc>
        <w:tc>
          <w:tcPr>
            <w:tcW w:w="1396" w:type="pct"/>
            <w:noWrap w:val="0"/>
            <w:vAlign w:val="center"/>
          </w:tcPr>
          <w:p w14:paraId="3720A568">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检查情况记录</w:t>
            </w:r>
          </w:p>
        </w:tc>
        <w:tc>
          <w:tcPr>
            <w:tcW w:w="999" w:type="pct"/>
            <w:noWrap w:val="0"/>
            <w:vAlign w:val="center"/>
          </w:tcPr>
          <w:p w14:paraId="5D0AD782">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检查结果</w:t>
            </w:r>
          </w:p>
        </w:tc>
      </w:tr>
      <w:tr w14:paraId="78211F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2" w:type="pct"/>
            <w:noWrap w:val="0"/>
            <w:vAlign w:val="center"/>
          </w:tcPr>
          <w:p w14:paraId="53BFED53">
            <w:pPr>
              <w:pStyle w:val="31"/>
              <w:bidi w:val="0"/>
              <w:rPr>
                <w:rFonts w:hint="default" w:ascii="Times New Roman" w:hAnsi="Times New Roman" w:cs="Times New Roman"/>
                <w:color w:val="auto"/>
              </w:rPr>
            </w:pPr>
          </w:p>
        </w:tc>
        <w:tc>
          <w:tcPr>
            <w:tcW w:w="1000" w:type="pct"/>
            <w:noWrap w:val="0"/>
            <w:vAlign w:val="center"/>
          </w:tcPr>
          <w:p w14:paraId="3D321365">
            <w:pPr>
              <w:pStyle w:val="31"/>
              <w:bidi w:val="0"/>
              <w:rPr>
                <w:rFonts w:hint="default" w:ascii="Times New Roman" w:hAnsi="Times New Roman" w:cs="Times New Roman"/>
                <w:color w:val="auto"/>
              </w:rPr>
            </w:pPr>
          </w:p>
        </w:tc>
        <w:tc>
          <w:tcPr>
            <w:tcW w:w="1000" w:type="pct"/>
            <w:noWrap w:val="0"/>
            <w:vAlign w:val="center"/>
          </w:tcPr>
          <w:p w14:paraId="45A61A66">
            <w:pPr>
              <w:pStyle w:val="31"/>
              <w:bidi w:val="0"/>
              <w:rPr>
                <w:rFonts w:hint="default" w:ascii="Times New Roman" w:hAnsi="Times New Roman" w:cs="Times New Roman"/>
                <w:color w:val="auto"/>
              </w:rPr>
            </w:pPr>
          </w:p>
        </w:tc>
        <w:tc>
          <w:tcPr>
            <w:tcW w:w="1396" w:type="pct"/>
            <w:noWrap w:val="0"/>
            <w:vAlign w:val="center"/>
          </w:tcPr>
          <w:p w14:paraId="427F1C32">
            <w:pPr>
              <w:pStyle w:val="31"/>
              <w:bidi w:val="0"/>
              <w:rPr>
                <w:rFonts w:hint="default" w:ascii="Times New Roman" w:hAnsi="Times New Roman" w:cs="Times New Roman"/>
                <w:color w:val="auto"/>
              </w:rPr>
            </w:pPr>
          </w:p>
        </w:tc>
        <w:tc>
          <w:tcPr>
            <w:tcW w:w="999" w:type="pct"/>
            <w:noWrap w:val="0"/>
            <w:vAlign w:val="center"/>
          </w:tcPr>
          <w:p w14:paraId="7E1E9C6E">
            <w:pPr>
              <w:pStyle w:val="31"/>
              <w:bidi w:val="0"/>
              <w:rPr>
                <w:rFonts w:hint="default" w:ascii="Times New Roman" w:hAnsi="Times New Roman" w:cs="Times New Roman"/>
                <w:color w:val="auto"/>
              </w:rPr>
            </w:pPr>
          </w:p>
        </w:tc>
      </w:tr>
    </w:tbl>
    <w:p w14:paraId="6418BC02">
      <w:pPr>
        <w:pStyle w:val="3"/>
        <w:numPr>
          <w:ilvl w:val="1"/>
          <w:numId w:val="0"/>
        </w:numPr>
        <w:bidi w:val="0"/>
        <w:ind w:left="130" w:leftChars="0"/>
        <w:rPr>
          <w:rFonts w:hint="default" w:ascii="Times New Roman" w:hAnsi="Times New Roman" w:cs="Times New Roman"/>
          <w:color w:val="auto"/>
          <w:lang w:val="en-US" w:eastAsia="zh-CN"/>
        </w:rPr>
      </w:pPr>
      <w:bookmarkStart w:id="104" w:name="_Toc11038"/>
      <w:r>
        <w:rPr>
          <w:rFonts w:hint="default" w:ascii="Times New Roman" w:hAnsi="Times New Roman" w:cs="Times New Roman"/>
          <w:color w:val="auto"/>
          <w:lang w:val="en-US" w:eastAsia="zh-CN"/>
        </w:rPr>
        <w:t>F2.2 危险度评价法</w:t>
      </w:r>
      <w:bookmarkEnd w:id="104"/>
    </w:p>
    <w:p w14:paraId="50ECF78C">
      <w:pPr>
        <w:pStyle w:val="6"/>
        <w:keepNext w:val="0"/>
        <w:keepLines w:val="0"/>
        <w:pageBreakBefore w:val="0"/>
        <w:widowControl/>
        <w:kinsoku/>
        <w:wordWrap/>
        <w:overflowPunct/>
        <w:topLinePunct w:val="0"/>
        <w:autoSpaceDE/>
        <w:autoSpaceDN/>
        <w:bidi w:val="0"/>
        <w:adjustRightInd/>
        <w:snapToGrid w:val="0"/>
        <w:textAlignment w:val="auto"/>
        <w:rPr>
          <w:rFonts w:hint="default" w:ascii="Times New Roman" w:hAnsi="Times New Roman" w:cs="Times New Roman"/>
          <w:color w:val="auto"/>
        </w:rPr>
      </w:pPr>
      <w:r>
        <w:rPr>
          <w:rFonts w:hint="default" w:ascii="Times New Roman" w:hAnsi="Times New Roman" w:cs="Times New Roman"/>
          <w:color w:val="auto"/>
        </w:rPr>
        <w:t>危险度评价法是借鉴日本劳动省</w:t>
      </w:r>
      <w:r>
        <w:rPr>
          <w:rFonts w:hint="default" w:ascii="Times New Roman" w:hAnsi="Times New Roman" w:cs="Times New Roman"/>
          <w:color w:val="auto"/>
          <w:lang w:eastAsia="zh-CN"/>
        </w:rPr>
        <w:t>“</w:t>
      </w:r>
      <w:r>
        <w:rPr>
          <w:rFonts w:hint="default" w:ascii="Times New Roman" w:hAnsi="Times New Roman" w:cs="Times New Roman"/>
          <w:color w:val="auto"/>
        </w:rPr>
        <w:t>六阶段</w:t>
      </w:r>
      <w:r>
        <w:rPr>
          <w:rFonts w:hint="default" w:ascii="Times New Roman" w:hAnsi="Times New Roman" w:cs="Times New Roman"/>
          <w:color w:val="auto"/>
          <w:lang w:eastAsia="zh-CN"/>
        </w:rPr>
        <w:t>“</w:t>
      </w:r>
      <w:r>
        <w:rPr>
          <w:rFonts w:hint="default" w:ascii="Times New Roman" w:hAnsi="Times New Roman" w:cs="Times New Roman"/>
          <w:color w:val="auto"/>
        </w:rPr>
        <w:t>的定量评价表，结合我国的有关标准、规程，编制了</w:t>
      </w:r>
      <w:r>
        <w:rPr>
          <w:rFonts w:hint="default" w:ascii="Times New Roman" w:hAnsi="Times New Roman" w:cs="Times New Roman"/>
          <w:color w:val="auto"/>
          <w:lang w:eastAsia="zh-CN"/>
        </w:rPr>
        <w:t>“</w:t>
      </w:r>
      <w:r>
        <w:rPr>
          <w:rFonts w:hint="default" w:ascii="Times New Roman" w:hAnsi="Times New Roman" w:cs="Times New Roman"/>
          <w:color w:val="auto"/>
        </w:rPr>
        <w:t>危险度评价取值表</w:t>
      </w:r>
      <w:r>
        <w:rPr>
          <w:rFonts w:hint="default" w:ascii="Times New Roman" w:hAnsi="Times New Roman" w:cs="Times New Roman"/>
          <w:color w:val="auto"/>
          <w:lang w:eastAsia="zh-CN"/>
        </w:rPr>
        <w:t>“</w:t>
      </w:r>
      <w:r>
        <w:rPr>
          <w:rFonts w:hint="default" w:ascii="Times New Roman" w:hAnsi="Times New Roman" w:cs="Times New Roman"/>
          <w:color w:val="auto"/>
        </w:rPr>
        <w:t>，规定了危险度由物质、容量、温度、压力和操作等5个项目共同确定，其危险度分别按A=10分，B=5分，C=2分，D=0分赋值计分，由累计分值确定单元危险度，危险度分级见下表。</w:t>
      </w:r>
    </w:p>
    <w:p w14:paraId="592863DE">
      <w:pPr>
        <w:pStyle w:val="30"/>
        <w:bidi w:val="0"/>
        <w:rPr>
          <w:rFonts w:hint="default" w:ascii="Times New Roman" w:hAnsi="Times New Roman" w:cs="Times New Roman"/>
          <w:color w:val="auto"/>
        </w:rPr>
      </w:pPr>
      <w:r>
        <w:rPr>
          <w:rFonts w:hint="default" w:ascii="Times New Roman" w:hAnsi="Times New Roman" w:cs="Times New Roman"/>
          <w:color w:val="auto"/>
        </w:rPr>
        <w:t>附表</w:t>
      </w:r>
      <w:r>
        <w:rPr>
          <w:rFonts w:hint="default" w:ascii="Times New Roman" w:hAnsi="Times New Roman" w:cs="Times New Roman"/>
          <w:color w:val="auto"/>
          <w:lang w:val="en-US" w:eastAsia="zh-CN"/>
        </w:rPr>
        <w:t>2.2</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危险度分级</w:t>
      </w:r>
    </w:p>
    <w:tbl>
      <w:tblPr>
        <w:tblStyle w:val="20"/>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25"/>
        <w:gridCol w:w="2325"/>
        <w:gridCol w:w="2426"/>
        <w:gridCol w:w="2323"/>
      </w:tblGrid>
      <w:tr w14:paraId="12C10B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236" w:type="pct"/>
            <w:noWrap w:val="0"/>
            <w:vAlign w:val="center"/>
          </w:tcPr>
          <w:p w14:paraId="6AD679FA">
            <w:pPr>
              <w:pStyle w:val="31"/>
              <w:bidi w:val="0"/>
              <w:rPr>
                <w:rFonts w:hint="default" w:ascii="Times New Roman" w:hAnsi="Times New Roman" w:cs="Times New Roman"/>
                <w:b/>
                <w:bCs/>
                <w:color w:val="auto"/>
              </w:rPr>
            </w:pPr>
            <w:r>
              <w:rPr>
                <w:rFonts w:hint="default" w:ascii="Times New Roman" w:hAnsi="Times New Roman" w:cs="Times New Roman"/>
                <w:b/>
                <w:bCs/>
                <w:color w:val="auto"/>
              </w:rPr>
              <w:t>总分值</w:t>
            </w:r>
          </w:p>
        </w:tc>
        <w:tc>
          <w:tcPr>
            <w:tcW w:w="1236" w:type="pct"/>
            <w:noWrap w:val="0"/>
            <w:vAlign w:val="center"/>
          </w:tcPr>
          <w:p w14:paraId="305187D1">
            <w:pPr>
              <w:pStyle w:val="31"/>
              <w:bidi w:val="0"/>
              <w:rPr>
                <w:rFonts w:hint="default" w:ascii="Times New Roman" w:hAnsi="Times New Roman" w:cs="Times New Roman"/>
                <w:b/>
                <w:bCs/>
                <w:color w:val="auto"/>
              </w:rPr>
            </w:pPr>
            <w:r>
              <w:rPr>
                <w:rFonts w:hint="default" w:ascii="Times New Roman" w:hAnsi="Times New Roman" w:cs="Times New Roman"/>
                <w:b/>
                <w:bCs/>
                <w:color w:val="auto"/>
              </w:rPr>
              <w:t>≥16分</w:t>
            </w:r>
          </w:p>
        </w:tc>
        <w:tc>
          <w:tcPr>
            <w:tcW w:w="1290" w:type="pct"/>
            <w:noWrap w:val="0"/>
            <w:vAlign w:val="center"/>
          </w:tcPr>
          <w:p w14:paraId="3AA91887">
            <w:pPr>
              <w:pStyle w:val="31"/>
              <w:bidi w:val="0"/>
              <w:rPr>
                <w:rFonts w:hint="default" w:ascii="Times New Roman" w:hAnsi="Times New Roman" w:cs="Times New Roman"/>
                <w:b/>
                <w:bCs/>
                <w:color w:val="auto"/>
              </w:rPr>
            </w:pPr>
            <w:r>
              <w:rPr>
                <w:rFonts w:hint="default" w:ascii="Times New Roman" w:hAnsi="Times New Roman" w:cs="Times New Roman"/>
                <w:b/>
                <w:bCs/>
                <w:color w:val="auto"/>
              </w:rPr>
              <w:t>11～15分</w:t>
            </w:r>
          </w:p>
        </w:tc>
        <w:tc>
          <w:tcPr>
            <w:tcW w:w="1235" w:type="pct"/>
            <w:noWrap w:val="0"/>
            <w:vAlign w:val="center"/>
          </w:tcPr>
          <w:p w14:paraId="2957345D">
            <w:pPr>
              <w:pStyle w:val="31"/>
              <w:bidi w:val="0"/>
              <w:rPr>
                <w:rFonts w:hint="default" w:ascii="Times New Roman" w:hAnsi="Times New Roman" w:cs="Times New Roman"/>
                <w:b/>
                <w:bCs/>
                <w:color w:val="auto"/>
              </w:rPr>
            </w:pPr>
            <w:r>
              <w:rPr>
                <w:rFonts w:hint="default" w:ascii="Times New Roman" w:hAnsi="Times New Roman" w:cs="Times New Roman"/>
                <w:b/>
                <w:bCs/>
                <w:color w:val="auto"/>
              </w:rPr>
              <w:t>≤10分</w:t>
            </w:r>
          </w:p>
        </w:tc>
      </w:tr>
      <w:tr w14:paraId="42947B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236" w:type="pct"/>
            <w:noWrap w:val="0"/>
            <w:vAlign w:val="center"/>
          </w:tcPr>
          <w:p w14:paraId="7EDB6AE5">
            <w:pPr>
              <w:pStyle w:val="31"/>
              <w:bidi w:val="0"/>
              <w:rPr>
                <w:rFonts w:hint="default" w:ascii="Times New Roman" w:hAnsi="Times New Roman" w:cs="Times New Roman"/>
                <w:color w:val="auto"/>
              </w:rPr>
            </w:pPr>
            <w:r>
              <w:rPr>
                <w:rFonts w:hint="default" w:ascii="Times New Roman" w:hAnsi="Times New Roman" w:cs="Times New Roman"/>
                <w:color w:val="auto"/>
              </w:rPr>
              <w:t>等级</w:t>
            </w:r>
          </w:p>
        </w:tc>
        <w:tc>
          <w:tcPr>
            <w:tcW w:w="1236" w:type="pct"/>
            <w:noWrap w:val="0"/>
            <w:vAlign w:val="center"/>
          </w:tcPr>
          <w:p w14:paraId="6D05A2E7">
            <w:pPr>
              <w:pStyle w:val="31"/>
              <w:bidi w:val="0"/>
              <w:rPr>
                <w:rFonts w:hint="default" w:ascii="Times New Roman" w:hAnsi="Times New Roman" w:cs="Times New Roman"/>
                <w:color w:val="auto"/>
              </w:rPr>
            </w:pPr>
            <w:r>
              <w:rPr>
                <w:rFonts w:hint="default" w:ascii="Times New Roman" w:hAnsi="Times New Roman" w:cs="Times New Roman"/>
                <w:color w:val="auto"/>
              </w:rPr>
              <w:t>Ⅰ</w:t>
            </w:r>
          </w:p>
        </w:tc>
        <w:tc>
          <w:tcPr>
            <w:tcW w:w="1290" w:type="pct"/>
            <w:noWrap w:val="0"/>
            <w:vAlign w:val="center"/>
          </w:tcPr>
          <w:p w14:paraId="395571A7">
            <w:pPr>
              <w:pStyle w:val="31"/>
              <w:bidi w:val="0"/>
              <w:rPr>
                <w:rFonts w:hint="default" w:ascii="Times New Roman" w:hAnsi="Times New Roman" w:cs="Times New Roman"/>
                <w:color w:val="auto"/>
              </w:rPr>
            </w:pPr>
            <w:r>
              <w:rPr>
                <w:rFonts w:hint="default" w:ascii="Times New Roman" w:hAnsi="Times New Roman" w:cs="Times New Roman"/>
                <w:color w:val="auto"/>
              </w:rPr>
              <w:t>Ⅱ</w:t>
            </w:r>
          </w:p>
        </w:tc>
        <w:tc>
          <w:tcPr>
            <w:tcW w:w="1235" w:type="pct"/>
            <w:noWrap w:val="0"/>
            <w:vAlign w:val="center"/>
          </w:tcPr>
          <w:p w14:paraId="71026078">
            <w:pPr>
              <w:pStyle w:val="31"/>
              <w:bidi w:val="0"/>
              <w:rPr>
                <w:rFonts w:hint="default" w:ascii="Times New Roman" w:hAnsi="Times New Roman" w:cs="Times New Roman"/>
                <w:color w:val="auto"/>
              </w:rPr>
            </w:pPr>
            <w:r>
              <w:rPr>
                <w:rFonts w:hint="default" w:ascii="Times New Roman" w:hAnsi="Times New Roman" w:cs="Times New Roman"/>
                <w:color w:val="auto"/>
              </w:rPr>
              <w:t>Ⅲ</w:t>
            </w:r>
          </w:p>
        </w:tc>
      </w:tr>
      <w:tr w14:paraId="72A1BB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236" w:type="pct"/>
            <w:noWrap w:val="0"/>
            <w:vAlign w:val="center"/>
          </w:tcPr>
          <w:p w14:paraId="5A896712">
            <w:pPr>
              <w:pStyle w:val="31"/>
              <w:bidi w:val="0"/>
              <w:rPr>
                <w:rFonts w:hint="default" w:ascii="Times New Roman" w:hAnsi="Times New Roman" w:cs="Times New Roman"/>
                <w:color w:val="auto"/>
              </w:rPr>
            </w:pPr>
            <w:r>
              <w:rPr>
                <w:rFonts w:hint="default" w:ascii="Times New Roman" w:hAnsi="Times New Roman" w:cs="Times New Roman"/>
                <w:color w:val="auto"/>
              </w:rPr>
              <w:t>危险程度</w:t>
            </w:r>
          </w:p>
        </w:tc>
        <w:tc>
          <w:tcPr>
            <w:tcW w:w="1236" w:type="pct"/>
            <w:noWrap w:val="0"/>
            <w:vAlign w:val="center"/>
          </w:tcPr>
          <w:p w14:paraId="42844D0C">
            <w:pPr>
              <w:pStyle w:val="31"/>
              <w:bidi w:val="0"/>
              <w:rPr>
                <w:rFonts w:hint="default" w:ascii="Times New Roman" w:hAnsi="Times New Roman" w:cs="Times New Roman"/>
                <w:color w:val="auto"/>
              </w:rPr>
            </w:pPr>
            <w:r>
              <w:rPr>
                <w:rFonts w:hint="default" w:ascii="Times New Roman" w:hAnsi="Times New Roman" w:cs="Times New Roman"/>
                <w:color w:val="auto"/>
              </w:rPr>
              <w:t>高度危险</w:t>
            </w:r>
          </w:p>
        </w:tc>
        <w:tc>
          <w:tcPr>
            <w:tcW w:w="1290" w:type="pct"/>
            <w:noWrap w:val="0"/>
            <w:vAlign w:val="center"/>
          </w:tcPr>
          <w:p w14:paraId="7F75D6FA">
            <w:pPr>
              <w:pStyle w:val="31"/>
              <w:bidi w:val="0"/>
              <w:rPr>
                <w:rFonts w:hint="default" w:ascii="Times New Roman" w:hAnsi="Times New Roman" w:cs="Times New Roman"/>
                <w:color w:val="auto"/>
              </w:rPr>
            </w:pPr>
            <w:r>
              <w:rPr>
                <w:rFonts w:hint="default" w:ascii="Times New Roman" w:hAnsi="Times New Roman" w:cs="Times New Roman"/>
                <w:color w:val="auto"/>
              </w:rPr>
              <w:t>中度危险</w:t>
            </w:r>
          </w:p>
        </w:tc>
        <w:tc>
          <w:tcPr>
            <w:tcW w:w="1235" w:type="pct"/>
            <w:noWrap w:val="0"/>
            <w:vAlign w:val="center"/>
          </w:tcPr>
          <w:p w14:paraId="0F40D22D">
            <w:pPr>
              <w:pStyle w:val="31"/>
              <w:bidi w:val="0"/>
              <w:rPr>
                <w:rFonts w:hint="default" w:ascii="Times New Roman" w:hAnsi="Times New Roman" w:cs="Times New Roman"/>
                <w:color w:val="auto"/>
              </w:rPr>
            </w:pPr>
            <w:r>
              <w:rPr>
                <w:rFonts w:hint="default" w:ascii="Times New Roman" w:hAnsi="Times New Roman" w:cs="Times New Roman"/>
                <w:color w:val="auto"/>
              </w:rPr>
              <w:t>低度危险</w:t>
            </w:r>
          </w:p>
        </w:tc>
      </w:tr>
    </w:tbl>
    <w:p w14:paraId="450F0324">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·物质：物质本身固有的点火性、可燃性和爆炸性的程度。</w:t>
      </w:r>
    </w:p>
    <w:p w14:paraId="2A157756">
      <w:pPr>
        <w:pStyle w:val="6"/>
        <w:keepNext w:val="0"/>
        <w:keepLines w:val="0"/>
        <w:pageBreakBefore w:val="0"/>
        <w:widowControl/>
        <w:kinsoku/>
        <w:wordWrap/>
        <w:overflowPunct/>
        <w:topLinePunct w:val="0"/>
        <w:autoSpaceDE/>
        <w:autoSpaceDN/>
        <w:bidi w:val="0"/>
        <w:adjustRightInd/>
        <w:snapToGrid w:val="0"/>
        <w:textAlignment w:val="auto"/>
        <w:rPr>
          <w:rFonts w:hint="default" w:ascii="Times New Roman" w:hAnsi="Times New Roman" w:cs="Times New Roman"/>
          <w:color w:val="auto"/>
        </w:rPr>
      </w:pPr>
      <w:r>
        <w:rPr>
          <w:rFonts w:hint="default" w:ascii="Times New Roman" w:hAnsi="Times New Roman" w:cs="Times New Roman"/>
          <w:color w:val="auto"/>
        </w:rPr>
        <w:t>·容量：容器的容量体积。</w:t>
      </w:r>
      <w:r>
        <w:rPr>
          <w:rFonts w:hint="default" w:ascii="Times New Roman" w:hAnsi="Times New Roman" w:cs="Times New Roman"/>
          <w:color w:val="auto"/>
        </w:rPr>
        <w:tab/>
      </w:r>
    </w:p>
    <w:p w14:paraId="08750367">
      <w:pPr>
        <w:pStyle w:val="6"/>
        <w:keepNext w:val="0"/>
        <w:keepLines w:val="0"/>
        <w:pageBreakBefore w:val="0"/>
        <w:widowControl/>
        <w:kinsoku/>
        <w:wordWrap/>
        <w:overflowPunct/>
        <w:topLinePunct w:val="0"/>
        <w:autoSpaceDE/>
        <w:autoSpaceDN/>
        <w:bidi w:val="0"/>
        <w:adjustRightInd/>
        <w:snapToGrid w:val="0"/>
        <w:textAlignment w:val="auto"/>
        <w:rPr>
          <w:rFonts w:hint="default" w:ascii="Times New Roman" w:hAnsi="Times New Roman" w:cs="Times New Roman"/>
          <w:color w:val="auto"/>
        </w:rPr>
      </w:pPr>
      <w:r>
        <w:rPr>
          <w:rFonts w:hint="default" w:ascii="Times New Roman" w:hAnsi="Times New Roman" w:cs="Times New Roman"/>
          <w:color w:val="auto"/>
        </w:rPr>
        <w:t>·容量：运行温度和点火温度的关系。</w:t>
      </w:r>
    </w:p>
    <w:p w14:paraId="3A4FFE0E">
      <w:pPr>
        <w:pStyle w:val="6"/>
        <w:keepNext w:val="0"/>
        <w:keepLines w:val="0"/>
        <w:pageBreakBefore w:val="0"/>
        <w:widowControl/>
        <w:kinsoku/>
        <w:wordWrap/>
        <w:overflowPunct/>
        <w:topLinePunct w:val="0"/>
        <w:autoSpaceDE/>
        <w:autoSpaceDN/>
        <w:bidi w:val="0"/>
        <w:adjustRightInd/>
        <w:snapToGrid w:val="0"/>
        <w:textAlignment w:val="auto"/>
        <w:rPr>
          <w:rFonts w:hint="default" w:ascii="Times New Roman" w:hAnsi="Times New Roman" w:cs="Times New Roman"/>
          <w:color w:val="auto"/>
        </w:rPr>
      </w:pPr>
      <w:r>
        <w:rPr>
          <w:rFonts w:hint="default" w:ascii="Times New Roman" w:hAnsi="Times New Roman" w:cs="Times New Roman"/>
          <w:color w:val="auto"/>
        </w:rPr>
        <w:t>·压力：运行压力（超高压、高压、中压、低压）。</w:t>
      </w:r>
    </w:p>
    <w:p w14:paraId="002238C6">
      <w:pPr>
        <w:pStyle w:val="6"/>
        <w:keepNext w:val="0"/>
        <w:keepLines w:val="0"/>
        <w:pageBreakBefore w:val="0"/>
        <w:widowControl/>
        <w:kinsoku/>
        <w:wordWrap/>
        <w:overflowPunct/>
        <w:topLinePunct w:val="0"/>
        <w:autoSpaceDE/>
        <w:autoSpaceDN/>
        <w:bidi w:val="0"/>
        <w:adjustRightInd/>
        <w:snapToGrid w:val="0"/>
        <w:textAlignment w:val="auto"/>
        <w:rPr>
          <w:rFonts w:hint="default" w:ascii="Times New Roman" w:hAnsi="Times New Roman" w:cs="Times New Roman"/>
          <w:color w:val="auto"/>
        </w:rPr>
      </w:pPr>
      <w:r>
        <w:rPr>
          <w:rFonts w:hint="default" w:ascii="Times New Roman" w:hAnsi="Times New Roman" w:cs="Times New Roman"/>
          <w:color w:val="auto"/>
        </w:rPr>
        <w:t>·操作：运行条件引起爆炸或异常反应的可能性。</w:t>
      </w:r>
    </w:p>
    <w:p w14:paraId="7690697F">
      <w:pPr>
        <w:pStyle w:val="30"/>
        <w:bidi w:val="0"/>
        <w:rPr>
          <w:rFonts w:hint="default" w:ascii="Times New Roman" w:hAnsi="Times New Roman" w:cs="Times New Roman"/>
          <w:color w:val="auto"/>
        </w:rPr>
      </w:pPr>
      <w:r>
        <w:rPr>
          <w:rFonts w:hint="default" w:ascii="Times New Roman" w:hAnsi="Times New Roman" w:cs="Times New Roman"/>
          <w:color w:val="auto"/>
        </w:rPr>
        <w:t>附表</w:t>
      </w:r>
      <w:r>
        <w:rPr>
          <w:rFonts w:hint="default" w:ascii="Times New Roman" w:hAnsi="Times New Roman" w:cs="Times New Roman"/>
          <w:color w:val="auto"/>
          <w:lang w:val="en-US" w:eastAsia="zh-CN"/>
        </w:rPr>
        <w:t>2.2</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 xml:space="preserve"> 危险度评价取值表</w:t>
      </w:r>
    </w:p>
    <w:tbl>
      <w:tblPr>
        <w:tblStyle w:val="20"/>
        <w:tblW w:w="4998"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1534"/>
        <w:gridCol w:w="1747"/>
        <w:gridCol w:w="2274"/>
        <w:gridCol w:w="2140"/>
        <w:gridCol w:w="1702"/>
      </w:tblGrid>
      <w:tr w14:paraId="792E085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tblHeader/>
          <w:jc w:val="center"/>
        </w:trPr>
        <w:tc>
          <w:tcPr>
            <w:tcW w:w="816" w:type="pct"/>
            <w:noWrap w:val="0"/>
            <w:vAlign w:val="center"/>
          </w:tcPr>
          <w:p w14:paraId="23A6ECAE">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分值</w:t>
            </w:r>
          </w:p>
          <w:p w14:paraId="272F744C">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项目</w:t>
            </w:r>
          </w:p>
        </w:tc>
        <w:tc>
          <w:tcPr>
            <w:tcW w:w="929" w:type="pct"/>
            <w:noWrap w:val="0"/>
            <w:vAlign w:val="center"/>
          </w:tcPr>
          <w:p w14:paraId="0E401C6A">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A（10分）</w:t>
            </w:r>
          </w:p>
        </w:tc>
        <w:tc>
          <w:tcPr>
            <w:tcW w:w="1209" w:type="pct"/>
            <w:noWrap w:val="0"/>
            <w:vAlign w:val="center"/>
          </w:tcPr>
          <w:p w14:paraId="44020DC0">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B（5分）</w:t>
            </w:r>
          </w:p>
        </w:tc>
        <w:tc>
          <w:tcPr>
            <w:tcW w:w="1138" w:type="pct"/>
            <w:noWrap w:val="0"/>
            <w:vAlign w:val="center"/>
          </w:tcPr>
          <w:p w14:paraId="35D0359B">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C（2分）</w:t>
            </w:r>
          </w:p>
        </w:tc>
        <w:tc>
          <w:tcPr>
            <w:tcW w:w="905" w:type="pct"/>
            <w:noWrap w:val="0"/>
            <w:vAlign w:val="center"/>
          </w:tcPr>
          <w:p w14:paraId="2BCBA2CB">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D（0分）</w:t>
            </w:r>
          </w:p>
        </w:tc>
      </w:tr>
      <w:tr w14:paraId="1535FA3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816" w:type="pct"/>
            <w:noWrap w:val="0"/>
            <w:vAlign w:val="center"/>
          </w:tcPr>
          <w:p w14:paraId="434C4ADE">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物质（指单元中危险、有害程度最大之物质）</w:t>
            </w:r>
          </w:p>
        </w:tc>
        <w:tc>
          <w:tcPr>
            <w:tcW w:w="929" w:type="pct"/>
            <w:noWrap w:val="0"/>
            <w:vAlign w:val="center"/>
          </w:tcPr>
          <w:p w14:paraId="6D3ACEE5">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甲类可燃气体；</w:t>
            </w:r>
          </w:p>
          <w:p w14:paraId="57E00590">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甲</w:t>
            </w:r>
            <w:r>
              <w:rPr>
                <w:rFonts w:hint="default" w:ascii="Times New Roman" w:hAnsi="Times New Roman" w:eastAsia="宋体" w:cs="Times New Roman"/>
                <w:color w:val="auto"/>
                <w:vertAlign w:val="subscript"/>
              </w:rPr>
              <w:t>A</w:t>
            </w:r>
            <w:r>
              <w:rPr>
                <w:rFonts w:hint="default" w:ascii="Times New Roman" w:hAnsi="Times New Roman" w:eastAsia="宋体" w:cs="Times New Roman"/>
                <w:color w:val="auto"/>
              </w:rPr>
              <w:t>类物质及液态烃类；</w:t>
            </w:r>
          </w:p>
          <w:p w14:paraId="0537A182">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甲类固体；</w:t>
            </w:r>
          </w:p>
          <w:p w14:paraId="37765F71">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4</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极度有害介质</w:t>
            </w:r>
          </w:p>
        </w:tc>
        <w:tc>
          <w:tcPr>
            <w:tcW w:w="1209" w:type="pct"/>
            <w:noWrap w:val="0"/>
            <w:vAlign w:val="center"/>
          </w:tcPr>
          <w:p w14:paraId="2775CDCE">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乙类可燃气体；</w:t>
            </w:r>
          </w:p>
          <w:p w14:paraId="60E1A6A4">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甲</w:t>
            </w:r>
            <w:r>
              <w:rPr>
                <w:rFonts w:hint="default" w:ascii="Times New Roman" w:hAnsi="Times New Roman" w:eastAsia="宋体" w:cs="Times New Roman"/>
                <w:color w:val="auto"/>
                <w:vertAlign w:val="subscript"/>
              </w:rPr>
              <w:t>B</w:t>
            </w:r>
            <w:r>
              <w:rPr>
                <w:rFonts w:hint="default" w:ascii="Times New Roman" w:hAnsi="Times New Roman" w:eastAsia="宋体" w:cs="Times New Roman"/>
                <w:color w:val="auto"/>
              </w:rPr>
              <w:t>、乙</w:t>
            </w:r>
            <w:r>
              <w:rPr>
                <w:rFonts w:hint="default" w:ascii="Times New Roman" w:hAnsi="Times New Roman" w:eastAsia="宋体" w:cs="Times New Roman"/>
                <w:color w:val="auto"/>
                <w:vertAlign w:val="subscript"/>
              </w:rPr>
              <w:t>A</w:t>
            </w:r>
            <w:r>
              <w:rPr>
                <w:rFonts w:hint="default" w:ascii="Times New Roman" w:hAnsi="Times New Roman" w:eastAsia="宋体" w:cs="Times New Roman"/>
                <w:color w:val="auto"/>
              </w:rPr>
              <w:t>类可燃液体；</w:t>
            </w:r>
          </w:p>
          <w:p w14:paraId="22EC6950">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乙类固体；</w:t>
            </w:r>
          </w:p>
          <w:p w14:paraId="710C9771">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4</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高度有害介质</w:t>
            </w:r>
          </w:p>
        </w:tc>
        <w:tc>
          <w:tcPr>
            <w:tcW w:w="1138" w:type="pct"/>
            <w:noWrap w:val="0"/>
            <w:vAlign w:val="center"/>
          </w:tcPr>
          <w:p w14:paraId="5700F7A5">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乙</w:t>
            </w:r>
            <w:r>
              <w:rPr>
                <w:rFonts w:hint="default" w:ascii="Times New Roman" w:hAnsi="Times New Roman" w:eastAsia="宋体" w:cs="Times New Roman"/>
                <w:color w:val="auto"/>
                <w:vertAlign w:val="subscript"/>
              </w:rPr>
              <w:t>B</w:t>
            </w:r>
            <w:r>
              <w:rPr>
                <w:rFonts w:hint="default" w:ascii="Times New Roman" w:hAnsi="Times New Roman" w:eastAsia="宋体" w:cs="Times New Roman"/>
                <w:color w:val="auto"/>
              </w:rPr>
              <w:t>、丙</w:t>
            </w:r>
            <w:r>
              <w:rPr>
                <w:rFonts w:hint="default" w:ascii="Times New Roman" w:hAnsi="Times New Roman" w:eastAsia="宋体" w:cs="Times New Roman"/>
                <w:color w:val="auto"/>
                <w:vertAlign w:val="subscript"/>
              </w:rPr>
              <w:t>A</w:t>
            </w:r>
            <w:r>
              <w:rPr>
                <w:rFonts w:hint="default" w:ascii="Times New Roman" w:hAnsi="Times New Roman" w:eastAsia="宋体" w:cs="Times New Roman"/>
                <w:color w:val="auto"/>
              </w:rPr>
              <w:t>、丙</w:t>
            </w:r>
            <w:r>
              <w:rPr>
                <w:rFonts w:hint="default" w:ascii="Times New Roman" w:hAnsi="Times New Roman" w:eastAsia="宋体" w:cs="Times New Roman"/>
                <w:color w:val="auto"/>
                <w:vertAlign w:val="subscript"/>
              </w:rPr>
              <w:t>B</w:t>
            </w:r>
            <w:r>
              <w:rPr>
                <w:rFonts w:hint="default" w:ascii="Times New Roman" w:hAnsi="Times New Roman" w:eastAsia="宋体" w:cs="Times New Roman"/>
                <w:color w:val="auto"/>
              </w:rPr>
              <w:t>类可燃液体；</w:t>
            </w:r>
          </w:p>
          <w:p w14:paraId="5AD67A85">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丙类固体；</w:t>
            </w:r>
          </w:p>
          <w:p w14:paraId="63458775">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中、轻度有害介质</w:t>
            </w:r>
          </w:p>
        </w:tc>
        <w:tc>
          <w:tcPr>
            <w:tcW w:w="905" w:type="pct"/>
            <w:noWrap w:val="0"/>
            <w:vAlign w:val="center"/>
          </w:tcPr>
          <w:p w14:paraId="765648FE">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不属左述之A、B、C项之物质</w:t>
            </w:r>
          </w:p>
        </w:tc>
      </w:tr>
      <w:tr w14:paraId="298236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816" w:type="pct"/>
            <w:noWrap w:val="0"/>
            <w:vAlign w:val="center"/>
          </w:tcPr>
          <w:p w14:paraId="5CFAA5EA">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容量*</w:t>
            </w:r>
          </w:p>
        </w:tc>
        <w:tc>
          <w:tcPr>
            <w:tcW w:w="929" w:type="pct"/>
            <w:noWrap w:val="0"/>
            <w:vAlign w:val="center"/>
          </w:tcPr>
          <w:p w14:paraId="7BBD2EC0">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气体1000</w:t>
            </w:r>
            <w:r>
              <w:rPr>
                <w:rFonts w:hint="default" w:ascii="Times New Roman" w:hAnsi="Times New Roman" w:eastAsia="宋体" w:cs="Times New Roman"/>
                <w:color w:val="auto"/>
                <w:lang w:eastAsia="zh-CN"/>
              </w:rPr>
              <w:t>m³</w:t>
            </w:r>
            <w:r>
              <w:rPr>
                <w:rFonts w:hint="default" w:ascii="Times New Roman" w:hAnsi="Times New Roman" w:eastAsia="宋体" w:cs="Times New Roman"/>
                <w:color w:val="auto"/>
              </w:rPr>
              <w:t xml:space="preserve"> 以上；</w:t>
            </w:r>
          </w:p>
          <w:p w14:paraId="7EE05D35">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液体100</w:t>
            </w:r>
            <w:r>
              <w:rPr>
                <w:rFonts w:hint="default" w:ascii="Times New Roman" w:hAnsi="Times New Roman" w:eastAsia="宋体" w:cs="Times New Roman"/>
                <w:color w:val="auto"/>
                <w:lang w:eastAsia="zh-CN"/>
              </w:rPr>
              <w:t>m³</w:t>
            </w:r>
            <w:r>
              <w:rPr>
                <w:rFonts w:hint="default" w:ascii="Times New Roman" w:hAnsi="Times New Roman" w:eastAsia="宋体" w:cs="Times New Roman"/>
                <w:color w:val="auto"/>
              </w:rPr>
              <w:t xml:space="preserve"> 以上</w:t>
            </w:r>
          </w:p>
        </w:tc>
        <w:tc>
          <w:tcPr>
            <w:tcW w:w="1209" w:type="pct"/>
            <w:noWrap w:val="0"/>
            <w:vAlign w:val="center"/>
          </w:tcPr>
          <w:p w14:paraId="23E2AF34">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气体500～1000</w:t>
            </w:r>
            <w:r>
              <w:rPr>
                <w:rFonts w:hint="default" w:ascii="Times New Roman" w:hAnsi="Times New Roman" w:eastAsia="宋体" w:cs="Times New Roman"/>
                <w:color w:val="auto"/>
                <w:lang w:eastAsia="zh-CN"/>
              </w:rPr>
              <w:t>m³</w:t>
            </w:r>
            <w:r>
              <w:rPr>
                <w:rFonts w:hint="default" w:ascii="Times New Roman" w:hAnsi="Times New Roman" w:eastAsia="宋体" w:cs="Times New Roman"/>
                <w:color w:val="auto"/>
              </w:rPr>
              <w:t>；</w:t>
            </w:r>
          </w:p>
          <w:p w14:paraId="644C09B5">
            <w:pPr>
              <w:pStyle w:val="31"/>
              <w:bidi w:val="0"/>
              <w:jc w:val="left"/>
              <w:rPr>
                <w:rFonts w:hint="default" w:ascii="Times New Roman" w:hAnsi="Times New Roman" w:eastAsia="宋体" w:cs="Times New Roman"/>
                <w:color w:val="auto"/>
                <w:lang w:eastAsia="zh-CN"/>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液体50～100</w:t>
            </w:r>
            <w:r>
              <w:rPr>
                <w:rFonts w:hint="default" w:ascii="Times New Roman" w:hAnsi="Times New Roman" w:eastAsia="宋体" w:cs="Times New Roman"/>
                <w:color w:val="auto"/>
                <w:lang w:eastAsia="zh-CN"/>
              </w:rPr>
              <w:t>m³</w:t>
            </w:r>
          </w:p>
        </w:tc>
        <w:tc>
          <w:tcPr>
            <w:tcW w:w="1138" w:type="pct"/>
            <w:noWrap w:val="0"/>
            <w:vAlign w:val="center"/>
          </w:tcPr>
          <w:p w14:paraId="56F9733B">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气体100～500</w:t>
            </w:r>
            <w:r>
              <w:rPr>
                <w:rFonts w:hint="default" w:ascii="Times New Roman" w:hAnsi="Times New Roman" w:eastAsia="宋体" w:cs="Times New Roman"/>
                <w:color w:val="auto"/>
                <w:lang w:eastAsia="zh-CN"/>
              </w:rPr>
              <w:t>m³</w:t>
            </w:r>
            <w:r>
              <w:rPr>
                <w:rFonts w:hint="default" w:ascii="Times New Roman" w:hAnsi="Times New Roman" w:eastAsia="宋体" w:cs="Times New Roman"/>
                <w:color w:val="auto"/>
              </w:rPr>
              <w:t>；</w:t>
            </w:r>
          </w:p>
          <w:p w14:paraId="1B7E6755">
            <w:pPr>
              <w:pStyle w:val="31"/>
              <w:bidi w:val="0"/>
              <w:jc w:val="left"/>
              <w:rPr>
                <w:rFonts w:hint="default" w:ascii="Times New Roman" w:hAnsi="Times New Roman" w:eastAsia="宋体" w:cs="Times New Roman"/>
                <w:color w:val="auto"/>
                <w:lang w:eastAsia="zh-CN"/>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液体10～50</w:t>
            </w:r>
            <w:r>
              <w:rPr>
                <w:rFonts w:hint="default" w:ascii="Times New Roman" w:hAnsi="Times New Roman" w:eastAsia="宋体" w:cs="Times New Roman"/>
                <w:color w:val="auto"/>
                <w:lang w:eastAsia="zh-CN"/>
              </w:rPr>
              <w:t>m³</w:t>
            </w:r>
          </w:p>
        </w:tc>
        <w:tc>
          <w:tcPr>
            <w:tcW w:w="905" w:type="pct"/>
            <w:noWrap w:val="0"/>
            <w:vAlign w:val="center"/>
          </w:tcPr>
          <w:p w14:paraId="73F95298">
            <w:pPr>
              <w:pStyle w:val="31"/>
              <w:bidi w:val="0"/>
              <w:jc w:val="left"/>
              <w:rPr>
                <w:rFonts w:hint="default" w:ascii="Times New Roman" w:hAnsi="Times New Roman" w:eastAsia="宋体" w:cs="Times New Roman"/>
                <w:color w:val="auto"/>
                <w:lang w:eastAsia="zh-CN"/>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气体＜100</w:t>
            </w:r>
            <w:r>
              <w:rPr>
                <w:rFonts w:hint="default" w:ascii="Times New Roman" w:hAnsi="Times New Roman" w:eastAsia="宋体" w:cs="Times New Roman"/>
                <w:color w:val="auto"/>
                <w:lang w:eastAsia="zh-CN"/>
              </w:rPr>
              <w:t>m³</w:t>
            </w:r>
          </w:p>
          <w:p w14:paraId="37A5790B">
            <w:pPr>
              <w:pStyle w:val="31"/>
              <w:bidi w:val="0"/>
              <w:jc w:val="left"/>
              <w:rPr>
                <w:rFonts w:hint="default" w:ascii="Times New Roman" w:hAnsi="Times New Roman" w:eastAsia="宋体" w:cs="Times New Roman"/>
                <w:color w:val="auto"/>
                <w:lang w:eastAsia="zh-CN"/>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液体＜10</w:t>
            </w:r>
            <w:r>
              <w:rPr>
                <w:rFonts w:hint="default" w:ascii="Times New Roman" w:hAnsi="Times New Roman" w:eastAsia="宋体" w:cs="Times New Roman"/>
                <w:color w:val="auto"/>
                <w:lang w:eastAsia="zh-CN"/>
              </w:rPr>
              <w:t>m³</w:t>
            </w:r>
          </w:p>
        </w:tc>
      </w:tr>
      <w:tr w14:paraId="21C4685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816" w:type="pct"/>
            <w:noWrap w:val="0"/>
            <w:vAlign w:val="center"/>
          </w:tcPr>
          <w:p w14:paraId="6CCF6141">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温度</w:t>
            </w:r>
          </w:p>
        </w:tc>
        <w:tc>
          <w:tcPr>
            <w:tcW w:w="929" w:type="pct"/>
            <w:noWrap w:val="0"/>
            <w:vAlign w:val="center"/>
          </w:tcPr>
          <w:p w14:paraId="6394156E">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1000℃以上使用，其操作温度在燃点以上。</w:t>
            </w:r>
          </w:p>
        </w:tc>
        <w:tc>
          <w:tcPr>
            <w:tcW w:w="1209" w:type="pct"/>
            <w:noWrap w:val="0"/>
            <w:vAlign w:val="center"/>
          </w:tcPr>
          <w:p w14:paraId="7160D0BF">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1000℃以上使用，但操作温度在燃点以下；</w:t>
            </w:r>
          </w:p>
          <w:p w14:paraId="1C65CEFD">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在250～1000℃使用，其操作温度在燃点以上。</w:t>
            </w:r>
          </w:p>
        </w:tc>
        <w:tc>
          <w:tcPr>
            <w:tcW w:w="1138" w:type="pct"/>
            <w:noWrap w:val="0"/>
            <w:vAlign w:val="center"/>
          </w:tcPr>
          <w:p w14:paraId="31915C4C">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在250～1000℃使用，但操作温度在燃点以下；</w:t>
            </w:r>
          </w:p>
          <w:p w14:paraId="3F3840B3">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在低于250℃时使用，操作温度在燃点以上。</w:t>
            </w:r>
          </w:p>
        </w:tc>
        <w:tc>
          <w:tcPr>
            <w:tcW w:w="905" w:type="pct"/>
            <w:noWrap w:val="0"/>
            <w:vAlign w:val="center"/>
          </w:tcPr>
          <w:p w14:paraId="60F2F447">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在低于250℃时使用，操作温度在燃点以下。</w:t>
            </w:r>
          </w:p>
        </w:tc>
      </w:tr>
      <w:tr w14:paraId="7A9D9B0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816" w:type="pct"/>
            <w:noWrap w:val="0"/>
            <w:vAlign w:val="center"/>
          </w:tcPr>
          <w:p w14:paraId="07BF7CD2">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压力</w:t>
            </w:r>
          </w:p>
        </w:tc>
        <w:tc>
          <w:tcPr>
            <w:tcW w:w="929" w:type="pct"/>
            <w:noWrap w:val="0"/>
            <w:vAlign w:val="center"/>
          </w:tcPr>
          <w:p w14:paraId="6D8B3519">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100MPa</w:t>
            </w:r>
          </w:p>
        </w:tc>
        <w:tc>
          <w:tcPr>
            <w:tcW w:w="1209" w:type="pct"/>
            <w:noWrap w:val="0"/>
            <w:vAlign w:val="center"/>
          </w:tcPr>
          <w:p w14:paraId="54E46BB5">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20～100MPa</w:t>
            </w:r>
          </w:p>
        </w:tc>
        <w:tc>
          <w:tcPr>
            <w:tcW w:w="1138" w:type="pct"/>
            <w:noWrap w:val="0"/>
            <w:vAlign w:val="center"/>
          </w:tcPr>
          <w:p w14:paraId="6FAAE288">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1～20MPa</w:t>
            </w:r>
          </w:p>
        </w:tc>
        <w:tc>
          <w:tcPr>
            <w:tcW w:w="905" w:type="pct"/>
            <w:noWrap w:val="0"/>
            <w:vAlign w:val="center"/>
          </w:tcPr>
          <w:p w14:paraId="43871B89">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1MPa以下</w:t>
            </w:r>
          </w:p>
        </w:tc>
      </w:tr>
      <w:tr w14:paraId="1CD1738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63" w:hRule="atLeast"/>
          <w:jc w:val="center"/>
        </w:trPr>
        <w:tc>
          <w:tcPr>
            <w:tcW w:w="816" w:type="pct"/>
            <w:noWrap w:val="0"/>
            <w:vAlign w:val="center"/>
          </w:tcPr>
          <w:p w14:paraId="2328F01A">
            <w:pPr>
              <w:pStyle w:val="31"/>
              <w:bidi w:val="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操作</w:t>
            </w:r>
          </w:p>
        </w:tc>
        <w:tc>
          <w:tcPr>
            <w:tcW w:w="929" w:type="pct"/>
            <w:noWrap w:val="0"/>
            <w:vAlign w:val="center"/>
          </w:tcPr>
          <w:p w14:paraId="61360F33">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临界放热和特别剧烈的放热反应操作；</w:t>
            </w:r>
          </w:p>
          <w:p w14:paraId="5F1A2182">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在爆炸极限范围内或其附近的操作。</w:t>
            </w:r>
          </w:p>
        </w:tc>
        <w:tc>
          <w:tcPr>
            <w:tcW w:w="1209" w:type="pct"/>
            <w:noWrap w:val="0"/>
            <w:vAlign w:val="center"/>
          </w:tcPr>
          <w:p w14:paraId="298E7FE0">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中等放热反应</w:t>
            </w:r>
            <w:r>
              <w:rPr>
                <w:rFonts w:hint="default" w:ascii="Times New Roman" w:hAnsi="Times New Roman" w:eastAsia="宋体" w:cs="Times New Roman"/>
                <w:color w:val="auto"/>
              </w:rPr>
              <w:cr/>
            </w:r>
            <w:r>
              <w:rPr>
                <w:rFonts w:hint="default" w:ascii="Times New Roman" w:hAnsi="Times New Roman" w:eastAsia="宋体" w:cs="Times New Roman"/>
                <w:color w:val="auto"/>
              </w:rPr>
              <w:t>（如烷基化、酯化、加成、氧化、聚合、缩合等反应）操作；</w:t>
            </w:r>
          </w:p>
          <w:p w14:paraId="3CD6AB29">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系统进入空气或不纯物质，可能发生的危险、操作；</w:t>
            </w:r>
            <w:r>
              <w:rPr>
                <w:rFonts w:hint="default" w:ascii="Times New Roman" w:hAnsi="Times New Roman" w:eastAsia="宋体" w:cs="Times New Roman"/>
                <w:color w:val="auto"/>
              </w:rPr>
              <w:cr/>
            </w:r>
            <w:r>
              <w:rPr>
                <w:rFonts w:hint="eastAsia" w:ascii="Times New Roman" w:hAnsi="Times New Roman" w:eastAsia="宋体" w:cs="Times New Roman"/>
                <w:color w:val="auto"/>
                <w:lang w:eastAsia="zh-CN"/>
              </w:rPr>
              <w:t>（</w:t>
            </w:r>
            <w:r>
              <w:rPr>
                <w:rFonts w:hint="eastAsia" w:eastAsia="宋体" w:cs="Times New Roman"/>
                <w:color w:val="auto"/>
                <w:lang w:val="en-US" w:eastAsia="zh-CN"/>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使用粉状或雾状物质，有可能发生粉尘爆炸的操作；</w:t>
            </w:r>
          </w:p>
          <w:p w14:paraId="568F4CA0">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4</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单批式操作</w:t>
            </w:r>
          </w:p>
        </w:tc>
        <w:tc>
          <w:tcPr>
            <w:tcW w:w="1138" w:type="pct"/>
            <w:noWrap w:val="0"/>
            <w:vAlign w:val="center"/>
          </w:tcPr>
          <w:p w14:paraId="1B4241B9">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轻微放热反应</w:t>
            </w:r>
            <w:r>
              <w:rPr>
                <w:rFonts w:hint="default" w:ascii="Times New Roman" w:hAnsi="Times New Roman" w:eastAsia="宋体" w:cs="Times New Roman"/>
                <w:color w:val="auto"/>
              </w:rPr>
              <w:cr/>
            </w:r>
            <w:r>
              <w:rPr>
                <w:rFonts w:hint="default" w:ascii="Times New Roman" w:hAnsi="Times New Roman" w:eastAsia="宋体" w:cs="Times New Roman"/>
                <w:color w:val="auto"/>
              </w:rPr>
              <w:t>（如加氢、水合、异构化、烷基化、磺化、中和等反应）操作；</w:t>
            </w:r>
          </w:p>
          <w:p w14:paraId="5EA44DAE">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2</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在精制过程中伴有化学反应；</w:t>
            </w:r>
            <w:r>
              <w:rPr>
                <w:rFonts w:hint="default" w:ascii="Times New Roman" w:hAnsi="Times New Roman" w:eastAsia="宋体" w:cs="Times New Roman"/>
                <w:color w:val="auto"/>
              </w:rPr>
              <w:cr/>
            </w:r>
            <w:r>
              <w:rPr>
                <w:rFonts w:hint="eastAsia" w:ascii="Times New Roman" w:hAnsi="Times New Roman" w:eastAsia="宋体" w:cs="Times New Roman"/>
                <w:color w:val="auto"/>
                <w:lang w:eastAsia="zh-CN"/>
              </w:rPr>
              <w:t>（</w:t>
            </w:r>
            <w:r>
              <w:rPr>
                <w:rFonts w:hint="eastAsia" w:eastAsia="宋体" w:cs="Times New Roman"/>
                <w:color w:val="auto"/>
                <w:lang w:val="en-US" w:eastAsia="zh-CN"/>
              </w:rPr>
              <w:t>3</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单批式操作，但开始使用机械等手段进行程序操作；</w:t>
            </w:r>
          </w:p>
          <w:p w14:paraId="526F2C5E">
            <w:pPr>
              <w:pStyle w:val="31"/>
              <w:bidi w:val="0"/>
              <w:jc w:val="left"/>
              <w:rPr>
                <w:rFonts w:hint="default"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eastAsia="宋体" w:cs="Times New Roman"/>
                <w:color w:val="auto"/>
                <w:lang w:val="en-US" w:eastAsia="zh-CN"/>
              </w:rPr>
              <w:t>4</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有一定危险的操作</w:t>
            </w:r>
          </w:p>
        </w:tc>
        <w:tc>
          <w:tcPr>
            <w:tcW w:w="905" w:type="pct"/>
            <w:noWrap w:val="0"/>
            <w:vAlign w:val="center"/>
          </w:tcPr>
          <w:p w14:paraId="72B0AEBE">
            <w:pPr>
              <w:pStyle w:val="31"/>
              <w:bidi w:val="0"/>
              <w:jc w:val="left"/>
              <w:rPr>
                <w:rFonts w:hint="default" w:ascii="Times New Roman" w:hAnsi="Times New Roman" w:eastAsia="宋体" w:cs="Times New Roman"/>
                <w:color w:val="auto"/>
              </w:rPr>
            </w:pPr>
            <w:r>
              <w:rPr>
                <w:rFonts w:hint="default" w:ascii="Times New Roman" w:hAnsi="Times New Roman" w:eastAsia="宋体" w:cs="Times New Roman"/>
                <w:color w:val="auto"/>
              </w:rPr>
              <w:t>无危险的操作</w:t>
            </w:r>
          </w:p>
        </w:tc>
      </w:tr>
    </w:tbl>
    <w:p w14:paraId="3C462BBB">
      <w:pPr>
        <w:pStyle w:val="33"/>
        <w:bidi w:val="0"/>
        <w:rPr>
          <w:rFonts w:hint="default" w:ascii="Times New Roman" w:hAnsi="Times New Roman" w:eastAsia="宋体" w:cs="Times New Roman"/>
          <w:color w:val="auto"/>
          <w:lang w:val="en-US" w:eastAsia="zh-CN"/>
        </w:rPr>
        <w:sectPr>
          <w:pgSz w:w="11906" w:h="16838"/>
          <w:pgMar w:top="1417" w:right="1134" w:bottom="1134" w:left="1587" w:header="720" w:footer="454" w:gutter="0"/>
          <w:pgBorders>
            <w:top w:val="none" w:sz="0" w:space="0"/>
            <w:left w:val="none" w:sz="0" w:space="0"/>
            <w:bottom w:val="none" w:sz="0" w:space="0"/>
            <w:right w:val="none" w:sz="0" w:space="0"/>
          </w:pgBorders>
          <w:lnNumType w:countBy="0" w:distance="360"/>
          <w:cols w:space="720" w:num="1"/>
          <w:docGrid w:type="lines" w:linePitch="312" w:charSpace="0"/>
        </w:sectPr>
      </w:pPr>
      <w:r>
        <w:rPr>
          <w:rFonts w:hint="default" w:ascii="Times New Roman" w:hAnsi="Times New Roman" w:eastAsia="宋体" w:cs="Times New Roman"/>
          <w:color w:val="auto"/>
          <w:lang w:val="en-US" w:eastAsia="zh-CN"/>
        </w:rPr>
        <w:t>注：*①有触媒的反应，应去掉触媒层所占空间；②气液混合反应，应按反应的形态选择上述规定。</w:t>
      </w:r>
    </w:p>
    <w:p w14:paraId="3927852D">
      <w:pPr>
        <w:pStyle w:val="17"/>
        <w:numPr>
          <w:ilvl w:val="0"/>
          <w:numId w:val="0"/>
        </w:numPr>
        <w:bidi w:val="0"/>
        <w:ind w:leftChars="0"/>
        <w:rPr>
          <w:rFonts w:hint="default" w:ascii="Times New Roman" w:hAnsi="Times New Roman" w:cs="Times New Roman"/>
          <w:color w:val="auto"/>
          <w:lang w:val="en-US" w:eastAsia="zh-CN"/>
        </w:rPr>
      </w:pPr>
      <w:bookmarkStart w:id="105" w:name="_Toc9582"/>
      <w:r>
        <w:rPr>
          <w:rFonts w:hint="default" w:ascii="Times New Roman" w:hAnsi="Times New Roman" w:cs="Times New Roman"/>
          <w:color w:val="auto"/>
          <w:lang w:val="en-US" w:eastAsia="zh-CN"/>
        </w:rPr>
        <w:t>附件3 定性、定量分析过程</w:t>
      </w:r>
      <w:bookmarkEnd w:id="105"/>
    </w:p>
    <w:p w14:paraId="2BB3F466">
      <w:pPr>
        <w:pStyle w:val="3"/>
        <w:numPr>
          <w:ilvl w:val="1"/>
          <w:numId w:val="0"/>
        </w:numPr>
        <w:ind w:left="130" w:leftChars="0"/>
        <w:rPr>
          <w:rFonts w:hint="default" w:ascii="Times New Roman" w:hAnsi="Times New Roman" w:cs="Times New Roman"/>
          <w:color w:val="auto"/>
        </w:rPr>
      </w:pPr>
      <w:bookmarkStart w:id="106" w:name="_Toc13686"/>
      <w:r>
        <w:rPr>
          <w:rFonts w:hint="default" w:ascii="Times New Roman" w:hAnsi="Times New Roman" w:cs="Times New Roman"/>
          <w:color w:val="auto"/>
        </w:rPr>
        <w:t>F</w:t>
      </w:r>
      <w:r>
        <w:rPr>
          <w:rFonts w:hint="default" w:ascii="Times New Roman" w:hAnsi="Times New Roman" w:cs="Times New Roman"/>
          <w:color w:val="auto"/>
          <w:lang w:val="en-US" w:eastAsia="zh-CN"/>
        </w:rPr>
        <w:t>3</w:t>
      </w:r>
      <w:r>
        <w:rPr>
          <w:rFonts w:hint="default" w:ascii="Times New Roman" w:hAnsi="Times New Roman" w:cs="Times New Roman"/>
          <w:color w:val="auto"/>
        </w:rPr>
        <w:t>.1</w:t>
      </w:r>
      <w:bookmarkStart w:id="107" w:name="_Toc371874211"/>
      <w:bookmarkStart w:id="108" w:name="_Toc371874386"/>
      <w:bookmarkStart w:id="109" w:name="_Toc365004269"/>
      <w:bookmarkStart w:id="110" w:name="_Toc376527181"/>
      <w:bookmarkStart w:id="111" w:name="_Toc371873888"/>
      <w:bookmarkStart w:id="112" w:name="_Toc399836451"/>
      <w:bookmarkStart w:id="113" w:name="_Toc336610797"/>
      <w:bookmarkStart w:id="114" w:name="_Toc343587746"/>
      <w:bookmarkStart w:id="115" w:name="_Toc334711570"/>
      <w:bookmarkStart w:id="116" w:name="_Toc372141322"/>
      <w:bookmarkStart w:id="117" w:name="_Toc371874460"/>
      <w:bookmarkStart w:id="118" w:name="_Toc430293773"/>
      <w:r>
        <w:rPr>
          <w:rFonts w:hint="default" w:ascii="Times New Roman" w:hAnsi="Times New Roman" w:cs="Times New Roman"/>
          <w:color w:val="auto"/>
        </w:rPr>
        <w:t xml:space="preserve"> 安全检查表法</w:t>
      </w:r>
      <w:bookmarkEnd w:id="106"/>
    </w:p>
    <w:p w14:paraId="5B94A60C">
      <w:pPr>
        <w:pStyle w:val="4"/>
        <w:spacing w:before="120" w:after="120"/>
        <w:rPr>
          <w:rFonts w:hint="default" w:ascii="Times New Roman" w:hAnsi="Times New Roman" w:cs="Times New Roman"/>
          <w:color w:val="auto"/>
        </w:rPr>
      </w:pPr>
      <w:r>
        <w:rPr>
          <w:rFonts w:hint="default" w:ascii="Times New Roman" w:hAnsi="Times New Roman" w:cs="Times New Roman"/>
          <w:color w:val="auto"/>
        </w:rPr>
        <w:t>F</w:t>
      </w:r>
      <w:r>
        <w:rPr>
          <w:rFonts w:hint="default" w:ascii="Times New Roman" w:hAnsi="Times New Roman" w:cs="Times New Roman"/>
          <w:color w:val="auto"/>
          <w:lang w:val="en-US" w:eastAsia="zh-CN"/>
        </w:rPr>
        <w:t>3</w:t>
      </w:r>
      <w:r>
        <w:rPr>
          <w:rFonts w:hint="default" w:ascii="Times New Roman" w:hAnsi="Times New Roman" w:cs="Times New Roman"/>
          <w:color w:val="auto"/>
        </w:rPr>
        <w:t>.</w:t>
      </w:r>
      <w:bookmarkEnd w:id="107"/>
      <w:bookmarkEnd w:id="108"/>
      <w:bookmarkEnd w:id="109"/>
      <w:bookmarkEnd w:id="110"/>
      <w:bookmarkEnd w:id="111"/>
      <w:bookmarkEnd w:id="112"/>
      <w:bookmarkEnd w:id="113"/>
      <w:bookmarkEnd w:id="114"/>
      <w:bookmarkEnd w:id="115"/>
      <w:bookmarkEnd w:id="116"/>
      <w:bookmarkEnd w:id="117"/>
      <w:bookmarkEnd w:id="118"/>
      <w:r>
        <w:rPr>
          <w:rFonts w:hint="default" w:ascii="Times New Roman" w:hAnsi="Times New Roman" w:cs="Times New Roman"/>
          <w:color w:val="auto"/>
        </w:rPr>
        <w:t>1.1外部安全条件及总平面布置单元</w:t>
      </w:r>
    </w:p>
    <w:p w14:paraId="5A37D1C4">
      <w:pPr>
        <w:pStyle w:val="6"/>
        <w:bidi w:val="0"/>
        <w:rPr>
          <w:rFonts w:hint="default" w:ascii="Times New Roman" w:hAnsi="Times New Roman" w:cs="Times New Roman"/>
          <w:color w:val="auto"/>
        </w:rPr>
      </w:pPr>
      <w:r>
        <w:rPr>
          <w:rFonts w:hint="default" w:ascii="Times New Roman" w:hAnsi="Times New Roman" w:cs="Times New Roman"/>
          <w:color w:val="auto"/>
        </w:rPr>
        <w:t>本节采用安全检查表法对储运二部装卸车</w:t>
      </w:r>
      <w:r>
        <w:rPr>
          <w:rFonts w:hint="eastAsia" w:cs="Times New Roman"/>
          <w:color w:val="auto"/>
          <w:lang w:val="en-US" w:eastAsia="zh-CN"/>
        </w:rPr>
        <w:t>废气</w:t>
      </w:r>
      <w:r>
        <w:rPr>
          <w:rFonts w:hint="default" w:ascii="Times New Roman" w:hAnsi="Times New Roman" w:cs="Times New Roman"/>
          <w:color w:val="auto"/>
        </w:rPr>
        <w:t>治理项目选址及总图布置单元进行安全检查。检查表的编制主要依据了《石油化工企业设计防火</w:t>
      </w:r>
      <w:r>
        <w:rPr>
          <w:rFonts w:hint="eastAsia" w:cs="Times New Roman"/>
          <w:color w:val="auto"/>
          <w:lang w:val="en-US" w:eastAsia="zh-CN"/>
        </w:rPr>
        <w:t>标准</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2018版</w:t>
      </w:r>
      <w:r>
        <w:rPr>
          <w:rFonts w:hint="default" w:ascii="Times New Roman" w:hAnsi="Times New Roman" w:cs="Times New Roman"/>
          <w:color w:val="auto"/>
          <w:lang w:eastAsia="zh-CN"/>
        </w:rPr>
        <w:t>）</w:t>
      </w:r>
      <w:r>
        <w:rPr>
          <w:rFonts w:hint="default" w:ascii="Times New Roman" w:hAnsi="Times New Roman" w:cs="Times New Roman"/>
          <w:color w:val="auto"/>
        </w:rPr>
        <w:t>》（GB</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50160-2008）、《工业企业总平面设计规范》（GB</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50187-2012）、《石油化工工厂布置设计规范》（GB</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50984-2014）等标准。具体检查内容见附表3.1-1。</w:t>
      </w:r>
    </w:p>
    <w:p w14:paraId="6B7717F2">
      <w:pPr>
        <w:pStyle w:val="6"/>
        <w:bidi w:val="0"/>
        <w:rPr>
          <w:rFonts w:hint="default" w:ascii="Times New Roman" w:hAnsi="Times New Roman" w:cs="Times New Roman"/>
          <w:color w:val="auto"/>
        </w:rPr>
      </w:pPr>
      <w:r>
        <w:rPr>
          <w:rFonts w:hint="default" w:ascii="Times New Roman" w:hAnsi="Times New Roman" w:cs="Times New Roman"/>
          <w:color w:val="auto"/>
        </w:rPr>
        <w:t>本安全检查表为定性评价，将检查的内容系统的列出，逐项检查，以便发现可能存在的缺陷及隐患。本表以提问的方式进行检查，以</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、或</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回答问题。</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表示符合条件；</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表示不符合条件，存在问题和缺陷，有待改进，</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表示无法判断或未说明。</w:t>
      </w:r>
    </w:p>
    <w:p w14:paraId="123CF65C">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2" w:firstLineChars="200"/>
        <w:textAlignment w:val="auto"/>
        <w:rPr>
          <w:rFonts w:hint="eastAsia"/>
          <w:b/>
          <w:bCs/>
        </w:rPr>
      </w:pPr>
      <w:r>
        <w:rPr>
          <w:rFonts w:hint="eastAsia"/>
          <w:b/>
          <w:bCs/>
        </w:rPr>
        <w:t>涉及企业机密，不予公开。</w:t>
      </w:r>
    </w:p>
    <w:p w14:paraId="14B54DE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snapToGrid w:val="0"/>
          <w:color w:val="auto"/>
          <w:kern w:val="0"/>
          <w:sz w:val="28"/>
          <w:szCs w:val="20"/>
        </w:rPr>
      </w:pPr>
      <w:r>
        <w:rPr>
          <w:rFonts w:hint="default" w:ascii="Times New Roman" w:hAnsi="Times New Roman" w:cs="Times New Roman"/>
          <w:snapToGrid w:val="0"/>
          <w:color w:val="auto"/>
          <w:kern w:val="0"/>
          <w:sz w:val="28"/>
          <w:szCs w:val="20"/>
        </w:rPr>
        <w:t>该单元针对石油化工总厂</w:t>
      </w:r>
      <w:r>
        <w:rPr>
          <w:rFonts w:hint="default" w:ascii="Times New Roman" w:hAnsi="Times New Roman" w:cs="Times New Roman"/>
          <w:snapToGrid w:val="0"/>
          <w:color w:val="auto"/>
          <w:kern w:val="0"/>
          <w:sz w:val="28"/>
          <w:szCs w:val="20"/>
          <w:lang w:val="en-US" w:eastAsia="zh-CN"/>
        </w:rPr>
        <w:t>储运二部装卸车</w:t>
      </w:r>
      <w:r>
        <w:rPr>
          <w:rFonts w:hint="eastAsia" w:cs="Times New Roman"/>
          <w:color w:val="auto"/>
          <w:lang w:val="en-US" w:eastAsia="zh-CN"/>
        </w:rPr>
        <w:t>废气</w:t>
      </w:r>
      <w:r>
        <w:rPr>
          <w:rFonts w:hint="default" w:ascii="Times New Roman" w:hAnsi="Times New Roman" w:cs="Times New Roman"/>
          <w:snapToGrid w:val="0"/>
          <w:color w:val="auto"/>
          <w:kern w:val="0"/>
          <w:sz w:val="28"/>
          <w:szCs w:val="20"/>
          <w:lang w:val="en-US" w:eastAsia="zh-CN"/>
        </w:rPr>
        <w:t>治理项目</w:t>
      </w:r>
      <w:r>
        <w:rPr>
          <w:rFonts w:hint="default" w:ascii="Times New Roman" w:hAnsi="Times New Roman" w:cs="Times New Roman"/>
          <w:snapToGrid w:val="0"/>
          <w:color w:val="auto"/>
          <w:kern w:val="0"/>
          <w:sz w:val="28"/>
          <w:szCs w:val="20"/>
        </w:rPr>
        <w:t>选址及总平面布置单元共</w:t>
      </w:r>
      <w:r>
        <w:rPr>
          <w:rFonts w:hint="default" w:ascii="Times New Roman" w:hAnsi="Times New Roman" w:cs="Times New Roman"/>
          <w:color w:val="auto"/>
          <w:sz w:val="28"/>
          <w:szCs w:val="28"/>
        </w:rPr>
        <w:t>列出</w:t>
      </w: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rPr>
        <w:t>项检查内容，有</w:t>
      </w:r>
      <w:r>
        <w:rPr>
          <w:rFonts w:hint="eastAsia" w:ascii="Times New Roman" w:hAnsi="Times New Roman" w:cs="Times New Roman"/>
          <w:color w:val="auto"/>
          <w:sz w:val="28"/>
          <w:szCs w:val="28"/>
          <w:highlight w:val="none"/>
          <w:lang w:val="en-US" w:eastAsia="zh-CN"/>
        </w:rPr>
        <w:t>2</w:t>
      </w:r>
      <w:r>
        <w:rPr>
          <w:rFonts w:hint="default" w:ascii="Times New Roman" w:hAnsi="Times New Roman" w:eastAsia="宋体" w:cs="Times New Roman"/>
          <w:color w:val="auto"/>
          <w:sz w:val="28"/>
          <w:szCs w:val="28"/>
        </w:rPr>
        <w:t>项</w:t>
      </w:r>
      <w:r>
        <w:rPr>
          <w:rFonts w:hint="default" w:ascii="Times New Roman" w:hAnsi="Times New Roman" w:cs="Times New Roman"/>
          <w:color w:val="auto"/>
          <w:sz w:val="28"/>
          <w:szCs w:val="28"/>
        </w:rPr>
        <w:t>内容需要在后期设计中加以补充完善。</w:t>
      </w:r>
    </w:p>
    <w:p w14:paraId="2F1CDBBF">
      <w:pPr>
        <w:pStyle w:val="4"/>
        <w:spacing w:before="120" w:after="120"/>
        <w:rPr>
          <w:rFonts w:hint="default" w:ascii="Times New Roman" w:hAnsi="Times New Roman" w:cs="Times New Roman"/>
          <w:color w:val="auto"/>
          <w:lang w:val="en-US" w:eastAsia="zh-CN"/>
        </w:rPr>
      </w:pPr>
      <w:r>
        <w:rPr>
          <w:rFonts w:hint="default" w:ascii="Times New Roman" w:hAnsi="Times New Roman" w:cs="Times New Roman"/>
          <w:color w:val="auto"/>
        </w:rPr>
        <w:t>F</w:t>
      </w:r>
      <w:r>
        <w:rPr>
          <w:rFonts w:hint="default" w:ascii="Times New Roman" w:hAnsi="Times New Roman" w:cs="Times New Roman"/>
          <w:color w:val="auto"/>
          <w:lang w:val="en-US" w:eastAsia="zh-CN"/>
        </w:rPr>
        <w:t>3</w:t>
      </w:r>
      <w:r>
        <w:rPr>
          <w:rFonts w:hint="default" w:ascii="Times New Roman" w:hAnsi="Times New Roman" w:cs="Times New Roman"/>
          <w:color w:val="auto"/>
        </w:rPr>
        <w:t>.1.2</w:t>
      </w:r>
      <w:r>
        <w:rPr>
          <w:rFonts w:hint="default" w:ascii="Times New Roman" w:hAnsi="Times New Roman" w:cs="Times New Roman"/>
          <w:color w:val="auto"/>
          <w:lang w:val="en-US" w:eastAsia="zh-CN"/>
        </w:rPr>
        <w:t>工艺及设备设施单元</w:t>
      </w:r>
    </w:p>
    <w:p w14:paraId="51B6717A">
      <w:pPr>
        <w:pStyle w:val="6"/>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本节采用安全检查表法对储运二部装卸车</w:t>
      </w:r>
      <w:r>
        <w:rPr>
          <w:rFonts w:hint="eastAsia" w:cs="Times New Roman"/>
          <w:color w:val="auto"/>
          <w:lang w:val="en-US" w:eastAsia="zh-CN"/>
        </w:rPr>
        <w:t>废气</w:t>
      </w:r>
      <w:r>
        <w:rPr>
          <w:rFonts w:hint="default" w:ascii="Times New Roman" w:hAnsi="Times New Roman" w:cs="Times New Roman"/>
          <w:color w:val="auto"/>
          <w:highlight w:val="none"/>
        </w:rPr>
        <w:t>治理项目工艺及设备设施单元进行安全检查。检查表的编制主要依据了《石油化工企业设计防火标准</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2018版</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》（GB</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50160-2008）、《油气回收处理设施技术标准》（GB/T 50759-2022）等标准。具体检查内容见附表3.1-1。</w:t>
      </w:r>
    </w:p>
    <w:p w14:paraId="28932201">
      <w:pPr>
        <w:pStyle w:val="6"/>
        <w:keepNext w:val="0"/>
        <w:keepLines w:val="0"/>
        <w:pageBreakBefore w:val="0"/>
        <w:widowControl/>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本安全检查表为定性评价，将检查的内容系统的列出，逐项检查，以便发现可能存在的缺陷及隐患。本表以提问的方式进行检查，以</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、或</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回答问题。</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表示符合条件；</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表示不符合条件，存在问题和缺陷，有待改进，</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表示无法判断或未说明。</w:t>
      </w:r>
    </w:p>
    <w:p w14:paraId="56FC4670">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2" w:firstLineChars="200"/>
        <w:textAlignment w:val="auto"/>
        <w:rPr>
          <w:rFonts w:hint="default" w:ascii="Times New Roman" w:hAnsi="Times New Roman" w:cs="Times New Roman"/>
          <w:snapToGrid w:val="0"/>
          <w:color w:val="auto"/>
          <w:kern w:val="0"/>
          <w:sz w:val="28"/>
          <w:szCs w:val="20"/>
          <w:highlight w:val="none"/>
        </w:rPr>
      </w:pPr>
      <w:r>
        <w:rPr>
          <w:rFonts w:hint="eastAsia"/>
          <w:b/>
          <w:bCs/>
        </w:rPr>
        <w:t>涉及企业机密，不予公开。</w:t>
      </w:r>
      <w:r>
        <w:rPr>
          <w:rFonts w:hint="default" w:ascii="Times New Roman" w:hAnsi="Times New Roman" w:cs="Times New Roman"/>
          <w:snapToGrid w:val="0"/>
          <w:color w:val="auto"/>
          <w:kern w:val="0"/>
          <w:sz w:val="28"/>
          <w:szCs w:val="20"/>
        </w:rPr>
        <w:t>通过对安全检查表中设定内容的检查，在</w:t>
      </w:r>
      <w:r>
        <w:rPr>
          <w:rFonts w:hint="default" w:ascii="Times New Roman" w:hAnsi="Times New Roman" w:cs="Times New Roman"/>
          <w:snapToGrid w:val="0"/>
          <w:color w:val="auto"/>
          <w:kern w:val="0"/>
          <w:sz w:val="28"/>
          <w:szCs w:val="20"/>
          <w:lang w:val="en-US" w:eastAsia="zh-CN"/>
        </w:rPr>
        <w:t>生产装置</w:t>
      </w:r>
      <w:r>
        <w:rPr>
          <w:rFonts w:hint="default" w:ascii="Times New Roman" w:hAnsi="Times New Roman" w:cs="Times New Roman"/>
          <w:snapToGrid w:val="0"/>
          <w:color w:val="auto"/>
          <w:kern w:val="0"/>
          <w:sz w:val="28"/>
          <w:szCs w:val="20"/>
        </w:rPr>
        <w:t>单元共列出</w:t>
      </w:r>
      <w:r>
        <w:rPr>
          <w:rFonts w:hint="eastAsia" w:ascii="Times New Roman" w:hAnsi="Times New Roman" w:cs="Times New Roman"/>
          <w:snapToGrid w:val="0"/>
          <w:color w:val="auto"/>
          <w:kern w:val="0"/>
          <w:sz w:val="28"/>
          <w:szCs w:val="20"/>
          <w:lang w:val="en-US" w:eastAsia="zh-CN"/>
        </w:rPr>
        <w:t>56</w:t>
      </w:r>
      <w:r>
        <w:rPr>
          <w:rFonts w:hint="default" w:ascii="Times New Roman" w:hAnsi="Times New Roman" w:cs="Times New Roman"/>
          <w:snapToGrid w:val="0"/>
          <w:color w:val="auto"/>
          <w:kern w:val="0"/>
          <w:sz w:val="28"/>
          <w:szCs w:val="20"/>
        </w:rPr>
        <w:t>项检查内容，</w:t>
      </w:r>
      <w:r>
        <w:rPr>
          <w:rFonts w:hint="default" w:ascii="Times New Roman" w:hAnsi="Times New Roman" w:cs="Times New Roman"/>
          <w:color w:val="auto"/>
          <w:sz w:val="28"/>
          <w:szCs w:val="28"/>
          <w:highlight w:val="none"/>
        </w:rPr>
        <w:t>有</w:t>
      </w:r>
      <w:r>
        <w:rPr>
          <w:rFonts w:hint="eastAsia" w:ascii="Times New Roman" w:hAnsi="Times New Roman" w:cs="Times New Roman"/>
          <w:color w:val="auto"/>
          <w:sz w:val="28"/>
          <w:szCs w:val="28"/>
          <w:highlight w:val="none"/>
          <w:lang w:val="en-US" w:eastAsia="zh-CN"/>
        </w:rPr>
        <w:t>45</w:t>
      </w:r>
      <w:r>
        <w:rPr>
          <w:rFonts w:hint="default" w:ascii="Times New Roman" w:hAnsi="Times New Roman" w:cs="Times New Roman"/>
          <w:color w:val="auto"/>
          <w:sz w:val="28"/>
          <w:szCs w:val="28"/>
          <w:highlight w:val="none"/>
        </w:rPr>
        <w:t>项内容需要在后期设计中加以补充完善。</w:t>
      </w:r>
    </w:p>
    <w:p w14:paraId="05618A40">
      <w:pPr>
        <w:pStyle w:val="4"/>
        <w:spacing w:before="120" w:after="120"/>
        <w:rPr>
          <w:rFonts w:hint="default" w:ascii="Times New Roman" w:hAnsi="Times New Roman" w:cs="Times New Roman"/>
          <w:color w:val="auto"/>
        </w:rPr>
      </w:pPr>
      <w:r>
        <w:rPr>
          <w:rFonts w:hint="default" w:ascii="Times New Roman" w:hAnsi="Times New Roman" w:cs="Times New Roman"/>
          <w:color w:val="auto"/>
        </w:rPr>
        <w:t>F</w:t>
      </w:r>
      <w:r>
        <w:rPr>
          <w:rFonts w:hint="default" w:ascii="Times New Roman" w:hAnsi="Times New Roman" w:cs="Times New Roman"/>
          <w:color w:val="auto"/>
          <w:lang w:val="en-US" w:eastAsia="zh-CN"/>
        </w:rPr>
        <w:t>3</w:t>
      </w:r>
      <w:r>
        <w:rPr>
          <w:rFonts w:hint="default" w:ascii="Times New Roman" w:hAnsi="Times New Roman" w:cs="Times New Roman"/>
          <w:color w:val="auto"/>
        </w:rPr>
        <w:t>.1.3公用工程及辅助设施单元</w:t>
      </w:r>
    </w:p>
    <w:p w14:paraId="4B624D9A">
      <w:pPr>
        <w:pStyle w:val="6"/>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本节采用安全检查表法对储运二部装卸车</w:t>
      </w:r>
      <w:r>
        <w:rPr>
          <w:rFonts w:hint="eastAsia" w:cs="Times New Roman"/>
          <w:color w:val="auto"/>
          <w:lang w:val="en-US" w:eastAsia="zh-CN"/>
        </w:rPr>
        <w:t>废气</w:t>
      </w:r>
      <w:r>
        <w:rPr>
          <w:rFonts w:hint="default" w:ascii="Times New Roman" w:hAnsi="Times New Roman" w:cs="Times New Roman"/>
          <w:color w:val="auto"/>
          <w:highlight w:val="none"/>
        </w:rPr>
        <w:t>治理项目公用工程及辅助设施单元进行安全检查。检查表的编制主要依据了《石油化工企业设计防火</w:t>
      </w:r>
      <w:r>
        <w:rPr>
          <w:rFonts w:hint="eastAsia" w:cs="Times New Roman"/>
          <w:color w:val="auto"/>
          <w:highlight w:val="none"/>
          <w:lang w:val="en-US" w:eastAsia="zh-CN"/>
        </w:rPr>
        <w:t>标准</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2018版</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》（GB</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50160-2008）、《油气回收处理设施技术标准》（GB/T 50759-2022）等标准。具体检查内容见附表3.1-1。</w:t>
      </w:r>
    </w:p>
    <w:p w14:paraId="5359FBB3">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auto"/>
        </w:rPr>
      </w:pPr>
      <w:r>
        <w:rPr>
          <w:rFonts w:hint="default" w:ascii="Times New Roman" w:hAnsi="Times New Roman" w:cs="Times New Roman"/>
          <w:color w:val="auto"/>
        </w:rPr>
        <w:t>本安全检查表为定性评价，将检查的内容系统的列出，逐项检查，以便发现可能存在的缺陷及隐患。本表以提问的方式进行检查，以</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、或</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回答问题。</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表示符合条件；</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表示不符合条件，存在问题和缺陷，有待改进，</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表示无法判断或未说明。</w:t>
      </w:r>
    </w:p>
    <w:p w14:paraId="54AAC473">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2" w:firstLineChars="200"/>
        <w:textAlignment w:val="auto"/>
        <w:rPr>
          <w:rFonts w:hint="default" w:ascii="Times New Roman" w:hAnsi="Times New Roman" w:cs="Times New Roman"/>
          <w:snapToGrid w:val="0"/>
          <w:color w:val="auto"/>
          <w:kern w:val="0"/>
          <w:sz w:val="28"/>
          <w:szCs w:val="20"/>
        </w:rPr>
      </w:pPr>
      <w:r>
        <w:rPr>
          <w:rFonts w:hint="eastAsia"/>
          <w:b/>
          <w:bCs/>
        </w:rPr>
        <w:t>涉及企业机密，不予公开。</w:t>
      </w:r>
      <w:r>
        <w:rPr>
          <w:rFonts w:hint="default" w:ascii="Times New Roman" w:hAnsi="Times New Roman" w:cs="Times New Roman"/>
          <w:snapToGrid w:val="0"/>
          <w:color w:val="auto"/>
          <w:kern w:val="0"/>
          <w:sz w:val="28"/>
          <w:szCs w:val="20"/>
        </w:rPr>
        <w:t>通过对安全检查表中设定内容的检查，在</w:t>
      </w:r>
      <w:r>
        <w:rPr>
          <w:rFonts w:hint="default" w:ascii="Times New Roman" w:hAnsi="Times New Roman" w:cs="Times New Roman"/>
          <w:snapToGrid w:val="0"/>
          <w:color w:val="auto"/>
          <w:kern w:val="0"/>
          <w:sz w:val="28"/>
          <w:szCs w:val="20"/>
          <w:lang w:val="en-US" w:eastAsia="zh-CN"/>
        </w:rPr>
        <w:t>公用工程及辅助设施</w:t>
      </w:r>
      <w:r>
        <w:rPr>
          <w:rFonts w:hint="default" w:ascii="Times New Roman" w:hAnsi="Times New Roman" w:cs="Times New Roman"/>
          <w:snapToGrid w:val="0"/>
          <w:color w:val="auto"/>
          <w:kern w:val="0"/>
          <w:sz w:val="28"/>
          <w:szCs w:val="20"/>
        </w:rPr>
        <w:t>单元共列出</w:t>
      </w:r>
      <w:r>
        <w:rPr>
          <w:rFonts w:hint="eastAsia" w:ascii="Times New Roman" w:hAnsi="Times New Roman" w:cs="Times New Roman"/>
          <w:snapToGrid w:val="0"/>
          <w:color w:val="auto"/>
          <w:kern w:val="0"/>
          <w:sz w:val="28"/>
          <w:szCs w:val="20"/>
          <w:lang w:val="en-US" w:eastAsia="zh-CN"/>
        </w:rPr>
        <w:t>48</w:t>
      </w:r>
      <w:r>
        <w:rPr>
          <w:rFonts w:hint="default" w:ascii="Times New Roman" w:hAnsi="Times New Roman" w:cs="Times New Roman"/>
          <w:snapToGrid w:val="0"/>
          <w:color w:val="auto"/>
          <w:kern w:val="0"/>
          <w:sz w:val="28"/>
          <w:szCs w:val="20"/>
        </w:rPr>
        <w:t>项检查内容，</w:t>
      </w:r>
      <w:r>
        <w:rPr>
          <w:rFonts w:hint="default" w:ascii="Times New Roman" w:hAnsi="Times New Roman" w:cs="Times New Roman"/>
          <w:snapToGrid w:val="0"/>
          <w:color w:val="auto"/>
          <w:kern w:val="0"/>
          <w:sz w:val="28"/>
          <w:szCs w:val="20"/>
          <w:lang w:val="en-US" w:eastAsia="zh-CN"/>
        </w:rPr>
        <w:t>其中不符合项有1项，</w:t>
      </w:r>
      <w:r>
        <w:rPr>
          <w:rFonts w:hint="default" w:ascii="Times New Roman" w:hAnsi="Times New Roman" w:cs="Times New Roman"/>
          <w:color w:val="auto"/>
          <w:sz w:val="28"/>
          <w:szCs w:val="28"/>
          <w:highlight w:val="none"/>
        </w:rPr>
        <w:t>有</w:t>
      </w:r>
      <w:r>
        <w:rPr>
          <w:rFonts w:hint="eastAsia" w:ascii="Times New Roman" w:hAnsi="Times New Roman" w:cs="Times New Roman"/>
          <w:color w:val="auto"/>
          <w:sz w:val="28"/>
          <w:szCs w:val="28"/>
          <w:highlight w:val="none"/>
          <w:lang w:val="en-US" w:eastAsia="zh-CN"/>
        </w:rPr>
        <w:t>25</w:t>
      </w:r>
      <w:r>
        <w:rPr>
          <w:rFonts w:hint="default" w:ascii="Times New Roman" w:hAnsi="Times New Roman" w:cs="Times New Roman"/>
          <w:color w:val="auto"/>
          <w:sz w:val="28"/>
          <w:szCs w:val="28"/>
        </w:rPr>
        <w:t>项内容需要在后期设计中加以补充完善。</w:t>
      </w:r>
    </w:p>
    <w:p w14:paraId="7B1CD54B">
      <w:pPr>
        <w:pStyle w:val="3"/>
        <w:numPr>
          <w:ilvl w:val="1"/>
          <w:numId w:val="0"/>
        </w:numPr>
        <w:bidi w:val="0"/>
        <w:ind w:left="130" w:leftChars="0"/>
        <w:rPr>
          <w:rFonts w:hint="default" w:ascii="Times New Roman" w:hAnsi="Times New Roman" w:cs="Times New Roman"/>
          <w:color w:val="auto"/>
          <w:lang w:val="en-US" w:eastAsia="zh-CN"/>
        </w:rPr>
      </w:pPr>
      <w:bookmarkStart w:id="119" w:name="_Toc18025"/>
      <w:r>
        <w:rPr>
          <w:rFonts w:hint="default" w:ascii="Times New Roman" w:hAnsi="Times New Roman" w:cs="Times New Roman"/>
          <w:color w:val="auto"/>
          <w:lang w:val="en-US" w:eastAsia="zh-CN"/>
        </w:rPr>
        <w:t>F3.2 定量分析评价</w:t>
      </w:r>
      <w:bookmarkEnd w:id="119"/>
    </w:p>
    <w:p w14:paraId="672E642D">
      <w:pPr>
        <w:pStyle w:val="4"/>
        <w:bidi w:val="0"/>
        <w:rPr>
          <w:rFonts w:hint="default" w:ascii="Times New Roman" w:hAnsi="Times New Roman" w:cs="Times New Roman"/>
          <w:color w:val="auto"/>
        </w:rPr>
      </w:pPr>
      <w:bookmarkStart w:id="120" w:name="_Toc202756473"/>
      <w:r>
        <w:rPr>
          <w:rFonts w:hint="eastAsia" w:cs="Times New Roman"/>
          <w:color w:val="auto"/>
          <w:lang w:val="en-US" w:eastAsia="zh-CN"/>
        </w:rPr>
        <w:t>F</w:t>
      </w:r>
      <w:r>
        <w:rPr>
          <w:rFonts w:hint="default" w:ascii="Times New Roman" w:hAnsi="Times New Roman" w:cs="Times New Roman"/>
          <w:color w:val="auto"/>
        </w:rPr>
        <w:t>3.2.1 危险度法评价</w:t>
      </w:r>
      <w:bookmarkEnd w:id="120"/>
    </w:p>
    <w:p w14:paraId="120E4158">
      <w:pPr>
        <w:pStyle w:val="6"/>
        <w:bidi w:val="0"/>
        <w:rPr>
          <w:rFonts w:hint="default" w:ascii="Times New Roman" w:hAnsi="Times New Roman" w:cs="Times New Roman"/>
          <w:color w:val="auto"/>
        </w:rPr>
      </w:pPr>
      <w:r>
        <w:rPr>
          <w:rFonts w:hint="default" w:ascii="Times New Roman" w:hAnsi="Times New Roman" w:cs="Times New Roman"/>
          <w:color w:val="auto"/>
        </w:rPr>
        <w:t>根据本项目实际情况，对储运二部装卸车</w:t>
      </w:r>
      <w:r>
        <w:rPr>
          <w:rFonts w:hint="eastAsia" w:cs="Times New Roman"/>
          <w:color w:val="auto"/>
          <w:lang w:val="en-US" w:eastAsia="zh-CN"/>
        </w:rPr>
        <w:t>废气</w:t>
      </w:r>
      <w:r>
        <w:rPr>
          <w:rFonts w:hint="default" w:ascii="Times New Roman" w:hAnsi="Times New Roman" w:cs="Times New Roman"/>
          <w:color w:val="auto"/>
        </w:rPr>
        <w:t>治理项</w:t>
      </w:r>
      <w:r>
        <w:rPr>
          <w:rFonts w:hint="eastAsia" w:cs="Times New Roman"/>
          <w:color w:val="auto"/>
          <w:lang w:val="en-US" w:eastAsia="zh-CN"/>
        </w:rPr>
        <w:t>目</w:t>
      </w:r>
      <w:r>
        <w:rPr>
          <w:rFonts w:hint="default" w:ascii="Times New Roman" w:hAnsi="Times New Roman" w:cs="Times New Roman"/>
          <w:color w:val="auto"/>
        </w:rPr>
        <w:t>的</w:t>
      </w:r>
      <w:r>
        <w:rPr>
          <w:rFonts w:hint="eastAsia" w:cs="Times New Roman"/>
          <w:color w:val="auto"/>
          <w:lang w:val="en-US" w:eastAsia="zh-CN"/>
        </w:rPr>
        <w:t>低温吸收塔、</w:t>
      </w:r>
      <w:r>
        <w:rPr>
          <w:rFonts w:hint="default" w:ascii="Times New Roman" w:hAnsi="Times New Roman" w:cs="Times New Roman"/>
          <w:color w:val="auto"/>
        </w:rPr>
        <w:t>脱硫及总烃浓度均化罐和</w:t>
      </w:r>
      <w:r>
        <w:rPr>
          <w:rFonts w:hint="default" w:ascii="Times New Roman" w:hAnsi="Times New Roman" w:cs="Times New Roman"/>
          <w:color w:val="auto"/>
          <w:lang w:val="en-US" w:eastAsia="zh-CN"/>
        </w:rPr>
        <w:t>蓄热氧化</w:t>
      </w:r>
      <w:r>
        <w:rPr>
          <w:rFonts w:hint="default" w:ascii="Times New Roman" w:hAnsi="Times New Roman" w:cs="Times New Roman"/>
          <w:color w:val="auto"/>
        </w:rPr>
        <w:t>反应器进行危险度评价。</w:t>
      </w:r>
    </w:p>
    <w:p w14:paraId="227F9F0E">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eastAsia"/>
          <w:b/>
          <w:bCs/>
        </w:rPr>
      </w:pPr>
      <w:bookmarkStart w:id="121" w:name="_Hlk509951953"/>
      <w:r>
        <w:rPr>
          <w:rFonts w:hint="eastAsia"/>
          <w:b/>
          <w:bCs/>
        </w:rPr>
        <w:t>涉及企业机密，不予公开。</w:t>
      </w:r>
      <w:bookmarkStart w:id="131" w:name="_GoBack"/>
      <w:bookmarkEnd w:id="131"/>
    </w:p>
    <w:p w14:paraId="37D1517B">
      <w:pPr>
        <w:pStyle w:val="6"/>
        <w:keepNext w:val="0"/>
        <w:keepLines w:val="0"/>
        <w:pageBreakBefore w:val="0"/>
        <w:widowControl/>
        <w:kinsoku/>
        <w:wordWrap/>
        <w:overflowPunct/>
        <w:topLinePunct w:val="0"/>
        <w:autoSpaceDE/>
        <w:autoSpaceDN/>
        <w:bidi w:val="0"/>
        <w:adjustRightInd/>
        <w:snapToGrid w:val="0"/>
        <w:spacing w:before="157" w:beforeLines="50"/>
        <w:textAlignment w:val="auto"/>
        <w:rPr>
          <w:rFonts w:hint="default" w:ascii="Times New Roman" w:hAnsi="Times New Roman" w:cs="Times New Roman"/>
          <w:color w:val="auto"/>
        </w:rPr>
      </w:pPr>
      <w:r>
        <w:rPr>
          <w:rFonts w:hint="default" w:ascii="Times New Roman" w:hAnsi="Times New Roman" w:cs="Times New Roman"/>
          <w:color w:val="auto"/>
        </w:rPr>
        <w:t>危险度评价分级如下：</w:t>
      </w:r>
    </w:p>
    <w:p w14:paraId="450B4A22">
      <w:pPr>
        <w:pStyle w:val="6"/>
        <w:bidi w:val="0"/>
        <w:rPr>
          <w:rFonts w:hint="default" w:ascii="Times New Roman" w:hAnsi="Times New Roman" w:cs="Times New Roman"/>
          <w:color w:val="auto"/>
        </w:rPr>
      </w:pPr>
      <w:r>
        <w:rPr>
          <w:rFonts w:hint="default" w:ascii="Times New Roman" w:hAnsi="Times New Roman" w:cs="Times New Roman"/>
          <w:color w:val="auto"/>
        </w:rPr>
        <w:t>通过对储运二部装卸车</w:t>
      </w:r>
      <w:r>
        <w:rPr>
          <w:rFonts w:hint="eastAsia" w:cs="Times New Roman"/>
          <w:color w:val="auto"/>
          <w:lang w:val="en-US" w:eastAsia="zh-CN"/>
        </w:rPr>
        <w:t>废气</w:t>
      </w:r>
      <w:r>
        <w:rPr>
          <w:rFonts w:hint="default" w:ascii="Times New Roman" w:hAnsi="Times New Roman" w:cs="Times New Roman"/>
          <w:color w:val="auto"/>
        </w:rPr>
        <w:t>治理项目的装置、设施的危险度评价可知：</w:t>
      </w:r>
      <w:r>
        <w:rPr>
          <w:rFonts w:hint="eastAsia" w:cs="Times New Roman"/>
          <w:color w:val="auto"/>
          <w:lang w:val="en-US" w:eastAsia="zh-CN"/>
        </w:rPr>
        <w:t>低温吸收塔的危险度等级为</w:t>
      </w:r>
      <w:r>
        <w:rPr>
          <w:rFonts w:hint="default" w:ascii="Times New Roman" w:hAnsi="Times New Roman" w:cs="Times New Roman"/>
          <w:color w:val="auto"/>
          <w:lang w:val="en-US" w:eastAsia="zh-CN"/>
        </w:rPr>
        <w:t>Ⅲ</w:t>
      </w:r>
      <w:r>
        <w:rPr>
          <w:rFonts w:hint="eastAsia" w:ascii="Times New Roman" w:hAnsi="Times New Roman" w:cs="Times New Roman"/>
          <w:color w:val="auto"/>
          <w:lang w:val="en-US" w:eastAsia="zh-CN"/>
        </w:rPr>
        <w:t>级，属于</w:t>
      </w:r>
      <w:r>
        <w:rPr>
          <w:rFonts w:hint="default" w:ascii="Times New Roman" w:hAnsi="Times New Roman" w:cs="Times New Roman"/>
          <w:color w:val="auto"/>
        </w:rPr>
        <w:t>低度危险</w:t>
      </w:r>
      <w:r>
        <w:rPr>
          <w:rFonts w:hint="eastAsia" w:ascii="Times New Roman" w:hAnsi="Times New Roman" w:cs="Times New Roman"/>
          <w:color w:val="auto"/>
          <w:lang w:eastAsia="zh-CN"/>
        </w:rPr>
        <w:t>；</w:t>
      </w:r>
      <w:r>
        <w:rPr>
          <w:rFonts w:hint="default" w:ascii="Times New Roman" w:hAnsi="Times New Roman" w:cs="Times New Roman"/>
          <w:color w:val="auto"/>
        </w:rPr>
        <w:t>脱硫及总烃浓度均化罐的危险度等级为Ⅱ级，属于中度危险</w:t>
      </w:r>
      <w:r>
        <w:rPr>
          <w:rFonts w:hint="eastAsia" w:cs="Times New Roman"/>
          <w:color w:val="auto"/>
          <w:lang w:eastAsia="zh-CN"/>
        </w:rPr>
        <w:t>；</w:t>
      </w:r>
      <w:r>
        <w:rPr>
          <w:rFonts w:hint="default" w:ascii="Times New Roman" w:hAnsi="Times New Roman" w:cs="Times New Roman"/>
          <w:color w:val="auto"/>
        </w:rPr>
        <w:t>蓄热氧化反应器的危险度等级为Ⅰ级，属于高度危险。</w:t>
      </w:r>
    </w:p>
    <w:p w14:paraId="4827C4D3">
      <w:pPr>
        <w:pStyle w:val="6"/>
        <w:bidi w:val="0"/>
        <w:rPr>
          <w:rFonts w:hint="default" w:ascii="Times New Roman" w:hAnsi="Times New Roman" w:cs="Times New Roman"/>
          <w:color w:val="auto"/>
        </w:rPr>
      </w:pPr>
      <w:r>
        <w:rPr>
          <w:rFonts w:hint="default" w:ascii="Times New Roman" w:hAnsi="Times New Roman" w:cs="Times New Roman"/>
          <w:color w:val="auto"/>
        </w:rPr>
        <w:t>储运二部装卸车</w:t>
      </w:r>
      <w:r>
        <w:rPr>
          <w:rFonts w:hint="eastAsia" w:cs="Times New Roman"/>
          <w:color w:val="auto"/>
          <w:lang w:val="en-US" w:eastAsia="zh-CN"/>
        </w:rPr>
        <w:t>废气</w:t>
      </w:r>
      <w:r>
        <w:rPr>
          <w:rFonts w:hint="default" w:ascii="Times New Roman" w:hAnsi="Times New Roman" w:cs="Times New Roman"/>
          <w:color w:val="auto"/>
        </w:rPr>
        <w:t>治理项目的危险度等级为Ⅰ级，属于高度危险。</w:t>
      </w:r>
    </w:p>
    <w:bookmarkEnd w:id="121"/>
    <w:p w14:paraId="2DC090C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129AD69B">
      <w:pPr>
        <w:pStyle w:val="17"/>
        <w:numPr>
          <w:ilvl w:val="0"/>
          <w:numId w:val="0"/>
        </w:numPr>
        <w:bidi w:val="0"/>
        <w:ind w:leftChars="0"/>
        <w:rPr>
          <w:rFonts w:hint="default" w:ascii="Times New Roman" w:hAnsi="Times New Roman" w:cs="Times New Roman"/>
          <w:color w:val="auto"/>
          <w:lang w:val="en-US" w:eastAsia="zh-CN"/>
        </w:rPr>
      </w:pPr>
      <w:bookmarkStart w:id="122" w:name="_Toc22173"/>
      <w:r>
        <w:rPr>
          <w:rFonts w:hint="default" w:ascii="Times New Roman" w:hAnsi="Times New Roman" w:cs="Times New Roman"/>
          <w:color w:val="auto"/>
          <w:lang w:val="en-US" w:eastAsia="zh-CN"/>
        </w:rPr>
        <w:t>附件4 评价依据</w:t>
      </w:r>
      <w:bookmarkEnd w:id="122"/>
    </w:p>
    <w:p w14:paraId="0B6D6E65">
      <w:pPr>
        <w:pStyle w:val="3"/>
        <w:numPr>
          <w:ilvl w:val="1"/>
          <w:numId w:val="0"/>
        </w:numPr>
        <w:bidi w:val="0"/>
        <w:ind w:left="130" w:leftChars="0"/>
        <w:rPr>
          <w:rFonts w:hint="default" w:ascii="Times New Roman" w:hAnsi="Times New Roman" w:cs="Times New Roman"/>
          <w:color w:val="auto"/>
          <w:lang w:val="en-US" w:eastAsia="zh-CN"/>
        </w:rPr>
      </w:pPr>
      <w:bookmarkStart w:id="123" w:name="_Toc2634"/>
      <w:r>
        <w:rPr>
          <w:rFonts w:hint="default" w:ascii="Times New Roman" w:hAnsi="Times New Roman" w:cs="Times New Roman"/>
          <w:color w:val="auto"/>
          <w:lang w:val="en-US" w:eastAsia="zh-CN"/>
        </w:rPr>
        <w:t>F4.1</w:t>
      </w:r>
      <w:bookmarkStart w:id="124" w:name="_Toc426271868"/>
      <w:bookmarkStart w:id="125" w:name="_Toc430293780"/>
      <w:bookmarkStart w:id="126" w:name="_Toc426271785"/>
      <w:r>
        <w:rPr>
          <w:rFonts w:hint="default" w:ascii="Times New Roman" w:hAnsi="Times New Roman" w:cs="Times New Roman"/>
          <w:color w:val="auto"/>
          <w:lang w:val="en-US" w:eastAsia="zh-CN"/>
        </w:rPr>
        <w:t xml:space="preserve"> 法律、法规、规范</w:t>
      </w:r>
      <w:bookmarkEnd w:id="123"/>
    </w:p>
    <w:p w14:paraId="175F752B">
      <w:pPr>
        <w:widowControl w:val="0"/>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eastAsia" w:ascii="Times New Roman" w:hAnsi="Times New Roman" w:eastAsia="黑体" w:cs="Times New Roman"/>
          <w:color w:val="auto"/>
          <w:kern w:val="2"/>
          <w:sz w:val="28"/>
          <w:szCs w:val="28"/>
          <w:lang w:val="en-US" w:eastAsia="zh-CN" w:bidi="ar-SA"/>
        </w:rPr>
        <w:t>F4</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w:t>
      </w:r>
      <w:r>
        <w:rPr>
          <w:rFonts w:hint="default" w:ascii="Times New Roman" w:hAnsi="Times New Roman" w:eastAsia="黑体" w:cs="Times New Roman"/>
          <w:color w:val="auto"/>
          <w:kern w:val="2"/>
          <w:sz w:val="28"/>
          <w:szCs w:val="28"/>
          <w:lang w:val="en-US" w:eastAsia="zh-CN" w:bidi="ar-SA"/>
        </w:rPr>
        <w:t xml:space="preserve">.1 </w:t>
      </w:r>
      <w:r>
        <w:rPr>
          <w:rFonts w:hint="eastAsia" w:ascii="Times New Roman" w:hAnsi="Times New Roman" w:eastAsia="黑体" w:cs="Times New Roman"/>
          <w:color w:val="auto"/>
          <w:kern w:val="2"/>
          <w:sz w:val="28"/>
          <w:szCs w:val="28"/>
          <w:lang w:val="en-US" w:eastAsia="zh-CN" w:bidi="ar-SA"/>
        </w:rPr>
        <w:t>法律</w:t>
      </w:r>
    </w:p>
    <w:p w14:paraId="0975AE50">
      <w:pPr>
        <w:numPr>
          <w:ilvl w:val="0"/>
          <w:numId w:val="11"/>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《中华人民共和国安全生产法》（中华人民共和国主席令[2002]第70号发布，中华人民共和国主席令[2009]第18号修正，中华人民共和国主席令[2014]第13号修正，中华人民共和国主席令[2021]第88号修正）</w:t>
      </w:r>
    </w:p>
    <w:p w14:paraId="0ADBBBF8">
      <w:pPr>
        <w:numPr>
          <w:ilvl w:val="0"/>
          <w:numId w:val="11"/>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《中华人民共和国劳动法》（中华人民共和国主席令[1994]第二十八号公布，中华人民共和国主席令[2009]第18号修正，中华人民共和国主席令[2018]第24号修正）</w:t>
      </w:r>
    </w:p>
    <w:p w14:paraId="4C7F019D">
      <w:pPr>
        <w:numPr>
          <w:ilvl w:val="0"/>
          <w:numId w:val="11"/>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《中华人民共和国消防法》（中华人民共和国主席令[1988]第4号发布，中华人民共和国主席令[2008]第6号修订，中华人民共和国主席令[2019]第29号修正，中华人民共和国主席令[2021]第81号修正）</w:t>
      </w:r>
    </w:p>
    <w:p w14:paraId="7DC422EF">
      <w:pPr>
        <w:numPr>
          <w:ilvl w:val="0"/>
          <w:numId w:val="11"/>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《中华人民共和国突发事故应对法》（中华人民共和国主席令[2007]第69号）</w:t>
      </w:r>
    </w:p>
    <w:p w14:paraId="78AA6546">
      <w:pPr>
        <w:numPr>
          <w:ilvl w:val="0"/>
          <w:numId w:val="11"/>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《中华人民共和国特种设备安全法》（中华人民共和国第十二届全国人民代表大会常务委员会第三次会议于2013年6月29日通过，自2014年1月1日起施行。主席令[2013]第4号）</w:t>
      </w:r>
    </w:p>
    <w:p w14:paraId="30A95890">
      <w:pPr>
        <w:numPr>
          <w:ilvl w:val="0"/>
          <w:numId w:val="11"/>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《中华人民共和国职业病防治法》（中华人民共和国主席令[2001]第60号发布，中华人民共和国主席令[2011]第52号修正，中华人民共和国主席令[2018]第24号被第四次修正）</w:t>
      </w:r>
    </w:p>
    <w:p w14:paraId="536C12A2">
      <w:pPr>
        <w:numPr>
          <w:ilvl w:val="0"/>
          <w:numId w:val="11"/>
        </w:numPr>
        <w:adjustRightInd w:val="0"/>
        <w:snapToGrid w:val="0"/>
        <w:spacing w:line="360" w:lineRule="auto"/>
        <w:ind w:left="0" w:firstLine="560" w:firstLineChars="200"/>
        <w:jc w:val="both"/>
        <w:rPr>
          <w:rFonts w:hint="default" w:ascii="Times New Roman" w:hAnsi="Times New Roman" w:cs="Times New Roman"/>
          <w:color w:val="auto"/>
        </w:rPr>
      </w:pPr>
      <w:r>
        <w:rPr>
          <w:rFonts w:hint="default" w:ascii="Times New Roman" w:hAnsi="Times New Roman" w:cs="Times New Roman"/>
          <w:color w:val="auto"/>
        </w:rPr>
        <w:t>《中华人民共和国防震减灾法》（第八届全国人民代表大会常务委员会第二十九次会议于1997年12月29日通过，2008年12月27日第十一届全国人民代表大会常务委员会第六次会议修订。主席令[2008]第7号）</w:t>
      </w:r>
    </w:p>
    <w:p w14:paraId="1CE55E3F">
      <w:pPr>
        <w:rPr>
          <w:rFonts w:hint="eastAsia" w:ascii="Times New Roman" w:hAnsi="Times New Roman" w:eastAsia="黑体" w:cs="Times New Roman"/>
          <w:color w:val="auto"/>
          <w:kern w:val="2"/>
          <w:sz w:val="28"/>
          <w:szCs w:val="28"/>
          <w:lang w:val="en-US" w:eastAsia="zh-CN" w:bidi="ar-SA"/>
        </w:rPr>
      </w:pPr>
      <w:r>
        <w:rPr>
          <w:rFonts w:hint="eastAsia" w:ascii="Times New Roman" w:hAnsi="Times New Roman" w:eastAsia="黑体" w:cs="Times New Roman"/>
          <w:color w:val="auto"/>
          <w:kern w:val="2"/>
          <w:sz w:val="28"/>
          <w:szCs w:val="28"/>
          <w:lang w:val="en-US" w:eastAsia="zh-CN" w:bidi="ar-SA"/>
        </w:rPr>
        <w:br w:type="page"/>
      </w:r>
    </w:p>
    <w:p w14:paraId="5AA81B7B">
      <w:pPr>
        <w:widowControl w:val="0"/>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eastAsia" w:ascii="Times New Roman" w:hAnsi="Times New Roman" w:eastAsia="黑体" w:cs="Times New Roman"/>
          <w:color w:val="auto"/>
          <w:kern w:val="2"/>
          <w:sz w:val="28"/>
          <w:szCs w:val="28"/>
          <w:lang w:val="en-US" w:eastAsia="zh-CN" w:bidi="ar-SA"/>
        </w:rPr>
        <w:t>F4</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2</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行政法规</w:t>
      </w:r>
    </w:p>
    <w:p w14:paraId="4DDEF371">
      <w:pPr>
        <w:numPr>
          <w:ilvl w:val="0"/>
          <w:numId w:val="12"/>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《生产安全事故应急条例》（中华人民共和国国务院令第708号）</w:t>
      </w:r>
    </w:p>
    <w:p w14:paraId="708751AD">
      <w:pPr>
        <w:numPr>
          <w:ilvl w:val="0"/>
          <w:numId w:val="12"/>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《气象灾害防御条例》（中华人民共和国国务院令第570号发布，中华人民共和国国务院令第687号修订）</w:t>
      </w:r>
    </w:p>
    <w:p w14:paraId="0F432B41">
      <w:pPr>
        <w:numPr>
          <w:ilvl w:val="0"/>
          <w:numId w:val="12"/>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《生产安全事故报告和调查处理条例》（中华人民共和国国务院令第493号）</w:t>
      </w:r>
    </w:p>
    <w:p w14:paraId="28B39561">
      <w:pPr>
        <w:numPr>
          <w:ilvl w:val="0"/>
          <w:numId w:val="12"/>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《危险化学品安全管理条例》（国务院令第344号，经国务院令第591号，国务院令第645号修订）</w:t>
      </w:r>
    </w:p>
    <w:p w14:paraId="745DD936">
      <w:pPr>
        <w:widowControl w:val="0"/>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eastAsia" w:ascii="Times New Roman" w:hAnsi="Times New Roman" w:eastAsia="黑体" w:cs="Times New Roman"/>
          <w:color w:val="auto"/>
          <w:kern w:val="2"/>
          <w:sz w:val="28"/>
          <w:szCs w:val="28"/>
          <w:lang w:val="en-US" w:eastAsia="zh-CN" w:bidi="ar-SA"/>
        </w:rPr>
        <w:t>F4</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3</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部门规章</w:t>
      </w:r>
    </w:p>
    <w:p w14:paraId="64FDF3A0">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《建设项目安全设施</w:t>
      </w:r>
      <w:r>
        <w:rPr>
          <w:rFonts w:hint="default" w:ascii="Times New Roman" w:hAnsi="Times New Roman" w:cs="Times New Roman"/>
          <w:color w:val="auto"/>
          <w:kern w:val="0"/>
          <w:sz w:val="28"/>
          <w:szCs w:val="28"/>
          <w:lang w:eastAsia="zh-CN"/>
        </w:rPr>
        <w:t>“</w:t>
      </w:r>
      <w:r>
        <w:rPr>
          <w:rFonts w:hint="default" w:ascii="Times New Roman" w:hAnsi="Times New Roman" w:eastAsia="宋体" w:cs="Times New Roman"/>
          <w:color w:val="auto"/>
          <w:kern w:val="0"/>
          <w:sz w:val="28"/>
          <w:szCs w:val="28"/>
        </w:rPr>
        <w:t>三同时</w:t>
      </w:r>
      <w:r>
        <w:rPr>
          <w:rFonts w:hint="default" w:ascii="Times New Roman" w:hAnsi="Times New Roman" w:cs="Times New Roman"/>
          <w:color w:val="auto"/>
          <w:kern w:val="0"/>
          <w:sz w:val="28"/>
          <w:szCs w:val="28"/>
          <w:lang w:eastAsia="zh-CN"/>
        </w:rPr>
        <w:t>“</w:t>
      </w:r>
      <w:r>
        <w:rPr>
          <w:rFonts w:hint="default" w:ascii="Times New Roman" w:hAnsi="Times New Roman" w:eastAsia="宋体" w:cs="Times New Roman"/>
          <w:color w:val="auto"/>
          <w:kern w:val="0"/>
          <w:sz w:val="28"/>
          <w:szCs w:val="28"/>
        </w:rPr>
        <w:t>监督管理办法》（</w:t>
      </w:r>
      <w:r>
        <w:rPr>
          <w:rFonts w:hint="default" w:ascii="Times New Roman" w:hAnsi="Times New Roman" w:eastAsia="宋体" w:cs="Times New Roman"/>
          <w:color w:val="auto"/>
          <w:sz w:val="28"/>
          <w:szCs w:val="28"/>
        </w:rPr>
        <w:t>国家安全生产监督管理总局令</w:t>
      </w:r>
      <w:r>
        <w:rPr>
          <w:rFonts w:hint="default" w:ascii="Times New Roman" w:hAnsi="Times New Roman" w:eastAsia="宋体" w:cs="Times New Roman"/>
          <w:iCs/>
          <w:color w:val="auto"/>
          <w:kern w:val="0"/>
          <w:sz w:val="28"/>
          <w:szCs w:val="28"/>
        </w:rPr>
        <w:t>第</w:t>
      </w:r>
      <w:r>
        <w:rPr>
          <w:rFonts w:hint="default" w:ascii="Times New Roman" w:hAnsi="Times New Roman" w:eastAsia="宋体" w:cs="Times New Roman"/>
          <w:color w:val="auto"/>
          <w:sz w:val="28"/>
          <w:szCs w:val="28"/>
        </w:rPr>
        <w:t>36</w:t>
      </w:r>
      <w:r>
        <w:rPr>
          <w:rFonts w:hint="default" w:ascii="Times New Roman" w:hAnsi="Times New Roman" w:eastAsia="宋体" w:cs="Times New Roman"/>
          <w:color w:val="auto"/>
          <w:kern w:val="0"/>
          <w:sz w:val="28"/>
          <w:szCs w:val="28"/>
        </w:rPr>
        <w:t>号，总局令</w:t>
      </w:r>
      <w:r>
        <w:rPr>
          <w:rFonts w:hint="default" w:ascii="Times New Roman" w:hAnsi="Times New Roman" w:eastAsia="宋体" w:cs="Times New Roman"/>
          <w:color w:val="auto"/>
          <w:sz w:val="28"/>
          <w:szCs w:val="28"/>
        </w:rPr>
        <w:t>77</w:t>
      </w:r>
      <w:r>
        <w:rPr>
          <w:rFonts w:hint="default" w:ascii="Times New Roman" w:hAnsi="Times New Roman" w:eastAsia="宋体" w:cs="Times New Roman"/>
          <w:color w:val="auto"/>
          <w:kern w:val="0"/>
          <w:sz w:val="28"/>
          <w:szCs w:val="28"/>
        </w:rPr>
        <w:t>号</w:t>
      </w:r>
      <w:r>
        <w:rPr>
          <w:rFonts w:hint="eastAsia" w:ascii="Times New Roman" w:hAnsi="Times New Roman" w:cs="Times New Roman"/>
          <w:color w:val="auto"/>
          <w:kern w:val="0"/>
          <w:sz w:val="28"/>
          <w:szCs w:val="28"/>
          <w:lang w:val="en-US" w:eastAsia="zh-CN"/>
        </w:rPr>
        <w:t>修正</w:t>
      </w:r>
      <w:r>
        <w:rPr>
          <w:rFonts w:hint="default" w:ascii="Times New Roman" w:hAnsi="Times New Roman" w:eastAsia="宋体" w:cs="Times New Roman"/>
          <w:color w:val="auto"/>
          <w:kern w:val="0"/>
          <w:sz w:val="28"/>
          <w:szCs w:val="28"/>
        </w:rPr>
        <w:t>）</w:t>
      </w:r>
    </w:p>
    <w:p w14:paraId="0911B8C8">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sz w:val="28"/>
          <w:szCs w:val="28"/>
        </w:rPr>
        <w:t>《生产经营单位安全培训规定》（国家安全生产监督管理总局令第3号，国家安全监督管理总局令第63号修正，国家安全生产监督管理总局令第80号修正）</w:t>
      </w:r>
    </w:p>
    <w:p w14:paraId="5AEB7382">
      <w:pPr>
        <w:numPr>
          <w:ilvl w:val="0"/>
          <w:numId w:val="13"/>
        </w:numPr>
        <w:adjustRightInd w:val="0"/>
        <w:snapToGrid w:val="0"/>
        <w:spacing w:line="360" w:lineRule="auto"/>
        <w:ind w:left="0" w:firstLine="584"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pacing w:val="6"/>
          <w:sz w:val="28"/>
          <w:szCs w:val="28"/>
        </w:rPr>
        <w:t>《特种作业人员安全技术培训考核管理规定》（国家安全生产监督管理总局令[</w:t>
      </w:r>
      <w:r>
        <w:rPr>
          <w:rFonts w:hint="default" w:ascii="Times New Roman" w:hAnsi="Times New Roman" w:eastAsia="宋体" w:cs="Times New Roman"/>
          <w:color w:val="auto"/>
          <w:sz w:val="28"/>
          <w:szCs w:val="28"/>
        </w:rPr>
        <w:t>2010</w:t>
      </w:r>
      <w:r>
        <w:rPr>
          <w:rFonts w:hint="default" w:ascii="Times New Roman" w:hAnsi="Times New Roman" w:eastAsia="宋体" w:cs="Times New Roman"/>
          <w:color w:val="auto"/>
          <w:spacing w:val="6"/>
          <w:sz w:val="28"/>
          <w:szCs w:val="28"/>
        </w:rPr>
        <w:t>]第</w:t>
      </w:r>
      <w:r>
        <w:rPr>
          <w:rFonts w:hint="default" w:ascii="Times New Roman" w:hAnsi="Times New Roman" w:eastAsia="宋体" w:cs="Times New Roman"/>
          <w:color w:val="auto"/>
          <w:sz w:val="28"/>
          <w:szCs w:val="28"/>
        </w:rPr>
        <w:t>30</w:t>
      </w:r>
      <w:r>
        <w:rPr>
          <w:rFonts w:hint="default" w:ascii="Times New Roman" w:hAnsi="Times New Roman" w:eastAsia="宋体" w:cs="Times New Roman"/>
          <w:color w:val="auto"/>
          <w:spacing w:val="6"/>
          <w:sz w:val="28"/>
          <w:szCs w:val="28"/>
        </w:rPr>
        <w:t>号，</w:t>
      </w:r>
      <w:r>
        <w:rPr>
          <w:rFonts w:hint="default" w:ascii="Times New Roman" w:hAnsi="Times New Roman" w:eastAsia="宋体" w:cs="Times New Roman"/>
          <w:color w:val="auto"/>
          <w:sz w:val="28"/>
          <w:szCs w:val="28"/>
        </w:rPr>
        <w:t>国家安全生产监督管理总局令第63号修正，国家安全生产监督管理总局令第80号修正</w:t>
      </w:r>
      <w:r>
        <w:rPr>
          <w:rFonts w:hint="default" w:ascii="Times New Roman" w:hAnsi="Times New Roman" w:eastAsia="宋体" w:cs="Times New Roman"/>
          <w:color w:val="auto"/>
          <w:spacing w:val="6"/>
          <w:sz w:val="28"/>
          <w:szCs w:val="28"/>
        </w:rPr>
        <w:t>）</w:t>
      </w:r>
    </w:p>
    <w:p w14:paraId="32509838">
      <w:pPr>
        <w:numPr>
          <w:ilvl w:val="0"/>
          <w:numId w:val="13"/>
        </w:numPr>
        <w:adjustRightInd w:val="0"/>
        <w:snapToGrid w:val="0"/>
        <w:spacing w:line="360" w:lineRule="auto"/>
        <w:ind w:left="0" w:firstLine="584" w:firstLineChars="200"/>
        <w:jc w:val="both"/>
        <w:rPr>
          <w:rFonts w:hint="default" w:ascii="Times New Roman" w:hAnsi="Times New Roman" w:eastAsia="宋体" w:cs="Times New Roman"/>
          <w:color w:val="auto"/>
          <w:spacing w:val="6"/>
          <w:sz w:val="28"/>
          <w:szCs w:val="28"/>
        </w:rPr>
      </w:pPr>
      <w:r>
        <w:rPr>
          <w:rFonts w:hint="default" w:ascii="Times New Roman" w:hAnsi="Times New Roman" w:eastAsia="宋体" w:cs="Times New Roman"/>
          <w:color w:val="auto"/>
          <w:spacing w:val="6"/>
          <w:sz w:val="28"/>
          <w:szCs w:val="28"/>
        </w:rPr>
        <w:t>《生产安全事故应急预案管理办法》（国家安全生产监督管理总局令第</w:t>
      </w:r>
      <w:r>
        <w:rPr>
          <w:rFonts w:hint="default" w:ascii="Times New Roman" w:hAnsi="Times New Roman" w:eastAsia="宋体" w:cs="Times New Roman"/>
          <w:color w:val="auto"/>
          <w:sz w:val="28"/>
          <w:szCs w:val="28"/>
        </w:rPr>
        <w:t>88</w:t>
      </w:r>
      <w:r>
        <w:rPr>
          <w:rFonts w:hint="default" w:ascii="Times New Roman" w:hAnsi="Times New Roman" w:eastAsia="宋体" w:cs="Times New Roman"/>
          <w:color w:val="auto"/>
          <w:spacing w:val="6"/>
          <w:sz w:val="28"/>
          <w:szCs w:val="28"/>
        </w:rPr>
        <w:t>号，根据</w:t>
      </w:r>
      <w:r>
        <w:rPr>
          <w:rFonts w:hint="default" w:ascii="Times New Roman" w:hAnsi="Times New Roman" w:eastAsia="宋体" w:cs="Times New Roman"/>
          <w:color w:val="auto"/>
          <w:sz w:val="28"/>
          <w:szCs w:val="28"/>
        </w:rPr>
        <w:t>2019</w:t>
      </w:r>
      <w:r>
        <w:rPr>
          <w:rFonts w:hint="default" w:ascii="Times New Roman" w:hAnsi="Times New Roman" w:eastAsia="宋体" w:cs="Times New Roman"/>
          <w:color w:val="auto"/>
          <w:spacing w:val="6"/>
          <w:sz w:val="28"/>
          <w:szCs w:val="28"/>
        </w:rPr>
        <w:t>年</w:t>
      </w:r>
      <w:r>
        <w:rPr>
          <w:rFonts w:hint="default" w:ascii="Times New Roman" w:hAnsi="Times New Roman" w:eastAsia="宋体" w:cs="Times New Roman"/>
          <w:color w:val="auto"/>
          <w:sz w:val="28"/>
          <w:szCs w:val="28"/>
        </w:rPr>
        <w:t>7</w:t>
      </w:r>
      <w:r>
        <w:rPr>
          <w:rFonts w:hint="default" w:ascii="Times New Roman" w:hAnsi="Times New Roman" w:eastAsia="宋体" w:cs="Times New Roman"/>
          <w:color w:val="auto"/>
          <w:spacing w:val="6"/>
          <w:sz w:val="28"/>
          <w:szCs w:val="28"/>
        </w:rPr>
        <w:t>月</w:t>
      </w:r>
      <w:r>
        <w:rPr>
          <w:rFonts w:hint="default" w:ascii="Times New Roman" w:hAnsi="Times New Roman" w:eastAsia="宋体" w:cs="Times New Roman"/>
          <w:color w:val="auto"/>
          <w:sz w:val="28"/>
          <w:szCs w:val="28"/>
        </w:rPr>
        <w:t>11</w:t>
      </w:r>
      <w:r>
        <w:rPr>
          <w:rFonts w:hint="default" w:ascii="Times New Roman" w:hAnsi="Times New Roman" w:eastAsia="宋体" w:cs="Times New Roman"/>
          <w:color w:val="auto"/>
          <w:spacing w:val="6"/>
          <w:sz w:val="28"/>
          <w:szCs w:val="28"/>
        </w:rPr>
        <w:t>日应急管理部令第</w:t>
      </w:r>
      <w:r>
        <w:rPr>
          <w:rFonts w:hint="default" w:ascii="Times New Roman" w:hAnsi="Times New Roman" w:eastAsia="宋体" w:cs="Times New Roman"/>
          <w:color w:val="auto"/>
          <w:sz w:val="28"/>
          <w:szCs w:val="28"/>
        </w:rPr>
        <w:t>2</w:t>
      </w:r>
      <w:r>
        <w:rPr>
          <w:rFonts w:hint="default" w:ascii="Times New Roman" w:hAnsi="Times New Roman" w:eastAsia="宋体" w:cs="Times New Roman"/>
          <w:color w:val="auto"/>
          <w:spacing w:val="6"/>
          <w:sz w:val="28"/>
          <w:szCs w:val="28"/>
        </w:rPr>
        <w:t>号修</w:t>
      </w:r>
      <w:r>
        <w:rPr>
          <w:rFonts w:hint="eastAsia" w:ascii="Times New Roman" w:hAnsi="Times New Roman" w:cs="Times New Roman"/>
          <w:color w:val="auto"/>
          <w:spacing w:val="6"/>
          <w:sz w:val="28"/>
          <w:szCs w:val="28"/>
          <w:lang w:val="en-US" w:eastAsia="zh-CN"/>
        </w:rPr>
        <w:t>正</w:t>
      </w:r>
      <w:r>
        <w:rPr>
          <w:rFonts w:hint="default" w:ascii="Times New Roman" w:hAnsi="Times New Roman" w:eastAsia="宋体" w:cs="Times New Roman"/>
          <w:color w:val="auto"/>
          <w:spacing w:val="6"/>
          <w:sz w:val="28"/>
          <w:szCs w:val="28"/>
        </w:rPr>
        <w:t>）</w:t>
      </w:r>
    </w:p>
    <w:p w14:paraId="2D475147">
      <w:pPr>
        <w:numPr>
          <w:ilvl w:val="0"/>
          <w:numId w:val="13"/>
        </w:numPr>
        <w:adjustRightInd w:val="0"/>
        <w:snapToGrid w:val="0"/>
        <w:spacing w:line="360" w:lineRule="auto"/>
        <w:ind w:left="0" w:firstLine="584" w:firstLineChars="200"/>
        <w:jc w:val="both"/>
        <w:rPr>
          <w:rFonts w:hint="default" w:ascii="Times New Roman" w:hAnsi="Times New Roman" w:eastAsia="宋体" w:cs="Times New Roman"/>
          <w:color w:val="auto"/>
          <w:spacing w:val="6"/>
          <w:sz w:val="28"/>
          <w:szCs w:val="28"/>
        </w:rPr>
      </w:pPr>
      <w:r>
        <w:rPr>
          <w:rFonts w:hint="default" w:ascii="Times New Roman" w:hAnsi="Times New Roman" w:eastAsia="宋体" w:cs="Times New Roman"/>
          <w:color w:val="auto"/>
          <w:spacing w:val="6"/>
          <w:sz w:val="28"/>
          <w:szCs w:val="28"/>
        </w:rPr>
        <w:t>《安全生产培训管理办法》（国家安全生产监督管理总局令第</w:t>
      </w:r>
      <w:r>
        <w:rPr>
          <w:rFonts w:hint="default" w:ascii="Times New Roman" w:hAnsi="Times New Roman" w:eastAsia="宋体" w:cs="Times New Roman"/>
          <w:color w:val="auto"/>
          <w:sz w:val="28"/>
          <w:szCs w:val="28"/>
        </w:rPr>
        <w:t>44</w:t>
      </w:r>
      <w:r>
        <w:rPr>
          <w:rFonts w:hint="default" w:ascii="Times New Roman" w:hAnsi="Times New Roman" w:eastAsia="宋体" w:cs="Times New Roman"/>
          <w:color w:val="auto"/>
          <w:spacing w:val="6"/>
          <w:sz w:val="28"/>
          <w:szCs w:val="28"/>
        </w:rPr>
        <w:t>号，国家安全生产监督管理总局令第</w:t>
      </w:r>
      <w:r>
        <w:rPr>
          <w:rFonts w:hint="default" w:ascii="Times New Roman" w:hAnsi="Times New Roman" w:eastAsia="宋体" w:cs="Times New Roman"/>
          <w:color w:val="auto"/>
          <w:sz w:val="28"/>
          <w:szCs w:val="28"/>
        </w:rPr>
        <w:t>63</w:t>
      </w:r>
      <w:r>
        <w:rPr>
          <w:rFonts w:hint="default" w:ascii="Times New Roman" w:hAnsi="Times New Roman" w:eastAsia="宋体" w:cs="Times New Roman"/>
          <w:color w:val="auto"/>
          <w:spacing w:val="6"/>
          <w:sz w:val="28"/>
          <w:szCs w:val="28"/>
        </w:rPr>
        <w:t>号修正，国家安全生产监督管理总局令第</w:t>
      </w:r>
      <w:r>
        <w:rPr>
          <w:rFonts w:hint="default" w:ascii="Times New Roman" w:hAnsi="Times New Roman" w:eastAsia="宋体" w:cs="Times New Roman"/>
          <w:color w:val="auto"/>
          <w:sz w:val="28"/>
          <w:szCs w:val="28"/>
        </w:rPr>
        <w:t>80</w:t>
      </w:r>
      <w:r>
        <w:rPr>
          <w:rFonts w:hint="default" w:ascii="Times New Roman" w:hAnsi="Times New Roman" w:eastAsia="宋体" w:cs="Times New Roman"/>
          <w:color w:val="auto"/>
          <w:spacing w:val="6"/>
          <w:sz w:val="28"/>
          <w:szCs w:val="28"/>
        </w:rPr>
        <w:t>号修正）</w:t>
      </w:r>
    </w:p>
    <w:p w14:paraId="785134A7">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《国家安全监管总局关于修改《＜生产安全事故报告和调查处理条例＞罚款处罚暂行规定》等四部规章的决定》（国家安全生产监督管理总局令[2015]第77号）</w:t>
      </w:r>
    </w:p>
    <w:p w14:paraId="5603E9BF">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《国家安全监管总局办公厅关于进一步加强生产经营单位一线从业人员应急培训的通知》（安监总厅应急[2014]46号）</w:t>
      </w:r>
    </w:p>
    <w:p w14:paraId="031F8711">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《国家安全监管总局关于印发企业安全生产责任体系五落实五到位规定的通知》（安监总办[2015]27号）</w:t>
      </w:r>
    </w:p>
    <w:p w14:paraId="3A437D56">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《企业安全生产费用提取和使用管理办法》（财资</w:t>
      </w:r>
      <w:r>
        <w:rPr>
          <w:rFonts w:hint="eastAsia"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2022</w:t>
      </w:r>
      <w:r>
        <w:rPr>
          <w:rFonts w:hint="eastAsia"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136号）</w:t>
      </w:r>
    </w:p>
    <w:p w14:paraId="0A9E67C5">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《危险化学品目录（2015年版）》（原国家安全生产监督管理局等十部门公告2015年第5号，应急管理部等十部委公告2022年第8号）</w:t>
      </w:r>
    </w:p>
    <w:p w14:paraId="562326C1">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《危险化学品建设项目安全评价细则（试行）》(安监总危化[2007]255号）</w:t>
      </w:r>
    </w:p>
    <w:p w14:paraId="6A1C0BA4">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《化工和危险化学品生产经营单位重大生产安全事故隐患判定标准（试行）》（安监总管三[2017]121号）</w:t>
      </w:r>
    </w:p>
    <w:p w14:paraId="723E77B4">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《产业结构调整指导目录（2024年本）》（国家发展改革委令第7号公布）</w:t>
      </w:r>
    </w:p>
    <w:p w14:paraId="41248414">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《国家安全监管总局关于印发〈淘汰落后安全技术装备目录（2015年第一批）〉的通知》（安监总科技[2015]75号）</w:t>
      </w:r>
    </w:p>
    <w:p w14:paraId="2DDB2719">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《国家安全监管总局关于印发〈淘汰落后安全技术工艺、设备目录（2016年）〉的通知》（安监总科技[2016]137号）</w:t>
      </w:r>
    </w:p>
    <w:p w14:paraId="284C2FD5">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《淘汰落后与推广先进安全技术装备目录（2017年）》（国家安监总局印发）</w:t>
      </w:r>
    </w:p>
    <w:p w14:paraId="3631FF27">
      <w:pPr>
        <w:numPr>
          <w:ilvl w:val="0"/>
          <w:numId w:val="13"/>
        </w:numPr>
        <w:adjustRightInd w:val="0"/>
        <w:snapToGrid w:val="0"/>
        <w:spacing w:line="360" w:lineRule="auto"/>
        <w:ind w:left="0" w:firstLine="56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《淘汰落后危险化学品安全生产工艺技术设备目录（第一批）》的通知（应急厅</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2020</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38号）</w:t>
      </w:r>
    </w:p>
    <w:p w14:paraId="504B0AAF">
      <w:pPr>
        <w:numPr>
          <w:ilvl w:val="0"/>
          <w:numId w:val="13"/>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highlight w:val="none"/>
        </w:rPr>
        <w:t>《淘汰落后危险化学品安全生产工艺技术设备目录（第二批）》（应急厅[202</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val="en-US" w:eastAsia="zh-CN"/>
        </w:rPr>
        <w:t>86</w:t>
      </w:r>
      <w:r>
        <w:rPr>
          <w:rFonts w:hint="eastAsia" w:ascii="Times New Roman" w:hAnsi="Times New Roman" w:cs="Times New Roman"/>
          <w:color w:val="auto"/>
          <w:highlight w:val="none"/>
        </w:rPr>
        <w:t>号）</w:t>
      </w:r>
    </w:p>
    <w:p w14:paraId="134C379B">
      <w:pPr>
        <w:widowControl w:val="0"/>
        <w:bidi w:val="0"/>
        <w:adjustRightInd w:val="0"/>
        <w:snapToGrid w:val="0"/>
        <w:spacing w:before="20" w:beforeLines="20" w:after="20" w:afterLines="20" w:line="360" w:lineRule="auto"/>
        <w:ind w:left="140" w:leftChars="50" w:firstLine="0" w:firstLineChars="0"/>
        <w:jc w:val="left"/>
        <w:outlineLvl w:val="2"/>
        <w:rPr>
          <w:rFonts w:hint="default" w:ascii="Times New Roman" w:hAnsi="Times New Roman" w:eastAsia="黑体" w:cs="Times New Roman"/>
          <w:color w:val="auto"/>
          <w:kern w:val="2"/>
          <w:sz w:val="28"/>
          <w:szCs w:val="28"/>
          <w:lang w:val="en-US" w:eastAsia="zh-CN" w:bidi="ar-SA"/>
        </w:rPr>
      </w:pPr>
      <w:r>
        <w:rPr>
          <w:rFonts w:hint="eastAsia" w:ascii="Times New Roman" w:hAnsi="Times New Roman" w:eastAsia="黑体" w:cs="Times New Roman"/>
          <w:color w:val="auto"/>
          <w:kern w:val="2"/>
          <w:sz w:val="28"/>
          <w:szCs w:val="28"/>
          <w:lang w:val="en-US" w:eastAsia="zh-CN" w:bidi="ar-SA"/>
        </w:rPr>
        <w:t>F4</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1</w:t>
      </w:r>
      <w:r>
        <w:rPr>
          <w:rFonts w:hint="default" w:ascii="Times New Roman" w:hAnsi="Times New Roman" w:eastAsia="黑体" w:cs="Times New Roman"/>
          <w:color w:val="auto"/>
          <w:kern w:val="2"/>
          <w:sz w:val="28"/>
          <w:szCs w:val="28"/>
          <w:lang w:val="en-US" w:eastAsia="zh-CN" w:bidi="ar-SA"/>
        </w:rPr>
        <w:t>.</w:t>
      </w:r>
      <w:r>
        <w:rPr>
          <w:rFonts w:hint="eastAsia" w:ascii="Times New Roman" w:hAnsi="Times New Roman" w:eastAsia="黑体" w:cs="Times New Roman"/>
          <w:color w:val="auto"/>
          <w:kern w:val="2"/>
          <w:sz w:val="28"/>
          <w:szCs w:val="28"/>
          <w:lang w:val="en-US" w:eastAsia="zh-CN" w:bidi="ar-SA"/>
        </w:rPr>
        <w:t>4</w:t>
      </w:r>
      <w:r>
        <w:rPr>
          <w:rFonts w:hint="default" w:ascii="Times New Roman" w:hAnsi="Times New Roman" w:eastAsia="黑体" w:cs="Times New Roman"/>
          <w:color w:val="auto"/>
          <w:kern w:val="2"/>
          <w:sz w:val="28"/>
          <w:szCs w:val="28"/>
          <w:lang w:val="en-US" w:eastAsia="zh-CN" w:bidi="ar-SA"/>
        </w:rPr>
        <w:t xml:space="preserve"> </w:t>
      </w:r>
      <w:r>
        <w:rPr>
          <w:rFonts w:hint="eastAsia" w:ascii="Times New Roman" w:hAnsi="Times New Roman" w:eastAsia="黑体" w:cs="Times New Roman"/>
          <w:color w:val="auto"/>
          <w:kern w:val="2"/>
          <w:sz w:val="28"/>
          <w:szCs w:val="28"/>
          <w:lang w:val="en-US" w:eastAsia="zh-CN" w:bidi="ar-SA"/>
        </w:rPr>
        <w:t>地方政府规章、有关规定和指导性文件</w:t>
      </w:r>
    </w:p>
    <w:p w14:paraId="50FD9104">
      <w:pPr>
        <w:numPr>
          <w:ilvl w:val="0"/>
          <w:numId w:val="14"/>
        </w:numPr>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《山东省安全生产条例》（2021年12月3日山东省第十三届人民代表大会常务委员会第三十二次会议修订）</w:t>
      </w:r>
    </w:p>
    <w:p w14:paraId="2BF9B46A">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《山东省生产经营单位安全生产主体责任规定》（山东省人民政府令第260号公布，第303号第一次修正，第311号修订第二次修正</w:t>
      </w:r>
      <w:r>
        <w:rPr>
          <w:rFonts w:hint="eastAsia" w:ascii="Times New Roman" w:hAnsi="Times New Roman" w:cs="Times New Roman"/>
          <w:color w:val="auto"/>
          <w:sz w:val="28"/>
          <w:szCs w:val="28"/>
          <w:highlight w:val="none"/>
          <w:lang w:eastAsia="zh-CN"/>
        </w:rPr>
        <w:t>，第357号</w:t>
      </w:r>
      <w:r>
        <w:rPr>
          <w:rFonts w:hint="eastAsia" w:ascii="Times New Roman" w:hAnsi="Times New Roman" w:cs="Times New Roman"/>
          <w:color w:val="auto"/>
          <w:sz w:val="28"/>
          <w:szCs w:val="28"/>
          <w:highlight w:val="none"/>
          <w:lang w:val="en-US" w:eastAsia="zh-CN"/>
        </w:rPr>
        <w:t>第三次修正</w:t>
      </w:r>
      <w:r>
        <w:rPr>
          <w:rFonts w:hint="default" w:ascii="Times New Roman" w:hAnsi="Times New Roman" w:eastAsia="宋体" w:cs="Times New Roman"/>
          <w:color w:val="auto"/>
          <w:sz w:val="28"/>
          <w:szCs w:val="28"/>
          <w:highlight w:val="none"/>
        </w:rPr>
        <w:t>）</w:t>
      </w:r>
    </w:p>
    <w:p w14:paraId="1AE93877">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《关于印发山东省生产经营单位全员安全生产责任清单的通知》（鲁安办发[2021]50号）</w:t>
      </w:r>
    </w:p>
    <w:p w14:paraId="3F487EB0">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《山东省人民政府办公厅关于印发山东省生产经营单位安全总监制度实施办法（试行）的通知》（鲁政办字[202</w:t>
      </w:r>
      <w:r>
        <w:rPr>
          <w:rFonts w:hint="eastAsia"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rPr>
        <w:t>]</w:t>
      </w:r>
      <w:r>
        <w:rPr>
          <w:rFonts w:hint="eastAsia" w:ascii="Times New Roman" w:hAnsi="Times New Roman" w:cs="Times New Roman"/>
          <w:color w:val="auto"/>
          <w:sz w:val="28"/>
          <w:szCs w:val="28"/>
          <w:lang w:val="en-US" w:eastAsia="zh-CN"/>
        </w:rPr>
        <w:t>116</w:t>
      </w:r>
      <w:r>
        <w:rPr>
          <w:rFonts w:hint="default" w:ascii="Times New Roman" w:hAnsi="Times New Roman" w:eastAsia="宋体" w:cs="Times New Roman"/>
          <w:color w:val="auto"/>
          <w:sz w:val="28"/>
          <w:szCs w:val="28"/>
        </w:rPr>
        <w:t>号）</w:t>
      </w:r>
    </w:p>
    <w:p w14:paraId="33D8F9FF">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《山东省安全生产风险管控办法》（省政府令第331号）</w:t>
      </w:r>
    </w:p>
    <w:p w14:paraId="0F0A719E">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《山东省人民政府安全生产委员会办公室 山东省生态环境厅 山东省应急管理厅 关于进一步加强化工企业环保设备设施安全风险管控工作的通知》（鲁安办字</w:t>
      </w:r>
      <w:r>
        <w:rPr>
          <w:rFonts w:hint="eastAsia" w:ascii="Times New Roman" w:hAnsi="Times New Roman" w:cs="Times New Roman"/>
          <w:color w:val="auto"/>
          <w:sz w:val="28"/>
          <w:szCs w:val="28"/>
          <w:lang w:val="en-US" w:eastAsia="zh-CN"/>
        </w:rPr>
        <w:t>[</w:t>
      </w:r>
      <w:r>
        <w:rPr>
          <w:rFonts w:hint="eastAsia" w:ascii="Times New Roman" w:hAnsi="Times New Roman" w:cs="Times New Roman"/>
          <w:color w:val="auto"/>
          <w:sz w:val="28"/>
          <w:szCs w:val="28"/>
          <w:lang w:eastAsia="zh-CN"/>
        </w:rPr>
        <w:t>2023</w:t>
      </w:r>
      <w:r>
        <w:rPr>
          <w:rFonts w:hint="eastAsia" w:ascii="Times New Roman" w:hAnsi="Times New Roman" w:cs="Times New Roman"/>
          <w:color w:val="auto"/>
          <w:sz w:val="28"/>
          <w:szCs w:val="28"/>
          <w:lang w:val="en-US" w:eastAsia="zh-CN"/>
        </w:rPr>
        <w:t>]</w:t>
      </w:r>
      <w:r>
        <w:rPr>
          <w:rFonts w:hint="eastAsia" w:ascii="Times New Roman" w:hAnsi="Times New Roman" w:cs="Times New Roman"/>
          <w:color w:val="auto"/>
          <w:sz w:val="28"/>
          <w:szCs w:val="28"/>
          <w:lang w:eastAsia="zh-CN"/>
        </w:rPr>
        <w:t>61号）</w:t>
      </w:r>
    </w:p>
    <w:p w14:paraId="42BD8EE2">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《山东省生产安全事故应急办法》（省政府令第341号）</w:t>
      </w:r>
    </w:p>
    <w:p w14:paraId="55C7B298">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《山东省生产安全事故报告和调查处理办法》（省政府令第236号，省政府令第342号</w:t>
      </w:r>
      <w:r>
        <w:rPr>
          <w:rFonts w:hint="eastAsia" w:ascii="Times New Roman" w:hAnsi="Times New Roman" w:cs="Times New Roman"/>
          <w:color w:val="auto"/>
          <w:sz w:val="28"/>
          <w:szCs w:val="28"/>
          <w:lang w:val="en-US" w:eastAsia="zh-CN"/>
        </w:rPr>
        <w:t>第一次</w:t>
      </w:r>
      <w:r>
        <w:rPr>
          <w:rFonts w:hint="default" w:ascii="Times New Roman" w:hAnsi="Times New Roman" w:eastAsia="宋体" w:cs="Times New Roman"/>
          <w:color w:val="auto"/>
          <w:sz w:val="28"/>
          <w:szCs w:val="28"/>
        </w:rPr>
        <w:t>修改</w:t>
      </w:r>
      <w:r>
        <w:rPr>
          <w:rFonts w:hint="eastAsia" w:ascii="Times New Roman" w:hAnsi="Times New Roman" w:cs="Times New Roman"/>
          <w:color w:val="auto"/>
          <w:sz w:val="28"/>
          <w:szCs w:val="28"/>
          <w:lang w:eastAsia="zh-CN"/>
        </w:rPr>
        <w:t>，省政府令第349号第二次修正</w:t>
      </w:r>
      <w:r>
        <w:rPr>
          <w:rFonts w:hint="default" w:ascii="Times New Roman" w:hAnsi="Times New Roman" w:eastAsia="宋体" w:cs="Times New Roman"/>
          <w:color w:val="auto"/>
          <w:sz w:val="28"/>
          <w:szCs w:val="28"/>
        </w:rPr>
        <w:t>）</w:t>
      </w:r>
    </w:p>
    <w:p w14:paraId="1C2E913F">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关于印发山东省安全生产培训考核管理规定</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试行</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的通知</w:t>
      </w:r>
      <w:r>
        <w:rPr>
          <w:rFonts w:hint="eastAsia" w:ascii="Times New Roman" w:hAnsi="Times New Roman" w:cs="Times New Roman"/>
          <w:color w:val="auto"/>
          <w:sz w:val="28"/>
          <w:szCs w:val="28"/>
          <w:lang w:eastAsia="zh-CN"/>
        </w:rPr>
        <w:t>》（鲁应急发</w:t>
      </w:r>
      <w:r>
        <w:rPr>
          <w:rFonts w:hint="eastAsia" w:ascii="Times New Roman" w:hAnsi="Times New Roman" w:cs="Times New Roman"/>
          <w:color w:val="auto"/>
          <w:sz w:val="28"/>
          <w:szCs w:val="28"/>
          <w:lang w:val="en-US" w:eastAsia="zh-CN"/>
        </w:rPr>
        <w:t>[</w:t>
      </w:r>
      <w:r>
        <w:rPr>
          <w:rFonts w:hint="eastAsia" w:ascii="Times New Roman" w:hAnsi="Times New Roman" w:cs="Times New Roman"/>
          <w:color w:val="auto"/>
          <w:sz w:val="28"/>
          <w:szCs w:val="28"/>
          <w:lang w:eastAsia="zh-CN"/>
        </w:rPr>
        <w:t>2023</w:t>
      </w:r>
      <w:r>
        <w:rPr>
          <w:rFonts w:hint="eastAsia" w:ascii="Times New Roman" w:hAnsi="Times New Roman" w:cs="Times New Roman"/>
          <w:color w:val="auto"/>
          <w:sz w:val="28"/>
          <w:szCs w:val="28"/>
          <w:lang w:val="en-US" w:eastAsia="zh-CN"/>
        </w:rPr>
        <w:t>]</w:t>
      </w:r>
      <w:r>
        <w:rPr>
          <w:rFonts w:hint="eastAsia" w:ascii="Times New Roman" w:hAnsi="Times New Roman" w:cs="Times New Roman"/>
          <w:color w:val="auto"/>
          <w:sz w:val="28"/>
          <w:szCs w:val="28"/>
          <w:lang w:eastAsia="zh-CN"/>
        </w:rPr>
        <w:t>6号）</w:t>
      </w:r>
    </w:p>
    <w:p w14:paraId="1E968D76">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《山东省应急管理厅关于印发全省化工和危险化学品、非煤矿山、工贸行业领域安全生产治本攻坚三年行动实施方案的通知》（鲁应急发</w:t>
      </w:r>
      <w:r>
        <w:rPr>
          <w:rFonts w:hint="default" w:ascii="Times New Roman" w:hAnsi="Times New Roman" w:eastAsia="宋体" w:cs="Times New Roman"/>
          <w:color w:val="auto"/>
          <w:sz w:val="28"/>
          <w:szCs w:val="28"/>
        </w:rPr>
        <w:t>[20</w:t>
      </w:r>
      <w:r>
        <w:rPr>
          <w:rFonts w:hint="eastAsia" w:ascii="Times New Roman" w:hAnsi="Times New Roman" w:cs="Times New Roman"/>
          <w:color w:val="auto"/>
          <w:sz w:val="28"/>
          <w:szCs w:val="28"/>
          <w:lang w:val="en-US" w:eastAsia="zh-CN"/>
        </w:rPr>
        <w:t>24</w:t>
      </w:r>
      <w:r>
        <w:rPr>
          <w:rFonts w:hint="default" w:ascii="Times New Roman" w:hAnsi="Times New Roman" w:eastAsia="宋体" w:cs="Times New Roman"/>
          <w:color w:val="auto"/>
          <w:sz w:val="28"/>
          <w:szCs w:val="28"/>
        </w:rPr>
        <w:t>]</w:t>
      </w:r>
      <w:r>
        <w:rPr>
          <w:rFonts w:hint="eastAsia" w:ascii="Times New Roman" w:hAnsi="Times New Roman" w:cs="Times New Roman"/>
          <w:color w:val="auto"/>
          <w:sz w:val="28"/>
          <w:szCs w:val="28"/>
          <w:lang w:eastAsia="zh-CN"/>
        </w:rPr>
        <w:t>6号）</w:t>
      </w:r>
    </w:p>
    <w:p w14:paraId="4B386E2E">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山东省人民政府安全生产委员会办公室山东省应急管理厅关于印发山东省生产安全事故应急预案管理办法的通知</w:t>
      </w:r>
      <w:r>
        <w:rPr>
          <w:rFonts w:hint="eastAsia" w:ascii="Times New Roman" w:hAnsi="Times New Roman" w:cs="Times New Roman"/>
          <w:color w:val="auto"/>
          <w:sz w:val="28"/>
          <w:szCs w:val="28"/>
          <w:lang w:eastAsia="zh-CN"/>
        </w:rPr>
        <w:t>》（鲁应急发</w:t>
      </w:r>
      <w:r>
        <w:rPr>
          <w:rFonts w:hint="eastAsia" w:ascii="Times New Roman" w:hAnsi="Times New Roman" w:cs="Times New Roman"/>
          <w:color w:val="auto"/>
          <w:sz w:val="28"/>
          <w:szCs w:val="28"/>
          <w:lang w:val="en-US" w:eastAsia="zh-CN"/>
        </w:rPr>
        <w:t>[</w:t>
      </w:r>
      <w:r>
        <w:rPr>
          <w:rFonts w:hint="eastAsia" w:ascii="Times New Roman" w:hAnsi="Times New Roman" w:cs="Times New Roman"/>
          <w:color w:val="auto"/>
          <w:sz w:val="28"/>
          <w:szCs w:val="28"/>
          <w:lang w:eastAsia="zh-CN"/>
        </w:rPr>
        <w:t>2023</w:t>
      </w:r>
      <w:r>
        <w:rPr>
          <w:rFonts w:hint="eastAsia" w:ascii="Times New Roman" w:hAnsi="Times New Roman" w:cs="Times New Roman"/>
          <w:color w:val="auto"/>
          <w:sz w:val="28"/>
          <w:szCs w:val="28"/>
          <w:lang w:val="en-US" w:eastAsia="zh-CN"/>
        </w:rPr>
        <w:t>]</w:t>
      </w:r>
      <w:r>
        <w:rPr>
          <w:rFonts w:hint="eastAsia" w:ascii="Times New Roman" w:hAnsi="Times New Roman" w:cs="Times New Roman"/>
          <w:color w:val="auto"/>
          <w:sz w:val="28"/>
          <w:szCs w:val="28"/>
          <w:lang w:eastAsia="zh-CN"/>
        </w:rPr>
        <w:t>5号）</w:t>
      </w:r>
    </w:p>
    <w:p w14:paraId="07AEAE5A">
      <w:pPr>
        <w:numPr>
          <w:ilvl w:val="0"/>
          <w:numId w:val="14"/>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《山东省生产安全事故隐患排查治理办法》（省政府令第347号）</w:t>
      </w:r>
    </w:p>
    <w:p w14:paraId="30CA8341">
      <w:pPr>
        <w:pStyle w:val="3"/>
        <w:numPr>
          <w:ilvl w:val="1"/>
          <w:numId w:val="0"/>
        </w:numPr>
        <w:bidi w:val="0"/>
        <w:rPr>
          <w:rFonts w:hint="default" w:ascii="Times New Roman" w:hAnsi="Times New Roman" w:cs="Times New Roman"/>
          <w:color w:val="auto"/>
          <w:lang w:val="en-US" w:eastAsia="zh-CN"/>
        </w:rPr>
      </w:pPr>
      <w:bookmarkStart w:id="127" w:name="_Toc31252"/>
      <w:r>
        <w:rPr>
          <w:rFonts w:hint="default" w:ascii="Times New Roman" w:hAnsi="Times New Roman" w:cs="Times New Roman"/>
          <w:color w:val="auto"/>
          <w:lang w:val="en-US" w:eastAsia="zh-CN"/>
        </w:rPr>
        <w:t>F3.2 国家标准、规范、规程</w:t>
      </w:r>
      <w:bookmarkEnd w:id="127"/>
    </w:p>
    <w:p w14:paraId="28CE04AE">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《工业企业总平面设计规范》（GB50187-2012）</w:t>
      </w:r>
    </w:p>
    <w:p w14:paraId="45B51CF5">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《石油化工企业设计防火标准（2018版））》（GB50160-2008）</w:t>
      </w:r>
    </w:p>
    <w:p w14:paraId="7B5811DD">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《建筑设计防火规范（2018年版）》（GB50016-2014）</w:t>
      </w:r>
    </w:p>
    <w:p w14:paraId="61C714D3">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《建筑灭火器配置设计规范》（GB50140-2005）</w:t>
      </w:r>
    </w:p>
    <w:p w14:paraId="7829725C">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《消防设施通用规范》（GB55036-2022）</w:t>
      </w:r>
    </w:p>
    <w:p w14:paraId="214D5662">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《建筑防火通用规范》（GB55037-2022）</w:t>
      </w:r>
    </w:p>
    <w:p w14:paraId="18620FF6">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《化工企业总图运输设计规范》（GB50489-2009）</w:t>
      </w:r>
    </w:p>
    <w:p w14:paraId="088967D7">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rPr>
        <w:t>《爆炸危险环境电力装置设计规范》（</w:t>
      </w:r>
      <w:r>
        <w:rPr>
          <w:rFonts w:hint="default" w:ascii="Times New Roman" w:hAnsi="Times New Roman" w:eastAsia="宋体" w:cs="Times New Roman"/>
          <w:color w:val="auto"/>
          <w:sz w:val="28"/>
          <w:szCs w:val="28"/>
        </w:rPr>
        <w:t>GB50058-2014</w:t>
      </w:r>
      <w:r>
        <w:rPr>
          <w:rFonts w:hint="default" w:ascii="Times New Roman" w:hAnsi="Times New Roman" w:eastAsia="宋体" w:cs="Times New Roman"/>
          <w:color w:val="auto"/>
          <w:sz w:val="28"/>
        </w:rPr>
        <w:t>）</w:t>
      </w:r>
    </w:p>
    <w:p w14:paraId="0BEB790C">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《建筑物防雷设计规范》（GB50057-2010）</w:t>
      </w:r>
    </w:p>
    <w:p w14:paraId="3762D831">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构筑物抗震设计规范</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GB50191-2012</w:t>
      </w:r>
      <w:r>
        <w:rPr>
          <w:rFonts w:hint="default" w:ascii="Times New Roman" w:hAnsi="Times New Roman" w:cs="Times New Roman"/>
          <w:color w:val="auto"/>
          <w:sz w:val="28"/>
          <w:szCs w:val="28"/>
          <w:lang w:eastAsia="zh-CN"/>
        </w:rPr>
        <w:t>）</w:t>
      </w:r>
    </w:p>
    <w:p w14:paraId="1751537F">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《建筑抗震设计规范（2016年版）》（GB50011-2010）</w:t>
      </w:r>
    </w:p>
    <w:p w14:paraId="089FADA4">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《建筑与市政工程抗震通用规范》（GB55002-2021）</w:t>
      </w:r>
    </w:p>
    <w:p w14:paraId="19DC2791">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《石油化工建</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构</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筑物抗震设防分类标准》（GB50453-2008）</w:t>
      </w:r>
    </w:p>
    <w:p w14:paraId="40C4BF3F">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《供配电系统设计规范》（GB50052-2009）</w:t>
      </w:r>
    </w:p>
    <w:p w14:paraId="191169C1">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《低压配电设计规范》（GB50054-2011）</w:t>
      </w:r>
    </w:p>
    <w:p w14:paraId="7930BAAE">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《职业性接触毒物危害程度分级》（GBZ</w:t>
      </w:r>
      <w:r>
        <w:rPr>
          <w:rFonts w:hint="default" w:ascii="Times New Roman" w:hAnsi="Times New Roman" w:cs="Times New Roman"/>
          <w:color w:val="auto"/>
        </w:rPr>
        <w:t>/T</w:t>
      </w:r>
      <w:r>
        <w:rPr>
          <w:rFonts w:hint="default" w:ascii="Times New Roman" w:hAnsi="Times New Roman" w:eastAsia="宋体" w:cs="Times New Roman"/>
          <w:color w:val="auto"/>
          <w:sz w:val="28"/>
          <w:szCs w:val="28"/>
        </w:rPr>
        <w:t>230-2010）（强改推：国卫通[2016]24号）</w:t>
      </w:r>
    </w:p>
    <w:p w14:paraId="243838D3">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《安全标志及其使用导则》（GB2894-2008）</w:t>
      </w:r>
    </w:p>
    <w:p w14:paraId="2A19B9C1">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《危险化学品重大危险源辨识》（GB18218-2018）</w:t>
      </w:r>
    </w:p>
    <w:p w14:paraId="22478A64">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《建筑照明设计标准》（GB50034-2013）</w:t>
      </w:r>
    </w:p>
    <w:p w14:paraId="502684D8">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《消防给水及消火栓系统技术规范》</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GB50974-2014</w:t>
      </w:r>
      <w:r>
        <w:rPr>
          <w:rFonts w:hint="default" w:ascii="Times New Roman" w:hAnsi="Times New Roman" w:cs="Times New Roman"/>
          <w:color w:val="auto"/>
          <w:sz w:val="28"/>
          <w:szCs w:val="28"/>
          <w:lang w:eastAsia="zh-CN"/>
        </w:rPr>
        <w:t>）</w:t>
      </w:r>
    </w:p>
    <w:p w14:paraId="648B6B6A">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《油气回收处理设施技术标准》（GB/T50759-2022）</w:t>
      </w:r>
    </w:p>
    <w:p w14:paraId="178F5095">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《油气回收系统防爆技术要求》（GB/T34661-2017）</w:t>
      </w:r>
    </w:p>
    <w:p w14:paraId="7D894AF2">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《油气回收装置通用技术条件》（GB/T35579-2017）</w:t>
      </w:r>
    </w:p>
    <w:p w14:paraId="6699099D">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《工业企业噪声控制设计规范》（GB/T50087-2013）</w:t>
      </w:r>
    </w:p>
    <w:p w14:paraId="432873C6">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《生产经营单位生产安全事故应急预案编制导则》（GB/T29639-2020）</w:t>
      </w:r>
    </w:p>
    <w:p w14:paraId="084D431D">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《生产过程安全卫生要求总则》（GB/T12801-2008）</w:t>
      </w:r>
    </w:p>
    <w:p w14:paraId="3B130945">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火灾自动报警系统设计规范</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GB50116-2013</w:t>
      </w:r>
      <w:r>
        <w:rPr>
          <w:rFonts w:hint="default" w:ascii="Times New Roman" w:hAnsi="Times New Roman" w:cs="Times New Roman"/>
          <w:color w:val="auto"/>
          <w:sz w:val="28"/>
          <w:szCs w:val="28"/>
          <w:lang w:eastAsia="zh-CN"/>
        </w:rPr>
        <w:t>）</w:t>
      </w:r>
    </w:p>
    <w:p w14:paraId="669FEB29">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《石油化工可燃气体和有毒气体检测报警设计标准》（GB/T50493-2019）</w:t>
      </w:r>
    </w:p>
    <w:p w14:paraId="008631DB">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eastAsia="zh-CN"/>
        </w:rPr>
        <w:t>《石油化工安全仪表系统设计规范》（GB/T50770-2013）</w:t>
      </w:r>
    </w:p>
    <w:p w14:paraId="417D9F61">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《生产过程危险和有害因素分类与代码》（GB/T13861-20</w:t>
      </w:r>
      <w:r>
        <w:rPr>
          <w:rFonts w:hint="default" w:ascii="Times New Roman" w:hAnsi="Times New Roman" w:eastAsia="宋体" w:cs="Times New Roman"/>
          <w:color w:val="auto"/>
          <w:sz w:val="28"/>
          <w:szCs w:val="28"/>
          <w:lang w:val="en-US" w:eastAsia="zh-CN"/>
        </w:rPr>
        <w:t>22</w:t>
      </w:r>
      <w:r>
        <w:rPr>
          <w:rFonts w:hint="default" w:ascii="Times New Roman" w:hAnsi="Times New Roman" w:eastAsia="宋体" w:cs="Times New Roman"/>
          <w:color w:val="auto"/>
          <w:sz w:val="28"/>
          <w:szCs w:val="28"/>
        </w:rPr>
        <w:t>）</w:t>
      </w:r>
    </w:p>
    <w:p w14:paraId="0EFA6E74">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《企业职工伤亡事故分类》（GB6441-1986）</w:t>
      </w:r>
    </w:p>
    <w:p w14:paraId="06F385EB">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《企业安全生产标准化基本规范》（GB/T33000-2016）</w:t>
      </w:r>
    </w:p>
    <w:p w14:paraId="207847AC">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《蓄热燃烧法工业有机废气治理工程技术规范》（HJ1093-2020）</w:t>
      </w:r>
    </w:p>
    <w:p w14:paraId="28278AA7">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eastAsia="zh-CN"/>
        </w:rPr>
        <w:t>《工业有机废气蓄热热力燃烧装置》（JB/T13734-2019）</w:t>
      </w:r>
    </w:p>
    <w:p w14:paraId="49FC2BB9">
      <w:pPr>
        <w:numPr>
          <w:ilvl w:val="0"/>
          <w:numId w:val="15"/>
        </w:numPr>
        <w:tabs>
          <w:tab w:val="left" w:pos="52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《安全评价通则》（AQ8001-2007）</w:t>
      </w:r>
    </w:p>
    <w:p w14:paraId="76A4159F">
      <w:pPr>
        <w:numPr>
          <w:ilvl w:val="0"/>
          <w:numId w:val="15"/>
        </w:numPr>
        <w:tabs>
          <w:tab w:val="left" w:pos="0"/>
          <w:tab w:val="left" w:pos="210"/>
          <w:tab w:val="clear" w:pos="31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《安全预评价导则》（AQ8002-2007）</w:t>
      </w:r>
    </w:p>
    <w:p w14:paraId="58A814A7">
      <w:pPr>
        <w:numPr>
          <w:ilvl w:val="0"/>
          <w:numId w:val="15"/>
        </w:numPr>
        <w:tabs>
          <w:tab w:val="left" w:pos="0"/>
          <w:tab w:val="left" w:pos="210"/>
          <w:tab w:val="clear" w:pos="31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《山东省劳动防护用品配备标准》（DB37/1922-2011）</w:t>
      </w:r>
    </w:p>
    <w:p w14:paraId="0C848F5A">
      <w:pPr>
        <w:numPr>
          <w:ilvl w:val="0"/>
          <w:numId w:val="15"/>
        </w:numPr>
        <w:tabs>
          <w:tab w:val="left" w:pos="0"/>
          <w:tab w:val="left" w:pos="210"/>
          <w:tab w:val="clear" w:pos="31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《工作场所有害因素职业接触限值 第1部分: 化学有害因素行业标准第1号修改单》（GBZ 2.1-2019/XG1-2022）</w:t>
      </w:r>
    </w:p>
    <w:p w14:paraId="1AE2586D">
      <w:pPr>
        <w:numPr>
          <w:ilvl w:val="0"/>
          <w:numId w:val="15"/>
        </w:numPr>
        <w:tabs>
          <w:tab w:val="left" w:pos="0"/>
          <w:tab w:val="left" w:pos="210"/>
          <w:tab w:val="clear" w:pos="31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《个体防护装备配备规范第2部分：石油、化工、天然气》（GB39800.2-2020）</w:t>
      </w:r>
    </w:p>
    <w:p w14:paraId="14F0C699">
      <w:pPr>
        <w:numPr>
          <w:ilvl w:val="0"/>
          <w:numId w:val="15"/>
        </w:numPr>
        <w:tabs>
          <w:tab w:val="left" w:pos="0"/>
          <w:tab w:val="left" w:pos="210"/>
          <w:tab w:val="clear" w:pos="31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《工业建筑防腐蚀设计标准》（GB/T50046-2018）</w:t>
      </w:r>
    </w:p>
    <w:p w14:paraId="35312C5D">
      <w:pPr>
        <w:numPr>
          <w:ilvl w:val="0"/>
          <w:numId w:val="15"/>
        </w:numPr>
        <w:tabs>
          <w:tab w:val="left" w:pos="0"/>
          <w:tab w:val="left" w:pos="210"/>
          <w:tab w:val="clear" w:pos="315"/>
        </w:tabs>
        <w:adjustRightInd w:val="0"/>
        <w:snapToGrid w:val="0"/>
        <w:spacing w:line="360" w:lineRule="auto"/>
        <w:ind w:left="0"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《化工企业安全卫生设计规范》（HG20571-2014）</w:t>
      </w:r>
    </w:p>
    <w:bookmarkEnd w:id="124"/>
    <w:bookmarkEnd w:id="125"/>
    <w:bookmarkEnd w:id="126"/>
    <w:p w14:paraId="50CDD221">
      <w:pPr>
        <w:pStyle w:val="3"/>
        <w:numPr>
          <w:ilvl w:val="1"/>
          <w:numId w:val="0"/>
        </w:numPr>
        <w:bidi w:val="0"/>
        <w:ind w:left="130" w:leftChars="0"/>
        <w:rPr>
          <w:rFonts w:hint="default" w:ascii="Times New Roman" w:hAnsi="Times New Roman" w:cs="Times New Roman"/>
          <w:color w:val="auto"/>
          <w:lang w:val="en-US" w:eastAsia="zh-CN"/>
        </w:rPr>
      </w:pPr>
      <w:bookmarkStart w:id="128" w:name="_Toc9010"/>
      <w:r>
        <w:rPr>
          <w:rFonts w:hint="default" w:ascii="Times New Roman" w:hAnsi="Times New Roman" w:cs="Times New Roman"/>
          <w:color w:val="auto"/>
          <w:lang w:val="en-US" w:eastAsia="zh-CN"/>
        </w:rPr>
        <w:t>F3.</w:t>
      </w:r>
      <w:bookmarkStart w:id="129" w:name="_Toc430293787"/>
      <w:r>
        <w:rPr>
          <w:rFonts w:hint="default" w:ascii="Times New Roman" w:hAnsi="Times New Roman" w:cs="Times New Roman"/>
          <w:color w:val="auto"/>
          <w:lang w:val="en-US" w:eastAsia="zh-CN"/>
        </w:rPr>
        <w:t>3 依据的其他有关文件资料</w:t>
      </w:r>
      <w:bookmarkEnd w:id="128"/>
    </w:p>
    <w:bookmarkEnd w:id="129"/>
    <w:p w14:paraId="181BC1E6">
      <w:pPr>
        <w:numPr>
          <w:ilvl w:val="0"/>
          <w:numId w:val="16"/>
        </w:numPr>
        <w:adjustRightInd w:val="0"/>
        <w:snapToGrid w:val="0"/>
        <w:spacing w:line="360" w:lineRule="auto"/>
        <w:ind w:left="0"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项目可行性研究报告</w:t>
      </w:r>
    </w:p>
    <w:p w14:paraId="339A81E2">
      <w:pPr>
        <w:numPr>
          <w:ilvl w:val="0"/>
          <w:numId w:val="16"/>
        </w:numPr>
        <w:adjustRightInd w:val="0"/>
        <w:snapToGrid w:val="0"/>
        <w:spacing w:line="360" w:lineRule="auto"/>
        <w:ind w:left="0"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项目有关的其他资料、文件</w:t>
      </w:r>
    </w:p>
    <w:p w14:paraId="7C82DED9">
      <w:pPr>
        <w:pStyle w:val="17"/>
        <w:numPr>
          <w:ilvl w:val="0"/>
          <w:numId w:val="0"/>
        </w:numPr>
        <w:bidi w:val="0"/>
        <w:ind w:leftChars="0"/>
        <w:rPr>
          <w:rFonts w:hint="default" w:ascii="Times New Roman" w:hAnsi="Times New Roman" w:cs="Times New Roman"/>
          <w:color w:val="auto"/>
          <w:lang w:val="en-US" w:eastAsia="zh-CN"/>
        </w:rPr>
      </w:pPr>
      <w:r>
        <w:rPr>
          <w:rFonts w:hint="default" w:ascii="Times New Roman" w:hAnsi="Times New Roman" w:eastAsia="黑体" w:cs="Times New Roman"/>
          <w:color w:val="auto"/>
          <w:kern w:val="2"/>
          <w:sz w:val="32"/>
          <w:szCs w:val="32"/>
          <w:shd w:val="clear" w:color="FFFFFF" w:fill="D9D9D9"/>
          <w:lang w:val="en-US" w:eastAsia="zh-CN" w:bidi="ar-SA"/>
        </w:rPr>
        <w:br w:type="page"/>
      </w:r>
      <w:bookmarkStart w:id="130" w:name="_Toc13206"/>
      <w:r>
        <w:rPr>
          <w:rFonts w:hint="default" w:ascii="Times New Roman" w:hAnsi="Times New Roman" w:cs="Times New Roman"/>
          <w:color w:val="auto"/>
          <w:lang w:val="en-US" w:eastAsia="zh-CN"/>
        </w:rPr>
        <w:t>附件5 报告附件目录</w:t>
      </w:r>
      <w:bookmarkEnd w:id="130"/>
    </w:p>
    <w:p w14:paraId="54C57C41">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cs="Times New Roman"/>
          <w:color w:val="auto"/>
          <w:lang w:val="en-US" w:eastAsia="zh-CN"/>
        </w:rPr>
        <w:t>营业执照复印件</w:t>
      </w:r>
    </w:p>
    <w:p w14:paraId="335CE8EE">
      <w:pPr>
        <w:pStyle w:val="6"/>
        <w:bidi w:val="0"/>
        <w:rPr>
          <w:rFonts w:hint="eastAsia" w:cs="Times New Roman"/>
          <w:color w:val="auto"/>
          <w:lang w:val="en-US" w:eastAsia="zh-CN"/>
        </w:rPr>
      </w:pPr>
      <w:r>
        <w:rPr>
          <w:rFonts w:hint="eastAsia" w:cs="Times New Roman"/>
          <w:color w:val="auto"/>
          <w:lang w:val="en-US" w:eastAsia="zh-CN"/>
        </w:rPr>
        <w:t>2.安全生产许可证复印件</w:t>
      </w:r>
    </w:p>
    <w:p w14:paraId="58B20B3D">
      <w:pPr>
        <w:pStyle w:val="6"/>
        <w:bidi w:val="0"/>
        <w:rPr>
          <w:rFonts w:hint="eastAsia" w:cs="Times New Roman"/>
          <w:color w:val="auto"/>
          <w:lang w:val="en-US" w:eastAsia="zh-CN"/>
        </w:rPr>
      </w:pPr>
      <w:r>
        <w:rPr>
          <w:rFonts w:hint="eastAsia" w:cs="Times New Roman"/>
          <w:color w:val="auto"/>
          <w:lang w:val="en-US" w:eastAsia="zh-CN"/>
        </w:rPr>
        <w:t>3.石油化工总厂土地证书复印件</w:t>
      </w:r>
    </w:p>
    <w:p w14:paraId="5A024689">
      <w:pPr>
        <w:pStyle w:val="6"/>
        <w:bidi w:val="0"/>
        <w:rPr>
          <w:rFonts w:hint="eastAsia" w:cs="Times New Roman"/>
          <w:color w:val="auto"/>
          <w:lang w:val="en-US" w:eastAsia="zh-CN"/>
        </w:rPr>
      </w:pPr>
      <w:r>
        <w:rPr>
          <w:rFonts w:hint="eastAsia" w:cs="Times New Roman"/>
          <w:color w:val="auto"/>
          <w:lang w:val="en-US" w:eastAsia="zh-CN"/>
        </w:rPr>
        <w:t>4.危险化学品登记证复印件</w:t>
      </w:r>
    </w:p>
    <w:p w14:paraId="726AEF77">
      <w:pPr>
        <w:pStyle w:val="6"/>
        <w:bidi w:val="0"/>
        <w:rPr>
          <w:rFonts w:hint="eastAsia" w:cs="Times New Roman"/>
          <w:color w:val="auto"/>
          <w:lang w:val="en-US" w:eastAsia="zh-CN"/>
        </w:rPr>
      </w:pPr>
      <w:r>
        <w:rPr>
          <w:rFonts w:hint="eastAsia" w:cs="Times New Roman"/>
          <w:color w:val="auto"/>
          <w:lang w:val="en-US" w:eastAsia="zh-CN"/>
        </w:rPr>
        <w:t>5.《关于石油化工总厂储运二部装卸车废气治理项目可行性研究报告的批复》复印件</w:t>
      </w:r>
    </w:p>
    <w:p w14:paraId="7A8D9362">
      <w:pPr>
        <w:pStyle w:val="6"/>
        <w:bidi w:val="0"/>
        <w:rPr>
          <w:rFonts w:hint="eastAsia" w:cs="Times New Roman"/>
          <w:color w:val="auto"/>
          <w:lang w:val="en-US" w:eastAsia="zh-CN"/>
        </w:rPr>
      </w:pPr>
      <w:r>
        <w:rPr>
          <w:rFonts w:hint="eastAsia" w:cs="Times New Roman"/>
          <w:color w:val="auto"/>
          <w:lang w:val="en-US" w:eastAsia="zh-CN"/>
        </w:rPr>
        <w:t>6.专家意见及报告修改说明</w:t>
      </w:r>
    </w:p>
    <w:p w14:paraId="4671036D">
      <w:pPr>
        <w:pStyle w:val="6"/>
        <w:bidi w:val="0"/>
        <w:rPr>
          <w:rFonts w:hint="eastAsia" w:cs="Times New Roman"/>
          <w:color w:val="auto"/>
          <w:lang w:val="en-US" w:eastAsia="zh-CN"/>
        </w:rPr>
      </w:pPr>
      <w:r>
        <w:rPr>
          <w:rFonts w:hint="eastAsia" w:cs="Times New Roman"/>
          <w:color w:val="auto"/>
          <w:lang w:val="en-US" w:eastAsia="zh-CN"/>
        </w:rPr>
        <w:t>7.建设项目地理位置图</w:t>
      </w:r>
    </w:p>
    <w:p w14:paraId="7647C0E4">
      <w:pPr>
        <w:pStyle w:val="6"/>
        <w:bidi w:val="0"/>
        <w:rPr>
          <w:rFonts w:hint="eastAsia" w:cs="Times New Roman"/>
          <w:color w:val="auto"/>
          <w:lang w:val="en-US" w:eastAsia="zh-CN"/>
        </w:rPr>
      </w:pPr>
      <w:r>
        <w:rPr>
          <w:rFonts w:hint="eastAsia" w:cs="Times New Roman"/>
          <w:color w:val="auto"/>
          <w:lang w:val="en-US" w:eastAsia="zh-CN"/>
        </w:rPr>
        <w:t>8.建设项目周边环境示意图</w:t>
      </w:r>
    </w:p>
    <w:p w14:paraId="65147F4A">
      <w:pPr>
        <w:pStyle w:val="6"/>
        <w:bidi w:val="0"/>
        <w:rPr>
          <w:rFonts w:hint="eastAsia" w:cs="Times New Roman"/>
          <w:color w:val="auto"/>
          <w:lang w:val="en-US" w:eastAsia="zh-CN"/>
        </w:rPr>
      </w:pPr>
      <w:r>
        <w:rPr>
          <w:rFonts w:hint="eastAsia" w:cs="Times New Roman"/>
          <w:color w:val="auto"/>
          <w:lang w:val="en-US" w:eastAsia="zh-CN"/>
        </w:rPr>
        <w:t>9.建设项目区域位置图</w:t>
      </w:r>
    </w:p>
    <w:p w14:paraId="54C9B82E">
      <w:pPr>
        <w:pStyle w:val="6"/>
        <w:bidi w:val="0"/>
        <w:rPr>
          <w:rFonts w:hint="default" w:cs="Times New Roman"/>
          <w:color w:val="auto"/>
          <w:lang w:val="en-US" w:eastAsia="zh-CN"/>
        </w:rPr>
      </w:pPr>
      <w:r>
        <w:rPr>
          <w:rFonts w:hint="eastAsia" w:cs="Times New Roman"/>
          <w:color w:val="auto"/>
          <w:lang w:val="en-US" w:eastAsia="zh-CN"/>
        </w:rPr>
        <w:t>10.建设项目油气收集原则流程图</w:t>
      </w:r>
    </w:p>
    <w:p w14:paraId="7E603EC6">
      <w:pPr>
        <w:pStyle w:val="6"/>
        <w:bidi w:val="0"/>
        <w:rPr>
          <w:rFonts w:hint="eastAsia" w:cs="Times New Roman"/>
          <w:color w:val="auto"/>
          <w:lang w:val="en-US" w:eastAsia="zh-CN"/>
        </w:rPr>
      </w:pPr>
      <w:r>
        <w:rPr>
          <w:rFonts w:hint="eastAsia" w:cs="Times New Roman"/>
          <w:color w:val="auto"/>
          <w:lang w:val="en-US" w:eastAsia="zh-CN"/>
        </w:rPr>
        <w:t>11.建设项目系统管网工艺管道及仪表流程图</w:t>
      </w:r>
    </w:p>
    <w:p w14:paraId="2F4040F3">
      <w:pPr>
        <w:pStyle w:val="6"/>
        <w:bidi w:val="0"/>
        <w:rPr>
          <w:rFonts w:hint="eastAsia" w:cs="Times New Roman"/>
          <w:color w:val="auto"/>
          <w:lang w:val="en-US" w:eastAsia="zh-CN"/>
        </w:rPr>
      </w:pPr>
      <w:r>
        <w:rPr>
          <w:rFonts w:hint="eastAsia" w:cs="Times New Roman"/>
          <w:color w:val="auto"/>
          <w:lang w:val="en-US" w:eastAsia="zh-CN"/>
        </w:rPr>
        <w:t>12.建设项目设备平面布置图</w:t>
      </w:r>
    </w:p>
    <w:p w14:paraId="75CBDF18">
      <w:pPr>
        <w:pStyle w:val="6"/>
        <w:bidi w:val="0"/>
        <w:rPr>
          <w:rFonts w:hint="eastAsia" w:cs="Times New Roman"/>
          <w:color w:val="auto"/>
          <w:lang w:val="en-US" w:eastAsia="zh-CN"/>
        </w:rPr>
      </w:pPr>
      <w:r>
        <w:rPr>
          <w:rFonts w:hint="eastAsia" w:cs="Times New Roman"/>
          <w:color w:val="auto"/>
          <w:lang w:val="en-US" w:eastAsia="zh-CN"/>
        </w:rPr>
        <w:t>13.低温柴油吸收单元流程图</w:t>
      </w:r>
    </w:p>
    <w:p w14:paraId="37ECFA5E">
      <w:pPr>
        <w:pStyle w:val="6"/>
        <w:bidi w:val="0"/>
        <w:rPr>
          <w:rFonts w:hint="default" w:cs="Times New Roman"/>
          <w:color w:val="auto"/>
          <w:lang w:val="en-US" w:eastAsia="zh-CN"/>
        </w:rPr>
      </w:pPr>
      <w:r>
        <w:rPr>
          <w:rFonts w:hint="eastAsia" w:cs="Times New Roman"/>
          <w:color w:val="auto"/>
          <w:lang w:val="en-US" w:eastAsia="zh-CN"/>
        </w:rPr>
        <w:t>14.冷却-除雾单元流程图</w:t>
      </w:r>
    </w:p>
    <w:p w14:paraId="7770945A">
      <w:pPr>
        <w:pStyle w:val="6"/>
        <w:bidi w:val="0"/>
        <w:rPr>
          <w:rFonts w:hint="eastAsia" w:cs="Times New Roman"/>
          <w:color w:val="auto"/>
          <w:lang w:val="en-US" w:eastAsia="zh-CN"/>
        </w:rPr>
      </w:pPr>
      <w:r>
        <w:rPr>
          <w:rFonts w:hint="eastAsia" w:cs="Times New Roman"/>
          <w:color w:val="auto"/>
          <w:lang w:val="en-US" w:eastAsia="zh-CN"/>
        </w:rPr>
        <w:t>15.脱硫及总烃浓度均化-蓄热氧化单元流程图</w:t>
      </w:r>
    </w:p>
    <w:p w14:paraId="4B3B47B4">
      <w:pPr>
        <w:keepNext w:val="0"/>
        <w:keepLines w:val="0"/>
        <w:pageBreakBefore w:val="0"/>
        <w:widowControl w:val="0"/>
        <w:numPr>
          <w:ilvl w:val="0"/>
          <w:numId w:val="0"/>
        </w:numPr>
        <w:kinsoku/>
        <w:wordWrap/>
        <w:overflowPunct/>
        <w:topLinePunct w:val="0"/>
        <w:autoSpaceDE/>
        <w:autoSpaceDN/>
        <w:bidi w:val="0"/>
        <w:adjustRightInd w:val="0"/>
        <w:snapToGrid w:val="0"/>
        <w:ind w:leftChars="0"/>
        <w:jc w:val="both"/>
        <w:textAlignment w:val="auto"/>
        <w:rPr>
          <w:rFonts w:hint="default"/>
          <w:color w:val="auto"/>
          <w:lang w:val="en-US" w:eastAsia="zh-CN"/>
        </w:rPr>
      </w:pPr>
    </w:p>
    <w:sectPr>
      <w:pgSz w:w="11906" w:h="16838"/>
      <w:pgMar w:top="1134" w:right="1134" w:bottom="1587" w:left="1417" w:header="720" w:footer="720" w:gutter="0"/>
      <w:pgBorders>
        <w:top w:val="none" w:sz="0" w:space="0"/>
        <w:left w:val="none" w:sz="0" w:space="0"/>
        <w:bottom w:val="none" w:sz="0" w:space="0"/>
        <w:right w:val="none" w:sz="0" w:space="0"/>
      </w:pgBorders>
      <w:lnNumType w:countBy="0" w:distance="36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书宋简体">
    <w:altName w:val="宋体"/>
    <w:panose1 w:val="02000000000000000000"/>
    <w:charset w:val="86"/>
    <w:family w:val="auto"/>
    <w:pitch w:val="default"/>
    <w:sig w:usb0="00000000" w:usb1="00000000" w:usb2="00000012"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F578D">
    <w:pPr>
      <w:widowControl w:val="0"/>
      <w:snapToGrid w:val="0"/>
      <w:jc w:val="left"/>
      <w:rPr>
        <w:rFonts w:ascii="Calibri" w:hAnsi="Calibri"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C1675">
    <w:pPr>
      <w:widowControl w:val="0"/>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PAGE   \* MERGEFORMAT</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zh-CN" w:eastAsia="zh-CN" w:bidi="ar-SA"/>
      </w:rPr>
      <w:t>50</w:t>
    </w:r>
    <w:r>
      <w:rPr>
        <w:rFonts w:ascii="Calibri" w:hAnsi="Calibri" w:eastAsia="宋体" w:cs="Times New Roman"/>
        <w:kern w:val="2"/>
        <w:sz w:val="18"/>
        <w:szCs w:val="18"/>
        <w:lang w:val="en-US" w:eastAsia="zh-CN" w:bidi="ar-S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57E80">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BE6D1">
    <w:pPr>
      <w:widowControl w:val="0"/>
      <w:pBdr>
        <w:bottom w:val="none" w:color="auto" w:sz="0" w:space="1"/>
      </w:pBdr>
      <w:snapToGrid w:val="0"/>
      <w:jc w:val="center"/>
      <w:rPr>
        <w:rFonts w:ascii="Times New Roman" w:hAnsi="Times New Roman" w:eastAsia="宋体" w:cs="Times New Roman"/>
        <w:kern w:val="0"/>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2E5E6">
    <w:pPr>
      <w:pStyle w:val="13"/>
      <w:rPr>
        <w:rFonts w:hint="eastAsia" w:eastAsia="宋体"/>
        <w:lang w:val="en-US" w:eastAsia="zh-CN"/>
      </w:rPr>
    </w:pPr>
    <w:r>
      <w:rPr>
        <w:rFonts w:hint="eastAsia"/>
      </w:rPr>
      <w:t>胜利油田分公司石油化工总厂</w:t>
    </w:r>
    <w:r>
      <w:rPr>
        <w:rFonts w:hint="eastAsia"/>
        <w:lang w:val="en-US" w:eastAsia="zh-CN"/>
      </w:rPr>
      <w:t>储运二部装卸车废气治理项目</w:t>
    </w:r>
    <w:r>
      <w:rPr>
        <w:rFonts w:hint="eastAsia"/>
        <w:lang w:eastAsia="zh-CN"/>
      </w:rPr>
      <w:t>安全</w:t>
    </w:r>
    <w:r>
      <w:rPr>
        <w:rFonts w:hint="eastAsia"/>
        <w:lang w:val="en-US" w:eastAsia="zh-CN"/>
      </w:rPr>
      <w:t>预评价</w:t>
    </w:r>
    <w:r>
      <w:rPr>
        <w:rFonts w:hint="eastAsia"/>
        <w:lang w:eastAsia="zh-CN"/>
      </w:rPr>
      <w:t>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DA388E"/>
    <w:multiLevelType w:val="singleLevel"/>
    <w:tmpl w:val="86DA388E"/>
    <w:lvl w:ilvl="0" w:tentative="0">
      <w:start w:val="1"/>
      <w:numFmt w:val="decimal"/>
      <w:suff w:val="nothing"/>
      <w:lvlText w:val="（%1）"/>
      <w:lvlJc w:val="left"/>
      <w:pPr>
        <w:ind w:left="420" w:hanging="420"/>
      </w:pPr>
      <w:rPr>
        <w:rFonts w:hint="default" w:ascii="Times New Roman" w:hAnsi="Times New Roman" w:cs="Times New Roman"/>
      </w:rPr>
    </w:lvl>
  </w:abstractNum>
  <w:abstractNum w:abstractNumId="1">
    <w:nsid w:val="A9943710"/>
    <w:multiLevelType w:val="singleLevel"/>
    <w:tmpl w:val="A9943710"/>
    <w:lvl w:ilvl="0" w:tentative="0">
      <w:start w:val="1"/>
      <w:numFmt w:val="decimal"/>
      <w:suff w:val="nothing"/>
      <w:lvlText w:val="（%1）"/>
      <w:lvlJc w:val="left"/>
      <w:pPr>
        <w:ind w:left="420" w:hanging="420"/>
      </w:pPr>
      <w:rPr>
        <w:rFonts w:hint="default" w:ascii="Times New Roman" w:hAnsi="Times New Roman" w:cs="Times New Roman"/>
      </w:rPr>
    </w:lvl>
  </w:abstractNum>
  <w:abstractNum w:abstractNumId="2">
    <w:nsid w:val="AD697243"/>
    <w:multiLevelType w:val="singleLevel"/>
    <w:tmpl w:val="AD697243"/>
    <w:lvl w:ilvl="0" w:tentative="0">
      <w:start w:val="1"/>
      <w:numFmt w:val="decimal"/>
      <w:suff w:val="nothing"/>
      <w:lvlText w:val="（%1）"/>
      <w:lvlJc w:val="left"/>
      <w:pPr>
        <w:ind w:left="0" w:leftChars="0" w:firstLine="0" w:firstLineChars="0"/>
      </w:pPr>
      <w:rPr>
        <w:rFonts w:hint="default"/>
      </w:rPr>
    </w:lvl>
  </w:abstractNum>
  <w:abstractNum w:abstractNumId="3">
    <w:nsid w:val="B4F76644"/>
    <w:multiLevelType w:val="singleLevel"/>
    <w:tmpl w:val="B4F76644"/>
    <w:lvl w:ilvl="0" w:tentative="0">
      <w:start w:val="1"/>
      <w:numFmt w:val="decimal"/>
      <w:suff w:val="nothing"/>
      <w:lvlText w:val="（%1）"/>
      <w:lvlJc w:val="left"/>
    </w:lvl>
  </w:abstractNum>
  <w:abstractNum w:abstractNumId="4">
    <w:nsid w:val="C24BAFC4"/>
    <w:multiLevelType w:val="multilevel"/>
    <w:tmpl w:val="C24BAFC4"/>
    <w:lvl w:ilvl="0" w:tentative="0">
      <w:start w:val="1"/>
      <w:numFmt w:val="decimal"/>
      <w:suff w:val="nothing"/>
      <w:lvlText w:val="（%1）"/>
      <w:lvlJc w:val="left"/>
      <w:pPr>
        <w:ind w:left="70"/>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5">
    <w:nsid w:val="CB0CC637"/>
    <w:multiLevelType w:val="singleLevel"/>
    <w:tmpl w:val="CB0CC637"/>
    <w:lvl w:ilvl="0" w:tentative="0">
      <w:start w:val="2"/>
      <w:numFmt w:val="decimal"/>
      <w:suff w:val="nothing"/>
      <w:lvlText w:val="（%1）"/>
      <w:lvlJc w:val="left"/>
    </w:lvl>
  </w:abstractNum>
  <w:abstractNum w:abstractNumId="6">
    <w:nsid w:val="E552E988"/>
    <w:multiLevelType w:val="singleLevel"/>
    <w:tmpl w:val="E552E988"/>
    <w:lvl w:ilvl="0" w:tentative="0">
      <w:start w:val="1"/>
      <w:numFmt w:val="decimal"/>
      <w:suff w:val="nothing"/>
      <w:lvlText w:val="（%1）"/>
      <w:lvlJc w:val="left"/>
      <w:pPr>
        <w:ind w:left="420" w:hanging="420"/>
      </w:pPr>
      <w:rPr>
        <w:rFonts w:hint="default"/>
      </w:rPr>
    </w:lvl>
  </w:abstractNum>
  <w:abstractNum w:abstractNumId="7">
    <w:nsid w:val="122E5232"/>
    <w:multiLevelType w:val="singleLevel"/>
    <w:tmpl w:val="122E5232"/>
    <w:lvl w:ilvl="0" w:tentative="0">
      <w:start w:val="1"/>
      <w:numFmt w:val="decimal"/>
      <w:suff w:val="nothing"/>
      <w:lvlText w:val="%1"/>
      <w:lvlJc w:val="left"/>
      <w:pPr>
        <w:ind w:left="0" w:leftChars="0" w:firstLine="0" w:firstLineChars="0"/>
      </w:pPr>
      <w:rPr>
        <w:rFonts w:hint="default"/>
      </w:rPr>
    </w:lvl>
  </w:abstractNum>
  <w:abstractNum w:abstractNumId="8">
    <w:nsid w:val="13887533"/>
    <w:multiLevelType w:val="multilevel"/>
    <w:tmpl w:val="13887533"/>
    <w:lvl w:ilvl="0" w:tentative="0">
      <w:start w:val="1"/>
      <w:numFmt w:val="decimal"/>
      <w:pStyle w:val="17"/>
      <w:suff w:val="space"/>
      <w:lvlText w:val="%1"/>
      <w:lvlJc w:val="left"/>
      <w:pPr>
        <w:ind w:left="425" w:hanging="425"/>
      </w:pPr>
      <w:rPr>
        <w:rFonts w:hint="eastAsia"/>
      </w:rPr>
    </w:lvl>
    <w:lvl w:ilvl="1" w:tentative="0">
      <w:start w:val="1"/>
      <w:numFmt w:val="decimal"/>
      <w:pStyle w:val="3"/>
      <w:suff w:val="space"/>
      <w:lvlText w:val="%1.%2"/>
      <w:lvlJc w:val="left"/>
      <w:pPr>
        <w:ind w:left="567" w:hanging="142"/>
      </w:p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
    <w:nsid w:val="2724540B"/>
    <w:multiLevelType w:val="multilevel"/>
    <w:tmpl w:val="2724540B"/>
    <w:lvl w:ilvl="0" w:tentative="0">
      <w:start w:val="1"/>
      <w:numFmt w:val="decimal"/>
      <w:suff w:val="nothing"/>
      <w:lvlText w:val="（%1）"/>
      <w:lvlJc w:val="left"/>
      <w:pPr>
        <w:ind w:left="284" w:firstLine="0"/>
      </w:pPr>
      <w:rPr>
        <w:rFonts w:hint="default"/>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1FB556"/>
    <w:multiLevelType w:val="singleLevel"/>
    <w:tmpl w:val="351FB556"/>
    <w:lvl w:ilvl="0" w:tentative="0">
      <w:start w:val="1"/>
      <w:numFmt w:val="decimal"/>
      <w:suff w:val="nothing"/>
      <w:lvlText w:val="（%1）"/>
      <w:lvlJc w:val="left"/>
      <w:pPr>
        <w:ind w:left="420"/>
      </w:pPr>
    </w:lvl>
  </w:abstractNum>
  <w:abstractNum w:abstractNumId="11">
    <w:nsid w:val="546F5C27"/>
    <w:multiLevelType w:val="multilevel"/>
    <w:tmpl w:val="546F5C27"/>
    <w:lvl w:ilvl="0" w:tentative="0">
      <w:start w:val="2"/>
      <w:numFmt w:val="decimal"/>
      <w:suff w:val="nothing"/>
      <w:lvlText w:val="%1）"/>
      <w:lvlJc w:val="left"/>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2">
    <w:nsid w:val="54832A3C"/>
    <w:multiLevelType w:val="singleLevel"/>
    <w:tmpl w:val="54832A3C"/>
    <w:lvl w:ilvl="0" w:tentative="0">
      <w:start w:val="1"/>
      <w:numFmt w:val="decimal"/>
      <w:suff w:val="nothing"/>
      <w:lvlText w:val="（%1）"/>
      <w:lvlJc w:val="left"/>
      <w:pPr>
        <w:ind w:left="420" w:hanging="420"/>
      </w:pPr>
      <w:rPr>
        <w:rFonts w:hint="default" w:ascii="Times New Roman" w:hAnsi="Times New Roman" w:cs="Times New Roman"/>
      </w:rPr>
    </w:lvl>
  </w:abstractNum>
  <w:abstractNum w:abstractNumId="13">
    <w:nsid w:val="5B6F4364"/>
    <w:multiLevelType w:val="singleLevel"/>
    <w:tmpl w:val="5B6F4364"/>
    <w:lvl w:ilvl="0" w:tentative="0">
      <w:start w:val="1"/>
      <w:numFmt w:val="decimal"/>
      <w:suff w:val="nothing"/>
      <w:lvlText w:val="（%1）"/>
      <w:lvlJc w:val="left"/>
      <w:pPr>
        <w:ind w:left="420" w:hanging="420"/>
      </w:pPr>
      <w:rPr>
        <w:rFonts w:hint="default" w:ascii="Times New Roman" w:hAnsi="Times New Roman" w:cs="Times New Roman"/>
      </w:rPr>
    </w:lvl>
  </w:abstractNum>
  <w:abstractNum w:abstractNumId="14">
    <w:nsid w:val="6283081C"/>
    <w:multiLevelType w:val="multilevel"/>
    <w:tmpl w:val="6283081C"/>
    <w:lvl w:ilvl="0" w:tentative="0">
      <w:start w:val="1"/>
      <w:numFmt w:val="decimal"/>
      <w:pStyle w:val="2"/>
      <w:lvlText w:val="4.%1"/>
      <w:lvlJc w:val="left"/>
      <w:pPr>
        <w:tabs>
          <w:tab w:val="left" w:pos="1239"/>
        </w:tabs>
        <w:ind w:left="1239" w:hanging="57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6D48B414"/>
    <w:multiLevelType w:val="singleLevel"/>
    <w:tmpl w:val="6D48B414"/>
    <w:lvl w:ilvl="0" w:tentative="0">
      <w:start w:val="1"/>
      <w:numFmt w:val="decimal"/>
      <w:suff w:val="nothing"/>
      <w:lvlText w:val="（%1）"/>
      <w:lvlJc w:val="left"/>
    </w:lvl>
  </w:abstractNum>
  <w:num w:numId="1">
    <w:abstractNumId w:val="14"/>
  </w:num>
  <w:num w:numId="2">
    <w:abstractNumId w:val="8"/>
  </w:num>
  <w:num w:numId="3">
    <w:abstractNumId w:val="3"/>
  </w:num>
  <w:num w:numId="4">
    <w:abstractNumId w:val="5"/>
  </w:num>
  <w:num w:numId="5">
    <w:abstractNumId w:val="11"/>
  </w:num>
  <w:num w:numId="6">
    <w:abstractNumId w:val="7"/>
  </w:num>
  <w:num w:numId="7">
    <w:abstractNumId w:val="4"/>
  </w:num>
  <w:num w:numId="8">
    <w:abstractNumId w:val="10"/>
  </w:num>
  <w:num w:numId="9">
    <w:abstractNumId w:val="2"/>
  </w:num>
  <w:num w:numId="10">
    <w:abstractNumId w:val="15"/>
  </w:num>
  <w:num w:numId="11">
    <w:abstractNumId w:val="12"/>
  </w:num>
  <w:num w:numId="12">
    <w:abstractNumId w:val="13"/>
  </w:num>
  <w:num w:numId="13">
    <w:abstractNumId w:val="0"/>
  </w:num>
  <w:num w:numId="14">
    <w:abstractNumId w:val="1"/>
  </w:num>
  <w:num w:numId="15">
    <w:abstractNumId w:val="6"/>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28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lYjFmY2NiOWE4YjkwMWNlZGRhNDMwZTU0NTM4ZjYifQ=="/>
  </w:docVars>
  <w:rsids>
    <w:rsidRoot w:val="00172A27"/>
    <w:rsid w:val="007B55AF"/>
    <w:rsid w:val="022A232B"/>
    <w:rsid w:val="02B76BEC"/>
    <w:rsid w:val="0374413D"/>
    <w:rsid w:val="04784101"/>
    <w:rsid w:val="049309EC"/>
    <w:rsid w:val="04C17856"/>
    <w:rsid w:val="04D24595"/>
    <w:rsid w:val="04F05EFA"/>
    <w:rsid w:val="054C1410"/>
    <w:rsid w:val="06105371"/>
    <w:rsid w:val="06A906BD"/>
    <w:rsid w:val="06E7348A"/>
    <w:rsid w:val="07AF18F5"/>
    <w:rsid w:val="0815708A"/>
    <w:rsid w:val="08E737EF"/>
    <w:rsid w:val="092D1499"/>
    <w:rsid w:val="09B363BF"/>
    <w:rsid w:val="09CC2A15"/>
    <w:rsid w:val="0A633739"/>
    <w:rsid w:val="0A950284"/>
    <w:rsid w:val="0DEA1225"/>
    <w:rsid w:val="0E38015E"/>
    <w:rsid w:val="0E452ED0"/>
    <w:rsid w:val="0E561105"/>
    <w:rsid w:val="0FE10EE4"/>
    <w:rsid w:val="1051208F"/>
    <w:rsid w:val="10E365C2"/>
    <w:rsid w:val="11D72435"/>
    <w:rsid w:val="12206813"/>
    <w:rsid w:val="13A27AA1"/>
    <w:rsid w:val="13B0095F"/>
    <w:rsid w:val="153D5088"/>
    <w:rsid w:val="15574C1E"/>
    <w:rsid w:val="15CD4DBE"/>
    <w:rsid w:val="16594E66"/>
    <w:rsid w:val="16F844B6"/>
    <w:rsid w:val="173D3B14"/>
    <w:rsid w:val="176F1C1B"/>
    <w:rsid w:val="17BB6C7C"/>
    <w:rsid w:val="18A91D31"/>
    <w:rsid w:val="193D7CDD"/>
    <w:rsid w:val="195B7F79"/>
    <w:rsid w:val="1A5A425D"/>
    <w:rsid w:val="1B624C0F"/>
    <w:rsid w:val="1C0C01EF"/>
    <w:rsid w:val="1C4623F4"/>
    <w:rsid w:val="1CE360EA"/>
    <w:rsid w:val="1CFC0128"/>
    <w:rsid w:val="1EC877D8"/>
    <w:rsid w:val="203F5E39"/>
    <w:rsid w:val="20876C9B"/>
    <w:rsid w:val="21840F60"/>
    <w:rsid w:val="21BB23FB"/>
    <w:rsid w:val="2436762C"/>
    <w:rsid w:val="24933D05"/>
    <w:rsid w:val="26866B02"/>
    <w:rsid w:val="28884E7F"/>
    <w:rsid w:val="28FD64BF"/>
    <w:rsid w:val="29433D49"/>
    <w:rsid w:val="29BC7533"/>
    <w:rsid w:val="2A181F74"/>
    <w:rsid w:val="2A2B1CE2"/>
    <w:rsid w:val="2A9F4266"/>
    <w:rsid w:val="2B060EC5"/>
    <w:rsid w:val="2BB46D72"/>
    <w:rsid w:val="2C4C560C"/>
    <w:rsid w:val="2E3244C6"/>
    <w:rsid w:val="2F804D5E"/>
    <w:rsid w:val="2FFD57A9"/>
    <w:rsid w:val="3036731B"/>
    <w:rsid w:val="308F4C3A"/>
    <w:rsid w:val="315A61E9"/>
    <w:rsid w:val="31754C5B"/>
    <w:rsid w:val="321509FD"/>
    <w:rsid w:val="32986DCC"/>
    <w:rsid w:val="32AA1414"/>
    <w:rsid w:val="32E70AE5"/>
    <w:rsid w:val="33435579"/>
    <w:rsid w:val="33B642AC"/>
    <w:rsid w:val="33C96EAF"/>
    <w:rsid w:val="349B0019"/>
    <w:rsid w:val="353B096A"/>
    <w:rsid w:val="35986F1A"/>
    <w:rsid w:val="37713DB2"/>
    <w:rsid w:val="37C570F6"/>
    <w:rsid w:val="387F34A4"/>
    <w:rsid w:val="388D2F9A"/>
    <w:rsid w:val="38AC38A7"/>
    <w:rsid w:val="392F528B"/>
    <w:rsid w:val="396C3642"/>
    <w:rsid w:val="39EC1ABD"/>
    <w:rsid w:val="3A794482"/>
    <w:rsid w:val="3BE71177"/>
    <w:rsid w:val="3CB80DA3"/>
    <w:rsid w:val="3CBD3A9A"/>
    <w:rsid w:val="3D596C7C"/>
    <w:rsid w:val="3D805F87"/>
    <w:rsid w:val="3E9251D7"/>
    <w:rsid w:val="42193A83"/>
    <w:rsid w:val="43D91ECC"/>
    <w:rsid w:val="4428075B"/>
    <w:rsid w:val="453B681A"/>
    <w:rsid w:val="467C19F0"/>
    <w:rsid w:val="49565682"/>
    <w:rsid w:val="4995720F"/>
    <w:rsid w:val="4BF549BC"/>
    <w:rsid w:val="4C72033A"/>
    <w:rsid w:val="4DAB6453"/>
    <w:rsid w:val="4E0959AE"/>
    <w:rsid w:val="4E675DEA"/>
    <w:rsid w:val="512F1E2E"/>
    <w:rsid w:val="51BE41E6"/>
    <w:rsid w:val="5281754F"/>
    <w:rsid w:val="53452469"/>
    <w:rsid w:val="53564B21"/>
    <w:rsid w:val="55085C12"/>
    <w:rsid w:val="5585722C"/>
    <w:rsid w:val="56A26E72"/>
    <w:rsid w:val="56AE3245"/>
    <w:rsid w:val="57554AA8"/>
    <w:rsid w:val="57DE1CFD"/>
    <w:rsid w:val="58AE4744"/>
    <w:rsid w:val="58D64DCB"/>
    <w:rsid w:val="58FB2B35"/>
    <w:rsid w:val="59792926"/>
    <w:rsid w:val="59D16515"/>
    <w:rsid w:val="5AAF701A"/>
    <w:rsid w:val="5D423AD9"/>
    <w:rsid w:val="5D7D7A37"/>
    <w:rsid w:val="5DB40613"/>
    <w:rsid w:val="5DBE766E"/>
    <w:rsid w:val="5DE43A2A"/>
    <w:rsid w:val="5EAE6EA2"/>
    <w:rsid w:val="5F3F4774"/>
    <w:rsid w:val="5FAD697C"/>
    <w:rsid w:val="612868D5"/>
    <w:rsid w:val="612E29D1"/>
    <w:rsid w:val="61701CDA"/>
    <w:rsid w:val="622A4877"/>
    <w:rsid w:val="63CF256B"/>
    <w:rsid w:val="66F07C7E"/>
    <w:rsid w:val="68D25898"/>
    <w:rsid w:val="695D6686"/>
    <w:rsid w:val="69D574E2"/>
    <w:rsid w:val="6A6415A6"/>
    <w:rsid w:val="6AFB109E"/>
    <w:rsid w:val="6B0A17C1"/>
    <w:rsid w:val="6B8158B8"/>
    <w:rsid w:val="6BC9520A"/>
    <w:rsid w:val="6C77193D"/>
    <w:rsid w:val="6C9D2ADA"/>
    <w:rsid w:val="6C9D50CB"/>
    <w:rsid w:val="6DC3425D"/>
    <w:rsid w:val="6E000656"/>
    <w:rsid w:val="6E2503C7"/>
    <w:rsid w:val="6EBE06B8"/>
    <w:rsid w:val="6F1E3F13"/>
    <w:rsid w:val="6F327E52"/>
    <w:rsid w:val="6F420135"/>
    <w:rsid w:val="6F5F1413"/>
    <w:rsid w:val="70DE7B6B"/>
    <w:rsid w:val="71BE6624"/>
    <w:rsid w:val="72367CB1"/>
    <w:rsid w:val="72A177DF"/>
    <w:rsid w:val="72E43211"/>
    <w:rsid w:val="74AC320F"/>
    <w:rsid w:val="755D120E"/>
    <w:rsid w:val="759F5B15"/>
    <w:rsid w:val="75A34D55"/>
    <w:rsid w:val="769C707E"/>
    <w:rsid w:val="76BF091D"/>
    <w:rsid w:val="78403E09"/>
    <w:rsid w:val="78520C1D"/>
    <w:rsid w:val="78E20BC8"/>
    <w:rsid w:val="79850C77"/>
    <w:rsid w:val="7BDE7397"/>
    <w:rsid w:val="7D265A17"/>
    <w:rsid w:val="7D603E3C"/>
    <w:rsid w:val="7DED133E"/>
    <w:rsid w:val="7E395DA8"/>
    <w:rsid w:val="7F7D6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abs>
        <w:tab w:val="left" w:pos="315"/>
      </w:tabs>
      <w:spacing w:line="240" w:lineRule="auto"/>
      <w:ind w:firstLine="420" w:firstLineChars="200"/>
      <w:jc w:val="left"/>
    </w:pPr>
    <w:rPr>
      <w:rFonts w:ascii="Calibri" w:hAnsi="Calibri" w:eastAsia="宋体" w:cs="黑体"/>
      <w:kern w:val="2"/>
      <w:sz w:val="28"/>
      <w:szCs w:val="22"/>
      <w:lang w:val="en-US" w:eastAsia="zh-CN" w:bidi="ar-SA"/>
    </w:rPr>
  </w:style>
  <w:style w:type="paragraph" w:styleId="2">
    <w:name w:val="heading 1"/>
    <w:basedOn w:val="1"/>
    <w:next w:val="1"/>
    <w:autoRedefine/>
    <w:qFormat/>
    <w:uiPriority w:val="0"/>
    <w:pPr>
      <w:numPr>
        <w:ilvl w:val="0"/>
        <w:numId w:val="1"/>
      </w:numPr>
      <w:tabs>
        <w:tab w:val="left" w:pos="426"/>
      </w:tabs>
      <w:spacing w:before="50" w:beforeLines="50" w:after="50" w:afterLines="50"/>
      <w:ind w:firstLineChars="150"/>
      <w:jc w:val="center"/>
      <w:outlineLvl w:val="0"/>
    </w:pPr>
    <w:rPr>
      <w:rFonts w:ascii="Times New Roman" w:hAnsi="Times New Roman" w:eastAsia="新宋体" w:cs="Times New Roman"/>
      <w:sz w:val="32"/>
      <w:szCs w:val="32"/>
    </w:rPr>
  </w:style>
  <w:style w:type="paragraph" w:styleId="3">
    <w:name w:val="heading 2"/>
    <w:basedOn w:val="1"/>
    <w:next w:val="1"/>
    <w:link w:val="28"/>
    <w:autoRedefine/>
    <w:unhideWhenUsed/>
    <w:qFormat/>
    <w:uiPriority w:val="0"/>
    <w:pPr>
      <w:numPr>
        <w:ilvl w:val="1"/>
        <w:numId w:val="2"/>
      </w:numPr>
      <w:spacing w:before="50" w:beforeLines="50" w:after="50" w:afterLines="50"/>
      <w:ind w:left="130" w:firstLine="0" w:firstLineChars="0"/>
      <w:jc w:val="left"/>
      <w:outlineLvl w:val="1"/>
    </w:pPr>
    <w:rPr>
      <w:rFonts w:ascii="Times New Roman" w:hAnsi="Times New Roman" w:eastAsia="宋体" w:cs="Times New Roman"/>
      <w:b/>
      <w:sz w:val="30"/>
      <w:szCs w:val="32"/>
    </w:rPr>
  </w:style>
  <w:style w:type="paragraph" w:styleId="4">
    <w:name w:val="heading 3"/>
    <w:basedOn w:val="1"/>
    <w:next w:val="1"/>
    <w:link w:val="29"/>
    <w:autoRedefine/>
    <w:unhideWhenUsed/>
    <w:qFormat/>
    <w:uiPriority w:val="0"/>
    <w:pPr>
      <w:adjustRightInd w:val="0"/>
      <w:snapToGrid w:val="0"/>
      <w:spacing w:before="20" w:beforeLines="20" w:after="20" w:afterLines="20" w:line="360" w:lineRule="auto"/>
      <w:ind w:left="140" w:leftChars="50" w:firstLine="0" w:firstLineChars="0"/>
      <w:jc w:val="left"/>
      <w:outlineLvl w:val="2"/>
    </w:pPr>
    <w:rPr>
      <w:rFonts w:ascii="Times New Roman" w:hAnsi="Times New Roman" w:eastAsia="黑体" w:cs="Times New Roman"/>
      <w:szCs w:val="28"/>
    </w:rPr>
  </w:style>
  <w:style w:type="paragraph" w:styleId="5">
    <w:name w:val="heading 4"/>
    <w:basedOn w:val="6"/>
    <w:next w:val="6"/>
    <w:autoRedefine/>
    <w:unhideWhenUsed/>
    <w:qFormat/>
    <w:uiPriority w:val="0"/>
    <w:pPr>
      <w:keepNext/>
      <w:keepLines/>
      <w:tabs>
        <w:tab w:val="left" w:pos="315"/>
      </w:tabs>
      <w:spacing w:before="40" w:beforeAutospacing="0" w:after="40" w:afterLines="0" w:afterAutospacing="0" w:line="360" w:lineRule="auto"/>
      <w:ind w:left="280" w:leftChars="100" w:firstLine="0" w:firstLineChars="0"/>
      <w:outlineLvl w:val="3"/>
    </w:pPr>
    <w:rPr>
      <w:rFonts w:ascii="Times New Roman" w:hAnsi="Times New Roman" w:eastAsia="宋体"/>
      <w:b/>
    </w:rPr>
  </w:style>
  <w:style w:type="paragraph" w:styleId="7">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21">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customStyle="1" w:styleId="6">
    <w:name w:val="1正文lzx"/>
    <w:link w:val="34"/>
    <w:autoRedefine/>
    <w:qFormat/>
    <w:uiPriority w:val="0"/>
    <w:pPr>
      <w:tabs>
        <w:tab w:val="left" w:pos="315"/>
      </w:tabs>
      <w:snapToGrid w:val="0"/>
      <w:spacing w:line="360" w:lineRule="auto"/>
      <w:ind w:firstLine="420" w:firstLineChars="200"/>
      <w:jc w:val="left"/>
    </w:pPr>
    <w:rPr>
      <w:rFonts w:ascii="Times New Roman" w:hAnsi="Times New Roman" w:eastAsia="宋体" w:cstheme="minorBidi"/>
      <w:sz w:val="28"/>
      <w:lang w:val="zh-CN"/>
    </w:rPr>
  </w:style>
  <w:style w:type="paragraph" w:styleId="8">
    <w:name w:val="Normal Indent"/>
    <w:basedOn w:val="1"/>
    <w:autoRedefine/>
    <w:qFormat/>
    <w:uiPriority w:val="0"/>
    <w:pPr>
      <w:spacing w:line="240" w:lineRule="auto"/>
      <w:ind w:firstLine="420"/>
    </w:pPr>
    <w:rPr>
      <w:rFonts w:ascii="宋体" w:eastAsia="宋体"/>
      <w:sz w:val="21"/>
      <w:szCs w:val="20"/>
    </w:rPr>
  </w:style>
  <w:style w:type="paragraph" w:styleId="9">
    <w:name w:val="annotation text"/>
    <w:basedOn w:val="1"/>
    <w:autoRedefine/>
    <w:qFormat/>
    <w:uiPriority w:val="0"/>
    <w:pPr>
      <w:jc w:val="left"/>
    </w:pPr>
  </w:style>
  <w:style w:type="paragraph" w:styleId="10">
    <w:name w:val="Body Text"/>
    <w:basedOn w:val="1"/>
    <w:autoRedefine/>
    <w:unhideWhenUsed/>
    <w:qFormat/>
    <w:uiPriority w:val="0"/>
    <w:pPr>
      <w:spacing w:after="120"/>
    </w:pPr>
  </w:style>
  <w:style w:type="paragraph" w:styleId="11">
    <w:name w:val="Body Text Indent"/>
    <w:basedOn w:val="1"/>
    <w:next w:val="8"/>
    <w:autoRedefine/>
    <w:qFormat/>
    <w:uiPriority w:val="0"/>
    <w:pPr>
      <w:ind w:left="840" w:leftChars="350"/>
    </w:pPr>
  </w:style>
  <w:style w:type="paragraph" w:styleId="12">
    <w:name w:val="footer"/>
    <w:basedOn w:val="1"/>
    <w:autoRedefine/>
    <w:unhideWhenUsed/>
    <w:qFormat/>
    <w:uiPriority w:val="99"/>
    <w:pPr>
      <w:tabs>
        <w:tab w:val="center" w:pos="4153"/>
        <w:tab w:val="right" w:pos="8306"/>
        <w:tab w:val="clear" w:pos="315"/>
      </w:tabs>
      <w:snapToGrid w:val="0"/>
      <w:jc w:val="left"/>
    </w:pPr>
    <w:rPr>
      <w:rFonts w:cs="Times New Roman"/>
      <w:sz w:val="18"/>
      <w:szCs w:val="18"/>
    </w:rPr>
  </w:style>
  <w:style w:type="paragraph" w:styleId="13">
    <w:name w:val="header"/>
    <w:basedOn w:val="1"/>
    <w:autoRedefine/>
    <w:unhideWhenUsed/>
    <w:qFormat/>
    <w:uiPriority w:val="0"/>
    <w:pPr>
      <w:pBdr>
        <w:bottom w:val="single" w:color="auto" w:sz="6" w:space="1"/>
      </w:pBdr>
      <w:tabs>
        <w:tab w:val="center" w:pos="4153"/>
        <w:tab w:val="right" w:pos="8306"/>
        <w:tab w:val="clear" w:pos="315"/>
      </w:tabs>
      <w:snapToGrid w:val="0"/>
      <w:jc w:val="center"/>
    </w:pPr>
    <w:rPr>
      <w:rFonts w:ascii="Times New Roman" w:hAnsi="Times New Roman" w:cs="Times New Roman"/>
      <w:kern w:val="0"/>
      <w:sz w:val="18"/>
      <w:szCs w:val="18"/>
    </w:rPr>
  </w:style>
  <w:style w:type="paragraph" w:styleId="14">
    <w:name w:val="toc 1"/>
    <w:basedOn w:val="1"/>
    <w:next w:val="1"/>
    <w:autoRedefine/>
    <w:unhideWhenUsed/>
    <w:qFormat/>
    <w:uiPriority w:val="39"/>
    <w:pPr>
      <w:jc w:val="left"/>
    </w:pPr>
    <w:rPr>
      <w:rFonts w:ascii="Times New Roman" w:hAnsi="Times New Roman" w:eastAsia="楷体_GB2312"/>
      <w:b/>
      <w:bCs/>
      <w:caps/>
      <w:sz w:val="28"/>
      <w:szCs w:val="20"/>
    </w:rPr>
  </w:style>
  <w:style w:type="paragraph" w:styleId="15">
    <w:name w:val="toc 2"/>
    <w:basedOn w:val="1"/>
    <w:next w:val="1"/>
    <w:autoRedefine/>
    <w:unhideWhenUsed/>
    <w:qFormat/>
    <w:uiPriority w:val="39"/>
    <w:pPr>
      <w:ind w:left="210"/>
      <w:jc w:val="left"/>
    </w:pPr>
    <w:rPr>
      <w:rFonts w:ascii="Times New Roman" w:hAnsi="Times New Roman" w:eastAsia="楷体_GB2312"/>
      <w:smallCaps/>
      <w:sz w:val="24"/>
      <w:szCs w:val="20"/>
    </w:rPr>
  </w:style>
  <w:style w:type="paragraph" w:styleId="1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7">
    <w:name w:val="Title"/>
    <w:basedOn w:val="1"/>
    <w:next w:val="1"/>
    <w:autoRedefine/>
    <w:qFormat/>
    <w:uiPriority w:val="0"/>
    <w:pPr>
      <w:numPr>
        <w:ilvl w:val="0"/>
        <w:numId w:val="2"/>
      </w:numPr>
      <w:spacing w:before="120" w:beforeLines="0" w:beforeAutospacing="0" w:after="60" w:afterLines="0" w:afterAutospacing="0"/>
      <w:ind w:left="425" w:hanging="425" w:firstLineChars="0"/>
      <w:jc w:val="center"/>
      <w:outlineLvl w:val="0"/>
    </w:pPr>
    <w:rPr>
      <w:rFonts w:ascii="Arial" w:hAnsi="Arial" w:eastAsia="宋体"/>
      <w:b/>
      <w:sz w:val="32"/>
    </w:rPr>
  </w:style>
  <w:style w:type="paragraph" w:styleId="18">
    <w:name w:val="Body Text First Indent"/>
    <w:basedOn w:val="10"/>
    <w:autoRedefine/>
    <w:qFormat/>
    <w:uiPriority w:val="0"/>
    <w:pPr>
      <w:ind w:firstLine="420" w:firstLineChars="100"/>
    </w:pPr>
    <w:rPr>
      <w:rFonts w:ascii="Times New Roman" w:hAnsi="Times New Roman" w:cs="Times New Roman"/>
      <w:kern w:val="0"/>
      <w:sz w:val="20"/>
      <w:szCs w:val="20"/>
    </w:rPr>
  </w:style>
  <w:style w:type="paragraph" w:styleId="19">
    <w:name w:val="Body Text First Indent 2"/>
    <w:basedOn w:val="11"/>
    <w:next w:val="1"/>
    <w:autoRedefine/>
    <w:semiHidden/>
    <w:unhideWhenUsed/>
    <w:qFormat/>
    <w:uiPriority w:val="99"/>
    <w:pPr>
      <w:spacing w:after="120"/>
      <w:ind w:left="420" w:leftChars="200" w:firstLine="420" w:firstLineChars="200"/>
    </w:pPr>
  </w:style>
  <w:style w:type="character" w:styleId="22">
    <w:name w:val="Strong"/>
    <w:basedOn w:val="21"/>
    <w:autoRedefine/>
    <w:qFormat/>
    <w:uiPriority w:val="0"/>
    <w:rPr>
      <w:b/>
    </w:rPr>
  </w:style>
  <w:style w:type="character" w:styleId="23">
    <w:name w:val="Hyperlink"/>
    <w:basedOn w:val="21"/>
    <w:autoRedefine/>
    <w:qFormat/>
    <w:uiPriority w:val="0"/>
    <w:rPr>
      <w:color w:val="0000FF"/>
      <w:u w:val="single"/>
    </w:rPr>
  </w:style>
  <w:style w:type="paragraph" w:customStyle="1" w:styleId="24">
    <w:name w:val="样式 正文 首行缩进:  2 字符 SL CON + 首行缩进:  2 字符 + 首行缩进:  2 字符 + 首行缩..."/>
    <w:basedOn w:val="25"/>
    <w:autoRedefine/>
    <w:qFormat/>
    <w:uiPriority w:val="0"/>
    <w:pPr>
      <w:widowControl/>
      <w:tabs>
        <w:tab w:val="left" w:pos="377"/>
      </w:tabs>
      <w:spacing w:line="360" w:lineRule="auto"/>
      <w:ind w:firstLine="560"/>
    </w:pPr>
    <w:rPr>
      <w:rFonts w:ascii="宋体" w:cs="宋体"/>
      <w:kern w:val="0"/>
      <w:szCs w:val="20"/>
    </w:rPr>
  </w:style>
  <w:style w:type="paragraph" w:customStyle="1" w:styleId="25">
    <w:name w:val="样式 样式 正文 首行缩进:  2 字符 SL CON + 首行缩进:  2 字符 + 首行缩进:  2 字符"/>
    <w:basedOn w:val="26"/>
    <w:autoRedefine/>
    <w:qFormat/>
    <w:uiPriority w:val="99"/>
    <w:pPr>
      <w:tabs>
        <w:tab w:val="left" w:pos="377"/>
      </w:tabs>
    </w:pPr>
  </w:style>
  <w:style w:type="paragraph" w:customStyle="1" w:styleId="26">
    <w:name w:val="样式 正文 首行缩进:  2 字符 SL CON + 首行缩进:  2 字符"/>
    <w:basedOn w:val="27"/>
    <w:autoRedefine/>
    <w:qFormat/>
    <w:uiPriority w:val="99"/>
    <w:pPr>
      <w:tabs>
        <w:tab w:val="left" w:pos="377"/>
      </w:tabs>
    </w:pPr>
    <w:rPr>
      <w:rFonts w:ascii="Times New Roman" w:hAnsi="Times New Roman" w:eastAsia="宋体" w:cs="Times New Roman"/>
      <w:lang w:val="en-US" w:eastAsia="zh-CN" w:bidi="ar-SA"/>
    </w:rPr>
  </w:style>
  <w:style w:type="paragraph" w:customStyle="1" w:styleId="27">
    <w:name w:val="正文 首行缩进:  2 字符 SL CON"/>
    <w:basedOn w:val="1"/>
    <w:autoRedefine/>
    <w:qFormat/>
    <w:uiPriority w:val="0"/>
    <w:pPr>
      <w:widowControl/>
      <w:tabs>
        <w:tab w:val="left" w:pos="377"/>
        <w:tab w:val="clear" w:pos="315"/>
      </w:tabs>
      <w:spacing w:line="300" w:lineRule="auto"/>
      <w:ind w:firstLine="200" w:firstLineChars="200"/>
    </w:pPr>
    <w:rPr>
      <w:rFonts w:ascii="宋体" w:cs="宋体"/>
      <w:kern w:val="0"/>
      <w:sz w:val="24"/>
      <w:szCs w:val="24"/>
    </w:rPr>
  </w:style>
  <w:style w:type="character" w:customStyle="1" w:styleId="28">
    <w:name w:val="标题 2 Char3"/>
    <w:link w:val="3"/>
    <w:autoRedefine/>
    <w:qFormat/>
    <w:uiPriority w:val="0"/>
    <w:rPr>
      <w:rFonts w:ascii="Times New Roman" w:hAnsi="Times New Roman" w:eastAsia="宋体" w:cs="Times New Roman"/>
      <w:b/>
      <w:kern w:val="2"/>
      <w:sz w:val="30"/>
      <w:szCs w:val="32"/>
    </w:rPr>
  </w:style>
  <w:style w:type="character" w:customStyle="1" w:styleId="29">
    <w:name w:val="标题 3 Char1"/>
    <w:link w:val="4"/>
    <w:autoRedefine/>
    <w:qFormat/>
    <w:uiPriority w:val="0"/>
    <w:rPr>
      <w:rFonts w:ascii="Times New Roman" w:hAnsi="Times New Roman" w:eastAsia="黑体" w:cs="Times New Roman"/>
      <w:kern w:val="2"/>
      <w:sz w:val="28"/>
      <w:szCs w:val="28"/>
    </w:rPr>
  </w:style>
  <w:style w:type="paragraph" w:customStyle="1" w:styleId="30">
    <w:name w:val="表头样式"/>
    <w:basedOn w:val="1"/>
    <w:link w:val="36"/>
    <w:autoRedefine/>
    <w:qFormat/>
    <w:uiPriority w:val="0"/>
    <w:pPr>
      <w:adjustRightInd w:val="0"/>
      <w:snapToGrid w:val="0"/>
      <w:ind w:firstLine="482"/>
      <w:jc w:val="center"/>
    </w:pPr>
    <w:rPr>
      <w:rFonts w:ascii="Times New Roman" w:hAnsi="Times New Roman" w:eastAsia="宋体" w:cs="Times New Roman"/>
      <w:b/>
      <w:bCs/>
      <w:kern w:val="0"/>
      <w:sz w:val="24"/>
      <w:szCs w:val="24"/>
      <w:lang w:val="zh-CN"/>
    </w:rPr>
  </w:style>
  <w:style w:type="paragraph" w:customStyle="1" w:styleId="31">
    <w:name w:val="表中字体"/>
    <w:basedOn w:val="1"/>
    <w:autoRedefine/>
    <w:qFormat/>
    <w:uiPriority w:val="0"/>
    <w:pPr>
      <w:ind w:firstLine="0" w:firstLineChars="0"/>
      <w:jc w:val="center"/>
    </w:pPr>
    <w:rPr>
      <w:rFonts w:ascii="Times New Roman" w:hAnsi="Times New Roman" w:eastAsia="宋体" w:cs="Times New Roman"/>
      <w:color w:val="000000"/>
      <w:sz w:val="21"/>
      <w:szCs w:val="21"/>
    </w:rPr>
  </w:style>
  <w:style w:type="paragraph" w:customStyle="1" w:styleId="32">
    <w:name w:val="图样式"/>
    <w:basedOn w:val="1"/>
    <w:next w:val="6"/>
    <w:autoRedefine/>
    <w:qFormat/>
    <w:uiPriority w:val="0"/>
    <w:pPr>
      <w:autoSpaceDE w:val="0"/>
      <w:autoSpaceDN w:val="0"/>
      <w:adjustRightInd w:val="0"/>
      <w:snapToGrid w:val="0"/>
      <w:spacing w:line="360" w:lineRule="auto"/>
      <w:ind w:firstLine="2240" w:firstLineChars="800"/>
    </w:pPr>
    <w:rPr>
      <w:rFonts w:ascii="Times New Roman" w:hAnsi="Times New Roman" w:eastAsia="宋体" w:cs="Times New Roman"/>
      <w:kern w:val="0"/>
      <w:sz w:val="28"/>
      <w:szCs w:val="28"/>
      <w:lang w:val="zh-CN"/>
    </w:rPr>
  </w:style>
  <w:style w:type="paragraph" w:customStyle="1" w:styleId="33">
    <w:name w:val="lzx备注样式"/>
    <w:basedOn w:val="1"/>
    <w:link w:val="35"/>
    <w:autoRedefine/>
    <w:qFormat/>
    <w:uiPriority w:val="0"/>
    <w:rPr>
      <w:rFonts w:ascii="Times New Roman" w:hAnsi="Times New Roman" w:cs="Times New Roman"/>
      <w:sz w:val="21"/>
      <w:szCs w:val="18"/>
    </w:rPr>
  </w:style>
  <w:style w:type="character" w:customStyle="1" w:styleId="34">
    <w:name w:val="1正文lzx Char"/>
    <w:link w:val="6"/>
    <w:autoRedefine/>
    <w:qFormat/>
    <w:uiPriority w:val="0"/>
    <w:rPr>
      <w:rFonts w:ascii="Times New Roman" w:hAnsi="Times New Roman" w:eastAsia="宋体" w:cstheme="minorBidi"/>
      <w:sz w:val="28"/>
      <w:lang w:val="zh-CN"/>
    </w:rPr>
  </w:style>
  <w:style w:type="character" w:customStyle="1" w:styleId="35">
    <w:name w:val="lzx备注样式 Char"/>
    <w:link w:val="33"/>
    <w:autoRedefine/>
    <w:qFormat/>
    <w:uiPriority w:val="0"/>
    <w:rPr>
      <w:rFonts w:ascii="Times New Roman" w:hAnsi="Times New Roman" w:cs="Times New Roman"/>
      <w:sz w:val="21"/>
      <w:szCs w:val="18"/>
    </w:rPr>
  </w:style>
  <w:style w:type="character" w:customStyle="1" w:styleId="36">
    <w:name w:val="表头样式 Char"/>
    <w:link w:val="30"/>
    <w:autoRedefine/>
    <w:qFormat/>
    <w:uiPriority w:val="0"/>
    <w:rPr>
      <w:rFonts w:ascii="Times New Roman" w:hAnsi="Times New Roman" w:eastAsia="宋体" w:cs="Times New Roman"/>
      <w:b/>
      <w:bCs/>
      <w:kern w:val="0"/>
      <w:sz w:val="24"/>
      <w:szCs w:val="24"/>
      <w:lang w:val="zh-CN"/>
    </w:rPr>
  </w:style>
  <w:style w:type="table" w:customStyle="1" w:styleId="37">
    <w:name w:val="Table Normal"/>
    <w:autoRedefine/>
    <w:semiHidden/>
    <w:unhideWhenUsed/>
    <w:qFormat/>
    <w:uiPriority w:val="0"/>
    <w:tblPr>
      <w:tblCellMar>
        <w:top w:w="0" w:type="dxa"/>
        <w:left w:w="0" w:type="dxa"/>
        <w:bottom w:w="0" w:type="dxa"/>
        <w:right w:w="0" w:type="dxa"/>
      </w:tblCellMar>
    </w:tblPr>
  </w:style>
  <w:style w:type="character" w:customStyle="1" w:styleId="38">
    <w:name w:val="zw1"/>
    <w:basedOn w:val="21"/>
    <w:autoRedefine/>
    <w:unhideWhenUsed/>
    <w:qFormat/>
    <w:uiPriority w:val="0"/>
    <w:rPr>
      <w:rFonts w:hint="eastAsia" w:ascii="宋体" w:hAnsi="宋体" w:eastAsia="宋体" w:cs="宋体"/>
      <w:sz w:val="22"/>
      <w:szCs w:val="22"/>
    </w:rPr>
  </w:style>
  <w:style w:type="paragraph" w:customStyle="1" w:styleId="39">
    <w:name w:val="b-正文"/>
    <w:basedOn w:val="1"/>
    <w:autoRedefine/>
    <w:qFormat/>
    <w:uiPriority w:val="0"/>
    <w:pPr>
      <w:adjustRightInd w:val="0"/>
      <w:snapToGrid w:val="0"/>
      <w:spacing w:line="360" w:lineRule="auto"/>
      <w:ind w:firstLine="960" w:firstLineChars="200"/>
    </w:pPr>
    <w:rPr>
      <w:rFonts w:ascii="Times New Roman" w:hAnsi="Times New Roman" w:eastAsia="宋体"/>
      <w:sz w:val="28"/>
    </w:rPr>
  </w:style>
  <w:style w:type="paragraph" w:customStyle="1" w:styleId="40">
    <w:name w:val="Body text|1"/>
    <w:basedOn w:val="1"/>
    <w:autoRedefine/>
    <w:qFormat/>
    <w:uiPriority w:val="0"/>
    <w:pPr>
      <w:adjustRightInd/>
      <w:spacing w:line="468" w:lineRule="auto"/>
      <w:ind w:firstLine="400"/>
      <w:textAlignment w:val="auto"/>
    </w:pPr>
    <w:rPr>
      <w:rFonts w:cs="宋体"/>
      <w:kern w:val="2"/>
      <w:sz w:val="28"/>
      <w:szCs w:val="28"/>
      <w:lang w:val="zh-TW" w:eastAsia="zh-TW" w:bidi="zh-TW"/>
    </w:rPr>
  </w:style>
  <w:style w:type="paragraph" w:customStyle="1" w:styleId="41">
    <w:name w:val="Char"/>
    <w:basedOn w:val="1"/>
    <w:autoRedefine/>
    <w:qFormat/>
    <w:uiPriority w:val="0"/>
    <w:pPr>
      <w:spacing w:line="240" w:lineRule="auto"/>
    </w:pPr>
    <w:rPr>
      <w:rFonts w:eastAsia="宋体"/>
      <w:sz w:val="21"/>
    </w:rPr>
  </w:style>
  <w:style w:type="paragraph" w:customStyle="1" w:styleId="42">
    <w:name w:val="Table Paragraph"/>
    <w:basedOn w:val="1"/>
    <w:autoRedefine/>
    <w:qFormat/>
    <w:uiPriority w:val="1"/>
    <w:pPr>
      <w:autoSpaceDE w:val="0"/>
      <w:autoSpaceDN w:val="0"/>
      <w:jc w:val="left"/>
    </w:pPr>
    <w:rPr>
      <w:rFonts w:ascii="宋体" w:hAnsi="宋体" w:eastAsia="宋体" w:cs="宋体"/>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113</Pages>
  <Words>87748</Words>
  <Characters>99549</Characters>
  <Lines>1</Lines>
  <Paragraphs>1</Paragraphs>
  <TotalTime>1</TotalTime>
  <ScaleCrop>false</ScaleCrop>
  <LinksUpToDate>false</LinksUpToDate>
  <CharactersWithSpaces>101124</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2022-09-19T06:46:00Z</dcterms:created>
  <dc:creator>再回首</dc:creator>
  <cp:lastModifiedBy>良辰</cp:lastModifiedBy>
  <cp:lastPrinted>2024-05-10T01:50:00Z</cp:lastPrinted>
  <dcterms:modified xsi:type="dcterms:W3CDTF">2024-07-02T05:51:08Z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0D846FA6D06A42BCA1E3F45631099E44_13</vt:lpwstr>
  </property>
</Properties>
</file>