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eastAsiaTheme="minorEastAsia"/>
        </w:rPr>
      </w:pPr>
    </w:p>
    <w:p>
      <w:pPr>
        <w:ind w:firstLine="0" w:firstLineChars="0"/>
        <w:jc w:val="center"/>
        <w:rPr>
          <w:rFonts w:eastAsiaTheme="minorEastAsia"/>
        </w:rPr>
      </w:pPr>
    </w:p>
    <w:p>
      <w:pPr>
        <w:ind w:firstLine="0" w:firstLineChars="0"/>
        <w:jc w:val="center"/>
        <w:rPr>
          <w:rFonts w:eastAsiaTheme="minorEastAsia"/>
        </w:rPr>
      </w:pPr>
    </w:p>
    <w:p>
      <w:pPr>
        <w:pStyle w:val="250"/>
        <w:snapToGrid w:val="0"/>
        <w:jc w:val="center"/>
        <w:textAlignment w:val="auto"/>
        <w:rPr>
          <w:rFonts w:ascii="Times New Roman" w:eastAsiaTheme="minorEastAsia"/>
          <w:b/>
          <w:color w:val="000000"/>
          <w:sz w:val="44"/>
          <w:szCs w:val="44"/>
        </w:rPr>
      </w:pPr>
    </w:p>
    <w:p>
      <w:pPr>
        <w:pStyle w:val="250"/>
        <w:snapToGrid w:val="0"/>
        <w:jc w:val="center"/>
        <w:textAlignment w:val="auto"/>
        <w:rPr>
          <w:rFonts w:ascii="Times New Roman" w:eastAsiaTheme="minorEastAsia"/>
          <w:b/>
          <w:spacing w:val="0"/>
          <w:kern w:val="2"/>
          <w:sz w:val="44"/>
          <w:szCs w:val="44"/>
        </w:rPr>
      </w:pPr>
      <w:r>
        <w:rPr>
          <w:rFonts w:ascii="Times New Roman" w:eastAsiaTheme="minorEastAsia"/>
          <w:b/>
          <w:color w:val="000000"/>
          <w:sz w:val="44"/>
          <w:szCs w:val="44"/>
        </w:rPr>
        <w:t>胜利油田分公司东辛采油厂</w:t>
      </w:r>
    </w:p>
    <w:p>
      <w:pPr>
        <w:ind w:firstLine="0" w:firstLineChars="0"/>
        <w:jc w:val="center"/>
        <w:rPr>
          <w:rFonts w:eastAsiaTheme="minorEastAsia"/>
          <w:b/>
          <w:sz w:val="44"/>
          <w:szCs w:val="44"/>
        </w:rPr>
      </w:pPr>
      <w:r>
        <w:rPr>
          <w:rFonts w:eastAsiaTheme="minorEastAsia"/>
          <w:b/>
          <w:sz w:val="44"/>
          <w:szCs w:val="44"/>
        </w:rPr>
        <w:t>东辛油田营1-斜118块馆三产能建设工程</w:t>
      </w:r>
    </w:p>
    <w:p>
      <w:pPr>
        <w:ind w:firstLine="0" w:firstLineChars="0"/>
        <w:jc w:val="center"/>
        <w:rPr>
          <w:rFonts w:eastAsia="黑体"/>
          <w:b/>
          <w:bCs/>
          <w:sz w:val="52"/>
          <w:szCs w:val="52"/>
        </w:rPr>
      </w:pPr>
      <w:r>
        <w:rPr>
          <w:rFonts w:eastAsia="黑体"/>
          <w:b/>
          <w:bCs/>
          <w:sz w:val="52"/>
          <w:szCs w:val="52"/>
        </w:rPr>
        <w:t>安全预评价报告</w:t>
      </w:r>
    </w:p>
    <w:p>
      <w:pPr>
        <w:ind w:firstLine="0" w:firstLineChars="0"/>
        <w:jc w:val="center"/>
        <w:rPr>
          <w:rFonts w:eastAsiaTheme="minorEastAsia"/>
          <w:b/>
          <w:bCs/>
          <w:sz w:val="52"/>
        </w:rPr>
      </w:pPr>
    </w:p>
    <w:p>
      <w:pPr>
        <w:pStyle w:val="44"/>
        <w:ind w:firstLine="560"/>
        <w:rPr>
          <w:rFonts w:ascii="Times New Roman" w:hAnsi="Times New Roman" w:eastAsiaTheme="minorEastAsia"/>
        </w:rPr>
      </w:pPr>
    </w:p>
    <w:p>
      <w:pPr>
        <w:ind w:firstLine="0" w:firstLineChars="0"/>
        <w:rPr>
          <w:rFonts w:eastAsiaTheme="minorEastAsia"/>
          <w:b/>
          <w:bCs/>
          <w:sz w:val="32"/>
        </w:rPr>
      </w:pPr>
    </w:p>
    <w:p>
      <w:pPr>
        <w:ind w:firstLine="0" w:firstLineChars="0"/>
        <w:rPr>
          <w:rFonts w:eastAsiaTheme="minorEastAsia"/>
          <w:b/>
          <w:bCs/>
          <w:sz w:val="32"/>
        </w:rPr>
      </w:pPr>
    </w:p>
    <w:p>
      <w:pPr>
        <w:ind w:firstLine="0" w:firstLineChars="0"/>
        <w:rPr>
          <w:rFonts w:eastAsiaTheme="minorEastAsia"/>
          <w:b/>
          <w:bCs/>
          <w:sz w:val="32"/>
        </w:rPr>
      </w:pPr>
    </w:p>
    <w:p>
      <w:pPr>
        <w:ind w:firstLine="0" w:firstLineChars="0"/>
        <w:rPr>
          <w:rFonts w:eastAsiaTheme="minorEastAsia"/>
          <w:b/>
          <w:bCs/>
          <w:sz w:val="32"/>
        </w:rPr>
      </w:pPr>
    </w:p>
    <w:p>
      <w:pPr>
        <w:ind w:firstLine="0" w:firstLineChars="0"/>
        <w:rPr>
          <w:rFonts w:eastAsiaTheme="minorEastAsia"/>
          <w:b/>
          <w:bCs/>
          <w:sz w:val="32"/>
        </w:rPr>
      </w:pPr>
    </w:p>
    <w:p>
      <w:pPr>
        <w:ind w:firstLine="0" w:firstLineChars="0"/>
        <w:rPr>
          <w:rFonts w:eastAsiaTheme="minorEastAsia"/>
          <w:b/>
          <w:bCs/>
          <w:sz w:val="32"/>
        </w:rPr>
      </w:pPr>
    </w:p>
    <w:p>
      <w:pPr>
        <w:spacing w:before="360" w:beforeLines="150" w:line="520" w:lineRule="exact"/>
        <w:ind w:firstLine="883"/>
        <w:jc w:val="center"/>
        <w:rPr>
          <w:rFonts w:eastAsiaTheme="minorEastAsia"/>
          <w:b/>
          <w:bCs/>
          <w:color w:val="000000"/>
          <w:sz w:val="44"/>
          <w:szCs w:val="44"/>
        </w:rPr>
      </w:pPr>
      <w:r>
        <w:rPr>
          <w:rFonts w:eastAsiaTheme="minorEastAsia"/>
          <w:b/>
          <w:bCs/>
          <w:color w:val="000000"/>
          <w:sz w:val="44"/>
          <w:szCs w:val="44"/>
        </w:rPr>
        <w:t>山东实华安全技术有限公司</w:t>
      </w:r>
    </w:p>
    <w:p>
      <w:pPr>
        <w:spacing w:before="120" w:beforeLines="50" w:line="520" w:lineRule="exact"/>
        <w:ind w:firstLine="643"/>
        <w:jc w:val="center"/>
        <w:rPr>
          <w:rFonts w:eastAsiaTheme="minorEastAsia"/>
          <w:b/>
          <w:color w:val="000000"/>
          <w:sz w:val="32"/>
          <w:szCs w:val="32"/>
        </w:rPr>
      </w:pPr>
      <w:r>
        <w:rPr>
          <w:rFonts w:eastAsiaTheme="minorEastAsia"/>
          <w:b/>
          <w:color w:val="000000"/>
          <w:sz w:val="32"/>
          <w:szCs w:val="32"/>
        </w:rPr>
        <w:t>资质证书编号：APJ-（鲁）-013</w:t>
      </w:r>
    </w:p>
    <w:p>
      <w:pPr>
        <w:spacing w:before="120" w:beforeLines="50"/>
        <w:ind w:firstLine="0" w:firstLineChars="0"/>
        <w:jc w:val="center"/>
        <w:rPr>
          <w:rFonts w:eastAsiaTheme="minorEastAsia"/>
          <w:b/>
          <w:color w:val="000000"/>
          <w:sz w:val="32"/>
          <w:szCs w:val="32"/>
        </w:rPr>
      </w:pPr>
      <w:r>
        <w:rPr>
          <w:rFonts w:eastAsiaTheme="minorEastAsia"/>
          <w:b/>
          <w:color w:val="000000"/>
          <w:sz w:val="32"/>
          <w:szCs w:val="32"/>
        </w:rPr>
        <w:t>2022年12月22日</w:t>
      </w:r>
    </w:p>
    <w:p>
      <w:pPr>
        <w:pStyle w:val="44"/>
        <w:ind w:firstLine="643"/>
        <w:rPr>
          <w:rFonts w:ascii="Times New Roman" w:hAnsi="Times New Roman" w:eastAsiaTheme="minorEastAsia"/>
          <w:b/>
          <w:color w:val="000000"/>
          <w:sz w:val="32"/>
          <w:szCs w:val="32"/>
        </w:rPr>
      </w:pPr>
    </w:p>
    <w:p>
      <w:pPr>
        <w:pStyle w:val="44"/>
        <w:ind w:firstLine="643"/>
        <w:rPr>
          <w:rFonts w:ascii="Times New Roman" w:hAnsi="Times New Roman" w:eastAsiaTheme="minorEastAsia"/>
          <w:b/>
          <w:color w:val="000000"/>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985" w:right="1134" w:bottom="1985" w:left="1134" w:header="851" w:footer="992" w:gutter="0"/>
          <w:pgBorders>
            <w:top w:val="none" w:sz="0" w:space="0"/>
            <w:left w:val="none" w:sz="0" w:space="0"/>
            <w:bottom w:val="none" w:sz="0" w:space="0"/>
            <w:right w:val="none" w:sz="0" w:space="0"/>
          </w:pgBorders>
          <w:pgNumType w:fmt="lowerRoman" w:start="1"/>
          <w:cols w:space="720" w:num="1"/>
          <w:docGrid w:linePitch="312" w:charSpace="0"/>
        </w:sectPr>
      </w:pPr>
    </w:p>
    <w:p>
      <w:pPr>
        <w:ind w:firstLine="643"/>
        <w:jc w:val="center"/>
        <w:rPr>
          <w:rFonts w:eastAsiaTheme="minorEastAsia"/>
          <w:b/>
          <w:bCs/>
          <w:sz w:val="32"/>
        </w:rPr>
        <w:sectPr>
          <w:pgSz w:w="11906" w:h="16838"/>
          <w:pgMar w:top="1985" w:right="1814" w:bottom="1985" w:left="1814" w:header="851" w:footer="992" w:gutter="0"/>
          <w:pgBorders>
            <w:top w:val="none" w:sz="0" w:space="0"/>
            <w:left w:val="none" w:sz="0" w:space="0"/>
            <w:bottom w:val="none" w:sz="0" w:space="0"/>
            <w:right w:val="none" w:sz="0" w:space="0"/>
          </w:pgBorders>
          <w:pgNumType w:fmt="lowerRoman" w:start="1"/>
          <w:cols w:space="720" w:num="1"/>
          <w:docGrid w:linePitch="312" w:charSpace="0"/>
        </w:sectPr>
      </w:pPr>
    </w:p>
    <w:p>
      <w:pPr>
        <w:ind w:firstLine="643"/>
        <w:jc w:val="center"/>
        <w:rPr>
          <w:rFonts w:eastAsiaTheme="minorEastAsia"/>
          <w:b/>
          <w:bCs/>
          <w:sz w:val="32"/>
        </w:rPr>
      </w:pPr>
    </w:p>
    <w:p>
      <w:pPr>
        <w:ind w:firstLine="643"/>
        <w:jc w:val="center"/>
        <w:rPr>
          <w:rFonts w:eastAsiaTheme="minorEastAsia"/>
          <w:b/>
          <w:bCs/>
          <w:sz w:val="32"/>
        </w:rPr>
      </w:pPr>
    </w:p>
    <w:p>
      <w:pPr>
        <w:ind w:firstLine="643"/>
        <w:jc w:val="center"/>
        <w:rPr>
          <w:rFonts w:eastAsiaTheme="minorEastAsia"/>
          <w:b/>
          <w:bCs/>
          <w:sz w:val="32"/>
        </w:rPr>
      </w:pPr>
    </w:p>
    <w:p>
      <w:pPr>
        <w:ind w:firstLine="0" w:firstLineChars="0"/>
        <w:jc w:val="center"/>
        <w:rPr>
          <w:rFonts w:eastAsiaTheme="minorEastAsia"/>
          <w:b/>
          <w:color w:val="000000"/>
          <w:sz w:val="32"/>
          <w:szCs w:val="32"/>
        </w:rPr>
      </w:pPr>
      <w:r>
        <w:rPr>
          <w:rFonts w:eastAsiaTheme="minorEastAsia"/>
          <w:b/>
          <w:color w:val="000000"/>
          <w:sz w:val="32"/>
          <w:szCs w:val="32"/>
        </w:rPr>
        <w:t>中国石油化工股份有限公司</w:t>
      </w:r>
    </w:p>
    <w:p>
      <w:pPr>
        <w:ind w:firstLine="0" w:firstLineChars="0"/>
        <w:jc w:val="center"/>
        <w:rPr>
          <w:rFonts w:eastAsiaTheme="minorEastAsia"/>
          <w:sz w:val="32"/>
          <w:szCs w:val="32"/>
        </w:rPr>
      </w:pPr>
      <w:r>
        <w:rPr>
          <w:rFonts w:eastAsiaTheme="minorEastAsia"/>
          <w:b/>
          <w:color w:val="000000"/>
          <w:sz w:val="32"/>
          <w:szCs w:val="32"/>
        </w:rPr>
        <w:t>胜利油田分公司东辛采油厂</w:t>
      </w:r>
    </w:p>
    <w:p>
      <w:pPr>
        <w:ind w:firstLine="0" w:firstLineChars="0"/>
        <w:jc w:val="center"/>
        <w:rPr>
          <w:rFonts w:eastAsiaTheme="minorEastAsia"/>
          <w:b/>
          <w:bCs/>
          <w:sz w:val="32"/>
        </w:rPr>
      </w:pPr>
      <w:r>
        <w:rPr>
          <w:rFonts w:eastAsiaTheme="minorEastAsia"/>
          <w:b/>
          <w:bCs/>
          <w:sz w:val="32"/>
          <w:szCs w:val="32"/>
        </w:rPr>
        <w:t>东辛油田营1-斜118块馆三产能建设工程</w:t>
      </w:r>
    </w:p>
    <w:p>
      <w:pPr>
        <w:ind w:firstLine="0" w:firstLineChars="0"/>
        <w:jc w:val="center"/>
        <w:rPr>
          <w:rFonts w:eastAsiaTheme="minorEastAsia"/>
          <w:b/>
          <w:bCs/>
          <w:sz w:val="44"/>
          <w:szCs w:val="52"/>
        </w:rPr>
      </w:pPr>
      <w:r>
        <w:rPr>
          <w:rFonts w:eastAsiaTheme="minorEastAsia"/>
          <w:b/>
          <w:bCs/>
          <w:sz w:val="44"/>
          <w:szCs w:val="52"/>
        </w:rPr>
        <w:t>安全预评价报告</w:t>
      </w:r>
    </w:p>
    <w:p>
      <w:pPr>
        <w:ind w:firstLine="0" w:firstLineChars="0"/>
        <w:rPr>
          <w:rFonts w:eastAsiaTheme="minorEastAsia"/>
          <w:b/>
          <w:bCs/>
          <w:spacing w:val="60"/>
          <w:sz w:val="32"/>
          <w:szCs w:val="32"/>
        </w:rPr>
      </w:pPr>
    </w:p>
    <w:p>
      <w:pPr>
        <w:ind w:firstLine="0" w:firstLineChars="0"/>
        <w:rPr>
          <w:rFonts w:eastAsiaTheme="minorEastAsia"/>
          <w:b/>
          <w:bCs/>
          <w:sz w:val="13"/>
        </w:rPr>
      </w:pPr>
    </w:p>
    <w:p>
      <w:pPr>
        <w:ind w:firstLine="0" w:firstLineChars="0"/>
        <w:jc w:val="center"/>
        <w:rPr>
          <w:rFonts w:eastAsiaTheme="minorEastAsia"/>
          <w:b/>
          <w:bCs/>
          <w:szCs w:val="28"/>
        </w:rPr>
      </w:pPr>
    </w:p>
    <w:p>
      <w:pPr>
        <w:ind w:firstLine="0" w:firstLineChars="0"/>
        <w:rPr>
          <w:rFonts w:eastAsiaTheme="minorEastAsia"/>
          <w:b/>
          <w:bCs/>
          <w:sz w:val="32"/>
        </w:rPr>
      </w:pPr>
    </w:p>
    <w:p>
      <w:pPr>
        <w:spacing w:line="800" w:lineRule="exact"/>
        <w:ind w:firstLine="0" w:firstLineChars="0"/>
        <w:jc w:val="center"/>
        <w:rPr>
          <w:rFonts w:eastAsiaTheme="minorEastAsia"/>
          <w:szCs w:val="32"/>
        </w:rPr>
      </w:pPr>
    </w:p>
    <w:p>
      <w:pPr>
        <w:spacing w:line="800" w:lineRule="exact"/>
        <w:ind w:firstLine="0" w:firstLineChars="0"/>
        <w:jc w:val="center"/>
        <w:rPr>
          <w:rFonts w:eastAsiaTheme="minorEastAsia"/>
          <w:szCs w:val="32"/>
        </w:rPr>
      </w:pPr>
    </w:p>
    <w:p>
      <w:pPr>
        <w:ind w:firstLine="0" w:firstLineChars="0"/>
        <w:jc w:val="center"/>
        <w:rPr>
          <w:rFonts w:eastAsiaTheme="minorEastAsia"/>
          <w:szCs w:val="32"/>
        </w:rPr>
      </w:pPr>
      <w:r>
        <w:rPr>
          <w:rFonts w:eastAsiaTheme="minorEastAsia"/>
          <w:szCs w:val="32"/>
        </w:rPr>
        <w:t>法定代表人：任红艳</w:t>
      </w:r>
    </w:p>
    <w:p>
      <w:pPr>
        <w:ind w:firstLine="0" w:firstLineChars="0"/>
        <w:jc w:val="center"/>
        <w:rPr>
          <w:rFonts w:eastAsiaTheme="minorEastAsia"/>
          <w:szCs w:val="32"/>
        </w:rPr>
      </w:pPr>
      <w:r>
        <w:rPr>
          <w:rFonts w:eastAsiaTheme="minorEastAsia"/>
          <w:szCs w:val="32"/>
        </w:rPr>
        <w:t>技术负责人：安风菊</w:t>
      </w:r>
    </w:p>
    <w:p>
      <w:pPr>
        <w:ind w:firstLine="0" w:firstLineChars="0"/>
        <w:jc w:val="center"/>
        <w:rPr>
          <w:rFonts w:eastAsiaTheme="minorEastAsia"/>
          <w:szCs w:val="32"/>
        </w:rPr>
      </w:pPr>
      <w:r>
        <w:rPr>
          <w:rFonts w:eastAsiaTheme="minorEastAsia"/>
          <w:szCs w:val="32"/>
        </w:rPr>
        <w:t>评价项目负责人：程正永</w:t>
      </w:r>
    </w:p>
    <w:p>
      <w:pPr>
        <w:ind w:firstLine="0" w:firstLineChars="0"/>
        <w:jc w:val="center"/>
        <w:rPr>
          <w:rFonts w:eastAsiaTheme="minorEastAsia"/>
          <w:szCs w:val="32"/>
        </w:rPr>
      </w:pPr>
    </w:p>
    <w:p>
      <w:pPr>
        <w:ind w:firstLine="0" w:firstLineChars="0"/>
        <w:jc w:val="center"/>
        <w:rPr>
          <w:rFonts w:eastAsiaTheme="minorEastAsia"/>
          <w:szCs w:val="32"/>
        </w:rPr>
      </w:pPr>
    </w:p>
    <w:p>
      <w:pPr>
        <w:ind w:firstLine="0" w:firstLineChars="0"/>
        <w:jc w:val="center"/>
        <w:rPr>
          <w:rFonts w:eastAsiaTheme="minorEastAsia"/>
          <w:b/>
          <w:bCs/>
          <w:sz w:val="24"/>
        </w:rPr>
      </w:pPr>
      <w:r>
        <w:rPr>
          <w:rFonts w:eastAsiaTheme="minorEastAsia"/>
          <w:b/>
          <w:bCs/>
          <w:sz w:val="24"/>
        </w:rPr>
        <w:t>报告完成日期：2022年12月22日</w:t>
      </w:r>
    </w:p>
    <w:p>
      <w:pPr>
        <w:pStyle w:val="44"/>
        <w:ind w:firstLine="560"/>
        <w:rPr>
          <w:rFonts w:ascii="Times New Roman" w:hAnsi="Times New Roman" w:eastAsiaTheme="minorEastAsia"/>
        </w:rPr>
      </w:pPr>
    </w:p>
    <w:p>
      <w:pPr>
        <w:ind w:firstLine="643"/>
        <w:jc w:val="center"/>
        <w:rPr>
          <w:rFonts w:eastAsiaTheme="minorEastAsia"/>
          <w:b/>
          <w:bCs/>
          <w:kern w:val="44"/>
          <w:sz w:val="32"/>
          <w:szCs w:val="32"/>
        </w:rPr>
        <w:sectPr>
          <w:pgSz w:w="11906" w:h="16838"/>
          <w:pgMar w:top="1985" w:right="1814" w:bottom="1985" w:left="1814" w:header="851" w:footer="992" w:gutter="0"/>
          <w:pgBorders>
            <w:top w:val="none" w:sz="0" w:space="0"/>
            <w:left w:val="none" w:sz="0" w:space="0"/>
            <w:bottom w:val="none" w:sz="0" w:space="0"/>
            <w:right w:val="none" w:sz="0" w:space="0"/>
          </w:pgBorders>
          <w:pgNumType w:fmt="lowerRoman" w:start="1"/>
          <w:cols w:space="720" w:num="1"/>
          <w:docGrid w:linePitch="312" w:charSpace="0"/>
        </w:sectPr>
      </w:pPr>
    </w:p>
    <w:p>
      <w:pPr>
        <w:ind w:firstLine="643"/>
        <w:jc w:val="center"/>
        <w:rPr>
          <w:rFonts w:eastAsiaTheme="minorEastAsia"/>
          <w:b/>
          <w:bCs/>
          <w:kern w:val="44"/>
          <w:sz w:val="32"/>
          <w:szCs w:val="32"/>
        </w:rPr>
        <w:sectPr>
          <w:pgSz w:w="11906" w:h="16838"/>
          <w:pgMar w:top="1985" w:right="1814" w:bottom="1985" w:left="1814" w:header="851" w:footer="992" w:gutter="0"/>
          <w:pgBorders>
            <w:top w:val="none" w:sz="0" w:space="0"/>
            <w:left w:val="none" w:sz="0" w:space="0"/>
            <w:bottom w:val="none" w:sz="0" w:space="0"/>
            <w:right w:val="none" w:sz="0" w:space="0"/>
          </w:pgBorders>
          <w:pgNumType w:fmt="lowerRoman" w:start="1"/>
          <w:cols w:space="720" w:num="1"/>
          <w:docGrid w:linePitch="312" w:charSpace="0"/>
        </w:sectPr>
      </w:pPr>
    </w:p>
    <w:p>
      <w:pPr>
        <w:ind w:firstLine="0" w:firstLineChars="0"/>
        <w:jc w:val="center"/>
        <w:rPr>
          <w:rFonts w:eastAsiaTheme="minorEastAsia"/>
          <w:b/>
          <w:bCs/>
          <w:kern w:val="44"/>
          <w:sz w:val="32"/>
          <w:szCs w:val="32"/>
        </w:rPr>
      </w:pPr>
      <w:bookmarkStart w:id="0" w:name="_Hlk4488594"/>
      <w:bookmarkEnd w:id="0"/>
      <w:r>
        <w:rPr>
          <w:rFonts w:eastAsiaTheme="minorEastAsia"/>
          <w:b/>
          <w:bCs/>
          <w:kern w:val="44"/>
          <w:sz w:val="32"/>
          <w:szCs w:val="32"/>
        </w:rPr>
        <w:t>前  言</w:t>
      </w:r>
    </w:p>
    <w:p>
      <w:pPr>
        <w:pStyle w:val="15"/>
        <w:ind w:firstLine="560"/>
        <w:rPr>
          <w:rFonts w:eastAsiaTheme="minorEastAsia"/>
        </w:rPr>
      </w:pPr>
      <w:bookmarkStart w:id="1" w:name="_Toc69304583"/>
      <w:bookmarkStart w:id="2" w:name="_Toc13586316"/>
      <w:bookmarkStart w:id="3" w:name="_Toc411626460"/>
      <w:bookmarkStart w:id="4" w:name="_Toc468116069"/>
      <w:bookmarkStart w:id="5" w:name="_Toc468115891"/>
      <w:bookmarkStart w:id="6" w:name="_Toc445738621"/>
      <w:bookmarkStart w:id="7" w:name="_Toc450136529"/>
      <w:r>
        <w:rPr>
          <w:rFonts w:eastAsiaTheme="minorEastAsia"/>
        </w:rPr>
        <w:t>东辛油田营1-斜118块位于东辛油田西部</w:t>
      </w:r>
      <w:r>
        <w:rPr>
          <w:rFonts w:eastAsiaTheme="minorEastAsia"/>
        </w:rPr>
        <mc:AlternateContent>
          <mc:Choice Requires="wps">
            <w:drawing>
              <wp:inline distT="0" distB="0" distL="114300" distR="114300">
                <wp:extent cx="635" cy="0"/>
                <wp:effectExtent l="0" t="0" r="0" b="0"/>
                <wp:docPr id="37" name="矩形 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Rot="1" noChangeAspect="1"/>
                      </wps:cNvSpPr>
                      <wps:spPr>
                        <a:xfrm>
                          <a:off x="0" y="0"/>
                          <a:ext cx="635" cy="0"/>
                        </a:xfrm>
                        <a:prstGeom prst="rect">
                          <a:avLst/>
                        </a:prstGeom>
                        <a:noFill/>
                        <a:ln>
                          <a:noFill/>
                        </a:ln>
                        <a:effectLst/>
                      </wps:spPr>
                      <wps:bodyPr wrap="square" upright="1"/>
                    </wps:wsp>
                  </a:graphicData>
                </a:graphic>
              </wp:inline>
            </w:drawing>
          </mc:Choice>
          <mc:Fallback>
            <w:pict>
              <v:rect id="_x0000_s1026" o:spid="_x0000_s1026" o:spt="1" style="height:0pt;width:0.05pt;" filled="f" stroked="f" coordsize="21600,21600" o:gfxdata="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HCX9zwAAAP8AAAAPAAAAAAAAAAEAIAAAACIAAABkcnMvZG93bnJldi54bWxQSwECFAAUAAAA&#10;CACHTuJAbO8as74BAACBAwAADgAAAAAAAAABACAAAAAeAQAAZHJzL2Uyb0RvYy54bWxQSwUGAAAA&#10;AAYABgBZAQAATgUAAAAA&#10;">
                <v:fill on="f" focussize="0,0"/>
                <v:stroke on="f"/>
                <v:imagedata o:title=""/>
                <o:lock v:ext="edit" rotation="t" aspectratio="t"/>
                <w10:wrap type="none"/>
                <w10:anchorlock/>
              </v:rect>
            </w:pict>
          </mc:Fallback>
        </mc:AlternateContent>
      </w:r>
      <w:r>
        <w:rPr>
          <w:rFonts w:eastAsiaTheme="minorEastAsia"/>
        </w:rPr>
        <mc:AlternateContent>
          <mc:Choice Requires="wps">
            <w:drawing>
              <wp:inline distT="0" distB="0" distL="114300" distR="114300">
                <wp:extent cx="635" cy="0"/>
                <wp:effectExtent l="0" t="0" r="0" b="0"/>
                <wp:docPr id="21" name="矩形 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Rot="1" noChangeAspect="1"/>
                      </wps:cNvSpPr>
                      <wps:spPr>
                        <a:xfrm>
                          <a:off x="0" y="0"/>
                          <a:ext cx="635" cy="0"/>
                        </a:xfrm>
                        <a:prstGeom prst="rect">
                          <a:avLst/>
                        </a:prstGeom>
                        <a:noFill/>
                        <a:ln>
                          <a:noFill/>
                        </a:ln>
                        <a:effectLst/>
                      </wps:spPr>
                      <wps:bodyPr wrap="square" upright="1"/>
                    </wps:wsp>
                  </a:graphicData>
                </a:graphic>
              </wp:inline>
            </w:drawing>
          </mc:Choice>
          <mc:Fallback>
            <w:pict>
              <v:rect id="_x0000_s1026" o:spid="_x0000_s1026" o:spt="1" style="height:0pt;width:0.05pt;" filled="f" stroked="f" coordsize="21600,21600" o:gfxdata="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Phwl/c8AAAD/AAAADwAAAAAAAAABACAAAAAiAAAAZHJzL2Rvd25yZXYueG1sUEsBAhQAFAAAAAgA&#10;h07iQFcae2e8AQAAgQMAAA4AAAAAAAAAAQAgAAAAHgEAAGRycy9lMm9Eb2MueG1sUEsFBgAAAAAG&#10;AAYAWQEAAEwFAAAAAA==&#10;">
                <v:fill on="f" focussize="0,0"/>
                <v:stroke on="f"/>
                <v:imagedata o:title=""/>
                <o:lock v:ext="edit" rotation="t" aspectratio="t"/>
                <w10:wrap type="none"/>
                <w10:anchorlock/>
              </v:rect>
            </w:pict>
          </mc:Fallback>
        </mc:AlternateContent>
      </w:r>
      <w:r>
        <w:rPr>
          <w:rFonts w:eastAsiaTheme="minorEastAsia"/>
        </w:rPr>
        <mc:AlternateContent>
          <mc:Choice Requires="wps">
            <w:drawing>
              <wp:inline distT="0" distB="0" distL="114300" distR="114300">
                <wp:extent cx="635" cy="0"/>
                <wp:effectExtent l="0" t="0" r="0" b="0"/>
                <wp:docPr id="32" name="矩形 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Rot="1" noChangeAspect="1"/>
                      </wps:cNvSpPr>
                      <wps:spPr>
                        <a:xfrm>
                          <a:off x="0" y="0"/>
                          <a:ext cx="635" cy="0"/>
                        </a:xfrm>
                        <a:prstGeom prst="rect">
                          <a:avLst/>
                        </a:prstGeom>
                        <a:noFill/>
                        <a:ln>
                          <a:noFill/>
                        </a:ln>
                        <a:effectLst/>
                      </wps:spPr>
                      <wps:bodyPr wrap="square" upright="1"/>
                    </wps:wsp>
                  </a:graphicData>
                </a:graphic>
              </wp:inline>
            </w:drawing>
          </mc:Choice>
          <mc:Fallback>
            <w:pict>
              <v:rect id="_x0000_s1026" o:spid="_x0000_s1026" o:spt="1" style="height:0pt;width:0.05pt;" filled="f" stroked="f" coordsize="21600,21600" o:gfxdata="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D4cJf3PAAAA/wAAAA8AAAAAAAAAAQAgAAAAIgAAAGRycy9kb3ducmV2LnhtbFBLAQIUABQAAAAI&#10;AIdO4kDLI6qnvQEAAIEDAAAOAAAAAAAAAAEAIAAAAB4BAABkcnMvZTJvRG9jLnhtbFBLBQYAAAAA&#10;BgAGAFkBAABNBQAAAAA=&#10;">
                <v:fill on="f" focussize="0,0"/>
                <v:stroke on="f"/>
                <v:imagedata o:title=""/>
                <o:lock v:ext="edit" rotation="t" aspectratio="t"/>
                <w10:wrap type="none"/>
                <w10:anchorlock/>
              </v:rect>
            </w:pict>
          </mc:Fallback>
        </mc:AlternateContent>
      </w:r>
      <w:r>
        <w:rPr>
          <w:rFonts w:eastAsiaTheme="minorEastAsia"/>
        </w:rPr>
        <mc:AlternateContent>
          <mc:Choice Requires="wps">
            <w:drawing>
              <wp:inline distT="0" distB="0" distL="114300" distR="114300">
                <wp:extent cx="635" cy="0"/>
                <wp:effectExtent l="0" t="0" r="0" b="0"/>
                <wp:docPr id="36" name="矩形 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Rot="1" noChangeAspect="1"/>
                      </wps:cNvSpPr>
                      <wps:spPr>
                        <a:xfrm>
                          <a:off x="0" y="0"/>
                          <a:ext cx="635" cy="0"/>
                        </a:xfrm>
                        <a:prstGeom prst="rect">
                          <a:avLst/>
                        </a:prstGeom>
                        <a:noFill/>
                        <a:ln>
                          <a:noFill/>
                        </a:ln>
                        <a:effectLst/>
                      </wps:spPr>
                      <wps:bodyPr wrap="square" upright="1"/>
                    </wps:wsp>
                  </a:graphicData>
                </a:graphic>
              </wp:inline>
            </w:drawing>
          </mc:Choice>
          <mc:Fallback>
            <w:pict>
              <v:rect id="_x0000_s1026" o:spid="_x0000_s1026" o:spt="1" style="height:0pt;width:0.05pt;" filled="f" stroked="f" coordsize="21600,21600" o:gfxdata="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D4cJf3PAAAA/wAAAA8AAAAAAAAAAQAgAAAAIgAAAGRycy9kb3ducmV2LnhtbFBLAQIUABQAAAAI&#10;AIdO4kDYe+8BvQEAAIEDAAAOAAAAAAAAAAEAIAAAAB4BAABkcnMvZTJvRG9jLnhtbFBLBQYAAAAA&#10;BgAGAFkBAABNBQAAAAA=&#10;">
                <v:fill on="f" focussize="0,0"/>
                <v:stroke on="f"/>
                <v:imagedata o:title=""/>
                <o:lock v:ext="edit" rotation="t" aspectratio="t"/>
                <w10:wrap type="none"/>
                <w10:anchorlock/>
              </v:rect>
            </w:pict>
          </mc:Fallback>
        </mc:AlternateContent>
      </w:r>
      <w:r>
        <w:rPr>
          <w:rFonts w:eastAsiaTheme="minorEastAsia"/>
        </w:rPr>
        <mc:AlternateContent>
          <mc:Choice Requires="wps">
            <w:drawing>
              <wp:inline distT="0" distB="0" distL="114300" distR="114300">
                <wp:extent cx="635" cy="0"/>
                <wp:effectExtent l="0" t="0" r="0" b="0"/>
                <wp:docPr id="33" name="矩形 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Rot="1" noChangeAspect="1"/>
                      </wps:cNvSpPr>
                      <wps:spPr>
                        <a:xfrm>
                          <a:off x="0" y="0"/>
                          <a:ext cx="635" cy="0"/>
                        </a:xfrm>
                        <a:prstGeom prst="rect">
                          <a:avLst/>
                        </a:prstGeom>
                        <a:noFill/>
                        <a:ln>
                          <a:noFill/>
                        </a:ln>
                        <a:effectLst/>
                      </wps:spPr>
                      <wps:bodyPr wrap="square" upright="1"/>
                    </wps:wsp>
                  </a:graphicData>
                </a:graphic>
              </wp:inline>
            </w:drawing>
          </mc:Choice>
          <mc:Fallback>
            <w:pict>
              <v:rect id="_x0000_s1026" o:spid="_x0000_s1026" o:spt="1" style="height:0pt;width:0.05pt;" filled="f" stroked="f" coordsize="21600,21600" o:gfxdata="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D4cJf3PAAAA/wAAAA8AAAAAAAAAAQAgAAAAIgAAAGRycy9kb3ducmV2LnhtbFBLAQIUABQAAAAI&#10;AIdO4kB/t18VvQEAAIEDAAAOAAAAAAAAAAEAIAAAAB4BAABkcnMvZTJvRG9jLnhtbFBLBQYAAAAA&#10;BgAGAFkBAABNBQAAAAA=&#10;">
                <v:fill on="f" focussize="0,0"/>
                <v:stroke on="f"/>
                <v:imagedata o:title=""/>
                <o:lock v:ext="edit" rotation="t" aspectratio="t"/>
                <w10:wrap type="none"/>
                <w10:anchorlock/>
              </v:rect>
            </w:pict>
          </mc:Fallback>
        </mc:AlternateContent>
      </w:r>
      <w:r>
        <w:rPr>
          <w:rFonts w:eastAsiaTheme="minorEastAsia"/>
        </w:rPr>
        <w:t>，构造上处于东辛油田东营穹隆构造的核心，南为营52断块，北为营13断块，西接营1断块，东为辛65断块。本项目新钻油井6口，利用老油井1口。</w:t>
      </w:r>
      <w:bookmarkEnd w:id="1"/>
      <w:bookmarkEnd w:id="2"/>
    </w:p>
    <w:bookmarkEnd w:id="3"/>
    <w:bookmarkEnd w:id="4"/>
    <w:bookmarkEnd w:id="5"/>
    <w:bookmarkEnd w:id="6"/>
    <w:bookmarkEnd w:id="7"/>
    <w:p>
      <w:pPr>
        <w:ind w:firstLine="560"/>
        <w:rPr>
          <w:rFonts w:eastAsiaTheme="minorEastAsia"/>
          <w:szCs w:val="28"/>
        </w:rPr>
      </w:pPr>
      <w:r>
        <w:rPr>
          <w:rFonts w:eastAsiaTheme="minorEastAsia"/>
          <w:szCs w:val="28"/>
        </w:rPr>
        <w:t>该工程新增开发投资3992.59万元，其中钻井工程2841.15万元、采油工程883.2万元、地面工程175.26万元。</w:t>
      </w:r>
    </w:p>
    <w:p>
      <w:pPr>
        <w:ind w:firstLine="560"/>
        <w:rPr>
          <w:rFonts w:eastAsiaTheme="minorEastAsia"/>
          <w:szCs w:val="28"/>
        </w:rPr>
      </w:pPr>
      <w:r>
        <w:rPr>
          <w:rFonts w:eastAsiaTheme="minorEastAsia"/>
          <w:szCs w:val="28"/>
        </w:rPr>
        <w:t>根据《中华人民共和国安全生产法》（主席令</w:t>
      </w:r>
      <w:r>
        <w:rPr>
          <w:rFonts w:hint="eastAsia" w:eastAsiaTheme="minorEastAsia"/>
          <w:szCs w:val="28"/>
        </w:rPr>
        <w:t>〔</w:t>
      </w:r>
      <w:r>
        <w:rPr>
          <w:rFonts w:eastAsiaTheme="minorEastAsia"/>
          <w:szCs w:val="28"/>
        </w:rPr>
        <w:t>2002</w:t>
      </w:r>
      <w:r>
        <w:rPr>
          <w:rFonts w:hint="eastAsia" w:eastAsiaTheme="minorEastAsia"/>
          <w:szCs w:val="28"/>
        </w:rPr>
        <w:t>〕</w:t>
      </w:r>
      <w:r>
        <w:rPr>
          <w:rFonts w:eastAsiaTheme="minorEastAsia"/>
          <w:szCs w:val="28"/>
        </w:rPr>
        <w:t>70号发布，</w:t>
      </w:r>
      <w:r>
        <w:rPr>
          <w:rFonts w:hint="eastAsia" w:eastAsiaTheme="minorEastAsia"/>
          <w:szCs w:val="28"/>
        </w:rPr>
        <w:t>〔</w:t>
      </w:r>
      <w:r>
        <w:rPr>
          <w:rFonts w:eastAsiaTheme="minorEastAsia"/>
          <w:szCs w:val="28"/>
        </w:rPr>
        <w:t>2021</w:t>
      </w:r>
      <w:r>
        <w:rPr>
          <w:rFonts w:hint="eastAsia" w:eastAsiaTheme="minorEastAsia"/>
          <w:szCs w:val="28"/>
        </w:rPr>
        <w:t>〕</w:t>
      </w:r>
      <w:r>
        <w:rPr>
          <w:rFonts w:eastAsiaTheme="minorEastAsia"/>
          <w:szCs w:val="28"/>
        </w:rPr>
        <w:t>第88号修正）、《建设项目安全设施</w:t>
      </w:r>
      <w:r>
        <w:rPr>
          <w:rFonts w:hint="eastAsia" w:eastAsiaTheme="minorEastAsia"/>
          <w:szCs w:val="28"/>
        </w:rPr>
        <w:t>“</w:t>
      </w:r>
      <w:r>
        <w:rPr>
          <w:rFonts w:eastAsiaTheme="minorEastAsia"/>
          <w:szCs w:val="28"/>
        </w:rPr>
        <w:t>三同时</w:t>
      </w:r>
      <w:r>
        <w:rPr>
          <w:rFonts w:hint="eastAsia" w:eastAsiaTheme="minorEastAsia"/>
          <w:szCs w:val="28"/>
        </w:rPr>
        <w:t>”</w:t>
      </w:r>
      <w:r>
        <w:rPr>
          <w:rFonts w:eastAsiaTheme="minorEastAsia"/>
          <w:szCs w:val="28"/>
        </w:rPr>
        <w:t>监督管理办法》（国家安全生产监督管理总局令</w:t>
      </w:r>
      <w:r>
        <w:rPr>
          <w:rFonts w:hint="eastAsia" w:eastAsiaTheme="minorEastAsia"/>
          <w:szCs w:val="28"/>
        </w:rPr>
        <w:t>〔</w:t>
      </w:r>
      <w:r>
        <w:rPr>
          <w:rFonts w:eastAsiaTheme="minorEastAsia"/>
          <w:szCs w:val="28"/>
        </w:rPr>
        <w:t>2015</w:t>
      </w:r>
      <w:r>
        <w:rPr>
          <w:rFonts w:hint="eastAsia" w:eastAsiaTheme="minorEastAsia"/>
          <w:szCs w:val="28"/>
        </w:rPr>
        <w:t>〕</w:t>
      </w:r>
      <w:r>
        <w:rPr>
          <w:rFonts w:eastAsiaTheme="minorEastAsia"/>
          <w:szCs w:val="28"/>
        </w:rPr>
        <w:t>77号、应急部公告</w:t>
      </w:r>
      <w:r>
        <w:rPr>
          <w:rFonts w:hint="eastAsia" w:eastAsiaTheme="minorEastAsia"/>
          <w:szCs w:val="28"/>
        </w:rPr>
        <w:t>〔</w:t>
      </w:r>
      <w:r>
        <w:rPr>
          <w:rFonts w:eastAsiaTheme="minorEastAsia"/>
          <w:szCs w:val="28"/>
        </w:rPr>
        <w:t>2018</w:t>
      </w:r>
      <w:r>
        <w:rPr>
          <w:rFonts w:hint="eastAsia" w:eastAsiaTheme="minorEastAsia"/>
          <w:szCs w:val="28"/>
        </w:rPr>
        <w:t>〕</w:t>
      </w:r>
      <w:r>
        <w:rPr>
          <w:rFonts w:eastAsiaTheme="minorEastAsia"/>
          <w:szCs w:val="28"/>
        </w:rPr>
        <w:t>12号修正）等规定的要求，为实现建设项目的本质安全和生产、经济的同步增长，东辛采油厂委托我公司对本工程进行安全预评价。</w:t>
      </w:r>
    </w:p>
    <w:p>
      <w:pPr>
        <w:ind w:firstLine="560"/>
        <w:rPr>
          <w:rFonts w:eastAsiaTheme="minorEastAsia"/>
          <w:szCs w:val="28"/>
        </w:rPr>
      </w:pPr>
      <w:r>
        <w:rPr>
          <w:rFonts w:eastAsiaTheme="minorEastAsia"/>
          <w:szCs w:val="28"/>
        </w:rPr>
        <w:t>我公司接到委托后，成立了评价项目组，按照《安全预评价导则》（AQ8002-2007）的要求，进行了资料与标准收集、现场调研、工程分析、危险与有害因素分析、评价，并在此基础上提出了安全对策措施建议，最后编制完成了本工程安全预评价报告。</w:t>
      </w:r>
    </w:p>
    <w:p>
      <w:pPr>
        <w:ind w:firstLine="560"/>
        <w:rPr>
          <w:rFonts w:eastAsiaTheme="minorEastAsia"/>
          <w:szCs w:val="28"/>
        </w:rPr>
      </w:pPr>
      <w:r>
        <w:rPr>
          <w:rFonts w:eastAsiaTheme="minorEastAsia"/>
          <w:szCs w:val="28"/>
        </w:rPr>
        <w:t>此次安全评价工作，自始至终都得到了东辛采油厂领导和员工的大力支持和配合，在此表示衷心的感谢！</w:t>
      </w:r>
    </w:p>
    <w:p>
      <w:pPr>
        <w:ind w:firstLine="560"/>
        <w:jc w:val="right"/>
        <w:rPr>
          <w:rFonts w:eastAsiaTheme="minorEastAsia"/>
          <w:szCs w:val="28"/>
        </w:rPr>
      </w:pPr>
    </w:p>
    <w:p>
      <w:pPr>
        <w:ind w:firstLine="560"/>
        <w:jc w:val="right"/>
        <w:rPr>
          <w:rFonts w:eastAsiaTheme="minorEastAsia"/>
          <w:szCs w:val="28"/>
        </w:rPr>
      </w:pPr>
      <w:r>
        <w:rPr>
          <w:rFonts w:eastAsiaTheme="minorEastAsia"/>
          <w:szCs w:val="28"/>
        </w:rPr>
        <w:t>评价项目组</w:t>
      </w:r>
    </w:p>
    <w:p>
      <w:pPr>
        <w:ind w:firstLine="560"/>
        <w:jc w:val="right"/>
        <w:rPr>
          <w:rFonts w:eastAsiaTheme="minorEastAsia"/>
          <w:szCs w:val="28"/>
          <w:shd w:val="pct10" w:color="auto" w:fill="FFFFFF"/>
        </w:rPr>
      </w:pPr>
      <w:r>
        <w:rPr>
          <w:rFonts w:eastAsiaTheme="minorEastAsia"/>
          <w:szCs w:val="28"/>
        </w:rPr>
        <w:t>2022年12月</w:t>
      </w:r>
    </w:p>
    <w:p>
      <w:pPr>
        <w:ind w:right="140" w:firstLine="560"/>
        <w:jc w:val="right"/>
        <w:rPr>
          <w:rFonts w:eastAsiaTheme="minorEastAsia"/>
          <w:szCs w:val="28"/>
          <w:shd w:val="pct10" w:color="auto" w:fill="FFFFFF"/>
        </w:rPr>
      </w:pPr>
    </w:p>
    <w:p>
      <w:pPr>
        <w:pStyle w:val="44"/>
        <w:ind w:firstLine="560"/>
        <w:rPr>
          <w:rFonts w:ascii="Times New Roman" w:hAnsi="Times New Roman" w:eastAsiaTheme="minorEastAsia"/>
          <w:szCs w:val="28"/>
          <w:shd w:val="pct10" w:color="auto" w:fill="FFFFFF"/>
        </w:rPr>
      </w:pPr>
    </w:p>
    <w:p>
      <w:pPr>
        <w:pStyle w:val="44"/>
        <w:ind w:firstLine="560"/>
        <w:rPr>
          <w:rFonts w:ascii="Times New Roman" w:hAnsi="Times New Roman" w:eastAsiaTheme="minorEastAsia"/>
          <w:szCs w:val="28"/>
          <w:shd w:val="pct10" w:color="auto" w:fill="FFFFFF"/>
        </w:rPr>
      </w:pPr>
    </w:p>
    <w:p>
      <w:pPr>
        <w:pStyle w:val="44"/>
        <w:ind w:firstLine="560"/>
        <w:rPr>
          <w:rFonts w:ascii="Times New Roman" w:hAnsi="Times New Roman" w:eastAsiaTheme="minorEastAsia"/>
          <w:szCs w:val="28"/>
          <w:shd w:val="pct10" w:color="auto" w:fill="FFFFFF"/>
        </w:rPr>
      </w:pPr>
    </w:p>
    <w:p>
      <w:pPr>
        <w:pStyle w:val="44"/>
        <w:ind w:firstLine="560"/>
        <w:rPr>
          <w:rFonts w:ascii="Times New Roman" w:hAnsi="Times New Roman" w:eastAsiaTheme="minorEastAsia"/>
          <w:szCs w:val="28"/>
          <w:shd w:val="pct10" w:color="auto" w:fill="FFFFFF"/>
        </w:rPr>
      </w:pPr>
    </w:p>
    <w:p>
      <w:pPr>
        <w:ind w:right="140" w:firstLine="560"/>
        <w:jc w:val="right"/>
        <w:rPr>
          <w:rFonts w:eastAsiaTheme="minorEastAsia"/>
          <w:szCs w:val="28"/>
          <w:shd w:val="pct10" w:color="auto" w:fill="FFFFFF"/>
        </w:rPr>
        <w:sectPr>
          <w:headerReference r:id="rId11" w:type="default"/>
          <w:footerReference r:id="rId12" w:type="default"/>
          <w:pgSz w:w="11906" w:h="16838"/>
          <w:pgMar w:top="1985" w:right="1814" w:bottom="1985" w:left="1814" w:header="1389" w:footer="992" w:gutter="0"/>
          <w:pgBorders>
            <w:top w:val="none" w:sz="0" w:space="0"/>
            <w:left w:val="none" w:sz="0" w:space="0"/>
            <w:bottom w:val="none" w:sz="0" w:space="0"/>
            <w:right w:val="none" w:sz="0" w:space="0"/>
          </w:pgBorders>
          <w:pgNumType w:start="1"/>
          <w:cols w:space="720" w:num="1"/>
          <w:docGrid w:linePitch="312" w:charSpace="0"/>
        </w:sectPr>
      </w:pPr>
    </w:p>
    <w:sdt>
      <w:sdtPr>
        <w:rPr>
          <w:rFonts w:eastAsiaTheme="minorEastAsia"/>
          <w:sz w:val="21"/>
        </w:rPr>
        <w:id w:val="147457280"/>
        <w:docPartObj>
          <w:docPartGallery w:val="Table of Contents"/>
          <w:docPartUnique/>
        </w:docPartObj>
      </w:sdtPr>
      <w:sdtEndPr>
        <w:rPr>
          <w:rFonts w:eastAsiaTheme="minorEastAsia"/>
          <w:b/>
          <w:sz w:val="21"/>
        </w:rPr>
      </w:sdtEndPr>
      <w:sdtContent>
        <w:p>
          <w:pPr>
            <w:spacing w:line="240" w:lineRule="auto"/>
            <w:ind w:firstLine="0" w:firstLineChars="0"/>
            <w:jc w:val="center"/>
            <w:rPr>
              <w:rFonts w:eastAsiaTheme="minorEastAsia"/>
            </w:rPr>
          </w:pPr>
          <w:bookmarkStart w:id="8" w:name="_Toc534380494"/>
          <w:bookmarkStart w:id="9" w:name="_Toc530734053"/>
          <w:bookmarkStart w:id="10" w:name="_Toc202759397"/>
          <w:bookmarkStart w:id="11" w:name="_Toc522018243"/>
          <w:bookmarkStart w:id="12" w:name="_Toc41742608"/>
          <w:r>
            <w:rPr>
              <w:rFonts w:eastAsiaTheme="minorEastAsia"/>
              <w:b/>
              <w:bCs/>
              <w:sz w:val="30"/>
              <w:szCs w:val="30"/>
            </w:rPr>
            <w:t>目  录</w:t>
          </w:r>
          <w:bookmarkEnd w:id="8"/>
          <w:bookmarkEnd w:id="9"/>
        </w:p>
        <w:p>
          <w:pPr>
            <w:pStyle w:val="31"/>
            <w:tabs>
              <w:tab w:val="right" w:leader="dot" w:pos="8278"/>
              <w:tab w:val="clear" w:pos="8640"/>
            </w:tabs>
            <w:spacing w:line="440" w:lineRule="exact"/>
            <w:ind w:left="482" w:hanging="482"/>
            <w:rPr>
              <w:rFonts w:ascii="Times New Roman" w:hAnsi="Times New Roman"/>
              <w:sz w:val="24"/>
              <w:szCs w:val="18"/>
            </w:rPr>
          </w:pPr>
          <w:r>
            <w:rPr>
              <w:rFonts w:ascii="Times New Roman" w:hAnsi="Times New Roman" w:eastAsiaTheme="minorEastAsia"/>
              <w:sz w:val="24"/>
              <w:szCs w:val="24"/>
            </w:rPr>
            <w:fldChar w:fldCharType="begin"/>
          </w:r>
          <w:r>
            <w:rPr>
              <w:rFonts w:ascii="Times New Roman" w:hAnsi="Times New Roman" w:eastAsiaTheme="minorEastAsia"/>
              <w:sz w:val="24"/>
              <w:szCs w:val="24"/>
            </w:rPr>
            <w:instrText xml:space="preserve">TOC \o "1-2" \h \u </w:instrText>
          </w:r>
          <w:r>
            <w:rPr>
              <w:rFonts w:ascii="Times New Roman" w:hAnsi="Times New Roman" w:eastAsiaTheme="minorEastAsia"/>
              <w:sz w:val="24"/>
              <w:szCs w:val="24"/>
            </w:rPr>
            <w:fldChar w:fldCharType="separate"/>
          </w:r>
          <w:r>
            <w:fldChar w:fldCharType="begin"/>
          </w:r>
          <w:r>
            <w:instrText xml:space="preserve"> HYPERLINK \l "_Toc11347" </w:instrText>
          </w:r>
          <w:r>
            <w:fldChar w:fldCharType="separate"/>
          </w:r>
          <w:r>
            <w:rPr>
              <w:rFonts w:ascii="Times New Roman" w:hAnsi="Times New Roman" w:eastAsiaTheme="minorEastAsia"/>
              <w:sz w:val="24"/>
              <w:szCs w:val="18"/>
            </w:rPr>
            <w:t>1  总则</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_Toc11347 \h </w:instrText>
          </w:r>
          <w:r>
            <w:rPr>
              <w:rFonts w:ascii="Times New Roman" w:hAnsi="Times New Roman"/>
              <w:sz w:val="24"/>
              <w:szCs w:val="18"/>
            </w:rPr>
            <w:fldChar w:fldCharType="separate"/>
          </w:r>
          <w:r>
            <w:rPr>
              <w:rFonts w:ascii="Times New Roman" w:hAnsi="Times New Roman"/>
              <w:sz w:val="24"/>
              <w:szCs w:val="18"/>
            </w:rPr>
            <w:t>1</w:t>
          </w:r>
          <w:r>
            <w:rPr>
              <w:rFonts w:ascii="Times New Roman" w:hAnsi="Times New Roman"/>
              <w:sz w:val="24"/>
              <w:szCs w:val="18"/>
            </w:rPr>
            <w:fldChar w:fldCharType="end"/>
          </w:r>
          <w:r>
            <w:rPr>
              <w:rFonts w:ascii="Times New Roman" w:hAnsi="Times New Roman"/>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"_Toc28079" </w:instrText>
          </w:r>
          <w:r>
            <w:fldChar w:fldCharType="separate"/>
          </w:r>
          <w:r>
            <w:rPr>
              <w:rFonts w:eastAsiaTheme="minorEastAsia"/>
              <w:sz w:val="24"/>
              <w:szCs w:val="18"/>
            </w:rPr>
            <w:t>1.1  评价目的</w:t>
          </w:r>
          <w:r>
            <w:rPr>
              <w:sz w:val="24"/>
              <w:szCs w:val="18"/>
            </w:rPr>
            <w:tab/>
          </w:r>
          <w:r>
            <w:rPr>
              <w:sz w:val="24"/>
              <w:szCs w:val="18"/>
            </w:rPr>
            <w:fldChar w:fldCharType="begin"/>
          </w:r>
          <w:r>
            <w:rPr>
              <w:sz w:val="24"/>
              <w:szCs w:val="18"/>
            </w:rPr>
            <w:instrText xml:space="preserve"> PAGEREF _Toc28079 \h </w:instrText>
          </w:r>
          <w:r>
            <w:rPr>
              <w:sz w:val="24"/>
              <w:szCs w:val="18"/>
            </w:rPr>
            <w:fldChar w:fldCharType="separate"/>
          </w:r>
          <w:r>
            <w:rPr>
              <w:sz w:val="24"/>
              <w:szCs w:val="18"/>
            </w:rPr>
            <w:t>1</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"_Toc31665" </w:instrText>
          </w:r>
          <w:r>
            <w:fldChar w:fldCharType="separate"/>
          </w:r>
          <w:r>
            <w:rPr>
              <w:rFonts w:eastAsiaTheme="minorEastAsia"/>
              <w:sz w:val="24"/>
              <w:szCs w:val="18"/>
            </w:rPr>
            <w:t>1.2  评价依据</w:t>
          </w:r>
          <w:r>
            <w:rPr>
              <w:sz w:val="24"/>
              <w:szCs w:val="18"/>
            </w:rPr>
            <w:tab/>
          </w:r>
          <w:r>
            <w:rPr>
              <w:sz w:val="24"/>
              <w:szCs w:val="18"/>
            </w:rPr>
            <w:fldChar w:fldCharType="begin"/>
          </w:r>
          <w:r>
            <w:rPr>
              <w:sz w:val="24"/>
              <w:szCs w:val="18"/>
            </w:rPr>
            <w:instrText xml:space="preserve"> PAGEREF _Toc31665 \h </w:instrText>
          </w:r>
          <w:r>
            <w:rPr>
              <w:sz w:val="24"/>
              <w:szCs w:val="18"/>
            </w:rPr>
            <w:fldChar w:fldCharType="separate"/>
          </w:r>
          <w:r>
            <w:rPr>
              <w:sz w:val="24"/>
              <w:szCs w:val="18"/>
            </w:rPr>
            <w:t>1</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"_Toc3800" </w:instrText>
          </w:r>
          <w:r>
            <w:fldChar w:fldCharType="separate"/>
          </w:r>
          <w:r>
            <w:rPr>
              <w:rFonts w:eastAsiaTheme="minorEastAsia"/>
              <w:sz w:val="24"/>
              <w:szCs w:val="18"/>
            </w:rPr>
            <w:t>1.3  评价范围</w:t>
          </w:r>
          <w:r>
            <w:rPr>
              <w:sz w:val="24"/>
              <w:szCs w:val="18"/>
            </w:rPr>
            <w:tab/>
          </w:r>
          <w:r>
            <w:rPr>
              <w:sz w:val="24"/>
              <w:szCs w:val="18"/>
            </w:rPr>
            <w:fldChar w:fldCharType="begin"/>
          </w:r>
          <w:r>
            <w:rPr>
              <w:sz w:val="24"/>
              <w:szCs w:val="18"/>
            </w:rPr>
            <w:instrText xml:space="preserve"> PAGEREF _Toc3800 \h </w:instrText>
          </w:r>
          <w:r>
            <w:rPr>
              <w:sz w:val="24"/>
              <w:szCs w:val="18"/>
            </w:rPr>
            <w:fldChar w:fldCharType="separate"/>
          </w:r>
          <w:r>
            <w:rPr>
              <w:sz w:val="24"/>
              <w:szCs w:val="18"/>
            </w:rPr>
            <w:t>5</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"_Toc17290" </w:instrText>
          </w:r>
          <w:r>
            <w:fldChar w:fldCharType="separate"/>
          </w:r>
          <w:r>
            <w:rPr>
              <w:rFonts w:eastAsiaTheme="minorEastAsia"/>
              <w:sz w:val="24"/>
              <w:szCs w:val="18"/>
            </w:rPr>
            <w:t>1.4  评价程序</w:t>
          </w:r>
          <w:r>
            <w:rPr>
              <w:sz w:val="24"/>
              <w:szCs w:val="18"/>
            </w:rPr>
            <w:tab/>
          </w:r>
          <w:r>
            <w:rPr>
              <w:sz w:val="24"/>
              <w:szCs w:val="18"/>
            </w:rPr>
            <w:fldChar w:fldCharType="begin"/>
          </w:r>
          <w:r>
            <w:rPr>
              <w:sz w:val="24"/>
              <w:szCs w:val="18"/>
            </w:rPr>
            <w:instrText xml:space="preserve"> PAGEREF _Toc17290 \h </w:instrText>
          </w:r>
          <w:r>
            <w:rPr>
              <w:sz w:val="24"/>
              <w:szCs w:val="18"/>
            </w:rPr>
            <w:fldChar w:fldCharType="separate"/>
          </w:r>
          <w:r>
            <w:rPr>
              <w:sz w:val="24"/>
              <w:szCs w:val="18"/>
            </w:rPr>
            <w:t>5</w:t>
          </w:r>
          <w:r>
            <w:rPr>
              <w:sz w:val="24"/>
              <w:szCs w:val="18"/>
            </w:rPr>
            <w:fldChar w:fldCharType="end"/>
          </w:r>
          <w:r>
            <w:rPr>
              <w:sz w:val="24"/>
              <w:szCs w:val="18"/>
            </w:rPr>
            <w:fldChar w:fldCharType="end"/>
          </w:r>
        </w:p>
        <w:p>
          <w:pPr>
            <w:pStyle w:val="31"/>
            <w:tabs>
              <w:tab w:val="right" w:leader="dot" w:pos="8278"/>
              <w:tab w:val="clear" w:pos="8640"/>
            </w:tabs>
            <w:spacing w:line="440" w:lineRule="exact"/>
            <w:ind w:left="562" w:hanging="562"/>
            <w:rPr>
              <w:rFonts w:ascii="Times New Roman" w:hAnsi="Times New Roman"/>
              <w:sz w:val="24"/>
              <w:szCs w:val="18"/>
            </w:rPr>
          </w:pPr>
          <w:r>
            <w:fldChar w:fldCharType="begin"/>
          </w:r>
          <w:r>
            <w:instrText xml:space="preserve"> HYPERLINK \l "_Toc10735" </w:instrText>
          </w:r>
          <w:r>
            <w:fldChar w:fldCharType="separate"/>
          </w:r>
          <w:r>
            <w:rPr>
              <w:rFonts w:ascii="Times New Roman" w:hAnsi="Times New Roman" w:eastAsiaTheme="minorEastAsia"/>
              <w:sz w:val="24"/>
              <w:szCs w:val="18"/>
            </w:rPr>
            <w:t>2  工程概况</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_Toc10735 \h </w:instrText>
          </w:r>
          <w:r>
            <w:rPr>
              <w:rFonts w:ascii="Times New Roman" w:hAnsi="Times New Roman"/>
              <w:sz w:val="24"/>
              <w:szCs w:val="18"/>
            </w:rPr>
            <w:fldChar w:fldCharType="separate"/>
          </w:r>
          <w:r>
            <w:rPr>
              <w:rFonts w:ascii="Times New Roman" w:hAnsi="Times New Roman"/>
              <w:sz w:val="24"/>
              <w:szCs w:val="18"/>
            </w:rPr>
            <w:t>7</w:t>
          </w:r>
          <w:r>
            <w:rPr>
              <w:rFonts w:ascii="Times New Roman" w:hAnsi="Times New Roman"/>
              <w:sz w:val="24"/>
              <w:szCs w:val="18"/>
            </w:rPr>
            <w:fldChar w:fldCharType="end"/>
          </w:r>
          <w:r>
            <w:rPr>
              <w:rFonts w:ascii="Times New Roman" w:hAnsi="Times New Roman"/>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"_Toc15486" </w:instrText>
          </w:r>
          <w:r>
            <w:fldChar w:fldCharType="separate"/>
          </w:r>
          <w:r>
            <w:rPr>
              <w:rFonts w:eastAsiaTheme="minorEastAsia"/>
              <w:sz w:val="24"/>
              <w:szCs w:val="18"/>
            </w:rPr>
            <w:t>2.1  工程基本信息</w:t>
          </w:r>
          <w:r>
            <w:rPr>
              <w:sz w:val="24"/>
              <w:szCs w:val="18"/>
            </w:rPr>
            <w:tab/>
          </w:r>
          <w:r>
            <w:rPr>
              <w:sz w:val="24"/>
              <w:szCs w:val="18"/>
            </w:rPr>
            <w:fldChar w:fldCharType="begin"/>
          </w:r>
          <w:r>
            <w:rPr>
              <w:sz w:val="24"/>
              <w:szCs w:val="18"/>
            </w:rPr>
            <w:instrText xml:space="preserve"> PAGEREF _Toc15486 \h </w:instrText>
          </w:r>
          <w:r>
            <w:rPr>
              <w:sz w:val="24"/>
              <w:szCs w:val="18"/>
            </w:rPr>
            <w:fldChar w:fldCharType="separate"/>
          </w:r>
          <w:r>
            <w:rPr>
              <w:sz w:val="24"/>
              <w:szCs w:val="18"/>
            </w:rPr>
            <w:t>7</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"_Toc31237" </w:instrText>
          </w:r>
          <w:r>
            <w:fldChar w:fldCharType="separate"/>
          </w:r>
          <w:r>
            <w:rPr>
              <w:rFonts w:eastAsiaTheme="minorEastAsia"/>
              <w:sz w:val="24"/>
              <w:szCs w:val="18"/>
            </w:rPr>
            <w:t>2.2  建设及生产管理单位简介</w:t>
          </w:r>
          <w:r>
            <w:rPr>
              <w:sz w:val="24"/>
              <w:szCs w:val="18"/>
            </w:rPr>
            <w:tab/>
          </w:r>
          <w:r>
            <w:rPr>
              <w:sz w:val="24"/>
              <w:szCs w:val="18"/>
            </w:rPr>
            <w:fldChar w:fldCharType="begin"/>
          </w:r>
          <w:r>
            <w:rPr>
              <w:sz w:val="24"/>
              <w:szCs w:val="18"/>
            </w:rPr>
            <w:instrText xml:space="preserve"> PAGEREF _Toc31237 \h </w:instrText>
          </w:r>
          <w:r>
            <w:rPr>
              <w:sz w:val="24"/>
              <w:szCs w:val="18"/>
            </w:rPr>
            <w:fldChar w:fldCharType="separate"/>
          </w:r>
          <w:r>
            <w:rPr>
              <w:sz w:val="24"/>
              <w:szCs w:val="18"/>
            </w:rPr>
            <w:t>7</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"_Toc20103" </w:instrText>
          </w:r>
          <w:r>
            <w:fldChar w:fldCharType="separate"/>
          </w:r>
          <w:r>
            <w:rPr>
              <w:rFonts w:eastAsiaTheme="minorEastAsia"/>
              <w:sz w:val="24"/>
              <w:szCs w:val="18"/>
            </w:rPr>
            <w:t>2.3  自然环境概况</w:t>
          </w:r>
          <w:r>
            <w:rPr>
              <w:sz w:val="24"/>
              <w:szCs w:val="18"/>
            </w:rPr>
            <w:tab/>
          </w:r>
          <w:r>
            <w:rPr>
              <w:sz w:val="24"/>
              <w:szCs w:val="18"/>
            </w:rPr>
            <w:fldChar w:fldCharType="begin"/>
          </w:r>
          <w:r>
            <w:rPr>
              <w:sz w:val="24"/>
              <w:szCs w:val="18"/>
            </w:rPr>
            <w:instrText xml:space="preserve"> PAGEREF _Toc20103 \h </w:instrText>
          </w:r>
          <w:r>
            <w:rPr>
              <w:sz w:val="24"/>
              <w:szCs w:val="18"/>
            </w:rPr>
            <w:fldChar w:fldCharType="separate"/>
          </w:r>
          <w:r>
            <w:rPr>
              <w:sz w:val="24"/>
              <w:szCs w:val="18"/>
            </w:rPr>
            <w:t>8</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"_Toc9135" </w:instrText>
          </w:r>
          <w:r>
            <w:fldChar w:fldCharType="separate"/>
          </w:r>
          <w:r>
            <w:rPr>
              <w:rFonts w:eastAsiaTheme="minorEastAsia"/>
              <w:sz w:val="24"/>
              <w:szCs w:val="18"/>
            </w:rPr>
            <w:t>2.4  油气藏工程</w:t>
          </w:r>
          <w:r>
            <w:rPr>
              <w:sz w:val="24"/>
              <w:szCs w:val="18"/>
            </w:rPr>
            <w:tab/>
          </w:r>
          <w:r>
            <w:rPr>
              <w:sz w:val="24"/>
              <w:szCs w:val="18"/>
            </w:rPr>
            <w:fldChar w:fldCharType="begin"/>
          </w:r>
          <w:r>
            <w:rPr>
              <w:sz w:val="24"/>
              <w:szCs w:val="18"/>
            </w:rPr>
            <w:instrText xml:space="preserve"> PAGEREF _Toc9135 \h </w:instrText>
          </w:r>
          <w:r>
            <w:rPr>
              <w:sz w:val="24"/>
              <w:szCs w:val="18"/>
            </w:rPr>
            <w:fldChar w:fldCharType="separate"/>
          </w:r>
          <w:r>
            <w:rPr>
              <w:sz w:val="24"/>
              <w:szCs w:val="18"/>
            </w:rPr>
            <w:t>9</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"_Toc32348" </w:instrText>
          </w:r>
          <w:r>
            <w:fldChar w:fldCharType="separate"/>
          </w:r>
          <w:r>
            <w:rPr>
              <w:rFonts w:eastAsiaTheme="minorEastAsia"/>
              <w:sz w:val="24"/>
              <w:szCs w:val="18"/>
            </w:rPr>
            <w:t>2.5  钻井工程方案</w:t>
          </w:r>
          <w:r>
            <w:rPr>
              <w:sz w:val="24"/>
              <w:szCs w:val="18"/>
            </w:rPr>
            <w:tab/>
          </w:r>
          <w:r>
            <w:rPr>
              <w:sz w:val="24"/>
              <w:szCs w:val="18"/>
            </w:rPr>
            <w:fldChar w:fldCharType="begin"/>
          </w:r>
          <w:r>
            <w:rPr>
              <w:sz w:val="24"/>
              <w:szCs w:val="18"/>
            </w:rPr>
            <w:instrText xml:space="preserve"> PAGEREF _Toc32348 \h </w:instrText>
          </w:r>
          <w:r>
            <w:rPr>
              <w:sz w:val="24"/>
              <w:szCs w:val="18"/>
            </w:rPr>
            <w:fldChar w:fldCharType="separate"/>
          </w:r>
          <w:r>
            <w:rPr>
              <w:sz w:val="24"/>
              <w:szCs w:val="18"/>
            </w:rPr>
            <w:t>13</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"_Toc10587" </w:instrText>
          </w:r>
          <w:r>
            <w:fldChar w:fldCharType="separate"/>
          </w:r>
          <w:r>
            <w:rPr>
              <w:rFonts w:eastAsiaTheme="minorEastAsia"/>
              <w:sz w:val="24"/>
              <w:szCs w:val="18"/>
            </w:rPr>
            <w:t>2.6  采油工程方案</w:t>
          </w:r>
          <w:r>
            <w:rPr>
              <w:sz w:val="24"/>
              <w:szCs w:val="18"/>
            </w:rPr>
            <w:tab/>
          </w:r>
          <w:r>
            <w:rPr>
              <w:sz w:val="24"/>
              <w:szCs w:val="18"/>
            </w:rPr>
            <w:fldChar w:fldCharType="begin"/>
          </w:r>
          <w:r>
            <w:rPr>
              <w:sz w:val="24"/>
              <w:szCs w:val="18"/>
            </w:rPr>
            <w:instrText xml:space="preserve"> PAGEREF _Toc10587 \h </w:instrText>
          </w:r>
          <w:r>
            <w:rPr>
              <w:sz w:val="24"/>
              <w:szCs w:val="18"/>
            </w:rPr>
            <w:fldChar w:fldCharType="separate"/>
          </w:r>
          <w:r>
            <w:rPr>
              <w:sz w:val="24"/>
              <w:szCs w:val="18"/>
            </w:rPr>
            <w:t>30</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"_Toc23295" </w:instrText>
          </w:r>
          <w:r>
            <w:fldChar w:fldCharType="separate"/>
          </w:r>
          <w:r>
            <w:rPr>
              <w:rFonts w:eastAsiaTheme="minorEastAsia"/>
              <w:sz w:val="24"/>
              <w:szCs w:val="18"/>
            </w:rPr>
            <w:t>2.7  地面工程</w:t>
          </w:r>
          <w:r>
            <w:rPr>
              <w:sz w:val="24"/>
              <w:szCs w:val="18"/>
            </w:rPr>
            <w:tab/>
          </w:r>
          <w:r>
            <w:rPr>
              <w:sz w:val="24"/>
              <w:szCs w:val="18"/>
            </w:rPr>
            <w:fldChar w:fldCharType="begin"/>
          </w:r>
          <w:r>
            <w:rPr>
              <w:sz w:val="24"/>
              <w:szCs w:val="18"/>
            </w:rPr>
            <w:instrText xml:space="preserve"> PAGEREF _Toc23295 \h </w:instrText>
          </w:r>
          <w:r>
            <w:rPr>
              <w:sz w:val="24"/>
              <w:szCs w:val="18"/>
            </w:rPr>
            <w:fldChar w:fldCharType="separate"/>
          </w:r>
          <w:r>
            <w:rPr>
              <w:sz w:val="24"/>
              <w:szCs w:val="18"/>
            </w:rPr>
            <w:t>34</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"_Toc17185" </w:instrText>
          </w:r>
          <w:r>
            <w:fldChar w:fldCharType="separate"/>
          </w:r>
          <w:r>
            <w:rPr>
              <w:rFonts w:eastAsiaTheme="minorEastAsia"/>
              <w:sz w:val="24"/>
              <w:szCs w:val="18"/>
            </w:rPr>
            <w:t>2.8  安全管理</w:t>
          </w:r>
          <w:r>
            <w:rPr>
              <w:sz w:val="24"/>
              <w:szCs w:val="18"/>
            </w:rPr>
            <w:tab/>
          </w:r>
          <w:r>
            <w:rPr>
              <w:sz w:val="24"/>
              <w:szCs w:val="18"/>
            </w:rPr>
            <w:fldChar w:fldCharType="begin"/>
          </w:r>
          <w:r>
            <w:rPr>
              <w:sz w:val="24"/>
              <w:szCs w:val="18"/>
            </w:rPr>
            <w:instrText xml:space="preserve"> PAGEREF _Toc17185 \h </w:instrText>
          </w:r>
          <w:r>
            <w:rPr>
              <w:sz w:val="24"/>
              <w:szCs w:val="18"/>
            </w:rPr>
            <w:fldChar w:fldCharType="separate"/>
          </w:r>
          <w:r>
            <w:rPr>
              <w:sz w:val="24"/>
              <w:szCs w:val="18"/>
            </w:rPr>
            <w:t>41</w:t>
          </w:r>
          <w:r>
            <w:rPr>
              <w:sz w:val="24"/>
              <w:szCs w:val="18"/>
            </w:rPr>
            <w:fldChar w:fldCharType="end"/>
          </w:r>
          <w:r>
            <w:rPr>
              <w:sz w:val="24"/>
              <w:szCs w:val="18"/>
            </w:rPr>
            <w:fldChar w:fldCharType="end"/>
          </w:r>
        </w:p>
        <w:p>
          <w:pPr>
            <w:pStyle w:val="31"/>
            <w:tabs>
              <w:tab w:val="right" w:leader="dot" w:pos="8278"/>
              <w:tab w:val="clear" w:pos="8640"/>
            </w:tabs>
            <w:spacing w:line="440" w:lineRule="exact"/>
            <w:ind w:left="562" w:hanging="562"/>
            <w:rPr>
              <w:rFonts w:ascii="Times New Roman" w:hAnsi="Times New Roman"/>
              <w:sz w:val="24"/>
              <w:szCs w:val="18"/>
            </w:rPr>
          </w:pPr>
          <w:r>
            <w:fldChar w:fldCharType="begin"/>
          </w:r>
          <w:r>
            <w:instrText xml:space="preserve"> HYPERLINK \l "_Toc5310" </w:instrText>
          </w:r>
          <w:r>
            <w:fldChar w:fldCharType="separate"/>
          </w:r>
          <w:r>
            <w:rPr>
              <w:rFonts w:ascii="Times New Roman" w:hAnsi="Times New Roman" w:eastAsiaTheme="minorEastAsia"/>
              <w:sz w:val="24"/>
              <w:szCs w:val="18"/>
            </w:rPr>
            <w:t>3  主要危险、有害因素分析</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_Toc5310 \h </w:instrText>
          </w:r>
          <w:r>
            <w:rPr>
              <w:rFonts w:ascii="Times New Roman" w:hAnsi="Times New Roman"/>
              <w:sz w:val="24"/>
              <w:szCs w:val="18"/>
            </w:rPr>
            <w:fldChar w:fldCharType="separate"/>
          </w:r>
          <w:r>
            <w:rPr>
              <w:rFonts w:ascii="Times New Roman" w:hAnsi="Times New Roman"/>
              <w:sz w:val="24"/>
              <w:szCs w:val="18"/>
            </w:rPr>
            <w:t>46</w:t>
          </w:r>
          <w:r>
            <w:rPr>
              <w:rFonts w:ascii="Times New Roman" w:hAnsi="Times New Roman"/>
              <w:sz w:val="24"/>
              <w:szCs w:val="18"/>
            </w:rPr>
            <w:fldChar w:fldCharType="end"/>
          </w:r>
          <w:r>
            <w:rPr>
              <w:rFonts w:ascii="Times New Roman" w:hAnsi="Times New Roman"/>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"_Toc15947" </w:instrText>
          </w:r>
          <w:r>
            <w:fldChar w:fldCharType="separate"/>
          </w:r>
          <w:r>
            <w:rPr>
              <w:rFonts w:eastAsiaTheme="minorEastAsia"/>
              <w:sz w:val="24"/>
              <w:szCs w:val="18"/>
            </w:rPr>
            <w:t>3.1  主要物质危险、有害特性分析</w:t>
          </w:r>
          <w:r>
            <w:rPr>
              <w:sz w:val="24"/>
              <w:szCs w:val="18"/>
            </w:rPr>
            <w:tab/>
          </w:r>
          <w:r>
            <w:rPr>
              <w:sz w:val="24"/>
              <w:szCs w:val="18"/>
            </w:rPr>
            <w:fldChar w:fldCharType="begin"/>
          </w:r>
          <w:r>
            <w:rPr>
              <w:sz w:val="24"/>
              <w:szCs w:val="18"/>
            </w:rPr>
            <w:instrText xml:space="preserve"> PAGEREF _Toc15947 \h </w:instrText>
          </w:r>
          <w:r>
            <w:rPr>
              <w:sz w:val="24"/>
              <w:szCs w:val="18"/>
            </w:rPr>
            <w:fldChar w:fldCharType="separate"/>
          </w:r>
          <w:r>
            <w:rPr>
              <w:sz w:val="24"/>
              <w:szCs w:val="18"/>
            </w:rPr>
            <w:t>46</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"_Toc28970" </w:instrText>
          </w:r>
          <w:r>
            <w:fldChar w:fldCharType="separate"/>
          </w:r>
          <w:r>
            <w:rPr>
              <w:rFonts w:eastAsiaTheme="minorEastAsia"/>
              <w:sz w:val="24"/>
              <w:szCs w:val="18"/>
            </w:rPr>
            <w:t>3.2  钻井工程危险有害因素分析</w:t>
          </w:r>
          <w:r>
            <w:rPr>
              <w:sz w:val="24"/>
              <w:szCs w:val="18"/>
            </w:rPr>
            <w:tab/>
          </w:r>
          <w:r>
            <w:rPr>
              <w:sz w:val="24"/>
              <w:szCs w:val="18"/>
            </w:rPr>
            <w:fldChar w:fldCharType="begin"/>
          </w:r>
          <w:r>
            <w:rPr>
              <w:sz w:val="24"/>
              <w:szCs w:val="18"/>
            </w:rPr>
            <w:instrText xml:space="preserve"> PAGEREF _Toc28970 \h </w:instrText>
          </w:r>
          <w:r>
            <w:rPr>
              <w:sz w:val="24"/>
              <w:szCs w:val="18"/>
            </w:rPr>
            <w:fldChar w:fldCharType="separate"/>
          </w:r>
          <w:r>
            <w:rPr>
              <w:sz w:val="24"/>
              <w:szCs w:val="18"/>
            </w:rPr>
            <w:t>50</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"_Toc27111" </w:instrText>
          </w:r>
          <w:r>
            <w:fldChar w:fldCharType="separate"/>
          </w:r>
          <w:r>
            <w:rPr>
              <w:rFonts w:eastAsiaTheme="minorEastAsia"/>
              <w:sz w:val="24"/>
              <w:szCs w:val="18"/>
            </w:rPr>
            <w:t>3.3  井下作业危险有害因素分析</w:t>
          </w:r>
          <w:r>
            <w:rPr>
              <w:sz w:val="24"/>
              <w:szCs w:val="18"/>
            </w:rPr>
            <w:tab/>
          </w:r>
          <w:r>
            <w:rPr>
              <w:sz w:val="24"/>
              <w:szCs w:val="18"/>
            </w:rPr>
            <w:fldChar w:fldCharType="begin"/>
          </w:r>
          <w:r>
            <w:rPr>
              <w:sz w:val="24"/>
              <w:szCs w:val="18"/>
            </w:rPr>
            <w:instrText xml:space="preserve"> PAGEREF _Toc27111 \h </w:instrText>
          </w:r>
          <w:r>
            <w:rPr>
              <w:sz w:val="24"/>
              <w:szCs w:val="18"/>
            </w:rPr>
            <w:fldChar w:fldCharType="separate"/>
          </w:r>
          <w:r>
            <w:rPr>
              <w:sz w:val="24"/>
              <w:szCs w:val="18"/>
            </w:rPr>
            <w:t>56</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"_Toc11217" </w:instrText>
          </w:r>
          <w:r>
            <w:fldChar w:fldCharType="separate"/>
          </w:r>
          <w:r>
            <w:rPr>
              <w:rFonts w:eastAsiaTheme="minorEastAsia"/>
              <w:sz w:val="24"/>
              <w:szCs w:val="18"/>
            </w:rPr>
            <w:t>3.4  地面施工过程危险有害因素分析</w:t>
          </w:r>
          <w:r>
            <w:rPr>
              <w:sz w:val="24"/>
              <w:szCs w:val="18"/>
            </w:rPr>
            <w:tab/>
          </w:r>
          <w:r>
            <w:rPr>
              <w:sz w:val="24"/>
              <w:szCs w:val="18"/>
            </w:rPr>
            <w:fldChar w:fldCharType="begin"/>
          </w:r>
          <w:r>
            <w:rPr>
              <w:sz w:val="24"/>
              <w:szCs w:val="18"/>
            </w:rPr>
            <w:instrText xml:space="preserve"> PAGEREF _Toc11217 \h </w:instrText>
          </w:r>
          <w:r>
            <w:rPr>
              <w:sz w:val="24"/>
              <w:szCs w:val="18"/>
            </w:rPr>
            <w:fldChar w:fldCharType="separate"/>
          </w:r>
          <w:r>
            <w:rPr>
              <w:sz w:val="24"/>
              <w:szCs w:val="18"/>
            </w:rPr>
            <w:t>58</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"_Toc288" </w:instrText>
          </w:r>
          <w:r>
            <w:fldChar w:fldCharType="separate"/>
          </w:r>
          <w:r>
            <w:rPr>
              <w:rFonts w:eastAsiaTheme="minorEastAsia"/>
              <w:sz w:val="24"/>
              <w:szCs w:val="18"/>
            </w:rPr>
            <w:t>3.5  生产运行过程中的危险有害因素分析</w:t>
          </w:r>
          <w:r>
            <w:rPr>
              <w:sz w:val="24"/>
              <w:szCs w:val="18"/>
            </w:rPr>
            <w:tab/>
          </w:r>
          <w:r>
            <w:rPr>
              <w:sz w:val="24"/>
              <w:szCs w:val="18"/>
            </w:rPr>
            <w:fldChar w:fldCharType="begin"/>
          </w:r>
          <w:r>
            <w:rPr>
              <w:sz w:val="24"/>
              <w:szCs w:val="18"/>
            </w:rPr>
            <w:instrText xml:space="preserve"> PAGEREF _Toc288 \h </w:instrText>
          </w:r>
          <w:r>
            <w:rPr>
              <w:sz w:val="24"/>
              <w:szCs w:val="18"/>
            </w:rPr>
            <w:fldChar w:fldCharType="separate"/>
          </w:r>
          <w:r>
            <w:rPr>
              <w:sz w:val="24"/>
              <w:szCs w:val="18"/>
            </w:rPr>
            <w:t>60</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"_Toc4543" </w:instrText>
          </w:r>
          <w:r>
            <w:fldChar w:fldCharType="separate"/>
          </w:r>
          <w:r>
            <w:rPr>
              <w:rFonts w:eastAsiaTheme="minorEastAsia"/>
              <w:sz w:val="24"/>
              <w:szCs w:val="18"/>
            </w:rPr>
            <w:t>3.6  自然和社会危险因素分析</w:t>
          </w:r>
          <w:r>
            <w:rPr>
              <w:sz w:val="24"/>
              <w:szCs w:val="18"/>
            </w:rPr>
            <w:tab/>
          </w:r>
          <w:r>
            <w:rPr>
              <w:sz w:val="24"/>
              <w:szCs w:val="18"/>
            </w:rPr>
            <w:fldChar w:fldCharType="begin"/>
          </w:r>
          <w:r>
            <w:rPr>
              <w:sz w:val="24"/>
              <w:szCs w:val="18"/>
            </w:rPr>
            <w:instrText xml:space="preserve"> PAGEREF _Toc4543 \h </w:instrText>
          </w:r>
          <w:r>
            <w:rPr>
              <w:sz w:val="24"/>
              <w:szCs w:val="18"/>
            </w:rPr>
            <w:fldChar w:fldCharType="separate"/>
          </w:r>
          <w:r>
            <w:rPr>
              <w:sz w:val="24"/>
              <w:szCs w:val="18"/>
            </w:rPr>
            <w:t>63</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"_Toc18739" </w:instrText>
          </w:r>
          <w:r>
            <w:fldChar w:fldCharType="separate"/>
          </w:r>
          <w:r>
            <w:rPr>
              <w:rFonts w:eastAsiaTheme="minorEastAsia"/>
              <w:sz w:val="24"/>
              <w:szCs w:val="18"/>
            </w:rPr>
            <w:t>3.7  重大危险源辨识</w:t>
          </w:r>
          <w:r>
            <w:rPr>
              <w:sz w:val="24"/>
              <w:szCs w:val="18"/>
            </w:rPr>
            <w:tab/>
          </w:r>
          <w:r>
            <w:rPr>
              <w:sz w:val="24"/>
              <w:szCs w:val="18"/>
            </w:rPr>
            <w:fldChar w:fldCharType="begin"/>
          </w:r>
          <w:r>
            <w:rPr>
              <w:sz w:val="24"/>
              <w:szCs w:val="18"/>
            </w:rPr>
            <w:instrText xml:space="preserve"> PAGEREF _Toc18739 \h </w:instrText>
          </w:r>
          <w:r>
            <w:rPr>
              <w:sz w:val="24"/>
              <w:szCs w:val="18"/>
            </w:rPr>
            <w:fldChar w:fldCharType="separate"/>
          </w:r>
          <w:r>
            <w:rPr>
              <w:sz w:val="24"/>
              <w:szCs w:val="18"/>
            </w:rPr>
            <w:t>64</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"_Toc22032" </w:instrText>
          </w:r>
          <w:r>
            <w:fldChar w:fldCharType="separate"/>
          </w:r>
          <w:r>
            <w:rPr>
              <w:rFonts w:eastAsiaTheme="minorEastAsia"/>
              <w:sz w:val="24"/>
              <w:szCs w:val="18"/>
            </w:rPr>
            <w:t>3.8  主要危险、有害因素分析结论</w:t>
          </w:r>
          <w:r>
            <w:rPr>
              <w:sz w:val="24"/>
              <w:szCs w:val="18"/>
            </w:rPr>
            <w:tab/>
          </w:r>
          <w:r>
            <w:rPr>
              <w:sz w:val="24"/>
              <w:szCs w:val="18"/>
            </w:rPr>
            <w:fldChar w:fldCharType="begin"/>
          </w:r>
          <w:r>
            <w:rPr>
              <w:sz w:val="24"/>
              <w:szCs w:val="18"/>
            </w:rPr>
            <w:instrText xml:space="preserve"> PAGEREF _Toc22032 \h </w:instrText>
          </w:r>
          <w:r>
            <w:rPr>
              <w:sz w:val="24"/>
              <w:szCs w:val="18"/>
            </w:rPr>
            <w:fldChar w:fldCharType="separate"/>
          </w:r>
          <w:r>
            <w:rPr>
              <w:sz w:val="24"/>
              <w:szCs w:val="18"/>
            </w:rPr>
            <w:t>64</w:t>
          </w:r>
          <w:r>
            <w:rPr>
              <w:sz w:val="24"/>
              <w:szCs w:val="18"/>
            </w:rPr>
            <w:fldChar w:fldCharType="end"/>
          </w:r>
          <w:r>
            <w:rPr>
              <w:sz w:val="24"/>
              <w:szCs w:val="18"/>
            </w:rPr>
            <w:fldChar w:fldCharType="end"/>
          </w:r>
        </w:p>
        <w:p>
          <w:pPr>
            <w:pStyle w:val="31"/>
            <w:tabs>
              <w:tab w:val="right" w:leader="dot" w:pos="8278"/>
              <w:tab w:val="clear" w:pos="8640"/>
            </w:tabs>
            <w:spacing w:line="440" w:lineRule="exact"/>
            <w:ind w:left="562" w:hanging="562"/>
            <w:rPr>
              <w:rFonts w:ascii="Times New Roman" w:hAnsi="Times New Roman"/>
              <w:sz w:val="24"/>
              <w:szCs w:val="18"/>
            </w:rPr>
          </w:pPr>
          <w:r>
            <w:fldChar w:fldCharType="begin"/>
          </w:r>
          <w:r>
            <w:instrText xml:space="preserve"> HYPERLINK \l "_Toc2108" </w:instrText>
          </w:r>
          <w:r>
            <w:fldChar w:fldCharType="separate"/>
          </w:r>
          <w:r>
            <w:rPr>
              <w:rFonts w:ascii="Times New Roman" w:hAnsi="Times New Roman" w:eastAsiaTheme="minorEastAsia"/>
              <w:sz w:val="24"/>
              <w:szCs w:val="18"/>
            </w:rPr>
            <w:t>4  评价单元划分及评价方法选择</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_Toc2108 \h </w:instrText>
          </w:r>
          <w:r>
            <w:rPr>
              <w:rFonts w:ascii="Times New Roman" w:hAnsi="Times New Roman"/>
              <w:sz w:val="24"/>
              <w:szCs w:val="18"/>
            </w:rPr>
            <w:fldChar w:fldCharType="separate"/>
          </w:r>
          <w:r>
            <w:rPr>
              <w:rFonts w:ascii="Times New Roman" w:hAnsi="Times New Roman"/>
              <w:sz w:val="24"/>
              <w:szCs w:val="18"/>
            </w:rPr>
            <w:t>66</w:t>
          </w:r>
          <w:r>
            <w:rPr>
              <w:rFonts w:ascii="Times New Roman" w:hAnsi="Times New Roman"/>
              <w:sz w:val="24"/>
              <w:szCs w:val="18"/>
            </w:rPr>
            <w:fldChar w:fldCharType="end"/>
          </w:r>
          <w:r>
            <w:rPr>
              <w:rFonts w:ascii="Times New Roman" w:hAnsi="Times New Roman"/>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"_Toc20511" </w:instrText>
          </w:r>
          <w:r>
            <w:fldChar w:fldCharType="separate"/>
          </w:r>
          <w:r>
            <w:rPr>
              <w:rFonts w:eastAsiaTheme="minorEastAsia"/>
              <w:sz w:val="24"/>
              <w:szCs w:val="18"/>
            </w:rPr>
            <w:t>4.1  评价单元划分</w:t>
          </w:r>
          <w:r>
            <w:rPr>
              <w:sz w:val="24"/>
              <w:szCs w:val="18"/>
            </w:rPr>
            <w:tab/>
          </w:r>
          <w:r>
            <w:rPr>
              <w:sz w:val="24"/>
              <w:szCs w:val="18"/>
            </w:rPr>
            <w:fldChar w:fldCharType="begin"/>
          </w:r>
          <w:r>
            <w:rPr>
              <w:sz w:val="24"/>
              <w:szCs w:val="18"/>
            </w:rPr>
            <w:instrText xml:space="preserve"> PAGEREF _Toc20511 \h </w:instrText>
          </w:r>
          <w:r>
            <w:rPr>
              <w:sz w:val="24"/>
              <w:szCs w:val="18"/>
            </w:rPr>
            <w:fldChar w:fldCharType="separate"/>
          </w:r>
          <w:r>
            <w:rPr>
              <w:sz w:val="24"/>
              <w:szCs w:val="18"/>
            </w:rPr>
            <w:t>66</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"_Toc25389" </w:instrText>
          </w:r>
          <w:r>
            <w:fldChar w:fldCharType="separate"/>
          </w:r>
          <w:r>
            <w:rPr>
              <w:rFonts w:eastAsiaTheme="minorEastAsia"/>
              <w:sz w:val="24"/>
              <w:szCs w:val="18"/>
            </w:rPr>
            <w:t>4.2  评价方法选择</w:t>
          </w:r>
          <w:r>
            <w:rPr>
              <w:sz w:val="24"/>
              <w:szCs w:val="18"/>
            </w:rPr>
            <w:tab/>
          </w:r>
          <w:r>
            <w:rPr>
              <w:sz w:val="24"/>
              <w:szCs w:val="18"/>
            </w:rPr>
            <w:fldChar w:fldCharType="begin"/>
          </w:r>
          <w:r>
            <w:rPr>
              <w:sz w:val="24"/>
              <w:szCs w:val="18"/>
            </w:rPr>
            <w:instrText xml:space="preserve"> PAGEREF _Toc25389 \h </w:instrText>
          </w:r>
          <w:r>
            <w:rPr>
              <w:sz w:val="24"/>
              <w:szCs w:val="18"/>
            </w:rPr>
            <w:fldChar w:fldCharType="separate"/>
          </w:r>
          <w:r>
            <w:rPr>
              <w:sz w:val="24"/>
              <w:szCs w:val="18"/>
            </w:rPr>
            <w:t>67</w:t>
          </w:r>
          <w:r>
            <w:rPr>
              <w:sz w:val="24"/>
              <w:szCs w:val="18"/>
            </w:rPr>
            <w:fldChar w:fldCharType="end"/>
          </w:r>
          <w:r>
            <w:rPr>
              <w:sz w:val="24"/>
              <w:szCs w:val="18"/>
            </w:rPr>
            <w:fldChar w:fldCharType="end"/>
          </w:r>
        </w:p>
        <w:p>
          <w:pPr>
            <w:pStyle w:val="31"/>
            <w:tabs>
              <w:tab w:val="right" w:leader="dot" w:pos="8278"/>
              <w:tab w:val="clear" w:pos="8640"/>
            </w:tabs>
            <w:spacing w:line="440" w:lineRule="exact"/>
            <w:ind w:left="562" w:hanging="562"/>
            <w:rPr>
              <w:rFonts w:ascii="Times New Roman" w:hAnsi="Times New Roman"/>
              <w:sz w:val="24"/>
              <w:szCs w:val="18"/>
            </w:rPr>
          </w:pPr>
          <w:r>
            <w:fldChar w:fldCharType="begin"/>
          </w:r>
          <w:r>
            <w:instrText xml:space="preserve"> HYPERLINK \l "_Toc6163" </w:instrText>
          </w:r>
          <w:r>
            <w:fldChar w:fldCharType="separate"/>
          </w:r>
          <w:r>
            <w:rPr>
              <w:rFonts w:ascii="Times New Roman" w:hAnsi="Times New Roman" w:eastAsiaTheme="minorEastAsia"/>
              <w:sz w:val="24"/>
              <w:szCs w:val="18"/>
            </w:rPr>
            <w:t>5  安全评价</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_Toc6163 \h </w:instrText>
          </w:r>
          <w:r>
            <w:rPr>
              <w:rFonts w:ascii="Times New Roman" w:hAnsi="Times New Roman"/>
              <w:sz w:val="24"/>
              <w:szCs w:val="18"/>
            </w:rPr>
            <w:fldChar w:fldCharType="separate"/>
          </w:r>
          <w:r>
            <w:rPr>
              <w:rFonts w:ascii="Times New Roman" w:hAnsi="Times New Roman"/>
              <w:sz w:val="24"/>
              <w:szCs w:val="18"/>
            </w:rPr>
            <w:t>70</w:t>
          </w:r>
          <w:r>
            <w:rPr>
              <w:rFonts w:ascii="Times New Roman" w:hAnsi="Times New Roman"/>
              <w:sz w:val="24"/>
              <w:szCs w:val="18"/>
            </w:rPr>
            <w:fldChar w:fldCharType="end"/>
          </w:r>
          <w:r>
            <w:rPr>
              <w:rFonts w:ascii="Times New Roman" w:hAnsi="Times New Roman"/>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"_Toc25765" </w:instrText>
          </w:r>
          <w:r>
            <w:fldChar w:fldCharType="separate"/>
          </w:r>
          <w:r>
            <w:rPr>
              <w:rFonts w:eastAsiaTheme="minorEastAsia"/>
              <w:sz w:val="24"/>
              <w:szCs w:val="18"/>
            </w:rPr>
            <w:t>5.1  钻井工程单元</w:t>
          </w:r>
          <w:r>
            <w:rPr>
              <w:sz w:val="24"/>
              <w:szCs w:val="18"/>
            </w:rPr>
            <w:tab/>
          </w:r>
          <w:r>
            <w:rPr>
              <w:sz w:val="24"/>
              <w:szCs w:val="18"/>
            </w:rPr>
            <w:fldChar w:fldCharType="begin"/>
          </w:r>
          <w:r>
            <w:rPr>
              <w:sz w:val="24"/>
              <w:szCs w:val="18"/>
            </w:rPr>
            <w:instrText xml:space="preserve"> PAGEREF _Toc25765 \h </w:instrText>
          </w:r>
          <w:r>
            <w:rPr>
              <w:sz w:val="24"/>
              <w:szCs w:val="18"/>
            </w:rPr>
            <w:fldChar w:fldCharType="separate"/>
          </w:r>
          <w:r>
            <w:rPr>
              <w:sz w:val="24"/>
              <w:szCs w:val="18"/>
            </w:rPr>
            <w:t>70</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"_Toc23760" </w:instrText>
          </w:r>
          <w:r>
            <w:fldChar w:fldCharType="separate"/>
          </w:r>
          <w:r>
            <w:rPr>
              <w:rFonts w:eastAsiaTheme="minorEastAsia"/>
              <w:sz w:val="24"/>
              <w:szCs w:val="18"/>
            </w:rPr>
            <w:t>5.2  井下作业单元</w:t>
          </w:r>
          <w:r>
            <w:rPr>
              <w:sz w:val="24"/>
              <w:szCs w:val="18"/>
            </w:rPr>
            <w:tab/>
          </w:r>
          <w:r>
            <w:rPr>
              <w:sz w:val="24"/>
              <w:szCs w:val="18"/>
            </w:rPr>
            <w:fldChar w:fldCharType="begin"/>
          </w:r>
          <w:r>
            <w:rPr>
              <w:sz w:val="24"/>
              <w:szCs w:val="18"/>
            </w:rPr>
            <w:instrText xml:space="preserve"> PAGEREF _Toc23760 \h </w:instrText>
          </w:r>
          <w:r>
            <w:rPr>
              <w:sz w:val="24"/>
              <w:szCs w:val="18"/>
            </w:rPr>
            <w:fldChar w:fldCharType="separate"/>
          </w:r>
          <w:r>
            <w:rPr>
              <w:sz w:val="24"/>
              <w:szCs w:val="18"/>
            </w:rPr>
            <w:t>76</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"_Toc15253" </w:instrText>
          </w:r>
          <w:r>
            <w:fldChar w:fldCharType="separate"/>
          </w:r>
          <w:r>
            <w:rPr>
              <w:rFonts w:eastAsiaTheme="minorEastAsia"/>
              <w:sz w:val="24"/>
              <w:szCs w:val="18"/>
            </w:rPr>
            <w:t>5.3  地面工程施工作业单元</w:t>
          </w:r>
          <w:r>
            <w:rPr>
              <w:sz w:val="24"/>
              <w:szCs w:val="18"/>
            </w:rPr>
            <w:tab/>
          </w:r>
          <w:r>
            <w:rPr>
              <w:sz w:val="24"/>
              <w:szCs w:val="18"/>
            </w:rPr>
            <w:fldChar w:fldCharType="begin"/>
          </w:r>
          <w:r>
            <w:rPr>
              <w:sz w:val="24"/>
              <w:szCs w:val="18"/>
            </w:rPr>
            <w:instrText xml:space="preserve"> PAGEREF _Toc15253 \h </w:instrText>
          </w:r>
          <w:r>
            <w:rPr>
              <w:sz w:val="24"/>
              <w:szCs w:val="18"/>
            </w:rPr>
            <w:fldChar w:fldCharType="separate"/>
          </w:r>
          <w:r>
            <w:rPr>
              <w:sz w:val="24"/>
              <w:szCs w:val="18"/>
            </w:rPr>
            <w:t>79</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"_Toc26279" </w:instrText>
          </w:r>
          <w:r>
            <w:fldChar w:fldCharType="separate"/>
          </w:r>
          <w:r>
            <w:rPr>
              <w:sz w:val="24"/>
              <w:szCs w:val="28"/>
            </w:rPr>
            <w:t>5.4  采油工程单元</w:t>
          </w:r>
          <w:r>
            <w:rPr>
              <w:sz w:val="24"/>
              <w:szCs w:val="18"/>
            </w:rPr>
            <w:tab/>
          </w:r>
          <w:r>
            <w:rPr>
              <w:sz w:val="24"/>
              <w:szCs w:val="18"/>
            </w:rPr>
            <w:fldChar w:fldCharType="begin"/>
          </w:r>
          <w:r>
            <w:rPr>
              <w:sz w:val="24"/>
              <w:szCs w:val="18"/>
            </w:rPr>
            <w:instrText xml:space="preserve"> PAGEREF _Toc26279 \h </w:instrText>
          </w:r>
          <w:r>
            <w:rPr>
              <w:sz w:val="24"/>
              <w:szCs w:val="18"/>
            </w:rPr>
            <w:fldChar w:fldCharType="separate"/>
          </w:r>
          <w:r>
            <w:rPr>
              <w:sz w:val="24"/>
              <w:szCs w:val="18"/>
            </w:rPr>
            <w:t>81</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"_Toc30657" </w:instrText>
          </w:r>
          <w:r>
            <w:fldChar w:fldCharType="separate"/>
          </w:r>
          <w:r>
            <w:rPr>
              <w:rFonts w:eastAsiaTheme="minorEastAsia"/>
              <w:sz w:val="24"/>
              <w:szCs w:val="18"/>
            </w:rPr>
            <w:t>5.5  油气集输系统单元</w:t>
          </w:r>
          <w:r>
            <w:rPr>
              <w:sz w:val="24"/>
              <w:szCs w:val="18"/>
            </w:rPr>
            <w:tab/>
          </w:r>
          <w:r>
            <w:rPr>
              <w:sz w:val="24"/>
              <w:szCs w:val="18"/>
            </w:rPr>
            <w:fldChar w:fldCharType="begin"/>
          </w:r>
          <w:r>
            <w:rPr>
              <w:sz w:val="24"/>
              <w:szCs w:val="18"/>
            </w:rPr>
            <w:instrText xml:space="preserve"> PAGEREF _Toc30657 \h </w:instrText>
          </w:r>
          <w:r>
            <w:rPr>
              <w:sz w:val="24"/>
              <w:szCs w:val="18"/>
            </w:rPr>
            <w:fldChar w:fldCharType="separate"/>
          </w:r>
          <w:r>
            <w:rPr>
              <w:sz w:val="24"/>
              <w:szCs w:val="18"/>
            </w:rPr>
            <w:t>83</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"_Toc5166" </w:instrText>
          </w:r>
          <w:r>
            <w:fldChar w:fldCharType="separate"/>
          </w:r>
          <w:r>
            <w:rPr>
              <w:rFonts w:eastAsiaTheme="minorEastAsia"/>
              <w:sz w:val="24"/>
              <w:szCs w:val="18"/>
            </w:rPr>
            <w:t>5.6  配套设施单元</w:t>
          </w:r>
          <w:r>
            <w:rPr>
              <w:sz w:val="24"/>
              <w:szCs w:val="18"/>
            </w:rPr>
            <w:tab/>
          </w:r>
          <w:r>
            <w:rPr>
              <w:sz w:val="24"/>
              <w:szCs w:val="18"/>
            </w:rPr>
            <w:fldChar w:fldCharType="begin"/>
          </w:r>
          <w:r>
            <w:rPr>
              <w:sz w:val="24"/>
              <w:szCs w:val="18"/>
            </w:rPr>
            <w:instrText xml:space="preserve"> PAGEREF _Toc5166 \h </w:instrText>
          </w:r>
          <w:r>
            <w:rPr>
              <w:sz w:val="24"/>
              <w:szCs w:val="18"/>
            </w:rPr>
            <w:fldChar w:fldCharType="separate"/>
          </w:r>
          <w:r>
            <w:rPr>
              <w:sz w:val="24"/>
              <w:szCs w:val="18"/>
            </w:rPr>
            <w:t>90</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"_Toc31657" </w:instrText>
          </w:r>
          <w:r>
            <w:fldChar w:fldCharType="separate"/>
          </w:r>
          <w:r>
            <w:rPr>
              <w:rFonts w:eastAsiaTheme="minorEastAsia"/>
              <w:sz w:val="24"/>
              <w:szCs w:val="18"/>
            </w:rPr>
            <w:t>5.7  安全管理单元</w:t>
          </w:r>
          <w:r>
            <w:rPr>
              <w:sz w:val="24"/>
              <w:szCs w:val="18"/>
            </w:rPr>
            <w:tab/>
          </w:r>
          <w:r>
            <w:rPr>
              <w:sz w:val="24"/>
              <w:szCs w:val="18"/>
            </w:rPr>
            <w:fldChar w:fldCharType="begin"/>
          </w:r>
          <w:r>
            <w:rPr>
              <w:sz w:val="24"/>
              <w:szCs w:val="18"/>
            </w:rPr>
            <w:instrText xml:space="preserve"> PAGEREF _Toc31657 \h </w:instrText>
          </w:r>
          <w:r>
            <w:rPr>
              <w:sz w:val="24"/>
              <w:szCs w:val="18"/>
            </w:rPr>
            <w:fldChar w:fldCharType="separate"/>
          </w:r>
          <w:r>
            <w:rPr>
              <w:sz w:val="24"/>
              <w:szCs w:val="18"/>
            </w:rPr>
            <w:t>93</w:t>
          </w:r>
          <w:r>
            <w:rPr>
              <w:sz w:val="24"/>
              <w:szCs w:val="18"/>
            </w:rPr>
            <w:fldChar w:fldCharType="end"/>
          </w:r>
          <w:r>
            <w:rPr>
              <w:sz w:val="24"/>
              <w:szCs w:val="18"/>
            </w:rPr>
            <w:fldChar w:fldCharType="end"/>
          </w:r>
        </w:p>
        <w:p>
          <w:pPr>
            <w:pStyle w:val="31"/>
            <w:tabs>
              <w:tab w:val="right" w:leader="dot" w:pos="8278"/>
              <w:tab w:val="clear" w:pos="8640"/>
            </w:tabs>
            <w:spacing w:line="440" w:lineRule="exact"/>
            <w:ind w:left="562" w:hanging="562"/>
            <w:rPr>
              <w:rFonts w:ascii="Times New Roman" w:hAnsi="Times New Roman"/>
              <w:sz w:val="24"/>
              <w:szCs w:val="18"/>
            </w:rPr>
          </w:pPr>
          <w:r>
            <w:fldChar w:fldCharType="begin"/>
          </w:r>
          <w:r>
            <w:instrText xml:space="preserve"> HYPERLINK \l "_Toc19236" </w:instrText>
          </w:r>
          <w:r>
            <w:fldChar w:fldCharType="separate"/>
          </w:r>
          <w:r>
            <w:rPr>
              <w:rFonts w:ascii="Times New Roman" w:hAnsi="Times New Roman" w:eastAsiaTheme="minorEastAsia"/>
              <w:sz w:val="24"/>
              <w:szCs w:val="18"/>
            </w:rPr>
            <w:t>6  典型事故案例</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_Toc19236 \h </w:instrText>
          </w:r>
          <w:r>
            <w:rPr>
              <w:rFonts w:ascii="Times New Roman" w:hAnsi="Times New Roman"/>
              <w:sz w:val="24"/>
              <w:szCs w:val="18"/>
            </w:rPr>
            <w:fldChar w:fldCharType="separate"/>
          </w:r>
          <w:r>
            <w:rPr>
              <w:rFonts w:ascii="Times New Roman" w:hAnsi="Times New Roman"/>
              <w:sz w:val="24"/>
              <w:szCs w:val="18"/>
            </w:rPr>
            <w:t>98</w:t>
          </w:r>
          <w:r>
            <w:rPr>
              <w:rFonts w:ascii="Times New Roman" w:hAnsi="Times New Roman"/>
              <w:sz w:val="24"/>
              <w:szCs w:val="18"/>
            </w:rPr>
            <w:fldChar w:fldCharType="end"/>
          </w:r>
          <w:r>
            <w:rPr>
              <w:rFonts w:ascii="Times New Roman" w:hAnsi="Times New Roman"/>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"_Toc22110" </w:instrText>
          </w:r>
          <w:r>
            <w:fldChar w:fldCharType="separate"/>
          </w:r>
          <w:r>
            <w:rPr>
              <w:rFonts w:eastAsiaTheme="minorEastAsia"/>
              <w:sz w:val="24"/>
              <w:szCs w:val="18"/>
            </w:rPr>
            <w:t xml:space="preserve">6.1  </w:t>
          </w:r>
          <w:r>
            <w:rPr>
              <w:rFonts w:hint="eastAsia" w:eastAsiaTheme="minorEastAsia"/>
              <w:sz w:val="24"/>
              <w:szCs w:val="18"/>
            </w:rPr>
            <w:t>“</w:t>
          </w:r>
          <w:r>
            <w:rPr>
              <w:rFonts w:eastAsiaTheme="minorEastAsia"/>
              <w:sz w:val="24"/>
              <w:szCs w:val="18"/>
            </w:rPr>
            <w:t>12.26</w:t>
          </w:r>
          <w:r>
            <w:rPr>
              <w:rFonts w:hint="eastAsia" w:eastAsiaTheme="minorEastAsia"/>
              <w:sz w:val="24"/>
              <w:szCs w:val="18"/>
            </w:rPr>
            <w:t>”</w:t>
          </w:r>
          <w:r>
            <w:rPr>
              <w:rFonts w:eastAsiaTheme="minorEastAsia"/>
              <w:sz w:val="24"/>
              <w:szCs w:val="18"/>
            </w:rPr>
            <w:t>违章拆装井口井喷失控事故</w:t>
          </w:r>
          <w:r>
            <w:rPr>
              <w:sz w:val="24"/>
              <w:szCs w:val="18"/>
            </w:rPr>
            <w:tab/>
          </w:r>
          <w:r>
            <w:rPr>
              <w:sz w:val="24"/>
              <w:szCs w:val="18"/>
            </w:rPr>
            <w:fldChar w:fldCharType="begin"/>
          </w:r>
          <w:r>
            <w:rPr>
              <w:sz w:val="24"/>
              <w:szCs w:val="18"/>
            </w:rPr>
            <w:instrText xml:space="preserve"> PAGEREF _Toc22110 \h </w:instrText>
          </w:r>
          <w:r>
            <w:rPr>
              <w:sz w:val="24"/>
              <w:szCs w:val="18"/>
            </w:rPr>
            <w:fldChar w:fldCharType="separate"/>
          </w:r>
          <w:r>
            <w:rPr>
              <w:sz w:val="24"/>
              <w:szCs w:val="18"/>
            </w:rPr>
            <w:t>98</w:t>
          </w:r>
          <w:r>
            <w:rPr>
              <w:sz w:val="24"/>
              <w:szCs w:val="18"/>
            </w:rPr>
            <w:fldChar w:fldCharType="end"/>
          </w:r>
          <w:r>
            <w:rPr>
              <w:sz w:val="24"/>
              <w:szCs w:val="18"/>
            </w:rPr>
            <w:fldChar w:fldCharType="end"/>
          </w:r>
        </w:p>
        <w:p>
          <w:pPr>
            <w:pStyle w:val="31"/>
            <w:tabs>
              <w:tab w:val="right" w:leader="dot" w:pos="8278"/>
              <w:tab w:val="clear" w:pos="8640"/>
            </w:tabs>
            <w:spacing w:line="440" w:lineRule="exact"/>
            <w:ind w:left="562" w:hanging="562"/>
            <w:rPr>
              <w:rFonts w:ascii="Times New Roman" w:hAnsi="Times New Roman"/>
              <w:sz w:val="24"/>
              <w:szCs w:val="18"/>
            </w:rPr>
          </w:pPr>
          <w:r>
            <w:fldChar w:fldCharType="begin"/>
          </w:r>
          <w:r>
            <w:instrText xml:space="preserve"> HYPERLINK \l "_Toc25949" </w:instrText>
          </w:r>
          <w:r>
            <w:fldChar w:fldCharType="separate"/>
          </w:r>
          <w:r>
            <w:rPr>
              <w:rFonts w:ascii="Times New Roman" w:hAnsi="Times New Roman" w:eastAsiaTheme="minorEastAsia"/>
              <w:sz w:val="24"/>
              <w:szCs w:val="18"/>
            </w:rPr>
            <w:t>7  安全对策措施及建议</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_Toc25949 \h </w:instrText>
          </w:r>
          <w:r>
            <w:rPr>
              <w:rFonts w:ascii="Times New Roman" w:hAnsi="Times New Roman"/>
              <w:sz w:val="24"/>
              <w:szCs w:val="18"/>
            </w:rPr>
            <w:fldChar w:fldCharType="separate"/>
          </w:r>
          <w:r>
            <w:rPr>
              <w:rFonts w:ascii="Times New Roman" w:hAnsi="Times New Roman"/>
              <w:sz w:val="24"/>
              <w:szCs w:val="18"/>
            </w:rPr>
            <w:t>101</w:t>
          </w:r>
          <w:r>
            <w:rPr>
              <w:rFonts w:ascii="Times New Roman" w:hAnsi="Times New Roman"/>
              <w:sz w:val="24"/>
              <w:szCs w:val="18"/>
            </w:rPr>
            <w:fldChar w:fldCharType="end"/>
          </w:r>
          <w:r>
            <w:rPr>
              <w:rFonts w:ascii="Times New Roman" w:hAnsi="Times New Roman"/>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"_Toc3401" </w:instrText>
          </w:r>
          <w:r>
            <w:fldChar w:fldCharType="separate"/>
          </w:r>
          <w:r>
            <w:rPr>
              <w:rFonts w:eastAsiaTheme="minorEastAsia"/>
              <w:sz w:val="24"/>
              <w:szCs w:val="18"/>
            </w:rPr>
            <w:t>7.1  可研提出的安全对策措施</w:t>
          </w:r>
          <w:r>
            <w:rPr>
              <w:sz w:val="24"/>
              <w:szCs w:val="18"/>
            </w:rPr>
            <w:tab/>
          </w:r>
          <w:r>
            <w:rPr>
              <w:sz w:val="24"/>
              <w:szCs w:val="18"/>
            </w:rPr>
            <w:fldChar w:fldCharType="begin"/>
          </w:r>
          <w:r>
            <w:rPr>
              <w:sz w:val="24"/>
              <w:szCs w:val="18"/>
            </w:rPr>
            <w:instrText xml:space="preserve"> PAGEREF _Toc3401 \h </w:instrText>
          </w:r>
          <w:r>
            <w:rPr>
              <w:sz w:val="24"/>
              <w:szCs w:val="18"/>
            </w:rPr>
            <w:fldChar w:fldCharType="separate"/>
          </w:r>
          <w:r>
            <w:rPr>
              <w:sz w:val="24"/>
              <w:szCs w:val="18"/>
            </w:rPr>
            <w:t>101</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"_Toc8699" </w:instrText>
          </w:r>
          <w:r>
            <w:fldChar w:fldCharType="separate"/>
          </w:r>
          <w:r>
            <w:rPr>
              <w:rFonts w:eastAsiaTheme="minorEastAsia"/>
              <w:sz w:val="24"/>
              <w:szCs w:val="18"/>
            </w:rPr>
            <w:t>7.2  本次评价提出的安全技术措施</w:t>
          </w:r>
          <w:r>
            <w:rPr>
              <w:sz w:val="24"/>
              <w:szCs w:val="18"/>
            </w:rPr>
            <w:tab/>
          </w:r>
          <w:r>
            <w:rPr>
              <w:sz w:val="24"/>
              <w:szCs w:val="18"/>
            </w:rPr>
            <w:fldChar w:fldCharType="begin"/>
          </w:r>
          <w:r>
            <w:rPr>
              <w:sz w:val="24"/>
              <w:szCs w:val="18"/>
            </w:rPr>
            <w:instrText xml:space="preserve"> PAGEREF _Toc8699 \h </w:instrText>
          </w:r>
          <w:r>
            <w:rPr>
              <w:sz w:val="24"/>
              <w:szCs w:val="18"/>
            </w:rPr>
            <w:fldChar w:fldCharType="separate"/>
          </w:r>
          <w:r>
            <w:rPr>
              <w:sz w:val="24"/>
              <w:szCs w:val="18"/>
            </w:rPr>
            <w:t>103</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"_Toc23797" </w:instrText>
          </w:r>
          <w:r>
            <w:fldChar w:fldCharType="separate"/>
          </w:r>
          <w:r>
            <w:rPr>
              <w:rFonts w:eastAsiaTheme="minorEastAsia"/>
              <w:sz w:val="24"/>
              <w:szCs w:val="18"/>
            </w:rPr>
            <w:t>7.3  本次评价提出的安全管理建议</w:t>
          </w:r>
          <w:r>
            <w:rPr>
              <w:sz w:val="24"/>
              <w:szCs w:val="18"/>
            </w:rPr>
            <w:tab/>
          </w:r>
          <w:r>
            <w:rPr>
              <w:sz w:val="24"/>
              <w:szCs w:val="18"/>
            </w:rPr>
            <w:fldChar w:fldCharType="begin"/>
          </w:r>
          <w:r>
            <w:rPr>
              <w:sz w:val="24"/>
              <w:szCs w:val="18"/>
            </w:rPr>
            <w:instrText xml:space="preserve"> PAGEREF _Toc23797 \h </w:instrText>
          </w:r>
          <w:r>
            <w:rPr>
              <w:sz w:val="24"/>
              <w:szCs w:val="18"/>
            </w:rPr>
            <w:fldChar w:fldCharType="separate"/>
          </w:r>
          <w:r>
            <w:rPr>
              <w:sz w:val="24"/>
              <w:szCs w:val="18"/>
            </w:rPr>
            <w:t>106</w:t>
          </w:r>
          <w:r>
            <w:rPr>
              <w:sz w:val="24"/>
              <w:szCs w:val="18"/>
            </w:rPr>
            <w:fldChar w:fldCharType="end"/>
          </w:r>
          <w:r>
            <w:rPr>
              <w:sz w:val="24"/>
              <w:szCs w:val="18"/>
            </w:rPr>
            <w:fldChar w:fldCharType="end"/>
          </w:r>
        </w:p>
        <w:p>
          <w:pPr>
            <w:pStyle w:val="31"/>
            <w:tabs>
              <w:tab w:val="right" w:leader="dot" w:pos="8278"/>
              <w:tab w:val="clear" w:pos="8640"/>
            </w:tabs>
            <w:spacing w:line="440" w:lineRule="exact"/>
            <w:ind w:left="562" w:hanging="562"/>
            <w:rPr>
              <w:rFonts w:ascii="Times New Roman" w:hAnsi="Times New Roman"/>
              <w:sz w:val="24"/>
              <w:szCs w:val="18"/>
            </w:rPr>
          </w:pPr>
          <w:r>
            <w:fldChar w:fldCharType="begin"/>
          </w:r>
          <w:r>
            <w:instrText xml:space="preserve"> HYPERLINK \l "_Toc9602" </w:instrText>
          </w:r>
          <w:r>
            <w:fldChar w:fldCharType="separate"/>
          </w:r>
          <w:r>
            <w:rPr>
              <w:rFonts w:ascii="Times New Roman" w:hAnsi="Times New Roman" w:eastAsiaTheme="minorEastAsia"/>
              <w:sz w:val="24"/>
              <w:szCs w:val="18"/>
            </w:rPr>
            <w:t>8  评价结论</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_Toc9602 \h </w:instrText>
          </w:r>
          <w:r>
            <w:rPr>
              <w:rFonts w:ascii="Times New Roman" w:hAnsi="Times New Roman"/>
              <w:sz w:val="24"/>
              <w:szCs w:val="18"/>
            </w:rPr>
            <w:fldChar w:fldCharType="separate"/>
          </w:r>
          <w:r>
            <w:rPr>
              <w:rFonts w:ascii="Times New Roman" w:hAnsi="Times New Roman"/>
              <w:sz w:val="24"/>
              <w:szCs w:val="18"/>
            </w:rPr>
            <w:t>114</w:t>
          </w:r>
          <w:r>
            <w:rPr>
              <w:rFonts w:ascii="Times New Roman" w:hAnsi="Times New Roman"/>
              <w:sz w:val="24"/>
              <w:szCs w:val="18"/>
            </w:rPr>
            <w:fldChar w:fldCharType="end"/>
          </w:r>
          <w:r>
            <w:rPr>
              <w:rFonts w:ascii="Times New Roman" w:hAnsi="Times New Roman"/>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"_Toc29017" </w:instrText>
          </w:r>
          <w:r>
            <w:fldChar w:fldCharType="separate"/>
          </w:r>
          <w:r>
            <w:rPr>
              <w:rFonts w:eastAsiaTheme="minorEastAsia"/>
              <w:sz w:val="24"/>
              <w:szCs w:val="18"/>
            </w:rPr>
            <w:t>8.1  安全评价结果</w:t>
          </w:r>
          <w:r>
            <w:rPr>
              <w:sz w:val="24"/>
              <w:szCs w:val="18"/>
            </w:rPr>
            <w:tab/>
          </w:r>
          <w:r>
            <w:rPr>
              <w:sz w:val="24"/>
              <w:szCs w:val="18"/>
            </w:rPr>
            <w:fldChar w:fldCharType="begin"/>
          </w:r>
          <w:r>
            <w:rPr>
              <w:sz w:val="24"/>
              <w:szCs w:val="18"/>
            </w:rPr>
            <w:instrText xml:space="preserve"> PAGEREF _Toc29017 \h </w:instrText>
          </w:r>
          <w:r>
            <w:rPr>
              <w:sz w:val="24"/>
              <w:szCs w:val="18"/>
            </w:rPr>
            <w:fldChar w:fldCharType="separate"/>
          </w:r>
          <w:r>
            <w:rPr>
              <w:sz w:val="24"/>
              <w:szCs w:val="18"/>
            </w:rPr>
            <w:t>114</w:t>
          </w:r>
          <w:r>
            <w:rPr>
              <w:sz w:val="24"/>
              <w:szCs w:val="18"/>
            </w:rPr>
            <w:fldChar w:fldCharType="end"/>
          </w:r>
          <w:r>
            <w:rPr>
              <w:sz w:val="24"/>
              <w:szCs w:val="18"/>
            </w:rPr>
            <w:fldChar w:fldCharType="end"/>
          </w:r>
        </w:p>
        <w:p>
          <w:pPr>
            <w:pStyle w:val="36"/>
            <w:tabs>
              <w:tab w:val="right" w:leader="dot" w:pos="8278"/>
              <w:tab w:val="clear" w:pos="8640"/>
            </w:tabs>
            <w:spacing w:line="440" w:lineRule="exact"/>
            <w:ind w:right="45" w:firstLine="560"/>
            <w:rPr>
              <w:sz w:val="24"/>
              <w:szCs w:val="18"/>
            </w:rPr>
          </w:pPr>
          <w:r>
            <w:fldChar w:fldCharType="begin"/>
          </w:r>
          <w:r>
            <w:instrText xml:space="preserve"> HYPERLINK \l "_Toc10127" </w:instrText>
          </w:r>
          <w:r>
            <w:fldChar w:fldCharType="separate"/>
          </w:r>
          <w:r>
            <w:rPr>
              <w:rFonts w:eastAsiaTheme="minorEastAsia"/>
              <w:sz w:val="24"/>
              <w:szCs w:val="18"/>
            </w:rPr>
            <w:t>8.2  安全评价结论</w:t>
          </w:r>
          <w:r>
            <w:rPr>
              <w:sz w:val="24"/>
              <w:szCs w:val="18"/>
            </w:rPr>
            <w:tab/>
          </w:r>
          <w:r>
            <w:rPr>
              <w:sz w:val="24"/>
              <w:szCs w:val="18"/>
            </w:rPr>
            <w:fldChar w:fldCharType="begin"/>
          </w:r>
          <w:r>
            <w:rPr>
              <w:sz w:val="24"/>
              <w:szCs w:val="18"/>
            </w:rPr>
            <w:instrText xml:space="preserve"> PAGEREF _Toc10127 \h </w:instrText>
          </w:r>
          <w:r>
            <w:rPr>
              <w:sz w:val="24"/>
              <w:szCs w:val="18"/>
            </w:rPr>
            <w:fldChar w:fldCharType="separate"/>
          </w:r>
          <w:r>
            <w:rPr>
              <w:sz w:val="24"/>
              <w:szCs w:val="18"/>
            </w:rPr>
            <w:t>115</w:t>
          </w:r>
          <w:r>
            <w:rPr>
              <w:sz w:val="24"/>
              <w:szCs w:val="18"/>
            </w:rPr>
            <w:fldChar w:fldCharType="end"/>
          </w:r>
          <w:r>
            <w:rPr>
              <w:sz w:val="24"/>
              <w:szCs w:val="18"/>
            </w:rPr>
            <w:fldChar w:fldCharType="end"/>
          </w:r>
        </w:p>
        <w:p>
          <w:pPr>
            <w:pStyle w:val="31"/>
            <w:tabs>
              <w:tab w:val="right" w:leader="dot" w:pos="8278"/>
              <w:tab w:val="clear" w:pos="8640"/>
            </w:tabs>
            <w:spacing w:line="440" w:lineRule="exact"/>
            <w:ind w:left="562" w:hanging="562"/>
            <w:rPr>
              <w:rFonts w:ascii="Times New Roman" w:hAnsi="Times New Roman"/>
              <w:sz w:val="24"/>
              <w:szCs w:val="18"/>
            </w:rPr>
          </w:pPr>
          <w:r>
            <w:fldChar w:fldCharType="begin"/>
          </w:r>
          <w:r>
            <w:instrText xml:space="preserve"> HYPERLINK \l "_Toc22832" </w:instrText>
          </w:r>
          <w:r>
            <w:fldChar w:fldCharType="separate"/>
          </w:r>
          <w:r>
            <w:rPr>
              <w:rFonts w:ascii="Times New Roman" w:hAnsi="Times New Roman" w:eastAsiaTheme="minorEastAsia"/>
              <w:snapToGrid/>
              <w:kern w:val="2"/>
              <w:sz w:val="24"/>
              <w:szCs w:val="18"/>
            </w:rPr>
            <w:t>附表1  原油的危险特性表</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_Toc22832 \h </w:instrText>
          </w:r>
          <w:r>
            <w:rPr>
              <w:rFonts w:ascii="Times New Roman" w:hAnsi="Times New Roman"/>
              <w:sz w:val="24"/>
              <w:szCs w:val="18"/>
            </w:rPr>
            <w:fldChar w:fldCharType="separate"/>
          </w:r>
          <w:r>
            <w:rPr>
              <w:rFonts w:ascii="Times New Roman" w:hAnsi="Times New Roman"/>
              <w:sz w:val="24"/>
              <w:szCs w:val="18"/>
            </w:rPr>
            <w:t>116</w:t>
          </w:r>
          <w:r>
            <w:rPr>
              <w:rFonts w:ascii="Times New Roman" w:hAnsi="Times New Roman"/>
              <w:sz w:val="24"/>
              <w:szCs w:val="18"/>
            </w:rPr>
            <w:fldChar w:fldCharType="end"/>
          </w:r>
          <w:r>
            <w:rPr>
              <w:rFonts w:ascii="Times New Roman" w:hAnsi="Times New Roman"/>
              <w:sz w:val="24"/>
              <w:szCs w:val="18"/>
            </w:rPr>
            <w:fldChar w:fldCharType="end"/>
          </w:r>
        </w:p>
        <w:p>
          <w:pPr>
            <w:pStyle w:val="31"/>
            <w:tabs>
              <w:tab w:val="right" w:leader="dot" w:pos="8278"/>
              <w:tab w:val="clear" w:pos="8640"/>
            </w:tabs>
            <w:spacing w:line="440" w:lineRule="exact"/>
            <w:ind w:left="562" w:hanging="562"/>
            <w:rPr>
              <w:rFonts w:ascii="Times New Roman" w:hAnsi="Times New Roman"/>
              <w:sz w:val="24"/>
              <w:szCs w:val="18"/>
            </w:rPr>
          </w:pPr>
          <w:r>
            <w:fldChar w:fldCharType="begin"/>
          </w:r>
          <w:r>
            <w:instrText xml:space="preserve"> HYPERLINK \l "_Toc9011" </w:instrText>
          </w:r>
          <w:r>
            <w:fldChar w:fldCharType="separate"/>
          </w:r>
          <w:r>
            <w:rPr>
              <w:rFonts w:ascii="Times New Roman" w:hAnsi="Times New Roman" w:eastAsiaTheme="minorEastAsia"/>
              <w:bCs/>
              <w:snapToGrid/>
              <w:kern w:val="2"/>
              <w:sz w:val="24"/>
              <w:szCs w:val="32"/>
            </w:rPr>
            <w:t>附表2  天然气的危险特性表</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_Toc9011 \h </w:instrText>
          </w:r>
          <w:r>
            <w:rPr>
              <w:rFonts w:ascii="Times New Roman" w:hAnsi="Times New Roman"/>
              <w:sz w:val="24"/>
              <w:szCs w:val="18"/>
            </w:rPr>
            <w:fldChar w:fldCharType="separate"/>
          </w:r>
          <w:r>
            <w:rPr>
              <w:rFonts w:ascii="Times New Roman" w:hAnsi="Times New Roman"/>
              <w:sz w:val="24"/>
              <w:szCs w:val="18"/>
            </w:rPr>
            <w:t>118</w:t>
          </w:r>
          <w:r>
            <w:rPr>
              <w:rFonts w:ascii="Times New Roman" w:hAnsi="Times New Roman"/>
              <w:sz w:val="24"/>
              <w:szCs w:val="18"/>
            </w:rPr>
            <w:fldChar w:fldCharType="end"/>
          </w:r>
          <w:r>
            <w:rPr>
              <w:rFonts w:ascii="Times New Roman" w:hAnsi="Times New Roman"/>
              <w:sz w:val="24"/>
              <w:szCs w:val="18"/>
            </w:rPr>
            <w:fldChar w:fldCharType="end"/>
          </w:r>
        </w:p>
        <w:p>
          <w:pPr>
            <w:pStyle w:val="31"/>
            <w:tabs>
              <w:tab w:val="right" w:leader="dot" w:pos="8278"/>
              <w:tab w:val="clear" w:pos="8640"/>
            </w:tabs>
            <w:spacing w:line="440" w:lineRule="exact"/>
            <w:ind w:left="562" w:hanging="562"/>
            <w:rPr>
              <w:rFonts w:ascii="Times New Roman" w:hAnsi="Times New Roman"/>
              <w:sz w:val="24"/>
              <w:szCs w:val="18"/>
            </w:rPr>
          </w:pPr>
          <w:r>
            <w:fldChar w:fldCharType="begin"/>
          </w:r>
          <w:r>
            <w:instrText xml:space="preserve"> HYPERLINK \l "_Toc21863" </w:instrText>
          </w:r>
          <w:r>
            <w:fldChar w:fldCharType="separate"/>
          </w:r>
          <w:r>
            <w:rPr>
              <w:rFonts w:ascii="Times New Roman" w:hAnsi="Times New Roman" w:eastAsiaTheme="minorEastAsia"/>
              <w:sz w:val="24"/>
              <w:szCs w:val="18"/>
            </w:rPr>
            <w:t>附件1  可行性研究报告的批复</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_Toc21863 \h </w:instrText>
          </w:r>
          <w:r>
            <w:rPr>
              <w:rFonts w:ascii="Times New Roman" w:hAnsi="Times New Roman"/>
              <w:sz w:val="24"/>
              <w:szCs w:val="18"/>
            </w:rPr>
            <w:fldChar w:fldCharType="separate"/>
          </w:r>
          <w:r>
            <w:rPr>
              <w:rFonts w:ascii="Times New Roman" w:hAnsi="Times New Roman"/>
              <w:sz w:val="24"/>
              <w:szCs w:val="18"/>
            </w:rPr>
            <w:t>120</w:t>
          </w:r>
          <w:r>
            <w:rPr>
              <w:rFonts w:ascii="Times New Roman" w:hAnsi="Times New Roman"/>
              <w:sz w:val="24"/>
              <w:szCs w:val="18"/>
            </w:rPr>
            <w:fldChar w:fldCharType="end"/>
          </w:r>
          <w:r>
            <w:rPr>
              <w:rFonts w:ascii="Times New Roman" w:hAnsi="Times New Roman"/>
              <w:sz w:val="24"/>
              <w:szCs w:val="18"/>
            </w:rPr>
            <w:fldChar w:fldCharType="end"/>
          </w:r>
        </w:p>
        <w:p>
          <w:pPr>
            <w:pStyle w:val="31"/>
            <w:tabs>
              <w:tab w:val="right" w:leader="dot" w:pos="8278"/>
              <w:tab w:val="clear" w:pos="8640"/>
            </w:tabs>
            <w:spacing w:line="440" w:lineRule="exact"/>
            <w:ind w:left="562" w:hanging="562"/>
            <w:rPr>
              <w:rFonts w:ascii="Times New Roman" w:hAnsi="Times New Roman"/>
              <w:sz w:val="24"/>
              <w:szCs w:val="18"/>
            </w:rPr>
          </w:pPr>
          <w:r>
            <w:fldChar w:fldCharType="begin"/>
          </w:r>
          <w:r>
            <w:instrText xml:space="preserve"> HYPERLINK \l "_Toc18246" </w:instrText>
          </w:r>
          <w:r>
            <w:fldChar w:fldCharType="separate"/>
          </w:r>
          <w:r>
            <w:rPr>
              <w:rFonts w:ascii="Times New Roman" w:hAnsi="Times New Roman" w:eastAsiaTheme="minorEastAsia"/>
              <w:sz w:val="24"/>
              <w:szCs w:val="18"/>
            </w:rPr>
            <w:t>附件2  应急物资清单</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_Toc18246 \h </w:instrText>
          </w:r>
          <w:r>
            <w:rPr>
              <w:rFonts w:ascii="Times New Roman" w:hAnsi="Times New Roman"/>
              <w:sz w:val="24"/>
              <w:szCs w:val="18"/>
            </w:rPr>
            <w:fldChar w:fldCharType="separate"/>
          </w:r>
          <w:r>
            <w:rPr>
              <w:rFonts w:ascii="Times New Roman" w:hAnsi="Times New Roman"/>
              <w:sz w:val="24"/>
              <w:szCs w:val="18"/>
            </w:rPr>
            <w:t>123</w:t>
          </w:r>
          <w:r>
            <w:rPr>
              <w:rFonts w:ascii="Times New Roman" w:hAnsi="Times New Roman"/>
              <w:sz w:val="24"/>
              <w:szCs w:val="18"/>
            </w:rPr>
            <w:fldChar w:fldCharType="end"/>
          </w:r>
          <w:r>
            <w:rPr>
              <w:rFonts w:ascii="Times New Roman" w:hAnsi="Times New Roman"/>
              <w:sz w:val="24"/>
              <w:szCs w:val="18"/>
            </w:rPr>
            <w:fldChar w:fldCharType="end"/>
          </w:r>
        </w:p>
        <w:p>
          <w:pPr>
            <w:pStyle w:val="31"/>
            <w:tabs>
              <w:tab w:val="right" w:leader="dot" w:pos="8278"/>
              <w:tab w:val="clear" w:pos="8640"/>
            </w:tabs>
            <w:spacing w:line="440" w:lineRule="exact"/>
            <w:ind w:left="562" w:hanging="562"/>
            <w:rPr>
              <w:rFonts w:ascii="Times New Roman" w:hAnsi="Times New Roman"/>
              <w:sz w:val="24"/>
              <w:szCs w:val="18"/>
            </w:rPr>
          </w:pPr>
          <w:r>
            <w:fldChar w:fldCharType="begin"/>
          </w:r>
          <w:r>
            <w:instrText xml:space="preserve"> HYPERLINK \l "_Toc3628" </w:instrText>
          </w:r>
          <w:r>
            <w:fldChar w:fldCharType="separate"/>
          </w:r>
          <w:r>
            <w:rPr>
              <w:rFonts w:ascii="Times New Roman" w:hAnsi="Times New Roman" w:eastAsiaTheme="minorEastAsia"/>
              <w:snapToGrid/>
              <w:kern w:val="2"/>
              <w:sz w:val="24"/>
              <w:szCs w:val="18"/>
            </w:rPr>
            <w:t>附件</w:t>
          </w:r>
          <w:r>
            <w:rPr>
              <w:rFonts w:hint="eastAsia" w:ascii="Times New Roman" w:hAnsi="Times New Roman" w:eastAsiaTheme="minorEastAsia"/>
              <w:snapToGrid/>
              <w:kern w:val="2"/>
              <w:sz w:val="24"/>
              <w:szCs w:val="18"/>
            </w:rPr>
            <w:t>3</w:t>
          </w:r>
          <w:r>
            <w:rPr>
              <w:rFonts w:ascii="Times New Roman" w:hAnsi="Times New Roman" w:eastAsiaTheme="minorEastAsia"/>
              <w:snapToGrid/>
              <w:kern w:val="2"/>
              <w:sz w:val="24"/>
              <w:szCs w:val="18"/>
            </w:rPr>
            <w:t xml:space="preserve">  专家组名单</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_Toc3628 \h </w:instrText>
          </w:r>
          <w:r>
            <w:rPr>
              <w:rFonts w:ascii="Times New Roman" w:hAnsi="Times New Roman"/>
              <w:sz w:val="24"/>
              <w:szCs w:val="18"/>
            </w:rPr>
            <w:fldChar w:fldCharType="separate"/>
          </w:r>
          <w:r>
            <w:rPr>
              <w:rFonts w:ascii="Times New Roman" w:hAnsi="Times New Roman"/>
              <w:sz w:val="24"/>
              <w:szCs w:val="18"/>
            </w:rPr>
            <w:t>125</w:t>
          </w:r>
          <w:r>
            <w:rPr>
              <w:rFonts w:ascii="Times New Roman" w:hAnsi="Times New Roman"/>
              <w:sz w:val="24"/>
              <w:szCs w:val="18"/>
            </w:rPr>
            <w:fldChar w:fldCharType="end"/>
          </w:r>
          <w:r>
            <w:rPr>
              <w:rFonts w:ascii="Times New Roman" w:hAnsi="Times New Roman"/>
              <w:sz w:val="24"/>
              <w:szCs w:val="18"/>
            </w:rPr>
            <w:fldChar w:fldCharType="end"/>
          </w:r>
        </w:p>
        <w:p>
          <w:pPr>
            <w:pStyle w:val="31"/>
            <w:tabs>
              <w:tab w:val="right" w:leader="dot" w:pos="8278"/>
              <w:tab w:val="clear" w:pos="8640"/>
            </w:tabs>
            <w:spacing w:line="440" w:lineRule="exact"/>
            <w:ind w:left="562" w:hanging="562"/>
            <w:rPr>
              <w:rFonts w:ascii="Times New Roman" w:hAnsi="Times New Roman"/>
              <w:sz w:val="24"/>
              <w:szCs w:val="18"/>
            </w:rPr>
          </w:pPr>
          <w:r>
            <w:fldChar w:fldCharType="begin"/>
          </w:r>
          <w:r>
            <w:instrText xml:space="preserve"> HYPERLINK \l "_Toc11405" </w:instrText>
          </w:r>
          <w:r>
            <w:fldChar w:fldCharType="separate"/>
          </w:r>
          <w:r>
            <w:rPr>
              <w:rFonts w:ascii="Times New Roman" w:hAnsi="Times New Roman" w:eastAsiaTheme="minorEastAsia"/>
              <w:snapToGrid/>
              <w:kern w:val="2"/>
              <w:sz w:val="24"/>
              <w:szCs w:val="18"/>
            </w:rPr>
            <w:t>附件</w:t>
          </w:r>
          <w:r>
            <w:rPr>
              <w:rFonts w:hint="eastAsia" w:ascii="Times New Roman" w:hAnsi="Times New Roman" w:eastAsiaTheme="minorEastAsia"/>
              <w:snapToGrid/>
              <w:kern w:val="2"/>
              <w:sz w:val="24"/>
              <w:szCs w:val="18"/>
            </w:rPr>
            <w:t>4</w:t>
          </w:r>
          <w:r>
            <w:rPr>
              <w:rFonts w:ascii="Times New Roman" w:hAnsi="Times New Roman" w:eastAsiaTheme="minorEastAsia"/>
              <w:snapToGrid/>
              <w:kern w:val="2"/>
              <w:sz w:val="24"/>
              <w:szCs w:val="18"/>
            </w:rPr>
            <w:t xml:space="preserve">  专家组意见</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_Toc11405 \h </w:instrText>
          </w:r>
          <w:r>
            <w:rPr>
              <w:rFonts w:ascii="Times New Roman" w:hAnsi="Times New Roman"/>
              <w:sz w:val="24"/>
              <w:szCs w:val="18"/>
            </w:rPr>
            <w:fldChar w:fldCharType="separate"/>
          </w:r>
          <w:r>
            <w:rPr>
              <w:rFonts w:ascii="Times New Roman" w:hAnsi="Times New Roman"/>
              <w:sz w:val="24"/>
              <w:szCs w:val="18"/>
            </w:rPr>
            <w:t>126</w:t>
          </w:r>
          <w:r>
            <w:rPr>
              <w:rFonts w:ascii="Times New Roman" w:hAnsi="Times New Roman"/>
              <w:sz w:val="24"/>
              <w:szCs w:val="18"/>
            </w:rPr>
            <w:fldChar w:fldCharType="end"/>
          </w:r>
          <w:r>
            <w:rPr>
              <w:rFonts w:ascii="Times New Roman" w:hAnsi="Times New Roman"/>
              <w:sz w:val="24"/>
              <w:szCs w:val="18"/>
            </w:rPr>
            <w:fldChar w:fldCharType="end"/>
          </w:r>
        </w:p>
        <w:p>
          <w:pPr>
            <w:pStyle w:val="31"/>
            <w:tabs>
              <w:tab w:val="right" w:leader="dot" w:pos="8278"/>
              <w:tab w:val="clear" w:pos="8640"/>
            </w:tabs>
            <w:spacing w:line="440" w:lineRule="exact"/>
            <w:ind w:left="562" w:hanging="562"/>
            <w:rPr>
              <w:rFonts w:ascii="Times New Roman" w:hAnsi="Times New Roman"/>
            </w:rPr>
          </w:pPr>
          <w:r>
            <w:fldChar w:fldCharType="begin"/>
          </w:r>
          <w:r>
            <w:instrText xml:space="preserve"> HYPERLINK \l "_Toc24799" </w:instrText>
          </w:r>
          <w:r>
            <w:fldChar w:fldCharType="separate"/>
          </w:r>
          <w:r>
            <w:rPr>
              <w:rFonts w:ascii="Times New Roman" w:hAnsi="Times New Roman" w:eastAsiaTheme="minorEastAsia"/>
              <w:snapToGrid/>
              <w:kern w:val="2"/>
              <w:sz w:val="24"/>
              <w:szCs w:val="18"/>
            </w:rPr>
            <w:t>附件</w:t>
          </w:r>
          <w:r>
            <w:rPr>
              <w:rFonts w:hint="eastAsia" w:ascii="Times New Roman" w:hAnsi="Times New Roman" w:eastAsiaTheme="minorEastAsia"/>
              <w:snapToGrid/>
              <w:kern w:val="2"/>
              <w:sz w:val="24"/>
              <w:szCs w:val="18"/>
            </w:rPr>
            <w:t>5</w:t>
          </w:r>
          <w:r>
            <w:rPr>
              <w:rFonts w:ascii="Times New Roman" w:hAnsi="Times New Roman" w:eastAsiaTheme="minorEastAsia"/>
              <w:snapToGrid/>
              <w:kern w:val="2"/>
              <w:sz w:val="24"/>
              <w:szCs w:val="18"/>
            </w:rPr>
            <w:t xml:space="preserve">  修改说明</w:t>
          </w:r>
          <w:r>
            <w:rPr>
              <w:rFonts w:ascii="Times New Roman" w:hAnsi="Times New Roman"/>
              <w:sz w:val="24"/>
              <w:szCs w:val="18"/>
            </w:rPr>
            <w:tab/>
          </w:r>
          <w:r>
            <w:rPr>
              <w:rFonts w:ascii="Times New Roman" w:hAnsi="Times New Roman"/>
              <w:sz w:val="24"/>
              <w:szCs w:val="18"/>
            </w:rPr>
            <w:fldChar w:fldCharType="begin"/>
          </w:r>
          <w:r>
            <w:rPr>
              <w:rFonts w:ascii="Times New Roman" w:hAnsi="Times New Roman"/>
              <w:sz w:val="24"/>
              <w:szCs w:val="18"/>
            </w:rPr>
            <w:instrText xml:space="preserve"> PAGEREF _Toc24799 \h </w:instrText>
          </w:r>
          <w:r>
            <w:rPr>
              <w:rFonts w:ascii="Times New Roman" w:hAnsi="Times New Roman"/>
              <w:sz w:val="24"/>
              <w:szCs w:val="18"/>
            </w:rPr>
            <w:fldChar w:fldCharType="separate"/>
          </w:r>
          <w:r>
            <w:rPr>
              <w:rFonts w:ascii="Times New Roman" w:hAnsi="Times New Roman"/>
              <w:sz w:val="24"/>
              <w:szCs w:val="18"/>
            </w:rPr>
            <w:t>127</w:t>
          </w:r>
          <w:r>
            <w:rPr>
              <w:rFonts w:ascii="Times New Roman" w:hAnsi="Times New Roman"/>
              <w:sz w:val="24"/>
              <w:szCs w:val="18"/>
            </w:rPr>
            <w:fldChar w:fldCharType="end"/>
          </w:r>
          <w:r>
            <w:rPr>
              <w:rFonts w:ascii="Times New Roman" w:hAnsi="Times New Roman"/>
              <w:sz w:val="24"/>
              <w:szCs w:val="18"/>
            </w:rPr>
            <w:fldChar w:fldCharType="end"/>
          </w:r>
        </w:p>
        <w:p>
          <w:pPr>
            <w:widowControl/>
            <w:spacing w:line="440" w:lineRule="exact"/>
            <w:ind w:firstLine="560"/>
            <w:rPr>
              <w:rFonts w:eastAsiaTheme="minorEastAsia"/>
            </w:rPr>
          </w:pPr>
          <w:r>
            <w:rPr>
              <w:rFonts w:eastAsiaTheme="minorEastAsia"/>
              <w:szCs w:val="24"/>
            </w:rPr>
            <w:fldChar w:fldCharType="end"/>
          </w:r>
        </w:p>
      </w:sdtContent>
    </w:sdt>
    <w:p>
      <w:pPr>
        <w:pStyle w:val="2"/>
        <w:rPr>
          <w:rFonts w:eastAsiaTheme="minorEastAsia"/>
        </w:rPr>
        <w:sectPr>
          <w:headerReference r:id="rId13" w:type="default"/>
          <w:footerReference r:id="rId14" w:type="default"/>
          <w:pgSz w:w="11906" w:h="16838"/>
          <w:pgMar w:top="1985" w:right="1814" w:bottom="1985" w:left="1814" w:header="1389" w:footer="992" w:gutter="0"/>
          <w:pgBorders>
            <w:top w:val="none" w:sz="0" w:space="0"/>
            <w:left w:val="none" w:sz="0" w:space="0"/>
            <w:bottom w:val="none" w:sz="0" w:space="0"/>
            <w:right w:val="none" w:sz="0" w:space="0"/>
          </w:pgBorders>
          <w:pgNumType w:fmt="upperRoman" w:start="1"/>
          <w:cols w:space="720" w:num="1"/>
          <w:docGrid w:linePitch="381" w:charSpace="0"/>
        </w:sectPr>
      </w:pPr>
    </w:p>
    <w:p>
      <w:pPr>
        <w:pStyle w:val="2"/>
        <w:rPr>
          <w:rFonts w:eastAsiaTheme="minorEastAsia"/>
        </w:rPr>
      </w:pPr>
      <w:bookmarkStart w:id="13" w:name="_Toc11347"/>
      <w:r>
        <w:rPr>
          <w:rFonts w:eastAsiaTheme="minorEastAsia"/>
        </w:rPr>
        <w:t>1</w:t>
      </w:r>
      <w:bookmarkEnd w:id="10"/>
      <w:r>
        <w:rPr>
          <w:rFonts w:eastAsiaTheme="minorEastAsia"/>
        </w:rPr>
        <w:t xml:space="preserve">  总则</w:t>
      </w:r>
      <w:bookmarkEnd w:id="11"/>
      <w:bookmarkEnd w:id="12"/>
      <w:bookmarkEnd w:id="13"/>
    </w:p>
    <w:p>
      <w:pPr>
        <w:pStyle w:val="3"/>
        <w:rPr>
          <w:rFonts w:eastAsiaTheme="minorEastAsia"/>
        </w:rPr>
      </w:pPr>
      <w:bookmarkStart w:id="14" w:name="_Toc41742609"/>
      <w:bookmarkStart w:id="15" w:name="_Toc522018244"/>
      <w:bookmarkStart w:id="16" w:name="_Toc28079"/>
      <w:bookmarkStart w:id="17" w:name="_Toc202759398"/>
      <w:r>
        <w:rPr>
          <w:rFonts w:eastAsiaTheme="minorEastAsia"/>
        </w:rPr>
        <w:t>1.1  评价目的</w:t>
      </w:r>
      <w:bookmarkEnd w:id="14"/>
      <w:bookmarkEnd w:id="15"/>
      <w:bookmarkEnd w:id="16"/>
      <w:bookmarkEnd w:id="17"/>
    </w:p>
    <w:p>
      <w:pPr>
        <w:ind w:firstLine="560"/>
        <w:rPr>
          <w:rFonts w:eastAsiaTheme="minorEastAsia"/>
        </w:rPr>
      </w:pPr>
      <w:r>
        <w:rPr>
          <w:rFonts w:eastAsiaTheme="minorEastAsia"/>
        </w:rPr>
        <w:t>1）贯彻</w:t>
      </w:r>
      <w:r>
        <w:rPr>
          <w:rFonts w:hint="eastAsia" w:eastAsiaTheme="minorEastAsia"/>
        </w:rPr>
        <w:t>“</w:t>
      </w:r>
      <w:r>
        <w:rPr>
          <w:rFonts w:eastAsiaTheme="minorEastAsia"/>
        </w:rPr>
        <w:t>安全第一、预防为主、综合治理</w:t>
      </w:r>
      <w:r>
        <w:rPr>
          <w:rFonts w:hint="eastAsia" w:eastAsiaTheme="minorEastAsia"/>
        </w:rPr>
        <w:t>”</w:t>
      </w:r>
      <w:r>
        <w:rPr>
          <w:rFonts w:eastAsiaTheme="minorEastAsia"/>
        </w:rPr>
        <w:t>的安全生产方针，确保建设项目中的安全设施与主体工程同时设计、同时施工、同时投入生产和使用，保证项目建成后在安全方面符合国家有关法律、法规和技术标准的要求。</w:t>
      </w:r>
    </w:p>
    <w:p>
      <w:pPr>
        <w:ind w:firstLine="560"/>
        <w:rPr>
          <w:rFonts w:eastAsiaTheme="minorEastAsia"/>
        </w:rPr>
      </w:pPr>
      <w:r>
        <w:rPr>
          <w:rFonts w:eastAsiaTheme="minorEastAsia"/>
        </w:rPr>
        <w:t>2）通过对东辛油田营1-斜118块馆三产能建设工程的环境条件、地理位置、物料特性、设备设施等进行调研、分析，辨识分析建设项目、生产经营活动潜在的危险、有害因素。</w:t>
      </w:r>
    </w:p>
    <w:p>
      <w:pPr>
        <w:ind w:firstLine="560"/>
        <w:rPr>
          <w:rFonts w:eastAsiaTheme="minorEastAsia"/>
        </w:rPr>
      </w:pPr>
      <w:r>
        <w:rPr>
          <w:rFonts w:eastAsiaTheme="minorEastAsia"/>
        </w:rPr>
        <w:t>3）预测项目运行过程中发生事故的可能性及其严重程度。</w:t>
      </w:r>
    </w:p>
    <w:p>
      <w:pPr>
        <w:ind w:firstLine="560"/>
        <w:rPr>
          <w:rFonts w:eastAsiaTheme="minorEastAsia"/>
        </w:rPr>
      </w:pPr>
      <w:r>
        <w:rPr>
          <w:rFonts w:eastAsiaTheme="minorEastAsia"/>
        </w:rPr>
        <w:t>4）通过本次安全预评价，针对主要危险、有害因素，提出科学、合理、可行的安全对策措施建议，以利于提高项目的本质安全化水平，避免和减少生产安全事故危害的发生。</w:t>
      </w:r>
    </w:p>
    <w:p>
      <w:pPr>
        <w:ind w:firstLine="560"/>
        <w:rPr>
          <w:rFonts w:eastAsiaTheme="minorEastAsia"/>
        </w:rPr>
      </w:pPr>
      <w:r>
        <w:rPr>
          <w:rFonts w:eastAsiaTheme="minorEastAsia"/>
        </w:rPr>
        <w:t>5）本次安全预评价，为建设单位安全管理的系统化、标准化和科学化提供依据和条件；为政府安全生产监管、监察部门、行业主管部门等相关单位实施监督、管理提供依据；为建设项目初步设计提供依据。</w:t>
      </w:r>
    </w:p>
    <w:p>
      <w:pPr>
        <w:pStyle w:val="280"/>
        <w:rPr>
          <w:rFonts w:cs="Times New Roman" w:eastAsiaTheme="minorEastAsia"/>
        </w:rPr>
      </w:pPr>
      <w:bookmarkStart w:id="18" w:name="_Toc43910458"/>
      <w:bookmarkStart w:id="19" w:name="_Toc31665"/>
      <w:bookmarkStart w:id="20" w:name="_Toc2848"/>
      <w:r>
        <w:rPr>
          <w:rFonts w:cs="Times New Roman" w:eastAsiaTheme="minorEastAsia"/>
        </w:rPr>
        <w:t>1.2  评价依据</w:t>
      </w:r>
      <w:bookmarkEnd w:id="18"/>
      <w:bookmarkEnd w:id="19"/>
      <w:bookmarkEnd w:id="20"/>
    </w:p>
    <w:p>
      <w:pPr>
        <w:pStyle w:val="281"/>
        <w:rPr>
          <w:rFonts w:cs="Times New Roman" w:eastAsiaTheme="minorEastAsia"/>
        </w:rPr>
      </w:pPr>
      <w:r>
        <w:rPr>
          <w:rFonts w:cs="Times New Roman" w:eastAsiaTheme="minorEastAsia"/>
        </w:rPr>
        <w:t>1.2.1  法律、法规</w:t>
      </w:r>
    </w:p>
    <w:p>
      <w:pPr>
        <w:ind w:firstLine="560"/>
        <w:rPr>
          <w:rFonts w:eastAsiaTheme="minorEastAsia"/>
          <w:szCs w:val="28"/>
        </w:rPr>
      </w:pPr>
      <w:r>
        <w:rPr>
          <w:rFonts w:eastAsiaTheme="minorEastAsia"/>
          <w:szCs w:val="28"/>
        </w:rPr>
        <w:t>1）《中华人民共和国安全生产法》（主席令</w:t>
      </w:r>
      <w:r>
        <w:rPr>
          <w:rFonts w:hint="eastAsia" w:eastAsiaTheme="minorEastAsia"/>
          <w:szCs w:val="28"/>
        </w:rPr>
        <w:t>〔</w:t>
      </w:r>
      <w:r>
        <w:rPr>
          <w:rFonts w:eastAsiaTheme="minorEastAsia"/>
          <w:szCs w:val="28"/>
        </w:rPr>
        <w:t>2002</w:t>
      </w:r>
      <w:r>
        <w:rPr>
          <w:rFonts w:hint="eastAsia" w:eastAsiaTheme="minorEastAsia"/>
          <w:szCs w:val="28"/>
        </w:rPr>
        <w:t>〕</w:t>
      </w:r>
      <w:r>
        <w:rPr>
          <w:rFonts w:eastAsiaTheme="minorEastAsia"/>
          <w:szCs w:val="28"/>
        </w:rPr>
        <w:t>70号发布，</w:t>
      </w:r>
      <w:r>
        <w:rPr>
          <w:rFonts w:hint="eastAsia" w:eastAsiaTheme="minorEastAsia"/>
          <w:szCs w:val="28"/>
        </w:rPr>
        <w:t>〔</w:t>
      </w:r>
      <w:r>
        <w:rPr>
          <w:rFonts w:eastAsiaTheme="minorEastAsia"/>
          <w:szCs w:val="28"/>
        </w:rPr>
        <w:t>2021</w:t>
      </w:r>
      <w:r>
        <w:rPr>
          <w:rFonts w:hint="eastAsia" w:eastAsiaTheme="minorEastAsia"/>
          <w:szCs w:val="28"/>
        </w:rPr>
        <w:t>〕</w:t>
      </w:r>
      <w:r>
        <w:rPr>
          <w:rFonts w:eastAsiaTheme="minorEastAsia"/>
          <w:szCs w:val="28"/>
        </w:rPr>
        <w:t>第88号修正）</w:t>
      </w:r>
    </w:p>
    <w:p>
      <w:pPr>
        <w:ind w:firstLine="560"/>
        <w:rPr>
          <w:rFonts w:eastAsiaTheme="minorEastAsia"/>
          <w:szCs w:val="28"/>
        </w:rPr>
      </w:pPr>
      <w:r>
        <w:rPr>
          <w:rFonts w:eastAsiaTheme="minorEastAsia"/>
          <w:szCs w:val="28"/>
        </w:rPr>
        <w:t>2）《中华人民共和国突发事件应对法》（主席令</w:t>
      </w:r>
      <w:r>
        <w:rPr>
          <w:rFonts w:hint="eastAsia" w:eastAsiaTheme="minorEastAsia"/>
          <w:szCs w:val="28"/>
        </w:rPr>
        <w:t>〔</w:t>
      </w:r>
      <w:r>
        <w:rPr>
          <w:rFonts w:eastAsiaTheme="minorEastAsia"/>
          <w:szCs w:val="28"/>
        </w:rPr>
        <w:t>2007</w:t>
      </w:r>
      <w:r>
        <w:rPr>
          <w:rFonts w:hint="eastAsia" w:eastAsiaTheme="minorEastAsia"/>
          <w:szCs w:val="28"/>
        </w:rPr>
        <w:t>〕</w:t>
      </w:r>
      <w:r>
        <w:rPr>
          <w:rFonts w:eastAsiaTheme="minorEastAsia"/>
          <w:szCs w:val="28"/>
        </w:rPr>
        <w:t>69号）</w:t>
      </w:r>
    </w:p>
    <w:p>
      <w:pPr>
        <w:ind w:firstLine="560"/>
        <w:rPr>
          <w:rFonts w:eastAsiaTheme="minorEastAsia"/>
          <w:szCs w:val="28"/>
        </w:rPr>
      </w:pPr>
      <w:r>
        <w:rPr>
          <w:rFonts w:eastAsiaTheme="minorEastAsia"/>
          <w:szCs w:val="28"/>
        </w:rPr>
        <w:t>3）《中华人民共和国消防法》（主席令</w:t>
      </w:r>
      <w:r>
        <w:rPr>
          <w:rFonts w:hint="eastAsia" w:eastAsiaTheme="minorEastAsia"/>
          <w:szCs w:val="28"/>
        </w:rPr>
        <w:t>〔</w:t>
      </w:r>
      <w:r>
        <w:rPr>
          <w:rFonts w:eastAsiaTheme="minorEastAsia"/>
          <w:szCs w:val="28"/>
        </w:rPr>
        <w:t>2008</w:t>
      </w:r>
      <w:r>
        <w:rPr>
          <w:rFonts w:hint="eastAsia" w:eastAsiaTheme="minorEastAsia"/>
          <w:szCs w:val="28"/>
        </w:rPr>
        <w:t>〕</w:t>
      </w:r>
      <w:r>
        <w:rPr>
          <w:rFonts w:eastAsiaTheme="minorEastAsia"/>
          <w:szCs w:val="28"/>
        </w:rPr>
        <w:t>6号发布，主席令</w:t>
      </w:r>
      <w:r>
        <w:rPr>
          <w:rFonts w:hint="eastAsia" w:eastAsiaTheme="minorEastAsia"/>
          <w:szCs w:val="28"/>
        </w:rPr>
        <w:t>〔</w:t>
      </w:r>
      <w:r>
        <w:rPr>
          <w:rFonts w:eastAsiaTheme="minorEastAsia"/>
          <w:szCs w:val="28"/>
        </w:rPr>
        <w:t>2021</w:t>
      </w:r>
      <w:r>
        <w:rPr>
          <w:rFonts w:hint="eastAsia" w:eastAsiaTheme="minorEastAsia"/>
          <w:szCs w:val="28"/>
        </w:rPr>
        <w:t>〕</w:t>
      </w:r>
      <w:r>
        <w:rPr>
          <w:rFonts w:eastAsiaTheme="minorEastAsia"/>
          <w:szCs w:val="28"/>
        </w:rPr>
        <w:t>81号修正）</w:t>
      </w:r>
    </w:p>
    <w:p>
      <w:pPr>
        <w:ind w:firstLine="560"/>
        <w:rPr>
          <w:rFonts w:eastAsiaTheme="minorEastAsia"/>
          <w:szCs w:val="28"/>
        </w:rPr>
      </w:pPr>
      <w:r>
        <w:rPr>
          <w:rFonts w:eastAsiaTheme="minorEastAsia"/>
          <w:szCs w:val="28"/>
        </w:rPr>
        <w:t>4）《中华人民共和国防震减灾法》（主席令</w:t>
      </w:r>
      <w:r>
        <w:rPr>
          <w:rFonts w:hint="eastAsia" w:eastAsiaTheme="minorEastAsia"/>
          <w:szCs w:val="28"/>
        </w:rPr>
        <w:t>〔</w:t>
      </w:r>
      <w:r>
        <w:rPr>
          <w:rFonts w:eastAsiaTheme="minorEastAsia"/>
          <w:szCs w:val="28"/>
        </w:rPr>
        <w:t>2008</w:t>
      </w:r>
      <w:r>
        <w:rPr>
          <w:rFonts w:hint="eastAsia" w:eastAsiaTheme="minorEastAsia"/>
          <w:szCs w:val="28"/>
        </w:rPr>
        <w:t>〕</w:t>
      </w:r>
      <w:r>
        <w:rPr>
          <w:rFonts w:eastAsiaTheme="minorEastAsia"/>
          <w:szCs w:val="28"/>
        </w:rPr>
        <w:t>7号）</w:t>
      </w:r>
    </w:p>
    <w:p>
      <w:pPr>
        <w:ind w:firstLine="560"/>
        <w:rPr>
          <w:rFonts w:eastAsiaTheme="minorEastAsia"/>
          <w:szCs w:val="28"/>
        </w:rPr>
      </w:pPr>
      <w:r>
        <w:rPr>
          <w:rFonts w:eastAsiaTheme="minorEastAsia"/>
          <w:szCs w:val="28"/>
        </w:rPr>
        <w:t>5）《建设工程安全生产管理条例》（国务院令</w:t>
      </w:r>
      <w:r>
        <w:rPr>
          <w:rFonts w:hint="eastAsia" w:eastAsiaTheme="minorEastAsia"/>
          <w:szCs w:val="28"/>
        </w:rPr>
        <w:t>〔</w:t>
      </w:r>
      <w:r>
        <w:rPr>
          <w:rFonts w:eastAsiaTheme="minorEastAsia"/>
          <w:szCs w:val="28"/>
        </w:rPr>
        <w:t>2003</w:t>
      </w:r>
      <w:r>
        <w:rPr>
          <w:rFonts w:hint="eastAsia" w:eastAsiaTheme="minorEastAsia"/>
          <w:szCs w:val="28"/>
        </w:rPr>
        <w:t>〕</w:t>
      </w:r>
      <w:r>
        <w:rPr>
          <w:rFonts w:eastAsiaTheme="minorEastAsia"/>
          <w:szCs w:val="28"/>
        </w:rPr>
        <w:t>393号）</w:t>
      </w:r>
    </w:p>
    <w:p>
      <w:pPr>
        <w:ind w:firstLine="560"/>
        <w:rPr>
          <w:rFonts w:eastAsiaTheme="minorEastAsia"/>
          <w:szCs w:val="28"/>
        </w:rPr>
      </w:pPr>
      <w:r>
        <w:rPr>
          <w:rFonts w:eastAsiaTheme="minorEastAsia"/>
          <w:szCs w:val="28"/>
        </w:rPr>
        <w:t>6）《生产安全事故应急条例》（</w:t>
      </w:r>
      <w:r>
        <w:rPr>
          <w:rFonts w:eastAsiaTheme="minorEastAsia"/>
          <w:bCs/>
          <w:szCs w:val="28"/>
        </w:rPr>
        <w:t>国务院令</w:t>
      </w:r>
      <w:r>
        <w:rPr>
          <w:rFonts w:hint="eastAsia" w:eastAsiaTheme="minorEastAsia"/>
          <w:szCs w:val="28"/>
        </w:rPr>
        <w:t>〔</w:t>
      </w:r>
      <w:r>
        <w:rPr>
          <w:rFonts w:eastAsiaTheme="minorEastAsia"/>
          <w:szCs w:val="28"/>
        </w:rPr>
        <w:t>2019</w:t>
      </w:r>
      <w:r>
        <w:rPr>
          <w:rFonts w:hint="eastAsia" w:eastAsiaTheme="minorEastAsia"/>
          <w:szCs w:val="28"/>
        </w:rPr>
        <w:t>〕</w:t>
      </w:r>
      <w:r>
        <w:rPr>
          <w:rFonts w:eastAsiaTheme="minorEastAsia"/>
          <w:szCs w:val="28"/>
        </w:rPr>
        <w:t>708号）</w:t>
      </w:r>
    </w:p>
    <w:p>
      <w:pPr>
        <w:pStyle w:val="281"/>
        <w:rPr>
          <w:rFonts w:cs="Times New Roman" w:eastAsiaTheme="minorEastAsia"/>
        </w:rPr>
      </w:pPr>
      <w:r>
        <w:rPr>
          <w:rFonts w:cs="Times New Roman" w:eastAsiaTheme="minorEastAsia"/>
        </w:rPr>
        <w:t>1.2.2  部门规章、地方政府规章</w:t>
      </w:r>
    </w:p>
    <w:p>
      <w:pPr>
        <w:numPr>
          <w:ilvl w:val="0"/>
          <w:numId w:val="3"/>
        </w:numPr>
        <w:tabs>
          <w:tab w:val="left" w:pos="420"/>
        </w:tabs>
        <w:ind w:left="0" w:firstLine="560"/>
        <w:rPr>
          <w:rFonts w:eastAsiaTheme="minorEastAsia"/>
          <w:szCs w:val="28"/>
        </w:rPr>
      </w:pPr>
      <w:r>
        <w:rPr>
          <w:rFonts w:eastAsiaTheme="minorEastAsia"/>
          <w:szCs w:val="28"/>
        </w:rPr>
        <w:t>《建设项目安全设施</w:t>
      </w:r>
      <w:r>
        <w:rPr>
          <w:rFonts w:hint="eastAsia" w:eastAsiaTheme="minorEastAsia"/>
          <w:szCs w:val="28"/>
        </w:rPr>
        <w:t>“</w:t>
      </w:r>
      <w:r>
        <w:rPr>
          <w:rFonts w:eastAsiaTheme="minorEastAsia"/>
          <w:szCs w:val="28"/>
        </w:rPr>
        <w:t>三同时</w:t>
      </w:r>
      <w:r>
        <w:rPr>
          <w:rFonts w:hint="eastAsia" w:eastAsiaTheme="minorEastAsia"/>
          <w:szCs w:val="28"/>
        </w:rPr>
        <w:t>”</w:t>
      </w:r>
      <w:r>
        <w:rPr>
          <w:rFonts w:eastAsiaTheme="minorEastAsia"/>
          <w:szCs w:val="28"/>
        </w:rPr>
        <w:t>监督管理办法》（安监局令</w:t>
      </w:r>
      <w:r>
        <w:rPr>
          <w:rFonts w:hint="eastAsia" w:eastAsiaTheme="minorEastAsia"/>
          <w:szCs w:val="28"/>
        </w:rPr>
        <w:t>〔</w:t>
      </w:r>
      <w:r>
        <w:rPr>
          <w:rFonts w:eastAsiaTheme="minorEastAsia"/>
          <w:szCs w:val="28"/>
        </w:rPr>
        <w:t>2010</w:t>
      </w:r>
      <w:r>
        <w:rPr>
          <w:rFonts w:hint="eastAsia" w:eastAsiaTheme="minorEastAsia"/>
          <w:szCs w:val="28"/>
        </w:rPr>
        <w:t>〕</w:t>
      </w:r>
      <w:r>
        <w:rPr>
          <w:rFonts w:eastAsiaTheme="minorEastAsia"/>
          <w:szCs w:val="28"/>
        </w:rPr>
        <w:t>36号发布，安监局令</w:t>
      </w:r>
      <w:r>
        <w:rPr>
          <w:rFonts w:hint="eastAsia" w:eastAsiaTheme="minorEastAsia"/>
          <w:szCs w:val="28"/>
        </w:rPr>
        <w:t>〔</w:t>
      </w:r>
      <w:r>
        <w:rPr>
          <w:rFonts w:eastAsiaTheme="minorEastAsia"/>
          <w:szCs w:val="28"/>
        </w:rPr>
        <w:t>2018</w:t>
      </w:r>
      <w:r>
        <w:rPr>
          <w:rFonts w:hint="eastAsia" w:eastAsiaTheme="minorEastAsia"/>
          <w:szCs w:val="28"/>
        </w:rPr>
        <w:t>〕</w:t>
      </w:r>
      <w:r>
        <w:rPr>
          <w:rFonts w:eastAsiaTheme="minorEastAsia"/>
          <w:szCs w:val="28"/>
        </w:rPr>
        <w:t>12号修正）</w:t>
      </w:r>
    </w:p>
    <w:p>
      <w:pPr>
        <w:numPr>
          <w:ilvl w:val="0"/>
          <w:numId w:val="3"/>
        </w:numPr>
        <w:tabs>
          <w:tab w:val="left" w:pos="420"/>
        </w:tabs>
        <w:ind w:left="0" w:firstLine="560"/>
        <w:rPr>
          <w:rFonts w:eastAsiaTheme="minorEastAsia"/>
          <w:szCs w:val="28"/>
        </w:rPr>
      </w:pPr>
      <w:r>
        <w:rPr>
          <w:rFonts w:eastAsiaTheme="minorEastAsia"/>
          <w:szCs w:val="28"/>
        </w:rPr>
        <w:t>《安全生产培训管理办法》（安监局令</w:t>
      </w:r>
      <w:r>
        <w:rPr>
          <w:rFonts w:hint="eastAsia" w:eastAsiaTheme="minorEastAsia"/>
          <w:szCs w:val="28"/>
        </w:rPr>
        <w:t>〔</w:t>
      </w:r>
      <w:r>
        <w:rPr>
          <w:rFonts w:eastAsiaTheme="minorEastAsia"/>
          <w:szCs w:val="28"/>
        </w:rPr>
        <w:t>2012</w:t>
      </w:r>
      <w:r>
        <w:rPr>
          <w:rFonts w:hint="eastAsia" w:eastAsiaTheme="minorEastAsia"/>
          <w:szCs w:val="28"/>
        </w:rPr>
        <w:t>〕</w:t>
      </w:r>
      <w:r>
        <w:rPr>
          <w:rFonts w:eastAsiaTheme="minorEastAsia"/>
          <w:szCs w:val="28"/>
        </w:rPr>
        <w:t>44号发布，安监局令</w:t>
      </w:r>
      <w:r>
        <w:rPr>
          <w:rFonts w:hint="eastAsia" w:eastAsiaTheme="minorEastAsia"/>
          <w:szCs w:val="28"/>
        </w:rPr>
        <w:t>〔</w:t>
      </w:r>
      <w:r>
        <w:rPr>
          <w:rFonts w:eastAsiaTheme="minorEastAsia"/>
          <w:szCs w:val="28"/>
        </w:rPr>
        <w:t>2015</w:t>
      </w:r>
      <w:r>
        <w:rPr>
          <w:rFonts w:hint="eastAsia" w:eastAsiaTheme="minorEastAsia"/>
          <w:szCs w:val="28"/>
        </w:rPr>
        <w:t>〕</w:t>
      </w:r>
      <w:r>
        <w:rPr>
          <w:rFonts w:eastAsiaTheme="minorEastAsia"/>
          <w:szCs w:val="28"/>
        </w:rPr>
        <w:t>80号修正）</w:t>
      </w:r>
    </w:p>
    <w:p>
      <w:pPr>
        <w:numPr>
          <w:ilvl w:val="0"/>
          <w:numId w:val="3"/>
        </w:numPr>
        <w:tabs>
          <w:tab w:val="left" w:pos="420"/>
        </w:tabs>
        <w:ind w:left="0" w:firstLine="560"/>
        <w:rPr>
          <w:rFonts w:eastAsiaTheme="minorEastAsia"/>
          <w:szCs w:val="28"/>
        </w:rPr>
      </w:pPr>
      <w:r>
        <w:rPr>
          <w:rFonts w:eastAsiaTheme="minorEastAsia"/>
          <w:szCs w:val="28"/>
        </w:rPr>
        <w:t>《应急管理部关于修改〈生产安全事故应急预案管理办法〉的决定》（应急部令</w:t>
      </w:r>
      <w:r>
        <w:rPr>
          <w:rFonts w:hint="eastAsia" w:eastAsiaTheme="minorEastAsia"/>
          <w:szCs w:val="28"/>
        </w:rPr>
        <w:t>〔</w:t>
      </w:r>
      <w:r>
        <w:rPr>
          <w:rFonts w:eastAsiaTheme="minorEastAsia"/>
          <w:szCs w:val="28"/>
        </w:rPr>
        <w:t>2019</w:t>
      </w:r>
      <w:r>
        <w:rPr>
          <w:rFonts w:hint="eastAsia" w:eastAsiaTheme="minorEastAsia"/>
          <w:szCs w:val="28"/>
        </w:rPr>
        <w:t>〕</w:t>
      </w:r>
      <w:r>
        <w:rPr>
          <w:rFonts w:eastAsiaTheme="minorEastAsia"/>
          <w:szCs w:val="28"/>
        </w:rPr>
        <w:t>2号）</w:t>
      </w:r>
    </w:p>
    <w:p>
      <w:pPr>
        <w:numPr>
          <w:ilvl w:val="0"/>
          <w:numId w:val="3"/>
        </w:numPr>
        <w:tabs>
          <w:tab w:val="left" w:pos="420"/>
        </w:tabs>
        <w:ind w:left="0" w:firstLine="560"/>
        <w:rPr>
          <w:rFonts w:eastAsiaTheme="minorEastAsia"/>
          <w:szCs w:val="28"/>
        </w:rPr>
      </w:pPr>
      <w:r>
        <w:rPr>
          <w:rFonts w:eastAsiaTheme="minorEastAsia"/>
          <w:szCs w:val="28"/>
        </w:rPr>
        <w:t>《生产经营单位安全培训规定》（安监局令</w:t>
      </w:r>
      <w:r>
        <w:rPr>
          <w:rFonts w:hint="eastAsia" w:eastAsiaTheme="minorEastAsia"/>
          <w:szCs w:val="28"/>
        </w:rPr>
        <w:t>〔</w:t>
      </w:r>
      <w:r>
        <w:rPr>
          <w:rFonts w:eastAsiaTheme="minorEastAsia"/>
          <w:szCs w:val="28"/>
        </w:rPr>
        <w:t>2006</w:t>
      </w:r>
      <w:r>
        <w:rPr>
          <w:rFonts w:hint="eastAsia" w:eastAsiaTheme="minorEastAsia"/>
          <w:szCs w:val="28"/>
        </w:rPr>
        <w:t>〕</w:t>
      </w:r>
      <w:r>
        <w:rPr>
          <w:rFonts w:eastAsiaTheme="minorEastAsia"/>
          <w:szCs w:val="28"/>
        </w:rPr>
        <w:t>3号发布，</w:t>
      </w:r>
      <w:r>
        <w:rPr>
          <w:rFonts w:hint="eastAsia" w:eastAsiaTheme="minorEastAsia"/>
          <w:szCs w:val="28"/>
        </w:rPr>
        <w:t>〔</w:t>
      </w:r>
      <w:r>
        <w:rPr>
          <w:rFonts w:eastAsiaTheme="minorEastAsia"/>
          <w:szCs w:val="28"/>
        </w:rPr>
        <w:t>2015</w:t>
      </w:r>
      <w:r>
        <w:rPr>
          <w:rFonts w:hint="eastAsia" w:eastAsiaTheme="minorEastAsia"/>
          <w:szCs w:val="28"/>
        </w:rPr>
        <w:t>〕</w:t>
      </w:r>
      <w:r>
        <w:rPr>
          <w:rFonts w:eastAsiaTheme="minorEastAsia"/>
          <w:szCs w:val="28"/>
        </w:rPr>
        <w:t>80号修正）</w:t>
      </w:r>
    </w:p>
    <w:p>
      <w:pPr>
        <w:numPr>
          <w:ilvl w:val="0"/>
          <w:numId w:val="3"/>
        </w:numPr>
        <w:tabs>
          <w:tab w:val="left" w:pos="420"/>
        </w:tabs>
        <w:ind w:left="0" w:firstLine="560"/>
        <w:rPr>
          <w:rFonts w:eastAsiaTheme="minorEastAsia"/>
          <w:szCs w:val="28"/>
        </w:rPr>
      </w:pPr>
      <w:r>
        <w:rPr>
          <w:rFonts w:eastAsiaTheme="minorEastAsia"/>
          <w:szCs w:val="28"/>
        </w:rPr>
        <w:t>《安全生产事故隐患排查治理》（省政府令</w:t>
      </w:r>
      <w:r>
        <w:rPr>
          <w:rFonts w:hint="eastAsia" w:eastAsiaTheme="minorEastAsia"/>
          <w:szCs w:val="28"/>
        </w:rPr>
        <w:t>〔</w:t>
      </w:r>
      <w:r>
        <w:rPr>
          <w:rFonts w:eastAsiaTheme="minorEastAsia"/>
          <w:szCs w:val="28"/>
        </w:rPr>
        <w:t>2022</w:t>
      </w:r>
      <w:r>
        <w:rPr>
          <w:rFonts w:hint="eastAsia" w:eastAsiaTheme="minorEastAsia"/>
          <w:szCs w:val="28"/>
        </w:rPr>
        <w:t>〕</w:t>
      </w:r>
      <w:r>
        <w:rPr>
          <w:rFonts w:eastAsiaTheme="minorEastAsia"/>
          <w:szCs w:val="28"/>
        </w:rPr>
        <w:t>第347号）</w:t>
      </w:r>
    </w:p>
    <w:p>
      <w:pPr>
        <w:numPr>
          <w:ilvl w:val="0"/>
          <w:numId w:val="3"/>
        </w:numPr>
        <w:tabs>
          <w:tab w:val="left" w:pos="420"/>
        </w:tabs>
        <w:ind w:left="0" w:firstLine="560"/>
        <w:rPr>
          <w:rFonts w:eastAsiaTheme="minorEastAsia"/>
          <w:szCs w:val="28"/>
        </w:rPr>
      </w:pPr>
      <w:r>
        <w:rPr>
          <w:rFonts w:eastAsiaTheme="minorEastAsia"/>
          <w:szCs w:val="28"/>
        </w:rPr>
        <w:t>《山东省安全生产条例》（鲁人常</w:t>
      </w:r>
      <w:r>
        <w:rPr>
          <w:rFonts w:hint="eastAsia" w:eastAsiaTheme="minorEastAsia"/>
          <w:szCs w:val="28"/>
        </w:rPr>
        <w:t>〔</w:t>
      </w:r>
      <w:r>
        <w:rPr>
          <w:rFonts w:eastAsiaTheme="minorEastAsia"/>
          <w:szCs w:val="28"/>
        </w:rPr>
        <w:t>2021</w:t>
      </w:r>
      <w:r>
        <w:rPr>
          <w:rFonts w:hint="eastAsia" w:eastAsiaTheme="minorEastAsia"/>
          <w:szCs w:val="28"/>
        </w:rPr>
        <w:t>〕</w:t>
      </w:r>
      <w:r>
        <w:rPr>
          <w:rFonts w:eastAsiaTheme="minorEastAsia"/>
          <w:szCs w:val="28"/>
        </w:rPr>
        <w:t>185号）</w:t>
      </w:r>
    </w:p>
    <w:p>
      <w:pPr>
        <w:numPr>
          <w:ilvl w:val="0"/>
          <w:numId w:val="3"/>
        </w:numPr>
        <w:tabs>
          <w:tab w:val="left" w:pos="420"/>
        </w:tabs>
        <w:ind w:left="0" w:firstLine="560"/>
        <w:rPr>
          <w:rFonts w:eastAsiaTheme="minorEastAsia"/>
          <w:szCs w:val="28"/>
        </w:rPr>
      </w:pPr>
      <w:r>
        <w:rPr>
          <w:rFonts w:eastAsiaTheme="minorEastAsia"/>
          <w:szCs w:val="28"/>
        </w:rPr>
        <w:t>《山东省生产经营单位安全生产主体责任规定》（鲁政令</w:t>
      </w:r>
      <w:r>
        <w:rPr>
          <w:rFonts w:hint="eastAsia" w:eastAsiaTheme="minorEastAsia"/>
          <w:szCs w:val="28"/>
        </w:rPr>
        <w:t>〔</w:t>
      </w:r>
      <w:r>
        <w:rPr>
          <w:rFonts w:eastAsiaTheme="minorEastAsia"/>
          <w:szCs w:val="28"/>
        </w:rPr>
        <w:t>2013</w:t>
      </w:r>
      <w:r>
        <w:rPr>
          <w:rFonts w:hint="eastAsia" w:eastAsiaTheme="minorEastAsia"/>
          <w:szCs w:val="28"/>
        </w:rPr>
        <w:t>〕</w:t>
      </w:r>
      <w:r>
        <w:rPr>
          <w:rFonts w:eastAsiaTheme="minorEastAsia"/>
          <w:szCs w:val="28"/>
        </w:rPr>
        <w:t>260号发布，鲁政令</w:t>
      </w:r>
      <w:r>
        <w:rPr>
          <w:rFonts w:hint="eastAsia" w:eastAsiaTheme="minorEastAsia"/>
          <w:szCs w:val="28"/>
        </w:rPr>
        <w:t>〔</w:t>
      </w:r>
      <w:r>
        <w:rPr>
          <w:rFonts w:eastAsiaTheme="minorEastAsia"/>
          <w:szCs w:val="28"/>
        </w:rPr>
        <w:t>2018</w:t>
      </w:r>
      <w:r>
        <w:rPr>
          <w:rFonts w:hint="eastAsia" w:eastAsiaTheme="minorEastAsia"/>
          <w:szCs w:val="28"/>
        </w:rPr>
        <w:t>〕</w:t>
      </w:r>
      <w:r>
        <w:rPr>
          <w:rFonts w:eastAsiaTheme="minorEastAsia"/>
          <w:szCs w:val="28"/>
        </w:rPr>
        <w:t>311号修正）</w:t>
      </w:r>
    </w:p>
    <w:p>
      <w:pPr>
        <w:numPr>
          <w:ilvl w:val="0"/>
          <w:numId w:val="3"/>
        </w:numPr>
        <w:tabs>
          <w:tab w:val="left" w:pos="420"/>
        </w:tabs>
        <w:ind w:left="0" w:firstLine="560"/>
        <w:rPr>
          <w:rFonts w:eastAsiaTheme="minorEastAsia"/>
          <w:szCs w:val="28"/>
        </w:rPr>
      </w:pPr>
      <w:r>
        <w:rPr>
          <w:rFonts w:eastAsiaTheme="minorEastAsia"/>
          <w:szCs w:val="28"/>
        </w:rPr>
        <w:t>《山东省石油天然气管道保护条例》（鲁人常</w:t>
      </w:r>
      <w:r>
        <w:rPr>
          <w:rFonts w:hint="eastAsia" w:eastAsiaTheme="minorEastAsia"/>
          <w:szCs w:val="28"/>
        </w:rPr>
        <w:t>〔</w:t>
      </w:r>
      <w:r>
        <w:rPr>
          <w:rFonts w:eastAsiaTheme="minorEastAsia"/>
          <w:szCs w:val="28"/>
        </w:rPr>
        <w:t>2018</w:t>
      </w:r>
      <w:r>
        <w:rPr>
          <w:rFonts w:hint="eastAsia" w:eastAsiaTheme="minorEastAsia"/>
          <w:szCs w:val="28"/>
        </w:rPr>
        <w:t>〕</w:t>
      </w:r>
      <w:r>
        <w:rPr>
          <w:rFonts w:eastAsiaTheme="minorEastAsia"/>
          <w:szCs w:val="28"/>
        </w:rPr>
        <w:t>42号）</w:t>
      </w:r>
    </w:p>
    <w:p>
      <w:pPr>
        <w:numPr>
          <w:ilvl w:val="0"/>
          <w:numId w:val="3"/>
        </w:numPr>
        <w:tabs>
          <w:tab w:val="left" w:pos="420"/>
        </w:tabs>
        <w:ind w:left="0" w:firstLine="560"/>
        <w:rPr>
          <w:rFonts w:eastAsiaTheme="minorEastAsia"/>
          <w:szCs w:val="28"/>
        </w:rPr>
      </w:pPr>
      <w:r>
        <w:rPr>
          <w:rFonts w:eastAsiaTheme="minorEastAsia"/>
          <w:szCs w:val="28"/>
        </w:rPr>
        <w:t>《山东省安全生产风险管控办法》（鲁政令</w:t>
      </w:r>
      <w:r>
        <w:rPr>
          <w:rFonts w:hint="eastAsia" w:eastAsiaTheme="minorEastAsia"/>
          <w:szCs w:val="28"/>
        </w:rPr>
        <w:t>〔</w:t>
      </w:r>
      <w:r>
        <w:rPr>
          <w:rFonts w:eastAsiaTheme="minorEastAsia"/>
          <w:szCs w:val="28"/>
        </w:rPr>
        <w:t>2020</w:t>
      </w:r>
      <w:r>
        <w:rPr>
          <w:rFonts w:hint="eastAsia" w:eastAsiaTheme="minorEastAsia"/>
          <w:szCs w:val="28"/>
        </w:rPr>
        <w:t>〕</w:t>
      </w:r>
      <w:r>
        <w:rPr>
          <w:rFonts w:eastAsiaTheme="minorEastAsia"/>
          <w:szCs w:val="28"/>
        </w:rPr>
        <w:t>331号）</w:t>
      </w:r>
    </w:p>
    <w:p>
      <w:pPr>
        <w:pStyle w:val="281"/>
        <w:rPr>
          <w:rFonts w:cs="Times New Roman" w:eastAsiaTheme="minorEastAsia"/>
        </w:rPr>
      </w:pPr>
      <w:bookmarkStart w:id="21" w:name="_Toc215277128"/>
      <w:r>
        <w:rPr>
          <w:rFonts w:cs="Times New Roman" w:eastAsiaTheme="minorEastAsia"/>
        </w:rPr>
        <w:t>1.2.3  评价标准</w:t>
      </w:r>
      <w:bookmarkEnd w:id="21"/>
    </w:p>
    <w:p>
      <w:pPr>
        <w:numPr>
          <w:ilvl w:val="0"/>
          <w:numId w:val="4"/>
        </w:numPr>
        <w:tabs>
          <w:tab w:val="left" w:pos="420"/>
        </w:tabs>
        <w:ind w:left="0" w:firstLine="560"/>
        <w:rPr>
          <w:rFonts w:eastAsiaTheme="minorEastAsia"/>
          <w:szCs w:val="28"/>
        </w:rPr>
      </w:pPr>
      <w:r>
        <w:rPr>
          <w:rFonts w:eastAsiaTheme="minorEastAsia"/>
          <w:szCs w:val="28"/>
        </w:rPr>
        <w:t>《企业职工伤亡事故分类》（GB6441-86）</w:t>
      </w:r>
    </w:p>
    <w:p>
      <w:pPr>
        <w:numPr>
          <w:ilvl w:val="0"/>
          <w:numId w:val="4"/>
        </w:numPr>
        <w:tabs>
          <w:tab w:val="left" w:pos="420"/>
        </w:tabs>
        <w:ind w:left="0" w:firstLine="560"/>
        <w:rPr>
          <w:rFonts w:eastAsiaTheme="minorEastAsia"/>
          <w:szCs w:val="28"/>
        </w:rPr>
      </w:pPr>
      <w:r>
        <w:rPr>
          <w:rFonts w:eastAsiaTheme="minorEastAsia"/>
          <w:szCs w:val="28"/>
        </w:rPr>
        <w:t>《石油与石油设施雷电安全规范》（GB15599-2009）</w:t>
      </w:r>
    </w:p>
    <w:p>
      <w:pPr>
        <w:numPr>
          <w:ilvl w:val="0"/>
          <w:numId w:val="4"/>
        </w:numPr>
        <w:tabs>
          <w:tab w:val="left" w:pos="420"/>
        </w:tabs>
        <w:ind w:left="0" w:firstLine="560"/>
        <w:rPr>
          <w:rFonts w:eastAsiaTheme="minorEastAsia"/>
          <w:szCs w:val="28"/>
        </w:rPr>
      </w:pPr>
      <w:r>
        <w:rPr>
          <w:rFonts w:eastAsiaTheme="minorEastAsia"/>
          <w:szCs w:val="28"/>
        </w:rPr>
        <w:t>《危险化学品重大危险源辨识》（GB18218-2018）</w:t>
      </w:r>
    </w:p>
    <w:p>
      <w:pPr>
        <w:numPr>
          <w:ilvl w:val="0"/>
          <w:numId w:val="4"/>
        </w:numPr>
        <w:tabs>
          <w:tab w:val="left" w:pos="420"/>
        </w:tabs>
        <w:ind w:left="0" w:firstLine="560"/>
        <w:rPr>
          <w:rFonts w:eastAsiaTheme="minorEastAsia"/>
          <w:szCs w:val="28"/>
        </w:rPr>
      </w:pPr>
      <w:r>
        <w:rPr>
          <w:rFonts w:eastAsiaTheme="minorEastAsia"/>
          <w:szCs w:val="28"/>
        </w:rPr>
        <w:t>《建筑地基基础设计规范》（GB50007-2011）</w:t>
      </w:r>
    </w:p>
    <w:p>
      <w:pPr>
        <w:numPr>
          <w:ilvl w:val="0"/>
          <w:numId w:val="4"/>
        </w:numPr>
        <w:tabs>
          <w:tab w:val="left" w:pos="420"/>
        </w:tabs>
        <w:ind w:left="0" w:firstLine="560"/>
        <w:rPr>
          <w:rFonts w:eastAsiaTheme="minorEastAsia"/>
          <w:szCs w:val="28"/>
        </w:rPr>
      </w:pPr>
      <w:r>
        <w:rPr>
          <w:rFonts w:eastAsiaTheme="minorEastAsia"/>
          <w:szCs w:val="28"/>
        </w:rPr>
        <w:t>《供配电系统设计规范》（GB 50052-2009）</w:t>
      </w:r>
    </w:p>
    <w:p>
      <w:pPr>
        <w:numPr>
          <w:ilvl w:val="0"/>
          <w:numId w:val="4"/>
        </w:numPr>
        <w:tabs>
          <w:tab w:val="left" w:pos="420"/>
        </w:tabs>
        <w:ind w:left="0" w:firstLine="560"/>
        <w:rPr>
          <w:rFonts w:eastAsiaTheme="minorEastAsia"/>
          <w:szCs w:val="28"/>
        </w:rPr>
      </w:pPr>
      <w:r>
        <w:rPr>
          <w:rFonts w:eastAsiaTheme="minorEastAsia"/>
          <w:szCs w:val="28"/>
        </w:rPr>
        <w:t>《爆炸危险环境电力装置设计规范》（GB50058-2014）</w:t>
      </w:r>
    </w:p>
    <w:p>
      <w:pPr>
        <w:numPr>
          <w:ilvl w:val="0"/>
          <w:numId w:val="4"/>
        </w:numPr>
        <w:tabs>
          <w:tab w:val="left" w:pos="420"/>
        </w:tabs>
        <w:ind w:left="0" w:firstLine="560"/>
        <w:rPr>
          <w:rFonts w:eastAsiaTheme="minorEastAsia"/>
          <w:szCs w:val="28"/>
        </w:rPr>
      </w:pPr>
      <w:r>
        <w:rPr>
          <w:rFonts w:eastAsiaTheme="minorEastAsia"/>
          <w:szCs w:val="28"/>
        </w:rPr>
        <w:t>《石油天然气工程设计防火规范》（GB50183-2004）</w:t>
      </w:r>
    </w:p>
    <w:p>
      <w:pPr>
        <w:numPr>
          <w:ilvl w:val="0"/>
          <w:numId w:val="4"/>
        </w:numPr>
        <w:tabs>
          <w:tab w:val="left" w:pos="420"/>
        </w:tabs>
        <w:ind w:left="0" w:firstLine="560"/>
        <w:rPr>
          <w:rFonts w:eastAsiaTheme="minorEastAsia"/>
          <w:szCs w:val="28"/>
        </w:rPr>
      </w:pPr>
      <w:r>
        <w:rPr>
          <w:rFonts w:eastAsiaTheme="minorEastAsia"/>
          <w:szCs w:val="28"/>
        </w:rPr>
        <w:t>《油田油气集输设计规范》（GB50350-2015）</w:t>
      </w:r>
    </w:p>
    <w:p>
      <w:pPr>
        <w:numPr>
          <w:ilvl w:val="0"/>
          <w:numId w:val="4"/>
        </w:numPr>
        <w:tabs>
          <w:tab w:val="left" w:pos="420"/>
        </w:tabs>
        <w:ind w:left="0" w:firstLine="560"/>
        <w:rPr>
          <w:rFonts w:eastAsiaTheme="minorEastAsia"/>
          <w:szCs w:val="28"/>
        </w:rPr>
      </w:pPr>
      <w:r>
        <w:rPr>
          <w:rFonts w:eastAsiaTheme="minorEastAsia"/>
          <w:szCs w:val="28"/>
        </w:rPr>
        <w:t>《生产过程安全卫生要求总则》（GB/T12801-2008）</w:t>
      </w:r>
    </w:p>
    <w:p>
      <w:pPr>
        <w:numPr>
          <w:ilvl w:val="0"/>
          <w:numId w:val="4"/>
        </w:numPr>
        <w:tabs>
          <w:tab w:val="left" w:pos="420"/>
        </w:tabs>
        <w:ind w:left="0" w:firstLine="560"/>
        <w:rPr>
          <w:rFonts w:eastAsiaTheme="minorEastAsia"/>
          <w:szCs w:val="28"/>
        </w:rPr>
      </w:pPr>
      <w:r>
        <w:rPr>
          <w:rFonts w:eastAsiaTheme="minorEastAsia"/>
          <w:szCs w:val="28"/>
        </w:rPr>
        <w:t>《生产经营单位生产安全事故应急预案编制导则》（GB/T 29639-2020）</w:t>
      </w:r>
    </w:p>
    <w:p>
      <w:pPr>
        <w:numPr>
          <w:ilvl w:val="0"/>
          <w:numId w:val="4"/>
        </w:numPr>
        <w:tabs>
          <w:tab w:val="left" w:pos="420"/>
        </w:tabs>
        <w:ind w:left="0" w:firstLine="560"/>
        <w:rPr>
          <w:rFonts w:eastAsiaTheme="minorEastAsia"/>
          <w:szCs w:val="28"/>
        </w:rPr>
      </w:pPr>
      <w:r>
        <w:rPr>
          <w:rFonts w:eastAsiaTheme="minorEastAsia"/>
          <w:szCs w:val="28"/>
        </w:rPr>
        <w:t>《交流电气装置的接地设计规范》（GB/T50065-2011）</w:t>
      </w:r>
    </w:p>
    <w:p>
      <w:pPr>
        <w:numPr>
          <w:ilvl w:val="0"/>
          <w:numId w:val="4"/>
        </w:numPr>
        <w:tabs>
          <w:tab w:val="left" w:pos="420"/>
        </w:tabs>
        <w:ind w:left="0" w:firstLine="560"/>
        <w:rPr>
          <w:rFonts w:eastAsiaTheme="minorEastAsia"/>
          <w:szCs w:val="28"/>
        </w:rPr>
      </w:pPr>
      <w:r>
        <w:rPr>
          <w:rFonts w:eastAsiaTheme="minorEastAsia"/>
          <w:szCs w:val="28"/>
        </w:rPr>
        <w:t>《安全评价通则》（AQ8001-2007）</w:t>
      </w:r>
    </w:p>
    <w:p>
      <w:pPr>
        <w:numPr>
          <w:ilvl w:val="0"/>
          <w:numId w:val="4"/>
        </w:numPr>
        <w:tabs>
          <w:tab w:val="left" w:pos="420"/>
        </w:tabs>
        <w:ind w:left="0" w:firstLine="560"/>
        <w:rPr>
          <w:rFonts w:eastAsiaTheme="minorEastAsia"/>
          <w:szCs w:val="28"/>
        </w:rPr>
      </w:pPr>
      <w:r>
        <w:rPr>
          <w:rFonts w:eastAsiaTheme="minorEastAsia"/>
          <w:szCs w:val="28"/>
        </w:rPr>
        <w:t>《安全预评价导则》（AQ8002-2007）</w:t>
      </w:r>
    </w:p>
    <w:p>
      <w:pPr>
        <w:numPr>
          <w:ilvl w:val="0"/>
          <w:numId w:val="4"/>
        </w:numPr>
        <w:tabs>
          <w:tab w:val="left" w:pos="420"/>
        </w:tabs>
        <w:ind w:left="0" w:firstLine="560"/>
        <w:rPr>
          <w:rFonts w:eastAsiaTheme="minorEastAsia"/>
          <w:szCs w:val="28"/>
        </w:rPr>
      </w:pPr>
      <w:r>
        <w:rPr>
          <w:rFonts w:eastAsiaTheme="minorEastAsia"/>
          <w:szCs w:val="28"/>
        </w:rPr>
        <w:t>《石油天然气钻井、开发、储运防火防爆安全生产技术规程》（SY/T5225-2019）</w:t>
      </w:r>
    </w:p>
    <w:p>
      <w:pPr>
        <w:numPr>
          <w:ilvl w:val="0"/>
          <w:numId w:val="4"/>
        </w:numPr>
        <w:tabs>
          <w:tab w:val="left" w:pos="420"/>
        </w:tabs>
        <w:ind w:left="0" w:firstLine="560"/>
        <w:rPr>
          <w:rFonts w:eastAsiaTheme="minorEastAsia"/>
          <w:szCs w:val="28"/>
        </w:rPr>
      </w:pPr>
      <w:r>
        <w:rPr>
          <w:rFonts w:hint="eastAsia" w:eastAsiaTheme="minorEastAsia"/>
          <w:szCs w:val="28"/>
        </w:rPr>
        <w:t>《</w:t>
      </w:r>
      <w:r>
        <w:rPr>
          <w:rFonts w:eastAsiaTheme="minorEastAsia"/>
          <w:szCs w:val="28"/>
        </w:rPr>
        <w:t>套管柱结构与强度设计</w:t>
      </w:r>
      <w:r>
        <w:rPr>
          <w:rFonts w:hint="eastAsia" w:eastAsiaTheme="minorEastAsia"/>
          <w:szCs w:val="28"/>
        </w:rPr>
        <w:t>》（</w:t>
      </w:r>
      <w:r>
        <w:rPr>
          <w:rFonts w:eastAsiaTheme="minorEastAsia"/>
          <w:szCs w:val="28"/>
        </w:rPr>
        <w:t>SY/T57</w:t>
      </w:r>
      <w:r>
        <w:rPr>
          <w:rFonts w:hint="eastAsia" w:eastAsiaTheme="minorEastAsia"/>
          <w:szCs w:val="28"/>
        </w:rPr>
        <w:t>2</w:t>
      </w:r>
      <w:r>
        <w:rPr>
          <w:rFonts w:eastAsiaTheme="minorEastAsia"/>
          <w:szCs w:val="28"/>
        </w:rPr>
        <w:t>4-20</w:t>
      </w:r>
      <w:r>
        <w:rPr>
          <w:rFonts w:hint="eastAsia" w:eastAsiaTheme="minorEastAsia"/>
          <w:szCs w:val="28"/>
          <w:lang w:val="en-US" w:eastAsia="zh-CN"/>
        </w:rPr>
        <w:t>0</w:t>
      </w:r>
      <w:r>
        <w:rPr>
          <w:rFonts w:hint="eastAsia" w:eastAsiaTheme="minorEastAsia"/>
          <w:szCs w:val="28"/>
        </w:rPr>
        <w:t>8）</w:t>
      </w:r>
    </w:p>
    <w:p>
      <w:pPr>
        <w:numPr>
          <w:ilvl w:val="0"/>
          <w:numId w:val="4"/>
        </w:numPr>
        <w:tabs>
          <w:tab w:val="left" w:pos="420"/>
        </w:tabs>
        <w:ind w:left="0" w:firstLine="560"/>
        <w:rPr>
          <w:rFonts w:eastAsiaTheme="minorEastAsia"/>
          <w:szCs w:val="28"/>
        </w:rPr>
      </w:pPr>
      <w:r>
        <w:rPr>
          <w:rFonts w:eastAsiaTheme="minorEastAsia"/>
          <w:szCs w:val="28"/>
        </w:rPr>
        <w:t>《钻井井场设备作业安全技术规程》（SY/T5974-2020）</w:t>
      </w:r>
    </w:p>
    <w:p>
      <w:pPr>
        <w:numPr>
          <w:ilvl w:val="0"/>
          <w:numId w:val="4"/>
        </w:numPr>
        <w:tabs>
          <w:tab w:val="left" w:pos="420"/>
        </w:tabs>
        <w:ind w:left="0" w:firstLine="560"/>
        <w:rPr>
          <w:rFonts w:eastAsiaTheme="minorEastAsia"/>
          <w:szCs w:val="28"/>
        </w:rPr>
      </w:pPr>
      <w:r>
        <w:rPr>
          <w:rFonts w:eastAsiaTheme="minorEastAsia"/>
          <w:szCs w:val="28"/>
        </w:rPr>
        <w:t>《丛式井平台布置及井眼防碰技术要求》（SY/T6396-2014）</w:t>
      </w:r>
    </w:p>
    <w:p>
      <w:pPr>
        <w:numPr>
          <w:ilvl w:val="0"/>
          <w:numId w:val="4"/>
        </w:numPr>
        <w:tabs>
          <w:tab w:val="left" w:pos="420"/>
        </w:tabs>
        <w:ind w:left="0" w:firstLine="560"/>
        <w:rPr>
          <w:rFonts w:eastAsiaTheme="minorEastAsia"/>
          <w:szCs w:val="28"/>
        </w:rPr>
      </w:pPr>
      <w:r>
        <w:rPr>
          <w:rFonts w:eastAsiaTheme="minorEastAsia"/>
          <w:szCs w:val="28"/>
          <w:lang w:val="zh-CN"/>
        </w:rPr>
        <w:t>《石油天然气开发注二氧化碳安全规范》（</w:t>
      </w:r>
      <w:r>
        <w:rPr>
          <w:rFonts w:eastAsiaTheme="minorEastAsia"/>
          <w:szCs w:val="28"/>
        </w:rPr>
        <w:t>SY/T6565-2018</w:t>
      </w:r>
      <w:r>
        <w:rPr>
          <w:rFonts w:eastAsiaTheme="minorEastAsia"/>
          <w:szCs w:val="28"/>
          <w:lang w:val="zh-CN"/>
        </w:rPr>
        <w:t>）</w:t>
      </w:r>
    </w:p>
    <w:p>
      <w:pPr>
        <w:numPr>
          <w:ilvl w:val="0"/>
          <w:numId w:val="4"/>
        </w:numPr>
        <w:tabs>
          <w:tab w:val="left" w:pos="420"/>
        </w:tabs>
        <w:ind w:left="0" w:firstLine="560"/>
        <w:rPr>
          <w:rFonts w:eastAsiaTheme="minorEastAsia"/>
          <w:szCs w:val="28"/>
        </w:rPr>
      </w:pPr>
      <w:r>
        <w:rPr>
          <w:rFonts w:eastAsiaTheme="minorEastAsia"/>
          <w:szCs w:val="28"/>
        </w:rPr>
        <w:t>《石油天然气行业建设项目（工程）安全预评价报告编写细则》（SY/T6607-2019）</w:t>
      </w:r>
    </w:p>
    <w:p>
      <w:pPr>
        <w:numPr>
          <w:ilvl w:val="0"/>
          <w:numId w:val="4"/>
        </w:numPr>
        <w:tabs>
          <w:tab w:val="left" w:pos="420"/>
        </w:tabs>
        <w:ind w:left="0" w:firstLine="560"/>
        <w:rPr>
          <w:rFonts w:eastAsiaTheme="minorEastAsia"/>
          <w:szCs w:val="28"/>
        </w:rPr>
      </w:pPr>
      <w:r>
        <w:rPr>
          <w:rFonts w:eastAsiaTheme="minorEastAsia"/>
          <w:szCs w:val="28"/>
        </w:rPr>
        <w:t>《石油天然气钻采设备潜油电动螺杆泵机组》</w:t>
      </w:r>
      <w:r>
        <w:rPr>
          <w:rFonts w:hint="eastAsia" w:eastAsiaTheme="minorEastAsia"/>
          <w:szCs w:val="28"/>
        </w:rPr>
        <w:t>（</w:t>
      </w:r>
      <w:r>
        <w:rPr>
          <w:rFonts w:eastAsiaTheme="minorEastAsia"/>
          <w:szCs w:val="28"/>
        </w:rPr>
        <w:t>SY/T7673-2022</w:t>
      </w:r>
      <w:r>
        <w:rPr>
          <w:rFonts w:hint="eastAsia" w:eastAsiaTheme="minorEastAsia"/>
          <w:szCs w:val="28"/>
        </w:rPr>
        <w:t>）</w:t>
      </w:r>
    </w:p>
    <w:p>
      <w:pPr>
        <w:numPr>
          <w:ilvl w:val="0"/>
          <w:numId w:val="4"/>
        </w:numPr>
        <w:tabs>
          <w:tab w:val="left" w:pos="420"/>
        </w:tabs>
        <w:ind w:left="0" w:firstLine="560"/>
        <w:rPr>
          <w:rFonts w:eastAsiaTheme="minorEastAsia"/>
          <w:szCs w:val="28"/>
        </w:rPr>
      </w:pPr>
      <w:r>
        <w:rPr>
          <w:rFonts w:eastAsiaTheme="minorEastAsia"/>
          <w:szCs w:val="28"/>
        </w:rPr>
        <w:t>《交流电气装置的过电压保护和绝缘配合》（DL/T 620-1997）</w:t>
      </w:r>
    </w:p>
    <w:p>
      <w:pPr>
        <w:pStyle w:val="281"/>
        <w:rPr>
          <w:rFonts w:cs="Times New Roman" w:eastAsiaTheme="minorEastAsia"/>
        </w:rPr>
      </w:pPr>
      <w:r>
        <w:rPr>
          <w:rFonts w:cs="Times New Roman" w:eastAsiaTheme="minorEastAsia"/>
        </w:rPr>
        <w:t>1.2.4  企业规定</w:t>
      </w:r>
      <w:r>
        <w:rPr>
          <w:rFonts w:hint="eastAsia" w:cs="Times New Roman" w:eastAsiaTheme="minorEastAsia"/>
        </w:rPr>
        <w:t>及</w:t>
      </w:r>
      <w:r>
        <w:rPr>
          <w:rFonts w:hint="eastAsia" w:cs="Times New Roman" w:eastAsiaTheme="minorEastAsia"/>
          <w:lang w:eastAsia="zh-CN"/>
        </w:rPr>
        <w:t>企业标准</w:t>
      </w:r>
    </w:p>
    <w:p>
      <w:pPr>
        <w:numPr>
          <w:ilvl w:val="0"/>
          <w:numId w:val="5"/>
        </w:numPr>
        <w:tabs>
          <w:tab w:val="left" w:pos="420"/>
        </w:tabs>
        <w:ind w:left="0" w:firstLine="560"/>
        <w:rPr>
          <w:rFonts w:eastAsiaTheme="minorEastAsia"/>
          <w:szCs w:val="28"/>
          <w:lang w:val="zh-CN"/>
        </w:rPr>
      </w:pPr>
      <w:r>
        <w:rPr>
          <w:rFonts w:eastAsiaTheme="minorEastAsia"/>
          <w:szCs w:val="28"/>
          <w:lang w:val="zh-CN"/>
        </w:rPr>
        <w:t>《关于印发&lt;中国石化作业许可管理规定&gt;等8项制度的通知》（中国石化制</w:t>
      </w:r>
      <w:r>
        <w:rPr>
          <w:rFonts w:hint="eastAsia" w:eastAsiaTheme="minorEastAsia"/>
          <w:szCs w:val="28"/>
          <w:lang w:val="zh-CN"/>
        </w:rPr>
        <w:t>〔</w:t>
      </w:r>
      <w:r>
        <w:rPr>
          <w:rFonts w:eastAsiaTheme="minorEastAsia"/>
          <w:szCs w:val="28"/>
          <w:lang w:val="zh-CN"/>
        </w:rPr>
        <w:t>2022</w:t>
      </w:r>
      <w:r>
        <w:rPr>
          <w:rFonts w:hint="eastAsia" w:eastAsiaTheme="minorEastAsia"/>
          <w:szCs w:val="28"/>
          <w:lang w:val="zh-CN"/>
        </w:rPr>
        <w:t>〕</w:t>
      </w:r>
      <w:r>
        <w:rPr>
          <w:rFonts w:eastAsiaTheme="minorEastAsia"/>
          <w:szCs w:val="28"/>
          <w:lang w:val="zh-CN"/>
        </w:rPr>
        <w:t>14号）</w:t>
      </w:r>
    </w:p>
    <w:p>
      <w:pPr>
        <w:numPr>
          <w:ilvl w:val="0"/>
          <w:numId w:val="5"/>
        </w:numPr>
        <w:tabs>
          <w:tab w:val="left" w:pos="420"/>
        </w:tabs>
        <w:ind w:left="0" w:firstLine="560"/>
        <w:rPr>
          <w:rFonts w:eastAsiaTheme="minorEastAsia"/>
          <w:szCs w:val="28"/>
          <w:lang w:val="zh-CN"/>
        </w:rPr>
      </w:pPr>
      <w:r>
        <w:rPr>
          <w:rFonts w:eastAsiaTheme="minorEastAsia"/>
          <w:szCs w:val="28"/>
          <w:lang w:val="zh-CN"/>
        </w:rPr>
        <w:t>《中国石化建设项目设计安全管理办法》（中国石化安</w:t>
      </w:r>
      <w:r>
        <w:rPr>
          <w:rFonts w:hint="eastAsia" w:eastAsiaTheme="minorEastAsia"/>
          <w:szCs w:val="28"/>
          <w:lang w:val="zh-CN"/>
        </w:rPr>
        <w:t>〔</w:t>
      </w:r>
      <w:r>
        <w:rPr>
          <w:rFonts w:eastAsiaTheme="minorEastAsia"/>
          <w:szCs w:val="28"/>
          <w:lang w:val="zh-CN"/>
        </w:rPr>
        <w:t>2018</w:t>
      </w:r>
      <w:r>
        <w:rPr>
          <w:rFonts w:hint="eastAsia" w:eastAsiaTheme="minorEastAsia"/>
          <w:szCs w:val="28"/>
          <w:lang w:val="zh-CN"/>
        </w:rPr>
        <w:t>〕</w:t>
      </w:r>
      <w:r>
        <w:rPr>
          <w:rFonts w:eastAsiaTheme="minorEastAsia"/>
          <w:szCs w:val="28"/>
          <w:lang w:val="zh-CN"/>
        </w:rPr>
        <w:t>67号）</w:t>
      </w:r>
    </w:p>
    <w:p>
      <w:pPr>
        <w:numPr>
          <w:ilvl w:val="0"/>
          <w:numId w:val="5"/>
        </w:numPr>
        <w:tabs>
          <w:tab w:val="left" w:pos="420"/>
        </w:tabs>
        <w:ind w:left="0" w:firstLine="560"/>
        <w:rPr>
          <w:rFonts w:eastAsiaTheme="minorEastAsia"/>
          <w:szCs w:val="28"/>
          <w:lang w:val="zh-CN"/>
        </w:rPr>
      </w:pPr>
      <w:r>
        <w:rPr>
          <w:rFonts w:eastAsiaTheme="minorEastAsia"/>
          <w:szCs w:val="28"/>
          <w:lang w:val="zh-CN"/>
        </w:rPr>
        <w:t>《中国石化建设项目安全、职业病防护、消防设施</w:t>
      </w:r>
      <w:r>
        <w:rPr>
          <w:rFonts w:hint="eastAsia" w:eastAsiaTheme="minorEastAsia"/>
          <w:szCs w:val="28"/>
          <w:lang w:val="zh-CN"/>
        </w:rPr>
        <w:t>“</w:t>
      </w:r>
      <w:r>
        <w:rPr>
          <w:rFonts w:eastAsiaTheme="minorEastAsia"/>
          <w:szCs w:val="28"/>
          <w:lang w:val="zh-CN"/>
        </w:rPr>
        <w:t>三同时</w:t>
      </w:r>
      <w:r>
        <w:rPr>
          <w:rFonts w:hint="eastAsia" w:eastAsiaTheme="minorEastAsia"/>
          <w:szCs w:val="28"/>
          <w:lang w:val="zh-CN"/>
        </w:rPr>
        <w:t>”</w:t>
      </w:r>
      <w:r>
        <w:rPr>
          <w:rFonts w:eastAsiaTheme="minorEastAsia"/>
          <w:szCs w:val="28"/>
          <w:lang w:val="zh-CN"/>
        </w:rPr>
        <w:t>管理办法》（中国石化安</w:t>
      </w:r>
      <w:r>
        <w:rPr>
          <w:rFonts w:hint="eastAsia" w:eastAsiaTheme="minorEastAsia"/>
          <w:szCs w:val="28"/>
          <w:lang w:val="zh-CN"/>
        </w:rPr>
        <w:t>〔</w:t>
      </w:r>
      <w:r>
        <w:rPr>
          <w:rFonts w:eastAsiaTheme="minorEastAsia"/>
          <w:szCs w:val="28"/>
          <w:lang w:val="zh-CN"/>
        </w:rPr>
        <w:t>2018</w:t>
      </w:r>
      <w:r>
        <w:rPr>
          <w:rFonts w:hint="eastAsia" w:eastAsiaTheme="minorEastAsia"/>
          <w:szCs w:val="28"/>
          <w:lang w:val="zh-CN"/>
        </w:rPr>
        <w:t>〕</w:t>
      </w:r>
      <w:r>
        <w:rPr>
          <w:rFonts w:eastAsiaTheme="minorEastAsia"/>
          <w:szCs w:val="28"/>
          <w:lang w:val="zh-CN"/>
        </w:rPr>
        <w:t>448号）</w:t>
      </w:r>
    </w:p>
    <w:p>
      <w:pPr>
        <w:numPr>
          <w:ilvl w:val="0"/>
          <w:numId w:val="5"/>
        </w:numPr>
        <w:tabs>
          <w:tab w:val="left" w:pos="420"/>
        </w:tabs>
        <w:ind w:left="0" w:firstLine="560"/>
        <w:rPr>
          <w:rFonts w:eastAsiaTheme="minorEastAsia"/>
          <w:szCs w:val="28"/>
          <w:lang w:val="zh-CN"/>
        </w:rPr>
      </w:pPr>
      <w:r>
        <w:rPr>
          <w:rFonts w:eastAsiaTheme="minorEastAsia"/>
          <w:szCs w:val="28"/>
          <w:lang w:val="zh-CN"/>
        </w:rPr>
        <w:t>《中石化井控管理规定》</w:t>
      </w:r>
      <w:r>
        <w:rPr>
          <w:rFonts w:hint="eastAsia" w:eastAsiaTheme="minorEastAsia"/>
          <w:szCs w:val="28"/>
          <w:lang w:val="zh-CN"/>
        </w:rPr>
        <w:t>（中国石化油</w:t>
      </w:r>
      <w:r>
        <w:rPr>
          <w:rFonts w:eastAsiaTheme="minorEastAsia"/>
          <w:szCs w:val="28"/>
          <w:lang w:val="zh-CN"/>
        </w:rPr>
        <w:t>〔20</w:t>
      </w:r>
      <w:r>
        <w:rPr>
          <w:rFonts w:hint="eastAsia" w:eastAsiaTheme="minorEastAsia"/>
          <w:szCs w:val="28"/>
        </w:rPr>
        <w:t>15</w:t>
      </w:r>
      <w:r>
        <w:rPr>
          <w:rFonts w:eastAsiaTheme="minorEastAsia"/>
          <w:szCs w:val="28"/>
          <w:lang w:val="zh-CN"/>
        </w:rPr>
        <w:t>〕</w:t>
      </w:r>
      <w:r>
        <w:rPr>
          <w:rFonts w:hint="eastAsia" w:eastAsiaTheme="minorEastAsia"/>
          <w:szCs w:val="28"/>
        </w:rPr>
        <w:t>374号</w:t>
      </w:r>
      <w:r>
        <w:rPr>
          <w:rFonts w:hint="eastAsia" w:eastAsiaTheme="minorEastAsia"/>
          <w:szCs w:val="28"/>
          <w:lang w:val="zh-CN"/>
        </w:rPr>
        <w:t>）</w:t>
      </w:r>
    </w:p>
    <w:p>
      <w:pPr>
        <w:numPr>
          <w:ilvl w:val="0"/>
          <w:numId w:val="5"/>
        </w:numPr>
        <w:tabs>
          <w:tab w:val="left" w:pos="420"/>
        </w:tabs>
        <w:ind w:left="0" w:firstLine="560"/>
        <w:rPr>
          <w:rFonts w:eastAsiaTheme="minorEastAsia"/>
          <w:szCs w:val="28"/>
          <w:lang w:val="zh-CN"/>
        </w:rPr>
      </w:pPr>
      <w:r>
        <w:rPr>
          <w:rFonts w:eastAsiaTheme="minorEastAsia"/>
          <w:szCs w:val="28"/>
          <w:lang w:val="zh-CN"/>
        </w:rPr>
        <w:t>《胜利油田承包商HSSE监督管理办法》（胜油局发〔2021〕43号）</w:t>
      </w:r>
    </w:p>
    <w:p>
      <w:pPr>
        <w:numPr>
          <w:ilvl w:val="0"/>
          <w:numId w:val="5"/>
        </w:numPr>
        <w:tabs>
          <w:tab w:val="left" w:pos="420"/>
        </w:tabs>
        <w:ind w:left="0" w:firstLine="560"/>
        <w:rPr>
          <w:rFonts w:eastAsiaTheme="minorEastAsia"/>
          <w:szCs w:val="28"/>
          <w:lang w:val="zh-CN"/>
        </w:rPr>
      </w:pPr>
      <w:r>
        <w:rPr>
          <w:rFonts w:hint="eastAsia" w:eastAsiaTheme="minorEastAsia"/>
          <w:szCs w:val="28"/>
          <w:lang w:val="zh-CN"/>
        </w:rPr>
        <w:t>《胜利油田建设项目安全设施及职业病防护设施“三同时”管理实施细则》（</w:t>
      </w:r>
      <w:r>
        <w:rPr>
          <w:rFonts w:eastAsiaTheme="minorEastAsia"/>
          <w:szCs w:val="28"/>
          <w:lang w:val="zh-CN"/>
        </w:rPr>
        <w:t>胜油局发〔2022〕</w:t>
      </w:r>
      <w:r>
        <w:rPr>
          <w:rFonts w:hint="eastAsia" w:eastAsiaTheme="minorEastAsia"/>
          <w:szCs w:val="28"/>
          <w:lang w:val="en-US" w:eastAsia="zh-CN"/>
        </w:rPr>
        <w:t>23</w:t>
      </w:r>
      <w:r>
        <w:rPr>
          <w:rFonts w:eastAsiaTheme="minorEastAsia"/>
          <w:szCs w:val="28"/>
          <w:lang w:val="zh-CN"/>
        </w:rPr>
        <w:t>号</w:t>
      </w:r>
      <w:r>
        <w:rPr>
          <w:rFonts w:hint="eastAsia" w:eastAsiaTheme="minorEastAsia"/>
          <w:szCs w:val="28"/>
          <w:lang w:val="zh-CN"/>
        </w:rPr>
        <w:t>）</w:t>
      </w:r>
    </w:p>
    <w:p>
      <w:pPr>
        <w:numPr>
          <w:ilvl w:val="0"/>
          <w:numId w:val="5"/>
        </w:numPr>
        <w:tabs>
          <w:tab w:val="left" w:pos="420"/>
        </w:tabs>
        <w:ind w:left="0" w:firstLine="560"/>
        <w:rPr>
          <w:rFonts w:eastAsiaTheme="minorEastAsia"/>
          <w:szCs w:val="28"/>
          <w:lang w:val="zh-CN"/>
        </w:rPr>
      </w:pPr>
      <w:r>
        <w:rPr>
          <w:rFonts w:eastAsiaTheme="minorEastAsia"/>
          <w:szCs w:val="28"/>
          <w:lang w:val="zh-CN"/>
        </w:rPr>
        <w:t>《胜利油田临时用电作业安全管理实施细则》（胜油局发〔2022〕95号）</w:t>
      </w:r>
    </w:p>
    <w:p>
      <w:pPr>
        <w:numPr>
          <w:ilvl w:val="0"/>
          <w:numId w:val="5"/>
        </w:numPr>
        <w:tabs>
          <w:tab w:val="left" w:pos="420"/>
        </w:tabs>
        <w:ind w:left="0" w:firstLine="560"/>
        <w:rPr>
          <w:rFonts w:eastAsiaTheme="minorEastAsia"/>
          <w:szCs w:val="28"/>
          <w:lang w:val="zh-CN"/>
        </w:rPr>
      </w:pPr>
      <w:r>
        <w:rPr>
          <w:rFonts w:eastAsiaTheme="minorEastAsia"/>
          <w:szCs w:val="28"/>
          <w:lang w:val="zh-CN"/>
        </w:rPr>
        <w:t>《胜利油田受限空间作业安全管理实施细则》（胜油局发〔2022〕9</w:t>
      </w:r>
      <w:r>
        <w:rPr>
          <w:rFonts w:eastAsiaTheme="minorEastAsia"/>
          <w:szCs w:val="28"/>
        </w:rPr>
        <w:t>6</w:t>
      </w:r>
      <w:r>
        <w:rPr>
          <w:rFonts w:eastAsiaTheme="minorEastAsia"/>
          <w:szCs w:val="28"/>
          <w:lang w:val="zh-CN"/>
        </w:rPr>
        <w:t>号）</w:t>
      </w:r>
    </w:p>
    <w:p>
      <w:pPr>
        <w:numPr>
          <w:ilvl w:val="0"/>
          <w:numId w:val="5"/>
        </w:numPr>
        <w:tabs>
          <w:tab w:val="left" w:pos="420"/>
        </w:tabs>
        <w:ind w:left="0" w:firstLine="560"/>
        <w:rPr>
          <w:rFonts w:eastAsiaTheme="minorEastAsia"/>
          <w:szCs w:val="28"/>
          <w:lang w:val="zh-CN"/>
        </w:rPr>
      </w:pPr>
      <w:r>
        <w:rPr>
          <w:rFonts w:eastAsiaTheme="minorEastAsia"/>
          <w:szCs w:val="28"/>
          <w:lang w:val="zh-CN"/>
        </w:rPr>
        <w:t>《胜利油田作业许可管理实施细则》（胜油局发〔2022〕99号）</w:t>
      </w:r>
    </w:p>
    <w:p>
      <w:pPr>
        <w:numPr>
          <w:ilvl w:val="0"/>
          <w:numId w:val="5"/>
        </w:numPr>
        <w:tabs>
          <w:tab w:val="left" w:pos="420"/>
        </w:tabs>
        <w:ind w:left="0" w:firstLine="560"/>
        <w:rPr>
          <w:rFonts w:eastAsiaTheme="minorEastAsia"/>
          <w:szCs w:val="28"/>
          <w:lang w:val="zh-CN"/>
        </w:rPr>
      </w:pPr>
      <w:r>
        <w:rPr>
          <w:rFonts w:eastAsiaTheme="minorEastAsia"/>
          <w:szCs w:val="28"/>
          <w:lang w:val="zh-CN"/>
        </w:rPr>
        <w:t>《胜利油田陆上石油天然气开采动火作业安全管理实施细则》（胜油局发〔2022〕102号）</w:t>
      </w:r>
    </w:p>
    <w:p>
      <w:pPr>
        <w:numPr>
          <w:ilvl w:val="0"/>
          <w:numId w:val="5"/>
        </w:numPr>
        <w:tabs>
          <w:tab w:val="left" w:pos="420"/>
        </w:tabs>
        <w:ind w:left="0" w:firstLine="560"/>
        <w:rPr>
          <w:rFonts w:eastAsiaTheme="minorEastAsia"/>
          <w:szCs w:val="28"/>
          <w:lang w:val="zh-CN"/>
        </w:rPr>
      </w:pPr>
      <w:r>
        <w:rPr>
          <w:rFonts w:eastAsiaTheme="minorEastAsia"/>
          <w:szCs w:val="28"/>
          <w:lang w:val="zh-CN"/>
        </w:rPr>
        <w:t>《胜利油田分公司钻井井控管理实施细则》（胜油局发</w:t>
      </w:r>
      <w:r>
        <w:rPr>
          <w:rFonts w:hint="eastAsia" w:eastAsiaTheme="minorEastAsia"/>
          <w:szCs w:val="28"/>
          <w:lang w:val="zh-CN"/>
        </w:rPr>
        <w:t>〔</w:t>
      </w:r>
      <w:r>
        <w:rPr>
          <w:rFonts w:eastAsiaTheme="minorEastAsia"/>
          <w:szCs w:val="28"/>
          <w:lang w:val="zh-CN"/>
        </w:rPr>
        <w:t>2017</w:t>
      </w:r>
      <w:r>
        <w:rPr>
          <w:rFonts w:hint="eastAsia" w:eastAsiaTheme="minorEastAsia"/>
          <w:szCs w:val="28"/>
          <w:lang w:val="zh-CN"/>
        </w:rPr>
        <w:t>〕</w:t>
      </w:r>
      <w:r>
        <w:rPr>
          <w:rFonts w:eastAsiaTheme="minorEastAsia"/>
          <w:szCs w:val="28"/>
          <w:lang w:val="zh-CN"/>
        </w:rPr>
        <w:t>57号）</w:t>
      </w:r>
    </w:p>
    <w:p>
      <w:pPr>
        <w:numPr>
          <w:ilvl w:val="0"/>
          <w:numId w:val="5"/>
        </w:numPr>
        <w:tabs>
          <w:tab w:val="left" w:pos="420"/>
        </w:tabs>
        <w:ind w:left="0" w:firstLine="560"/>
        <w:rPr>
          <w:rFonts w:eastAsiaTheme="minorEastAsia"/>
          <w:szCs w:val="28"/>
          <w:lang w:val="zh-CN"/>
        </w:rPr>
      </w:pPr>
      <w:r>
        <w:rPr>
          <w:rFonts w:eastAsiaTheme="minorEastAsia"/>
          <w:szCs w:val="28"/>
          <w:lang w:val="zh-CN"/>
        </w:rPr>
        <w:t>《钻井现场安全标志的设置》（Q/SH1020 0995-2010）</w:t>
      </w:r>
    </w:p>
    <w:p>
      <w:pPr>
        <w:numPr>
          <w:ilvl w:val="0"/>
          <w:numId w:val="5"/>
        </w:numPr>
        <w:tabs>
          <w:tab w:val="left" w:pos="420"/>
        </w:tabs>
        <w:ind w:left="0" w:firstLine="560"/>
        <w:rPr>
          <w:rFonts w:eastAsiaTheme="minorEastAsia"/>
          <w:szCs w:val="28"/>
          <w:lang w:val="zh-CN"/>
        </w:rPr>
      </w:pPr>
      <w:r>
        <w:rPr>
          <w:rFonts w:eastAsiaTheme="minorEastAsia"/>
          <w:szCs w:val="28"/>
          <w:lang w:val="zh-CN"/>
        </w:rPr>
        <w:t>《油气生产场所HSE标志及警语设置规范》（Q/SH1020  2152-2021）</w:t>
      </w:r>
    </w:p>
    <w:p>
      <w:pPr>
        <w:numPr>
          <w:ilvl w:val="0"/>
          <w:numId w:val="5"/>
        </w:numPr>
        <w:tabs>
          <w:tab w:val="left" w:pos="420"/>
        </w:tabs>
        <w:ind w:left="0" w:firstLine="560"/>
        <w:rPr>
          <w:rFonts w:eastAsiaTheme="minorEastAsia"/>
          <w:szCs w:val="28"/>
          <w:lang w:val="zh-CN"/>
        </w:rPr>
      </w:pPr>
      <w:r>
        <w:rPr>
          <w:rFonts w:eastAsiaTheme="minorEastAsia"/>
          <w:szCs w:val="28"/>
          <w:lang w:val="zh-CN"/>
        </w:rPr>
        <w:t>《标准化井场生产信息化设备设施施工与验收规范》（Q/SH1020  2626-2018）</w:t>
      </w:r>
    </w:p>
    <w:p>
      <w:pPr>
        <w:pStyle w:val="5"/>
        <w:rPr>
          <w:rFonts w:eastAsiaTheme="minorEastAsia"/>
        </w:rPr>
      </w:pPr>
      <w:r>
        <w:rPr>
          <w:rFonts w:eastAsiaTheme="minorEastAsia"/>
        </w:rPr>
        <w:t>1.2.5  建设项目有关技术文件、资料</w:t>
      </w:r>
    </w:p>
    <w:p>
      <w:pPr>
        <w:ind w:firstLine="560"/>
        <w:rPr>
          <w:rFonts w:eastAsiaTheme="minorEastAsia"/>
        </w:rPr>
      </w:pPr>
      <w:r>
        <w:rPr>
          <w:rFonts w:eastAsiaTheme="minorEastAsia"/>
        </w:rPr>
        <w:t>1）《东辛油田营1-斜118块馆三产能建设工程可行性研究报告》（东辛采油厂，2022年9月）；</w:t>
      </w:r>
    </w:p>
    <w:p>
      <w:pPr>
        <w:ind w:firstLine="560"/>
        <w:rPr>
          <w:rFonts w:eastAsiaTheme="minorEastAsia"/>
        </w:rPr>
      </w:pPr>
      <w:r>
        <w:rPr>
          <w:rFonts w:eastAsiaTheme="minorEastAsia"/>
        </w:rPr>
        <w:t>2）《关于</w:t>
      </w:r>
      <w:r>
        <w:rPr>
          <w:rFonts w:eastAsiaTheme="minorEastAsia"/>
          <w:szCs w:val="28"/>
        </w:rPr>
        <w:t>东辛油田营1-斜118块馆三产能建设工程</w:t>
      </w:r>
      <w:r>
        <w:rPr>
          <w:rFonts w:eastAsiaTheme="minorEastAsia"/>
        </w:rPr>
        <w:t>可行性研究报告的批复》（胜油公司工单</w:t>
      </w:r>
      <w:r>
        <w:rPr>
          <w:rFonts w:hint="eastAsia" w:eastAsiaTheme="minorEastAsia"/>
        </w:rPr>
        <w:t>〔</w:t>
      </w:r>
      <w:r>
        <w:rPr>
          <w:rFonts w:eastAsiaTheme="minorEastAsia"/>
        </w:rPr>
        <w:t>2022</w:t>
      </w:r>
      <w:r>
        <w:rPr>
          <w:rFonts w:hint="eastAsia" w:eastAsiaTheme="minorEastAsia"/>
        </w:rPr>
        <w:t>〕</w:t>
      </w:r>
      <w:r>
        <w:rPr>
          <w:rFonts w:eastAsiaTheme="minorEastAsia"/>
        </w:rPr>
        <w:t>328号，2022年10月18日）；</w:t>
      </w:r>
    </w:p>
    <w:p>
      <w:pPr>
        <w:ind w:firstLine="560"/>
        <w:rPr>
          <w:rFonts w:eastAsiaTheme="minorEastAsia"/>
        </w:rPr>
      </w:pPr>
      <w:r>
        <w:rPr>
          <w:rFonts w:eastAsiaTheme="minorEastAsia"/>
        </w:rPr>
        <w:t>3）技术服务合同；</w:t>
      </w:r>
    </w:p>
    <w:p>
      <w:pPr>
        <w:ind w:firstLine="560"/>
        <w:rPr>
          <w:rFonts w:eastAsiaTheme="minorEastAsia"/>
        </w:rPr>
      </w:pPr>
      <w:r>
        <w:rPr>
          <w:rFonts w:eastAsiaTheme="minorEastAsia"/>
        </w:rPr>
        <w:t>4）其他与该工程安全评价有关的技术资料。</w:t>
      </w:r>
    </w:p>
    <w:p>
      <w:pPr>
        <w:pStyle w:val="3"/>
        <w:rPr>
          <w:rFonts w:eastAsiaTheme="minorEastAsia"/>
          <w:bCs w:val="0"/>
        </w:rPr>
      </w:pPr>
      <w:bookmarkStart w:id="22" w:name="_Toc41742611"/>
      <w:bookmarkStart w:id="23" w:name="_Toc202759399"/>
      <w:bookmarkStart w:id="24" w:name="_Toc522018246"/>
      <w:bookmarkStart w:id="25" w:name="_Toc3800"/>
      <w:r>
        <w:rPr>
          <w:rFonts w:eastAsiaTheme="minorEastAsia"/>
        </w:rPr>
        <w:t>1.3  评价范围</w:t>
      </w:r>
      <w:bookmarkEnd w:id="22"/>
      <w:bookmarkEnd w:id="23"/>
      <w:bookmarkEnd w:id="24"/>
      <w:bookmarkEnd w:id="25"/>
    </w:p>
    <w:p>
      <w:pPr>
        <w:ind w:firstLine="560"/>
        <w:rPr>
          <w:rFonts w:eastAsiaTheme="minorEastAsia"/>
        </w:rPr>
      </w:pPr>
      <w:r>
        <w:rPr>
          <w:rFonts w:eastAsiaTheme="minorEastAsia"/>
        </w:rPr>
        <w:t>本次评价对象为</w:t>
      </w:r>
      <w:r>
        <w:rPr>
          <w:rFonts w:eastAsiaTheme="minorEastAsia"/>
          <w:szCs w:val="28"/>
        </w:rPr>
        <w:t>东辛油田营1-斜118块馆三产能建设工程</w:t>
      </w:r>
      <w:r>
        <w:rPr>
          <w:rFonts w:eastAsiaTheme="minorEastAsia"/>
        </w:rPr>
        <w:t>，具体内容如下：</w:t>
      </w:r>
    </w:p>
    <w:p>
      <w:pPr>
        <w:ind w:firstLine="560"/>
        <w:rPr>
          <w:rFonts w:eastAsiaTheme="minorEastAsia"/>
        </w:rPr>
      </w:pPr>
      <w:r>
        <w:rPr>
          <w:rFonts w:eastAsiaTheme="minorEastAsia"/>
          <w:bCs/>
          <w:szCs w:val="28"/>
        </w:rPr>
        <w:t>1）钻采工程：新钻</w:t>
      </w:r>
      <w:r>
        <w:rPr>
          <w:rFonts w:hint="eastAsia" w:eastAsiaTheme="minorEastAsia"/>
          <w:bCs/>
          <w:szCs w:val="28"/>
        </w:rPr>
        <w:t>定向</w:t>
      </w:r>
      <w:r>
        <w:rPr>
          <w:rFonts w:eastAsiaTheme="minorEastAsia"/>
          <w:bCs/>
          <w:szCs w:val="28"/>
        </w:rPr>
        <w:t>油井6口，潜油泵6台。</w:t>
      </w:r>
    </w:p>
    <w:p>
      <w:pPr>
        <w:ind w:firstLine="560"/>
        <w:rPr>
          <w:rFonts w:eastAsiaTheme="minorEastAsia"/>
        </w:rPr>
      </w:pPr>
      <w:r>
        <w:rPr>
          <w:rFonts w:eastAsiaTheme="minorEastAsia"/>
        </w:rPr>
        <w:t>2）油气集输：</w:t>
      </w:r>
      <w:r>
        <w:rPr>
          <w:rFonts w:hint="eastAsia" w:eastAsiaTheme="minorEastAsia"/>
        </w:rPr>
        <w:t>油井利用已建井口槽生产，</w:t>
      </w:r>
      <w:r>
        <w:rPr>
          <w:rFonts w:eastAsiaTheme="minorEastAsia"/>
        </w:rPr>
        <w:t>采用非抽在线计量工艺，</w:t>
      </w:r>
      <w:r>
        <w:rPr>
          <w:rFonts w:hint="eastAsia" w:eastAsiaTheme="minorEastAsia"/>
        </w:rPr>
        <w:t>产液经计量后输至102联合站处理，</w:t>
      </w:r>
      <w:r>
        <w:rPr>
          <w:rFonts w:eastAsiaTheme="minorEastAsia"/>
        </w:rPr>
        <w:t>安装单井计量装置6套。</w:t>
      </w:r>
    </w:p>
    <w:p>
      <w:pPr>
        <w:ind w:firstLine="560"/>
        <w:rPr>
          <w:rFonts w:eastAsiaTheme="minorEastAsia"/>
          <w:szCs w:val="28"/>
        </w:rPr>
      </w:pPr>
      <w:r>
        <w:rPr>
          <w:rFonts w:eastAsiaTheme="minorEastAsia"/>
        </w:rPr>
        <w:t>3）</w:t>
      </w:r>
      <w:r>
        <w:rPr>
          <w:rFonts w:eastAsiaTheme="minorEastAsia"/>
          <w:spacing w:val="2"/>
        </w:rPr>
        <w:t>油井群控变频器、防爆操作柱各6台，</w:t>
      </w:r>
      <w:r>
        <w:rPr>
          <w:rFonts w:eastAsiaTheme="minorEastAsia"/>
        </w:rPr>
        <w:t>配套的自控等</w:t>
      </w:r>
      <w:r>
        <w:rPr>
          <w:rFonts w:eastAsiaTheme="minorEastAsia"/>
          <w:szCs w:val="28"/>
        </w:rPr>
        <w:t>。</w:t>
      </w:r>
    </w:p>
    <w:p>
      <w:pPr>
        <w:pStyle w:val="3"/>
        <w:rPr>
          <w:rFonts w:eastAsiaTheme="minorEastAsia"/>
          <w:bCs w:val="0"/>
        </w:rPr>
      </w:pPr>
      <w:bookmarkStart w:id="26" w:name="_Toc41742612"/>
      <w:bookmarkStart w:id="27" w:name="_Toc17290"/>
      <w:bookmarkStart w:id="28" w:name="_Toc522018247"/>
      <w:bookmarkStart w:id="29" w:name="_Toc202759400"/>
      <w:r>
        <w:rPr>
          <w:rFonts w:eastAsiaTheme="minorEastAsia"/>
        </w:rPr>
        <w:t>1.4  评价程序</w:t>
      </w:r>
      <w:bookmarkEnd w:id="26"/>
      <w:bookmarkEnd w:id="27"/>
      <w:bookmarkEnd w:id="28"/>
      <w:bookmarkEnd w:id="29"/>
    </w:p>
    <w:p>
      <w:pPr>
        <w:ind w:firstLine="560"/>
        <w:rPr>
          <w:rFonts w:eastAsiaTheme="minorEastAsia"/>
          <w:szCs w:val="28"/>
        </w:rPr>
      </w:pPr>
      <w:r>
        <w:rPr>
          <w:rFonts w:eastAsiaTheme="minorEastAsia"/>
          <w:szCs w:val="28"/>
        </w:rPr>
        <w:t>安全预评价工作程序大体可分为三个阶段：第一阶段为准备阶段，主要收集有关资料，详细了解建设项目的基本情况，对工程进行初步</w:t>
      </w:r>
      <w:r>
        <w:rPr>
          <w:rFonts w:eastAsiaTheme="minorEastAsia"/>
        </w:rPr>
        <w:t>分析和危险、有害因素识别，选择评价方法；第二阶段为实施评价阶段，运用适当的评价方法进行评价，提出相应的安全对策措施；第三阶段为安全预评价报告书的编制阶段，主要是汇总前两个阶段所得到的各种资料数据，总结评价成果，通过综合分析，得出安全预评价结</w:t>
      </w:r>
      <w:r>
        <w:rPr>
          <w:rFonts w:eastAsiaTheme="minorEastAsia"/>
          <w:szCs w:val="28"/>
        </w:rPr>
        <w:t>论，提出建议，最终完成安全预评价报告书的编制。具体程序见图1.4-1。</w:t>
      </w:r>
    </w:p>
    <w:p>
      <w:pPr>
        <w:spacing w:line="240" w:lineRule="auto"/>
        <w:ind w:firstLine="0" w:firstLineChars="0"/>
        <w:jc w:val="center"/>
        <w:rPr>
          <w:rFonts w:eastAsiaTheme="minorEastAsia"/>
          <w:b/>
        </w:rPr>
      </w:pPr>
      <w:r>
        <w:rPr>
          <w:rFonts w:eastAsiaTheme="minorEastAsia"/>
        </w:rPr>
        <w:drawing>
          <wp:inline distT="0" distB="0" distL="114300" distR="114300">
            <wp:extent cx="3216910" cy="3744595"/>
            <wp:effectExtent l="0" t="0" r="13970" b="4445"/>
            <wp:docPr id="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pic:cNvPicPr>
                      <a:picLocks noChangeAspect="1"/>
                    </pic:cNvPicPr>
                  </pic:nvPicPr>
                  <pic:blipFill>
                    <a:blip r:embed="rId22"/>
                    <a:stretch>
                      <a:fillRect/>
                    </a:stretch>
                  </pic:blipFill>
                  <pic:spPr>
                    <a:xfrm>
                      <a:off x="0" y="0"/>
                      <a:ext cx="3216910" cy="3744595"/>
                    </a:xfrm>
                    <a:prstGeom prst="rect">
                      <a:avLst/>
                    </a:prstGeom>
                    <a:noFill/>
                    <a:ln>
                      <a:noFill/>
                    </a:ln>
                  </pic:spPr>
                </pic:pic>
              </a:graphicData>
            </a:graphic>
          </wp:inline>
        </w:drawing>
      </w:r>
    </w:p>
    <w:p>
      <w:pPr>
        <w:pStyle w:val="251"/>
        <w:rPr>
          <w:rFonts w:eastAsiaTheme="minorEastAsia"/>
          <w:sz w:val="24"/>
          <w:szCs w:val="18"/>
        </w:rPr>
      </w:pPr>
      <w:r>
        <w:rPr>
          <w:rFonts w:eastAsiaTheme="minorEastAsia"/>
          <w:sz w:val="24"/>
          <w:szCs w:val="18"/>
        </w:rPr>
        <w:t>图1.4-1  安全预评价程序框图</w:t>
      </w:r>
    </w:p>
    <w:p>
      <w:pPr>
        <w:pStyle w:val="2"/>
        <w:rPr>
          <w:rFonts w:eastAsiaTheme="minorEastAsia"/>
        </w:rPr>
      </w:pPr>
      <w:bookmarkStart w:id="30" w:name="_Toc522018248"/>
      <w:bookmarkStart w:id="31" w:name="_Toc10735"/>
      <w:bookmarkStart w:id="32" w:name="_Toc285310333"/>
      <w:bookmarkStart w:id="33" w:name="_Toc41742613"/>
      <w:r>
        <w:rPr>
          <w:rFonts w:eastAsiaTheme="minorEastAsia"/>
        </w:rPr>
        <w:t>2  工程概况</w:t>
      </w:r>
      <w:bookmarkEnd w:id="30"/>
      <w:bookmarkEnd w:id="31"/>
      <w:bookmarkEnd w:id="32"/>
      <w:bookmarkEnd w:id="33"/>
    </w:p>
    <w:p>
      <w:pPr>
        <w:pStyle w:val="3"/>
        <w:rPr>
          <w:rFonts w:eastAsiaTheme="minorEastAsia"/>
        </w:rPr>
      </w:pPr>
      <w:bookmarkStart w:id="34" w:name="_Toc522018249"/>
      <w:bookmarkStart w:id="35" w:name="_Toc410829423"/>
      <w:bookmarkStart w:id="36" w:name="_Toc41742614"/>
      <w:bookmarkStart w:id="37" w:name="_Toc15486"/>
      <w:bookmarkStart w:id="38" w:name="_Toc285310334"/>
      <w:r>
        <w:rPr>
          <w:rFonts w:eastAsiaTheme="minorEastAsia"/>
        </w:rPr>
        <w:t>2.1  工程基本</w:t>
      </w:r>
      <w:bookmarkEnd w:id="34"/>
      <w:bookmarkEnd w:id="35"/>
      <w:r>
        <w:rPr>
          <w:rFonts w:eastAsiaTheme="minorEastAsia"/>
        </w:rPr>
        <w:t>信息</w:t>
      </w:r>
      <w:bookmarkEnd w:id="36"/>
      <w:bookmarkEnd w:id="37"/>
    </w:p>
    <w:p>
      <w:pPr>
        <w:tabs>
          <w:tab w:val="left" w:pos="3240"/>
        </w:tabs>
        <w:ind w:firstLine="560"/>
        <w:rPr>
          <w:rFonts w:eastAsiaTheme="minorEastAsia"/>
          <w:szCs w:val="28"/>
        </w:rPr>
      </w:pPr>
      <w:r>
        <w:rPr>
          <w:rFonts w:eastAsiaTheme="minorEastAsia"/>
          <w:szCs w:val="28"/>
        </w:rPr>
        <w:t>项目名称：东辛油田营1-斜118块馆三产能建设工程</w:t>
      </w:r>
    </w:p>
    <w:p>
      <w:pPr>
        <w:tabs>
          <w:tab w:val="left" w:pos="3240"/>
        </w:tabs>
        <w:ind w:firstLine="560"/>
        <w:rPr>
          <w:rFonts w:eastAsiaTheme="minorEastAsia"/>
          <w:szCs w:val="28"/>
        </w:rPr>
      </w:pPr>
      <w:r>
        <w:rPr>
          <w:rFonts w:eastAsiaTheme="minorEastAsia"/>
          <w:szCs w:val="28"/>
        </w:rPr>
        <w:t>项目性质：扩建项目</w:t>
      </w:r>
    </w:p>
    <w:p>
      <w:pPr>
        <w:tabs>
          <w:tab w:val="left" w:pos="3240"/>
        </w:tabs>
        <w:ind w:firstLine="560"/>
        <w:rPr>
          <w:rFonts w:eastAsiaTheme="minorEastAsia"/>
          <w:szCs w:val="28"/>
        </w:rPr>
      </w:pPr>
      <w:r>
        <w:rPr>
          <w:rFonts w:eastAsiaTheme="minorEastAsia"/>
          <w:szCs w:val="28"/>
        </w:rPr>
        <w:t>项目建设单位：胜利油田分公司东辛采油厂</w:t>
      </w:r>
    </w:p>
    <w:p>
      <w:pPr>
        <w:pStyle w:val="3"/>
        <w:rPr>
          <w:rFonts w:eastAsiaTheme="minorEastAsia"/>
        </w:rPr>
      </w:pPr>
      <w:bookmarkStart w:id="39" w:name="_Toc41742615"/>
      <w:bookmarkStart w:id="40" w:name="_Toc31237"/>
      <w:r>
        <w:rPr>
          <w:rFonts w:eastAsiaTheme="minorEastAsia"/>
        </w:rPr>
        <w:t>2.2  建设及生产管理单位简介</w:t>
      </w:r>
      <w:bookmarkEnd w:id="39"/>
      <w:bookmarkEnd w:id="40"/>
    </w:p>
    <w:p>
      <w:pPr>
        <w:pStyle w:val="44"/>
        <w:ind w:firstLine="560"/>
        <w:rPr>
          <w:rFonts w:ascii="Times New Roman" w:hAnsi="Times New Roman" w:eastAsiaTheme="minorEastAsia"/>
        </w:rPr>
      </w:pPr>
    </w:p>
    <w:p>
      <w:pPr>
        <w:pStyle w:val="3"/>
        <w:rPr>
          <w:rFonts w:eastAsiaTheme="minorEastAsia"/>
        </w:rPr>
      </w:pPr>
      <w:bookmarkStart w:id="41" w:name="_Toc522018250"/>
      <w:bookmarkStart w:id="42" w:name="_Toc20103"/>
      <w:bookmarkStart w:id="43" w:name="_Toc41742616"/>
      <w:bookmarkStart w:id="44" w:name="_Toc410829424"/>
      <w:r>
        <w:rPr>
          <w:rFonts w:eastAsiaTheme="minorEastAsia"/>
        </w:rPr>
        <w:t>2.3  自然环境概况</w:t>
      </w:r>
      <w:bookmarkEnd w:id="41"/>
      <w:bookmarkEnd w:id="42"/>
      <w:bookmarkEnd w:id="43"/>
      <w:bookmarkEnd w:id="44"/>
    </w:p>
    <w:p>
      <w:pPr>
        <w:pStyle w:val="5"/>
        <w:rPr>
          <w:rFonts w:eastAsiaTheme="minorEastAsia"/>
        </w:rPr>
      </w:pPr>
      <w:r>
        <w:rPr>
          <w:rFonts w:eastAsiaTheme="minorEastAsia"/>
        </w:rPr>
        <w:t>2.3.1  地理位置及自然条件</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14:textFill>
            <w14:solidFill>
              <w14:schemeClr w14:val="tx1"/>
            </w14:solidFill>
          </w14:textFill>
        </w:rPr>
        <w:t>1）</w:t>
      </w:r>
      <w:r>
        <w:rPr>
          <w:rFonts w:eastAsiaTheme="minorEastAsia"/>
          <w:color w:val="000000" w:themeColor="text1"/>
          <w:szCs w:val="28"/>
          <w14:textFill>
            <w14:solidFill>
              <w14:schemeClr w14:val="tx1"/>
            </w14:solidFill>
          </w14:textFill>
        </w:rPr>
        <w:t>地理位置</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营1斜118块地面位于东营市东营区北王屋附近，党校南门井场，北边第一排，大门方向朝东，周边多为住宅小区，地面条件复杂。地理位置见图2.3-1。</w:t>
      </w:r>
    </w:p>
    <w:p>
      <w:pPr>
        <w:ind w:firstLine="0" w:firstLineChars="0"/>
        <w:jc w:val="center"/>
        <w:rPr>
          <w:rFonts w:eastAsiaTheme="minorEastAsia"/>
        </w:rPr>
      </w:pPr>
    </w:p>
    <w:p>
      <w:pPr>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图2.3-1  地理位置示意图</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2）气象条件</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累年平均气压                   101.64kPa</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累年平均气温                   13.6℃</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累年极端最高气温               38.2℃</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累年极端最低气温               -13.0℃</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累年平均降水量                 612.8mm</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累年最大降水量                 726.8mm</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累年最大积雪深度               24cm</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累年最大风速                   21.1m/s</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累年最大冻土深度               36cm</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累年平均最多风向               SE，S</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3）工程地质</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抗震设防烈度                   7度</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地震动峰值加速度               0.10g</w:t>
      </w:r>
    </w:p>
    <w:p>
      <w:pPr>
        <w:pStyle w:val="3"/>
        <w:rPr>
          <w:rFonts w:eastAsiaTheme="minorEastAsia"/>
        </w:rPr>
      </w:pPr>
      <w:bookmarkStart w:id="45" w:name="_Toc41742617"/>
      <w:bookmarkStart w:id="46" w:name="_Toc9135"/>
      <w:bookmarkStart w:id="47" w:name="_Toc522018251"/>
      <w:bookmarkStart w:id="48" w:name="_Toc410829425"/>
      <w:r>
        <w:rPr>
          <w:rFonts w:eastAsiaTheme="minorEastAsia"/>
        </w:rPr>
        <w:t>2.4  油气藏工程</w:t>
      </w:r>
      <w:bookmarkEnd w:id="45"/>
      <w:bookmarkEnd w:id="46"/>
      <w:bookmarkEnd w:id="47"/>
    </w:p>
    <w:p>
      <w:pPr>
        <w:pStyle w:val="5"/>
        <w:rPr>
          <w:rFonts w:eastAsiaTheme="minorEastAsia"/>
        </w:rPr>
      </w:pPr>
      <w:r>
        <w:rPr>
          <w:rFonts w:eastAsiaTheme="minorEastAsia"/>
        </w:rPr>
        <w:t>2.4.1  油藏地质特征</w:t>
      </w:r>
    </w:p>
    <w:p>
      <w:pPr>
        <w:pStyle w:val="6"/>
        <w:rPr>
          <w:rFonts w:eastAsiaTheme="minorEastAsia"/>
          <w:bCs w:val="0"/>
        </w:rPr>
      </w:pPr>
      <w:r>
        <w:rPr>
          <w:rFonts w:eastAsiaTheme="minorEastAsia"/>
          <w:bCs w:val="0"/>
        </w:rPr>
        <w:t xml:space="preserve">2.4.1.1  </w:t>
      </w:r>
      <w:bookmarkStart w:id="49" w:name="_Toc458072538"/>
      <w:bookmarkStart w:id="50" w:name="_Toc393869736"/>
      <w:bookmarkStart w:id="51" w:name="_Toc400637434"/>
      <w:bookmarkStart w:id="52" w:name="_Toc357500131"/>
      <w:bookmarkStart w:id="53" w:name="_Toc468115906"/>
      <w:bookmarkStart w:id="54" w:name="_Toc468116084"/>
      <w:bookmarkStart w:id="55" w:name="_Toc458067038"/>
      <w:bookmarkStart w:id="56" w:name="_Toc69304600"/>
      <w:bookmarkStart w:id="57" w:name="_Toc486492804"/>
      <w:bookmarkStart w:id="58" w:name="_Toc13586332"/>
      <w:r>
        <w:rPr>
          <w:rFonts w:eastAsiaTheme="minorEastAsia"/>
          <w:bCs w:val="0"/>
        </w:rPr>
        <w:t>地层特征</w:t>
      </w:r>
      <w:bookmarkEnd w:id="49"/>
      <w:bookmarkEnd w:id="50"/>
      <w:bookmarkEnd w:id="51"/>
      <w:bookmarkEnd w:id="52"/>
      <w:bookmarkEnd w:id="53"/>
      <w:bookmarkEnd w:id="54"/>
      <w:bookmarkEnd w:id="55"/>
      <w:bookmarkEnd w:id="56"/>
      <w:bookmarkEnd w:id="57"/>
      <w:bookmarkEnd w:id="58"/>
    </w:p>
    <w:p>
      <w:pPr>
        <w:ind w:firstLine="560"/>
        <w:rPr>
          <w:rFonts w:eastAsiaTheme="minorEastAsia"/>
          <w:color w:val="000000" w:themeColor="text1"/>
          <w:szCs w:val="28"/>
          <w14:textFill>
            <w14:solidFill>
              <w14:schemeClr w14:val="tx1"/>
            </w14:solidFill>
          </w14:textFill>
        </w:rPr>
      </w:pPr>
      <w:bookmarkStart w:id="59" w:name="_Toc69304601"/>
      <w:bookmarkStart w:id="60" w:name="_Toc13586333"/>
      <w:bookmarkStart w:id="61" w:name="_Toc468115908"/>
      <w:bookmarkStart w:id="62" w:name="_Toc400637435"/>
      <w:bookmarkStart w:id="63" w:name="_Toc393869737"/>
      <w:bookmarkStart w:id="64" w:name="_Toc357500132"/>
      <w:bookmarkStart w:id="65" w:name="_Toc468116086"/>
      <w:bookmarkStart w:id="66" w:name="_Toc458072540"/>
      <w:bookmarkStart w:id="67" w:name="_Toc458067040"/>
      <w:r>
        <w:rPr>
          <w:rFonts w:eastAsiaTheme="minorEastAsia"/>
          <w:color w:val="000000" w:themeColor="text1"/>
          <w:szCs w:val="28"/>
          <w14:textFill>
            <w14:solidFill>
              <w14:schemeClr w14:val="tx1"/>
            </w14:solidFill>
          </w14:textFill>
        </w:rPr>
        <w:t>经钻井资料证实，本区自下而上钻遇的地层有：孔店组、沙河街组、东营组、馆陶组、明化镇组、平原组。本次研究的目的层为馆下段的三砂组。</w:t>
      </w:r>
    </w:p>
    <w:p>
      <w:pPr>
        <w:ind w:firstLine="560"/>
        <w:rPr>
          <w:rFonts w:eastAsiaTheme="minorEastAsia"/>
          <w:color w:val="000000" w:themeColor="text1"/>
          <w:szCs w:val="28"/>
          <w14:textFill>
            <w14:solidFill>
              <w14:schemeClr w14:val="tx1"/>
            </w14:solidFill>
          </w14:textFill>
        </w:rPr>
      </w:pPr>
      <w:r>
        <w:rPr>
          <w:bCs/>
          <w:szCs w:val="28"/>
        </w:rPr>
        <w:t>目的层Ng3细分为Ng3</w:t>
      </w:r>
      <w:r>
        <w:rPr>
          <w:bCs/>
          <w:szCs w:val="28"/>
          <w:vertAlign w:val="superscript"/>
        </w:rPr>
        <w:t>1</w:t>
      </w:r>
      <w:r>
        <w:rPr>
          <w:bCs/>
          <w:szCs w:val="28"/>
        </w:rPr>
        <w:t>~Ng3</w:t>
      </w:r>
      <w:r>
        <w:rPr>
          <w:bCs/>
          <w:szCs w:val="28"/>
          <w:vertAlign w:val="superscript"/>
        </w:rPr>
        <w:t xml:space="preserve">9 </w:t>
      </w:r>
      <w:r>
        <w:rPr>
          <w:bCs/>
          <w:szCs w:val="28"/>
        </w:rPr>
        <w:t>9个小层。其中主力油层为Ng3</w:t>
      </w:r>
      <w:r>
        <w:rPr>
          <w:bCs/>
          <w:szCs w:val="28"/>
          <w:vertAlign w:val="superscript"/>
        </w:rPr>
        <w:t>4</w:t>
      </w:r>
      <w:r>
        <w:rPr>
          <w:bCs/>
          <w:szCs w:val="28"/>
        </w:rPr>
        <w:t>、Ng3</w:t>
      </w:r>
      <w:r>
        <w:rPr>
          <w:bCs/>
          <w:szCs w:val="28"/>
          <w:vertAlign w:val="superscript"/>
        </w:rPr>
        <w:t>5、</w:t>
      </w:r>
      <w:r>
        <w:rPr>
          <w:bCs/>
          <w:szCs w:val="28"/>
        </w:rPr>
        <w:t>Ng3</w:t>
      </w:r>
      <w:r>
        <w:rPr>
          <w:bCs/>
          <w:szCs w:val="28"/>
          <w:vertAlign w:val="superscript"/>
        </w:rPr>
        <w:t>6</w:t>
      </w:r>
      <w:r>
        <w:rPr>
          <w:bCs/>
          <w:szCs w:val="28"/>
        </w:rPr>
        <w:t>、Ng3</w:t>
      </w:r>
      <w:r>
        <w:rPr>
          <w:bCs/>
          <w:szCs w:val="28"/>
          <w:vertAlign w:val="superscript"/>
        </w:rPr>
        <w:t>9</w:t>
      </w:r>
      <w:r>
        <w:rPr>
          <w:bCs/>
          <w:szCs w:val="28"/>
        </w:rPr>
        <w:t>。</w:t>
      </w:r>
    </w:p>
    <w:bookmarkEnd w:id="59"/>
    <w:bookmarkEnd w:id="60"/>
    <w:p>
      <w:pPr>
        <w:pStyle w:val="6"/>
        <w:rPr>
          <w:rFonts w:eastAsiaTheme="minorEastAsia"/>
          <w:bCs w:val="0"/>
        </w:rPr>
      </w:pPr>
      <w:bookmarkStart w:id="68" w:name="_Toc486492806"/>
      <w:bookmarkStart w:id="69" w:name="_Toc13586334"/>
      <w:bookmarkStart w:id="70" w:name="_Toc69304602"/>
      <w:r>
        <w:rPr>
          <w:rFonts w:eastAsiaTheme="minorEastAsia"/>
          <w:bCs w:val="0"/>
        </w:rPr>
        <w:t>2.4.1.2  构造特征</w:t>
      </w:r>
      <w:bookmarkEnd w:id="61"/>
      <w:bookmarkEnd w:id="62"/>
      <w:bookmarkEnd w:id="63"/>
      <w:bookmarkEnd w:id="64"/>
      <w:bookmarkEnd w:id="65"/>
      <w:bookmarkEnd w:id="66"/>
      <w:bookmarkEnd w:id="67"/>
      <w:bookmarkEnd w:id="68"/>
      <w:bookmarkEnd w:id="69"/>
      <w:bookmarkEnd w:id="70"/>
    </w:p>
    <w:p>
      <w:pPr>
        <w:ind w:firstLine="560"/>
        <w:rPr>
          <w:rFonts w:eastAsiaTheme="minorEastAsia"/>
          <w:bCs/>
          <w:color w:val="000000" w:themeColor="text1"/>
          <w:szCs w:val="28"/>
          <w14:textFill>
            <w14:solidFill>
              <w14:schemeClr w14:val="tx1"/>
            </w14:solidFill>
          </w14:textFill>
        </w:rPr>
      </w:pPr>
      <w:r>
        <w:rPr>
          <w:szCs w:val="21"/>
        </w:rPr>
        <w:t>营1-斜118块内部构造复杂，发育多条断距约5</w:t>
      </w:r>
      <w:r>
        <w:rPr>
          <w:rFonts w:hint="eastAsia"/>
          <w:szCs w:val="21"/>
        </w:rPr>
        <w:t>m</w:t>
      </w:r>
      <w:r>
        <w:rPr>
          <w:szCs w:val="21"/>
        </w:rPr>
        <w:t>-25</w:t>
      </w:r>
      <w:r>
        <w:rPr>
          <w:rFonts w:hint="eastAsia"/>
          <w:szCs w:val="21"/>
        </w:rPr>
        <w:t>m</w:t>
      </w:r>
      <w:r>
        <w:rPr>
          <w:szCs w:val="21"/>
        </w:rPr>
        <w:t>低序级断层，将区块分割成若干个封闭的小断块。Ng3</w:t>
      </w:r>
      <w:r>
        <w:rPr>
          <w:szCs w:val="21"/>
          <w:vertAlign w:val="superscript"/>
        </w:rPr>
        <w:t>4</w:t>
      </w:r>
      <w:r>
        <w:rPr>
          <w:szCs w:val="21"/>
        </w:rPr>
        <w:t>小层西块构造整体中部高，南北低；东块北高南低，油藏顶面埋深-1202~-1220m。Ng3</w:t>
      </w:r>
      <w:r>
        <w:rPr>
          <w:szCs w:val="21"/>
          <w:vertAlign w:val="superscript"/>
        </w:rPr>
        <w:t>5</w:t>
      </w:r>
      <w:r>
        <w:rPr>
          <w:szCs w:val="21"/>
        </w:rPr>
        <w:t>、Ng3</w:t>
      </w:r>
      <w:r>
        <w:rPr>
          <w:szCs w:val="21"/>
          <w:vertAlign w:val="superscript"/>
        </w:rPr>
        <w:t>6</w:t>
      </w:r>
      <w:r>
        <w:rPr>
          <w:szCs w:val="21"/>
        </w:rPr>
        <w:t>断层形态与Ng3</w:t>
      </w:r>
      <w:r>
        <w:rPr>
          <w:szCs w:val="21"/>
          <w:vertAlign w:val="superscript"/>
        </w:rPr>
        <w:t>4</w:t>
      </w:r>
      <w:r>
        <w:rPr>
          <w:szCs w:val="21"/>
        </w:rPr>
        <w:t>小层一致，具有一定的继承性。Ng3</w:t>
      </w:r>
      <w:r>
        <w:rPr>
          <w:szCs w:val="21"/>
          <w:vertAlign w:val="superscript"/>
        </w:rPr>
        <w:t>9</w:t>
      </w:r>
      <w:r>
        <w:rPr>
          <w:bCs/>
          <w:szCs w:val="21"/>
        </w:rPr>
        <w:t>小层</w:t>
      </w:r>
      <w:r>
        <w:rPr>
          <w:szCs w:val="21"/>
        </w:rPr>
        <w:t>西块构造整体中部高，南北低；东块东高西低，油藏顶面埋深-1244~-1258m</w:t>
      </w:r>
    </w:p>
    <w:p>
      <w:pPr>
        <w:pStyle w:val="6"/>
        <w:rPr>
          <w:rFonts w:eastAsiaTheme="minorEastAsia"/>
          <w:bCs w:val="0"/>
        </w:rPr>
      </w:pPr>
      <w:r>
        <w:rPr>
          <w:rFonts w:eastAsiaTheme="minorEastAsia"/>
          <w:bCs w:val="0"/>
        </w:rPr>
        <w:t>2.4.1.3  沉积特征</w:t>
      </w:r>
    </w:p>
    <w:p>
      <w:pPr>
        <w:pStyle w:val="44"/>
        <w:ind w:firstLine="560"/>
        <w:rPr>
          <w:rFonts w:ascii="Times New Roman" w:hAnsi="Times New Roman" w:eastAsiaTheme="minorEastAsia"/>
          <w:bCs/>
          <w:color w:val="000000" w:themeColor="text1"/>
          <w:szCs w:val="28"/>
          <w14:textFill>
            <w14:solidFill>
              <w14:schemeClr w14:val="tx1"/>
            </w14:solidFill>
          </w14:textFill>
        </w:rPr>
      </w:pPr>
      <w:r>
        <w:rPr>
          <w:rFonts w:ascii="Times New Roman" w:hAnsi="Times New Roman" w:eastAsiaTheme="minorEastAsia"/>
          <w:bCs/>
          <w:color w:val="000000" w:themeColor="text1"/>
          <w:szCs w:val="28"/>
          <w14:textFill>
            <w14:solidFill>
              <w14:schemeClr w14:val="tx1"/>
            </w14:solidFill>
          </w14:textFill>
        </w:rPr>
        <w:t>营1-斜118地区馆下三砂组沉积时为河流相沉积环境。作为河流相沉积，由于河道改道频繁，相变快，砂体横向变化大，砂体的尖灭、迭加、下切等现象常见。</w:t>
      </w:r>
    </w:p>
    <w:p>
      <w:pPr>
        <w:pStyle w:val="6"/>
        <w:rPr>
          <w:rFonts w:eastAsiaTheme="minorEastAsia"/>
          <w:bCs w:val="0"/>
        </w:rPr>
      </w:pPr>
      <w:r>
        <w:rPr>
          <w:rFonts w:eastAsiaTheme="minorEastAsia"/>
          <w:bCs w:val="0"/>
        </w:rPr>
        <w:t>2.4.1.4  储层特性</w:t>
      </w:r>
    </w:p>
    <w:p>
      <w:pPr>
        <w:ind w:firstLine="56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1）储层岩矿及微观特征</w:t>
      </w:r>
    </w:p>
    <w:p>
      <w:pPr>
        <w:ind w:firstLine="56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营1-斜118块</w:t>
      </w:r>
      <w:r>
        <w:rPr>
          <w:rFonts w:eastAsiaTheme="minorEastAsia"/>
          <w:bCs/>
          <w:color w:val="000000" w:themeColor="text1"/>
          <w:szCs w:val="21"/>
          <w:lang w:val="en-GB"/>
          <w14:textFill>
            <w14:solidFill>
              <w14:schemeClr w14:val="tx1"/>
            </w14:solidFill>
          </w14:textFill>
        </w:rPr>
        <w:t>Ng</w:t>
      </w:r>
      <w:r>
        <w:rPr>
          <w:rFonts w:eastAsiaTheme="minorEastAsia"/>
          <w:bCs/>
          <w:color w:val="000000" w:themeColor="text1"/>
          <w:szCs w:val="21"/>
          <w14:textFill>
            <w14:solidFill>
              <w14:schemeClr w14:val="tx1"/>
            </w14:solidFill>
          </w14:textFill>
        </w:rPr>
        <w:t>3以细粒长石砂岩为主，石英含量平均41%，长石含量平均35%，（表2-4）颗粒分选中等-差，磨圆次棱角状，以颗粒方式支撑，接触关系为点接触，胶结类型为孔隙-接触式胶结。</w:t>
      </w:r>
    </w:p>
    <w:p>
      <w:pPr>
        <w:ind w:firstLine="560"/>
        <w:rPr>
          <w:rFonts w:eastAsiaTheme="minorEastAsia"/>
          <w:color w:val="000000" w:themeColor="text1"/>
          <w:szCs w:val="21"/>
          <w14:textFill>
            <w14:solidFill>
              <w14:schemeClr w14:val="tx1"/>
            </w14:solidFill>
          </w14:textFill>
        </w:rPr>
      </w:pPr>
      <w:bookmarkStart w:id="71" w:name="_Toc458067049"/>
      <w:bookmarkStart w:id="72" w:name="_Toc468115917"/>
      <w:bookmarkStart w:id="73" w:name="_Toc486492815"/>
      <w:bookmarkStart w:id="74" w:name="_Toc13586343"/>
      <w:bookmarkStart w:id="75" w:name="_Toc69304612"/>
      <w:bookmarkStart w:id="76" w:name="_Toc398791230"/>
      <w:bookmarkStart w:id="77" w:name="_Toc458072549"/>
      <w:bookmarkStart w:id="78" w:name="_Toc468116095"/>
      <w:r>
        <w:rPr>
          <w:rFonts w:eastAsiaTheme="minorEastAsia"/>
          <w:color w:val="000000" w:themeColor="text1"/>
          <w:szCs w:val="21"/>
          <w14:textFill>
            <w14:solidFill>
              <w14:schemeClr w14:val="tx1"/>
            </w14:solidFill>
          </w14:textFill>
        </w:rPr>
        <w:t>2）</w:t>
      </w:r>
      <w:bookmarkEnd w:id="71"/>
      <w:bookmarkEnd w:id="72"/>
      <w:bookmarkEnd w:id="73"/>
      <w:bookmarkEnd w:id="74"/>
      <w:bookmarkEnd w:id="75"/>
      <w:bookmarkEnd w:id="76"/>
      <w:bookmarkEnd w:id="77"/>
      <w:bookmarkEnd w:id="78"/>
      <w:r>
        <w:rPr>
          <w:rFonts w:eastAsiaTheme="minorEastAsia"/>
          <w:color w:val="000000" w:themeColor="text1"/>
          <w:szCs w:val="21"/>
          <w14:textFill>
            <w14:solidFill>
              <w14:schemeClr w14:val="tx1"/>
            </w14:solidFill>
          </w14:textFill>
        </w:rPr>
        <w:t>孔渗物性</w:t>
      </w:r>
    </w:p>
    <w:p>
      <w:pPr>
        <w:ind w:firstLine="56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根据本块取心井营20、华8及周边取心井营13-202三口取心井实验数据统计，营1-斜118块Ng3储层孔隙度一般在18-42%之间，平均35.8%；渗透率一般在100-18000mD之间，平均渗透率6950mD，属于高孔高渗储层。</w:t>
      </w:r>
    </w:p>
    <w:p>
      <w:pPr>
        <w:ind w:firstLine="56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3）储层分布特征</w:t>
      </w:r>
    </w:p>
    <w:p>
      <w:pPr>
        <w:ind w:firstLine="560"/>
        <w:rPr>
          <w:rFonts w:eastAsiaTheme="minorEastAsia"/>
          <w:bCs/>
          <w:color w:val="000000" w:themeColor="text1"/>
          <w:szCs w:val="21"/>
          <w:lang w:val="en-GB"/>
          <w14:textFill>
            <w14:solidFill>
              <w14:schemeClr w14:val="tx1"/>
            </w14:solidFill>
          </w14:textFill>
        </w:rPr>
      </w:pPr>
      <w:r>
        <w:rPr>
          <w:rFonts w:eastAsiaTheme="minorEastAsia"/>
          <w:bCs/>
          <w:color w:val="000000" w:themeColor="text1"/>
          <w:szCs w:val="21"/>
          <w14:textFill>
            <w14:solidFill>
              <w14:schemeClr w14:val="tx1"/>
            </w14:solidFill>
          </w14:textFill>
        </w:rPr>
        <w:t>营1-斜118块Ng3沉积时为河流相沉积环境，</w:t>
      </w:r>
      <w:r>
        <w:rPr>
          <w:rFonts w:eastAsiaTheme="minorEastAsia"/>
          <w:bCs/>
          <w:color w:val="000000" w:themeColor="text1"/>
          <w:szCs w:val="21"/>
          <w:lang w:val="en-GB"/>
          <w14:textFill>
            <w14:solidFill>
              <w14:schemeClr w14:val="tx1"/>
            </w14:solidFill>
          </w14:textFill>
        </w:rPr>
        <w:t>根据精细地层对比结果，结合钻井及测井资料，对</w:t>
      </w:r>
      <w:r>
        <w:rPr>
          <w:rFonts w:eastAsiaTheme="minorEastAsia"/>
          <w:bCs/>
          <w:color w:val="000000" w:themeColor="text1"/>
          <w:szCs w:val="21"/>
          <w14:textFill>
            <w14:solidFill>
              <w14:schemeClr w14:val="tx1"/>
            </w14:solidFill>
          </w14:textFill>
        </w:rPr>
        <w:t>主力</w:t>
      </w:r>
      <w:r>
        <w:rPr>
          <w:rFonts w:eastAsiaTheme="minorEastAsia"/>
          <w:bCs/>
          <w:color w:val="000000" w:themeColor="text1"/>
          <w:szCs w:val="21"/>
          <w:lang w:val="en-GB"/>
          <w14:textFill>
            <w14:solidFill>
              <w14:schemeClr w14:val="tx1"/>
            </w14:solidFill>
          </w14:textFill>
        </w:rPr>
        <w:t>小层砂体平面分布规律进行了研究。现将主力小层砂岩厚度平面展布规律分述如下：</w:t>
      </w:r>
    </w:p>
    <w:p>
      <w:pPr>
        <w:ind w:firstLine="560"/>
        <w:rPr>
          <w:rFonts w:eastAsiaTheme="minorEastAsia"/>
          <w:bCs/>
          <w:color w:val="000000" w:themeColor="text1"/>
          <w:szCs w:val="21"/>
          <w14:textFill>
            <w14:solidFill>
              <w14:schemeClr w14:val="tx1"/>
            </w14:solidFill>
          </w14:textFill>
        </w:rPr>
      </w:pPr>
      <w:r>
        <w:rPr>
          <w:rFonts w:eastAsiaTheme="minorEastAsia"/>
          <w:bCs/>
          <w:color w:val="000000" w:themeColor="text1"/>
          <w:szCs w:val="21"/>
          <w:lang w:val="en-GB"/>
          <w14:textFill>
            <w14:solidFill>
              <w14:schemeClr w14:val="tx1"/>
            </w14:solidFill>
          </w14:textFill>
        </w:rPr>
        <w:t>（1）</w:t>
      </w:r>
      <w:r>
        <w:rPr>
          <w:rFonts w:eastAsiaTheme="minorEastAsia"/>
          <w:bCs/>
          <w:color w:val="000000" w:themeColor="text1"/>
          <w:szCs w:val="21"/>
          <w14:textFill>
            <w14:solidFill>
              <w14:schemeClr w14:val="tx1"/>
            </w14:solidFill>
          </w14:textFill>
        </w:rPr>
        <w:t>Ng3</w:t>
      </w:r>
      <w:r>
        <w:rPr>
          <w:rFonts w:eastAsiaTheme="minorEastAsia"/>
          <w:bCs/>
          <w:color w:val="000000" w:themeColor="text1"/>
          <w:szCs w:val="21"/>
          <w:vertAlign w:val="superscript"/>
          <w14:textFill>
            <w14:solidFill>
              <w14:schemeClr w14:val="tx1"/>
            </w14:solidFill>
          </w14:textFill>
        </w:rPr>
        <w:t>4</w:t>
      </w:r>
      <w:r>
        <w:rPr>
          <w:rFonts w:eastAsiaTheme="minorEastAsia"/>
          <w:bCs/>
          <w:color w:val="000000" w:themeColor="text1"/>
          <w:szCs w:val="21"/>
          <w14:textFill>
            <w14:solidFill>
              <w14:schemeClr w14:val="tx1"/>
            </w14:solidFill>
          </w14:textFill>
        </w:rPr>
        <w:t>小层</w:t>
      </w:r>
    </w:p>
    <w:p>
      <w:pPr>
        <w:ind w:firstLine="56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营1-斜118块Ng3</w:t>
      </w:r>
      <w:r>
        <w:rPr>
          <w:rFonts w:eastAsiaTheme="minorEastAsia"/>
          <w:bCs/>
          <w:color w:val="000000" w:themeColor="text1"/>
          <w:szCs w:val="21"/>
          <w:vertAlign w:val="superscript"/>
          <w14:textFill>
            <w14:solidFill>
              <w14:schemeClr w14:val="tx1"/>
            </w14:solidFill>
          </w14:textFill>
        </w:rPr>
        <w:t>4</w:t>
      </w:r>
      <w:r>
        <w:rPr>
          <w:rFonts w:eastAsiaTheme="minorEastAsia"/>
          <w:bCs/>
          <w:color w:val="000000" w:themeColor="text1"/>
          <w:szCs w:val="21"/>
          <w14:textFill>
            <w14:solidFill>
              <w14:schemeClr w14:val="tx1"/>
            </w14:solidFill>
          </w14:textFill>
        </w:rPr>
        <w:t>小层砂体分布面积大，仅局部尖灭。储层砂岩厚度一般5.4～10.6m，平均砂厚8.4m，砂体厚，厚度中心在营1-51井附近，呈片状分布，具有西厚东薄的特点，连通性好。</w:t>
      </w:r>
    </w:p>
    <w:p>
      <w:pPr>
        <w:ind w:firstLine="560"/>
        <w:rPr>
          <w:rFonts w:eastAsiaTheme="minorEastAsia"/>
          <w:bCs/>
          <w:color w:val="000000" w:themeColor="text1"/>
          <w:szCs w:val="21"/>
          <w14:textFill>
            <w14:solidFill>
              <w14:schemeClr w14:val="tx1"/>
            </w14:solidFill>
          </w14:textFill>
        </w:rPr>
      </w:pPr>
      <w:r>
        <w:rPr>
          <w:rFonts w:eastAsiaTheme="minorEastAsia"/>
          <w:bCs/>
          <w:color w:val="000000" w:themeColor="text1"/>
          <w:szCs w:val="21"/>
          <w:lang w:val="en-GB"/>
          <w14:textFill>
            <w14:solidFill>
              <w14:schemeClr w14:val="tx1"/>
            </w14:solidFill>
          </w14:textFill>
        </w:rPr>
        <w:t>（2）</w:t>
      </w:r>
      <w:r>
        <w:rPr>
          <w:rFonts w:eastAsiaTheme="minorEastAsia"/>
          <w:bCs/>
          <w:color w:val="000000" w:themeColor="text1"/>
          <w:szCs w:val="21"/>
          <w14:textFill>
            <w14:solidFill>
              <w14:schemeClr w14:val="tx1"/>
            </w14:solidFill>
          </w14:textFill>
        </w:rPr>
        <w:t>Ng3</w:t>
      </w:r>
      <w:r>
        <w:rPr>
          <w:rFonts w:eastAsiaTheme="minorEastAsia"/>
          <w:bCs/>
          <w:color w:val="000000" w:themeColor="text1"/>
          <w:szCs w:val="21"/>
          <w:vertAlign w:val="superscript"/>
          <w14:textFill>
            <w14:solidFill>
              <w14:schemeClr w14:val="tx1"/>
            </w14:solidFill>
          </w14:textFill>
        </w:rPr>
        <w:t>5</w:t>
      </w:r>
      <w:r>
        <w:rPr>
          <w:rFonts w:eastAsiaTheme="minorEastAsia"/>
          <w:bCs/>
          <w:color w:val="000000" w:themeColor="text1"/>
          <w:szCs w:val="21"/>
          <w14:textFill>
            <w14:solidFill>
              <w14:schemeClr w14:val="tx1"/>
            </w14:solidFill>
          </w14:textFill>
        </w:rPr>
        <w:t>小层</w:t>
      </w:r>
    </w:p>
    <w:p>
      <w:pPr>
        <w:ind w:firstLine="56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营1-斜118块Ng3</w:t>
      </w:r>
      <w:r>
        <w:rPr>
          <w:rFonts w:eastAsiaTheme="minorEastAsia"/>
          <w:bCs/>
          <w:color w:val="000000" w:themeColor="text1"/>
          <w:szCs w:val="21"/>
          <w:vertAlign w:val="superscript"/>
          <w14:textFill>
            <w14:solidFill>
              <w14:schemeClr w14:val="tx1"/>
            </w14:solidFill>
          </w14:textFill>
        </w:rPr>
        <w:t>5</w:t>
      </w:r>
      <w:r>
        <w:rPr>
          <w:rFonts w:eastAsiaTheme="minorEastAsia"/>
          <w:bCs/>
          <w:color w:val="000000" w:themeColor="text1"/>
          <w:szCs w:val="21"/>
          <w14:textFill>
            <w14:solidFill>
              <w14:schemeClr w14:val="tx1"/>
            </w14:solidFill>
          </w14:textFill>
        </w:rPr>
        <w:t>小层砂体全区分布。储层砂岩厚度一般0.9～10.6m，平均砂厚4.2m，砂体较厚，厚度中心在营1-斜54井附近，具有西北厚东南薄的特点，连通性较好。</w:t>
      </w:r>
    </w:p>
    <w:p>
      <w:pPr>
        <w:ind w:firstLine="560"/>
        <w:rPr>
          <w:rFonts w:eastAsiaTheme="minorEastAsia"/>
          <w:bCs/>
          <w:color w:val="000000" w:themeColor="text1"/>
          <w:szCs w:val="21"/>
          <w14:textFill>
            <w14:solidFill>
              <w14:schemeClr w14:val="tx1"/>
            </w14:solidFill>
          </w14:textFill>
        </w:rPr>
      </w:pPr>
      <w:r>
        <w:rPr>
          <w:rFonts w:eastAsiaTheme="minorEastAsia"/>
          <w:bCs/>
          <w:color w:val="000000" w:themeColor="text1"/>
          <w:szCs w:val="21"/>
          <w:lang w:val="en-GB"/>
          <w14:textFill>
            <w14:solidFill>
              <w14:schemeClr w14:val="tx1"/>
            </w14:solidFill>
          </w14:textFill>
        </w:rPr>
        <w:t>（3）</w:t>
      </w:r>
      <w:r>
        <w:rPr>
          <w:rFonts w:eastAsiaTheme="minorEastAsia"/>
          <w:bCs/>
          <w:color w:val="000000" w:themeColor="text1"/>
          <w:szCs w:val="21"/>
          <w14:textFill>
            <w14:solidFill>
              <w14:schemeClr w14:val="tx1"/>
            </w14:solidFill>
          </w14:textFill>
        </w:rPr>
        <w:t>Ng3</w:t>
      </w:r>
      <w:r>
        <w:rPr>
          <w:rFonts w:eastAsiaTheme="minorEastAsia"/>
          <w:bCs/>
          <w:color w:val="000000" w:themeColor="text1"/>
          <w:szCs w:val="21"/>
          <w:vertAlign w:val="superscript"/>
          <w14:textFill>
            <w14:solidFill>
              <w14:schemeClr w14:val="tx1"/>
            </w14:solidFill>
          </w14:textFill>
        </w:rPr>
        <w:t>6</w:t>
      </w:r>
      <w:r>
        <w:rPr>
          <w:rFonts w:eastAsiaTheme="minorEastAsia"/>
          <w:bCs/>
          <w:color w:val="000000" w:themeColor="text1"/>
          <w:szCs w:val="21"/>
          <w14:textFill>
            <w14:solidFill>
              <w14:schemeClr w14:val="tx1"/>
            </w14:solidFill>
          </w14:textFill>
        </w:rPr>
        <w:t>小层</w:t>
      </w:r>
    </w:p>
    <w:p>
      <w:pPr>
        <w:ind w:firstLine="56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营1-斜118块Ng3</w:t>
      </w:r>
      <w:r>
        <w:rPr>
          <w:rFonts w:eastAsiaTheme="minorEastAsia"/>
          <w:bCs/>
          <w:color w:val="000000" w:themeColor="text1"/>
          <w:szCs w:val="21"/>
          <w:vertAlign w:val="superscript"/>
          <w14:textFill>
            <w14:solidFill>
              <w14:schemeClr w14:val="tx1"/>
            </w14:solidFill>
          </w14:textFill>
        </w:rPr>
        <w:t>6</w:t>
      </w:r>
      <w:r>
        <w:rPr>
          <w:rFonts w:eastAsiaTheme="minorEastAsia"/>
          <w:bCs/>
          <w:color w:val="000000" w:themeColor="text1"/>
          <w:szCs w:val="21"/>
          <w14:textFill>
            <w14:solidFill>
              <w14:schemeClr w14:val="tx1"/>
            </w14:solidFill>
          </w14:textFill>
        </w:rPr>
        <w:t>小层砂体分布面积大，仅局部尖灭，尖灭区主要分布在工区东部。储层砂岩厚度一般2.4～9.6m，平均砂厚4.9m，砂体较厚，厚度中心在营1-斜44井附近，呈片状分布，连通性较好。</w:t>
      </w:r>
    </w:p>
    <w:p>
      <w:pPr>
        <w:ind w:firstLine="560"/>
        <w:rPr>
          <w:rFonts w:eastAsiaTheme="minorEastAsia"/>
          <w:bCs/>
          <w:color w:val="000000" w:themeColor="text1"/>
          <w:szCs w:val="21"/>
          <w14:textFill>
            <w14:solidFill>
              <w14:schemeClr w14:val="tx1"/>
            </w14:solidFill>
          </w14:textFill>
        </w:rPr>
      </w:pPr>
      <w:r>
        <w:rPr>
          <w:rFonts w:eastAsiaTheme="minorEastAsia"/>
          <w:bCs/>
          <w:color w:val="000000" w:themeColor="text1"/>
          <w:szCs w:val="21"/>
          <w:lang w:val="en-GB"/>
          <w14:textFill>
            <w14:solidFill>
              <w14:schemeClr w14:val="tx1"/>
            </w14:solidFill>
          </w14:textFill>
        </w:rPr>
        <w:t>（4）</w:t>
      </w:r>
      <w:r>
        <w:rPr>
          <w:rFonts w:eastAsiaTheme="minorEastAsia"/>
          <w:bCs/>
          <w:color w:val="000000" w:themeColor="text1"/>
          <w:szCs w:val="21"/>
          <w14:textFill>
            <w14:solidFill>
              <w14:schemeClr w14:val="tx1"/>
            </w14:solidFill>
          </w14:textFill>
        </w:rPr>
        <w:t>Ng3</w:t>
      </w:r>
      <w:r>
        <w:rPr>
          <w:rFonts w:eastAsiaTheme="minorEastAsia"/>
          <w:bCs/>
          <w:color w:val="000000" w:themeColor="text1"/>
          <w:szCs w:val="21"/>
          <w:vertAlign w:val="superscript"/>
          <w14:textFill>
            <w14:solidFill>
              <w14:schemeClr w14:val="tx1"/>
            </w14:solidFill>
          </w14:textFill>
        </w:rPr>
        <w:t>9</w:t>
      </w:r>
      <w:r>
        <w:rPr>
          <w:rFonts w:eastAsiaTheme="minorEastAsia"/>
          <w:bCs/>
          <w:color w:val="000000" w:themeColor="text1"/>
          <w:szCs w:val="21"/>
          <w14:textFill>
            <w14:solidFill>
              <w14:schemeClr w14:val="tx1"/>
            </w14:solidFill>
          </w14:textFill>
        </w:rPr>
        <w:t>小层</w:t>
      </w:r>
    </w:p>
    <w:p>
      <w:pPr>
        <w:ind w:firstLine="56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营1-斜118块Ng3</w:t>
      </w:r>
      <w:r>
        <w:rPr>
          <w:rFonts w:eastAsiaTheme="minorEastAsia"/>
          <w:bCs/>
          <w:color w:val="000000" w:themeColor="text1"/>
          <w:szCs w:val="21"/>
          <w:vertAlign w:val="superscript"/>
          <w14:textFill>
            <w14:solidFill>
              <w14:schemeClr w14:val="tx1"/>
            </w14:solidFill>
          </w14:textFill>
        </w:rPr>
        <w:t>9</w:t>
      </w:r>
      <w:r>
        <w:rPr>
          <w:rFonts w:eastAsiaTheme="minorEastAsia"/>
          <w:bCs/>
          <w:color w:val="000000" w:themeColor="text1"/>
          <w:szCs w:val="21"/>
          <w14:textFill>
            <w14:solidFill>
              <w14:schemeClr w14:val="tx1"/>
            </w14:solidFill>
          </w14:textFill>
        </w:rPr>
        <w:t>小层砂体分布面积大，仅局部尖灭，尖灭区主要分布在工区西南。储层砂岩厚度一般1.5～8.4m，平均砂厚5.0m，砂体较厚，厚度中心在营1-斜118井附近，呈片状分布，具有东厚西薄的特点，连通性较好。</w:t>
      </w:r>
    </w:p>
    <w:p>
      <w:pPr>
        <w:pStyle w:val="6"/>
        <w:rPr>
          <w:rFonts w:eastAsiaTheme="minorEastAsia"/>
          <w:bCs w:val="0"/>
        </w:rPr>
      </w:pPr>
      <w:bookmarkStart w:id="79" w:name="_Toc468115918"/>
      <w:bookmarkStart w:id="80" w:name="_Toc458067050"/>
      <w:bookmarkStart w:id="81" w:name="_Toc458072550"/>
      <w:bookmarkStart w:id="82" w:name="_Toc486492816"/>
      <w:bookmarkStart w:id="83" w:name="_Toc69304613"/>
      <w:bookmarkStart w:id="84" w:name="_Toc13586344"/>
      <w:bookmarkStart w:id="85" w:name="_Toc468116096"/>
      <w:r>
        <w:rPr>
          <w:rFonts w:eastAsiaTheme="minorEastAsia"/>
          <w:bCs w:val="0"/>
        </w:rPr>
        <w:t xml:space="preserve">2.4.1.5  </w:t>
      </w:r>
      <w:bookmarkEnd w:id="79"/>
      <w:bookmarkEnd w:id="80"/>
      <w:bookmarkEnd w:id="81"/>
      <w:bookmarkEnd w:id="82"/>
      <w:bookmarkEnd w:id="83"/>
      <w:bookmarkEnd w:id="84"/>
      <w:bookmarkEnd w:id="85"/>
      <w:r>
        <w:rPr>
          <w:rFonts w:eastAsiaTheme="minorEastAsia"/>
          <w:bCs w:val="0"/>
        </w:rPr>
        <w:t>流体性质、温度及压力系统</w:t>
      </w:r>
      <w:bookmarkStart w:id="86" w:name="_Toc200426124"/>
      <w:bookmarkStart w:id="87" w:name="_Toc194821536"/>
      <w:bookmarkStart w:id="88" w:name="_Toc200441943"/>
      <w:bookmarkStart w:id="89" w:name="_Toc194822568"/>
    </w:p>
    <w:bookmarkEnd w:id="86"/>
    <w:bookmarkEnd w:id="87"/>
    <w:bookmarkEnd w:id="88"/>
    <w:bookmarkEnd w:id="89"/>
    <w:p>
      <w:pPr>
        <w:ind w:firstLine="560"/>
        <w:rPr>
          <w:rFonts w:eastAsiaTheme="minorEastAsia"/>
          <w:bCs/>
          <w:color w:val="000000" w:themeColor="text1"/>
          <w:szCs w:val="28"/>
          <w14:textFill>
            <w14:solidFill>
              <w14:schemeClr w14:val="tx1"/>
            </w14:solidFill>
          </w14:textFill>
        </w:rPr>
      </w:pPr>
      <w:r>
        <w:rPr>
          <w:rFonts w:eastAsiaTheme="minorEastAsia"/>
          <w:bCs/>
          <w:color w:val="000000" w:themeColor="text1"/>
          <w:szCs w:val="28"/>
          <w14:textFill>
            <w14:solidFill>
              <w14:schemeClr w14:val="tx1"/>
            </w14:solidFill>
          </w14:textFill>
        </w:rPr>
        <w:t>1）流体性质</w:t>
      </w:r>
    </w:p>
    <w:p>
      <w:pPr>
        <w:ind w:firstLine="560"/>
        <w:rPr>
          <w:rFonts w:eastAsiaTheme="minorEastAsia"/>
          <w:bCs/>
          <w:color w:val="000000" w:themeColor="text1"/>
          <w:szCs w:val="28"/>
          <w14:textFill>
            <w14:solidFill>
              <w14:schemeClr w14:val="tx1"/>
            </w14:solidFill>
          </w14:textFill>
        </w:rPr>
      </w:pPr>
      <w:r>
        <w:rPr>
          <w:rFonts w:eastAsiaTheme="minorEastAsia"/>
          <w:bCs/>
          <w:color w:val="000000" w:themeColor="text1"/>
          <w:szCs w:val="28"/>
          <w14:textFill>
            <w14:solidFill>
              <w14:schemeClr w14:val="tx1"/>
            </w14:solidFill>
          </w14:textFill>
        </w:rPr>
        <w:t>（1）原油性质</w:t>
      </w:r>
    </w:p>
    <w:p>
      <w:pPr>
        <w:ind w:firstLine="560"/>
        <w:rPr>
          <w:rFonts w:eastAsiaTheme="minorEastAsia"/>
          <w:bCs/>
          <w:color w:val="000000" w:themeColor="text1"/>
          <w:szCs w:val="28"/>
          <w14:textFill>
            <w14:solidFill>
              <w14:schemeClr w14:val="tx1"/>
            </w14:solidFill>
          </w14:textFill>
        </w:rPr>
      </w:pPr>
      <w:r>
        <w:rPr>
          <w:rFonts w:eastAsiaTheme="minorEastAsia"/>
          <w:bCs/>
          <w:color w:val="000000" w:themeColor="text1"/>
          <w:szCs w:val="28"/>
          <w14:textFill>
            <w14:solidFill>
              <w14:schemeClr w14:val="tx1"/>
            </w14:solidFill>
          </w14:textFill>
        </w:rPr>
        <w:t>营1-斜118块Ng3油藏50℃地面脱气原油黏度在1267～15677 mPa·s，地面脱气原油密度0.9621～0.9881g/cm</w:t>
      </w:r>
      <w:r>
        <w:rPr>
          <w:rFonts w:eastAsiaTheme="minorEastAsia"/>
          <w:bCs/>
          <w:color w:val="000000" w:themeColor="text1"/>
          <w:szCs w:val="28"/>
          <w:vertAlign w:val="superscript"/>
          <w14:textFill>
            <w14:solidFill>
              <w14:schemeClr w14:val="tx1"/>
            </w14:solidFill>
          </w14:textFill>
        </w:rPr>
        <w:t>3</w:t>
      </w:r>
      <w:r>
        <w:rPr>
          <w:rFonts w:eastAsiaTheme="minorEastAsia"/>
          <w:bCs/>
          <w:color w:val="000000" w:themeColor="text1"/>
          <w:szCs w:val="28"/>
          <w14:textFill>
            <w14:solidFill>
              <w14:schemeClr w14:val="tx1"/>
            </w14:solidFill>
          </w14:textFill>
        </w:rPr>
        <w:t>。</w:t>
      </w:r>
    </w:p>
    <w:p>
      <w:pPr>
        <w:ind w:firstLine="560"/>
        <w:rPr>
          <w:rFonts w:eastAsiaTheme="minorEastAsia"/>
          <w:bCs/>
          <w:color w:val="000000" w:themeColor="text1"/>
          <w:szCs w:val="28"/>
          <w14:textFill>
            <w14:solidFill>
              <w14:schemeClr w14:val="tx1"/>
            </w14:solidFill>
          </w14:textFill>
        </w:rPr>
      </w:pPr>
      <w:r>
        <w:rPr>
          <w:rFonts w:eastAsiaTheme="minorEastAsia"/>
          <w:bCs/>
          <w:color w:val="000000" w:themeColor="text1"/>
          <w:szCs w:val="28"/>
          <w14:textFill>
            <w14:solidFill>
              <w14:schemeClr w14:val="tx1"/>
            </w14:solidFill>
          </w14:textFill>
        </w:rPr>
        <w:t>（2）地层水性质</w:t>
      </w:r>
    </w:p>
    <w:p>
      <w:pPr>
        <w:ind w:firstLine="560"/>
        <w:rPr>
          <w:rFonts w:eastAsiaTheme="minorEastAsia"/>
          <w:bCs/>
          <w:color w:val="000000" w:themeColor="text1"/>
          <w:szCs w:val="28"/>
          <w14:textFill>
            <w14:solidFill>
              <w14:schemeClr w14:val="tx1"/>
            </w14:solidFill>
          </w14:textFill>
        </w:rPr>
      </w:pPr>
      <w:r>
        <w:rPr>
          <w:rFonts w:eastAsiaTheme="minorEastAsia"/>
          <w:bCs/>
          <w:color w:val="000000" w:themeColor="text1"/>
          <w:szCs w:val="28"/>
          <w14:textFill>
            <w14:solidFill>
              <w14:schemeClr w14:val="tx1"/>
            </w14:solidFill>
          </w14:textFill>
        </w:rPr>
        <w:t>依据研究区生产井水性资料，地层水性质具有如下特点：总矿化度一般17153mg/L，氯离子一般10394mg/L，水型为CaCl</w:t>
      </w:r>
      <w:r>
        <w:rPr>
          <w:rFonts w:eastAsiaTheme="minorEastAsia"/>
          <w:bCs/>
          <w:color w:val="000000" w:themeColor="text1"/>
          <w:szCs w:val="28"/>
          <w:vertAlign w:val="subscript"/>
          <w14:textFill>
            <w14:solidFill>
              <w14:schemeClr w14:val="tx1"/>
            </w14:solidFill>
          </w14:textFill>
        </w:rPr>
        <w:t>2</w:t>
      </w:r>
      <w:r>
        <w:rPr>
          <w:rFonts w:eastAsiaTheme="minorEastAsia"/>
          <w:bCs/>
          <w:color w:val="000000" w:themeColor="text1"/>
          <w:szCs w:val="28"/>
          <w14:textFill>
            <w14:solidFill>
              <w14:schemeClr w14:val="tx1"/>
            </w14:solidFill>
          </w14:textFill>
        </w:rPr>
        <w:t>型。</w:t>
      </w:r>
    </w:p>
    <w:p>
      <w:pPr>
        <w:ind w:firstLine="560"/>
        <w:rPr>
          <w:rFonts w:eastAsiaTheme="minorEastAsia"/>
          <w:bCs/>
          <w:color w:val="000000" w:themeColor="text1"/>
          <w:szCs w:val="28"/>
          <w14:textFill>
            <w14:solidFill>
              <w14:schemeClr w14:val="tx1"/>
            </w14:solidFill>
          </w14:textFill>
        </w:rPr>
      </w:pPr>
      <w:r>
        <w:rPr>
          <w:rFonts w:eastAsiaTheme="minorEastAsia"/>
          <w:bCs/>
          <w:color w:val="000000" w:themeColor="text1"/>
          <w:szCs w:val="28"/>
          <w14:textFill>
            <w14:solidFill>
              <w14:schemeClr w14:val="tx1"/>
            </w14:solidFill>
          </w14:textFill>
        </w:rPr>
        <w:t>（3）高压物性</w:t>
      </w:r>
    </w:p>
    <w:p>
      <w:pPr>
        <w:ind w:firstLine="560"/>
        <w:rPr>
          <w:rFonts w:eastAsiaTheme="minorEastAsia"/>
          <w:bCs/>
          <w:color w:val="000000" w:themeColor="text1"/>
          <w:szCs w:val="28"/>
          <w14:textFill>
            <w14:solidFill>
              <w14:schemeClr w14:val="tx1"/>
            </w14:solidFill>
          </w14:textFill>
        </w:rPr>
      </w:pPr>
      <w:r>
        <w:rPr>
          <w:rFonts w:eastAsiaTheme="minorEastAsia"/>
          <w:bCs/>
          <w:color w:val="000000" w:themeColor="text1"/>
          <w:szCs w:val="28"/>
          <w14:textFill>
            <w14:solidFill>
              <w14:schemeClr w14:val="tx1"/>
            </w14:solidFill>
          </w14:textFill>
        </w:rPr>
        <w:t>本区无高压物性资料。</w:t>
      </w:r>
    </w:p>
    <w:p>
      <w:pPr>
        <w:ind w:firstLine="560"/>
        <w:rPr>
          <w:rFonts w:eastAsiaTheme="minorEastAsia"/>
          <w:bCs/>
          <w:color w:val="000000" w:themeColor="text1"/>
          <w:szCs w:val="28"/>
          <w14:textFill>
            <w14:solidFill>
              <w14:schemeClr w14:val="tx1"/>
            </w14:solidFill>
          </w14:textFill>
        </w:rPr>
      </w:pPr>
      <w:r>
        <w:rPr>
          <w:rFonts w:eastAsiaTheme="minorEastAsia"/>
          <w:bCs/>
          <w:color w:val="000000" w:themeColor="text1"/>
          <w:szCs w:val="28"/>
          <w14:textFill>
            <w14:solidFill>
              <w14:schemeClr w14:val="tx1"/>
            </w14:solidFill>
          </w14:textFill>
        </w:rPr>
        <w:t>2）温度及压力系统</w:t>
      </w:r>
    </w:p>
    <w:p>
      <w:pPr>
        <w:ind w:firstLine="560"/>
        <w:rPr>
          <w:rFonts w:eastAsiaTheme="minorEastAsia"/>
          <w:bCs/>
          <w:color w:val="000000" w:themeColor="text1"/>
          <w:szCs w:val="28"/>
          <w14:textFill>
            <w14:solidFill>
              <w14:schemeClr w14:val="tx1"/>
            </w14:solidFill>
          </w14:textFill>
        </w:rPr>
      </w:pPr>
      <w:r>
        <w:rPr>
          <w:rFonts w:eastAsiaTheme="minorEastAsia"/>
          <w:bCs/>
          <w:color w:val="000000" w:themeColor="text1"/>
          <w:szCs w:val="28"/>
          <w14:textFill>
            <w14:solidFill>
              <w14:schemeClr w14:val="tx1"/>
            </w14:solidFill>
          </w14:textFill>
        </w:rPr>
        <w:t>营1-斜118块Ng3油藏原始地层温度56℃，地温梯度3.5℃/100m；油藏原始地层压力12.2MPa，压力系数1.0，油藏属常温常压系统。</w:t>
      </w:r>
    </w:p>
    <w:p>
      <w:pPr>
        <w:pStyle w:val="6"/>
        <w:rPr>
          <w:rFonts w:eastAsiaTheme="minorEastAsia"/>
          <w:bCs w:val="0"/>
        </w:rPr>
      </w:pPr>
      <w:bookmarkStart w:id="90" w:name="_Toc468116097"/>
      <w:bookmarkStart w:id="91" w:name="_Toc458072551"/>
      <w:bookmarkStart w:id="92" w:name="_Toc468115919"/>
      <w:bookmarkStart w:id="93" w:name="_Toc69304614"/>
      <w:bookmarkStart w:id="94" w:name="_Toc13586345"/>
      <w:bookmarkStart w:id="95" w:name="_Toc458067051"/>
      <w:bookmarkStart w:id="96" w:name="_Toc486492817"/>
      <w:r>
        <w:rPr>
          <w:rFonts w:eastAsiaTheme="minorEastAsia"/>
          <w:bCs w:val="0"/>
        </w:rPr>
        <w:t>2.4.1.6  油藏类型</w:t>
      </w:r>
      <w:bookmarkEnd w:id="90"/>
      <w:bookmarkEnd w:id="91"/>
      <w:bookmarkEnd w:id="92"/>
      <w:bookmarkEnd w:id="93"/>
      <w:bookmarkEnd w:id="94"/>
      <w:bookmarkEnd w:id="95"/>
      <w:bookmarkEnd w:id="96"/>
    </w:p>
    <w:p>
      <w:pPr>
        <w:ind w:firstLine="560"/>
        <w:rPr>
          <w:rFonts w:eastAsiaTheme="minorEastAsia"/>
          <w:bCs/>
          <w:color w:val="000000" w:themeColor="text1"/>
          <w:szCs w:val="28"/>
          <w14:textFill>
            <w14:solidFill>
              <w14:schemeClr w14:val="tx1"/>
            </w14:solidFill>
          </w14:textFill>
        </w:rPr>
      </w:pPr>
      <w:r>
        <w:rPr>
          <w:rFonts w:eastAsiaTheme="minorEastAsia"/>
          <w:bCs/>
          <w:color w:val="000000" w:themeColor="text1"/>
          <w:szCs w:val="28"/>
          <w14:textFill>
            <w14:solidFill>
              <w14:schemeClr w14:val="tx1"/>
            </w14:solidFill>
          </w14:textFill>
        </w:rPr>
        <w:t>营1-斜118块馆下三砂组属于具有边底水的岩性-构造普通稠油-特稠油油藏。</w:t>
      </w:r>
    </w:p>
    <w:p>
      <w:pPr>
        <w:pStyle w:val="5"/>
        <w:rPr>
          <w:rFonts w:eastAsiaTheme="minorEastAsia"/>
        </w:rPr>
      </w:pPr>
      <w:r>
        <w:rPr>
          <w:rFonts w:eastAsiaTheme="minorEastAsia"/>
        </w:rPr>
        <w:t>2.4.2  试油试采特征</w:t>
      </w:r>
    </w:p>
    <w:p>
      <w:pPr>
        <w:pStyle w:val="6"/>
        <w:rPr>
          <w:rFonts w:ascii="Times New Roman" w:hAnsi="Times New Roman" w:cs="Times New Roman" w:eastAsiaTheme="minorEastAsia"/>
          <w:bCs w:val="0"/>
        </w:rPr>
      </w:pPr>
      <w:r>
        <w:rPr>
          <w:rFonts w:ascii="Times New Roman" w:hAnsi="Times New Roman" w:cs="Times New Roman" w:eastAsiaTheme="minorEastAsia"/>
          <w:bCs w:val="0"/>
        </w:rPr>
        <w:t>2.4.2.1  试油试采情况</w:t>
      </w:r>
    </w:p>
    <w:p>
      <w:pPr>
        <w:ind w:firstLine="560"/>
        <w:rPr>
          <w:rFonts w:eastAsiaTheme="minorEastAsia"/>
          <w:bCs/>
          <w:color w:val="000000" w:themeColor="text1"/>
          <w:szCs w:val="28"/>
          <w14:textFill>
            <w14:solidFill>
              <w14:schemeClr w14:val="tx1"/>
            </w14:solidFill>
          </w14:textFill>
        </w:rPr>
      </w:pPr>
      <w:r>
        <w:rPr>
          <w:rFonts w:eastAsiaTheme="minorEastAsia"/>
          <w:bCs/>
          <w:color w:val="000000" w:themeColor="text1"/>
          <w:szCs w:val="28"/>
          <w14:textFill>
            <w14:solidFill>
              <w14:schemeClr w14:val="tx1"/>
            </w14:solidFill>
          </w14:textFill>
        </w:rPr>
        <w:t>营1斜118块试油井1口，无试采井，邻块试采井4口，无试注井。</w:t>
      </w:r>
    </w:p>
    <w:p>
      <w:pPr>
        <w:ind w:firstLine="560"/>
      </w:pPr>
      <w:r>
        <w:t>1）试油情况</w:t>
      </w:r>
    </w:p>
    <w:p>
      <w:pPr>
        <w:ind w:firstLine="560"/>
      </w:pPr>
      <w:r>
        <w:t>营1-斜118块试油井1口，华8井共试油3次：第一次在1961年4月，误射1249.25～1251.25m的馆陶组水层，无油气显示；第二次在1965年9月，采用气举方式试油Ng3-4层的1208.4～1212.2m井段，因套管损坏，试油不成功；第三次在1990年11月，下小套试油Ng3-5层的1220.6～1222.2m井段，酸化后日油4.2t/d，试油结论为稠油层。</w:t>
      </w:r>
    </w:p>
    <w:p>
      <w:pPr>
        <w:ind w:firstLine="560"/>
      </w:pPr>
      <w:r>
        <w:t>2）试采情况</w:t>
      </w:r>
    </w:p>
    <w:p>
      <w:pPr>
        <w:ind w:firstLine="560"/>
      </w:pPr>
      <w:r>
        <w:t>营1-斜118块Ng3有试采井4口，分别采用了常规冷采、井筒药剂叠加电热杆降粘、注蒸汽热采等多种开采方式。初期平均单井日产液13.6t/d，日产油3.6t/d，含水73.9%；目前（停产）平均单井日产液16.4t/d，日产油0.4t/d，含水96.9%；平均单井累油2000t。其中营1-斜118井区的营1-斜118、营47-平1B油藏条件与华8井区较为一致。</w:t>
      </w:r>
    </w:p>
    <w:p>
      <w:pPr>
        <w:pStyle w:val="6"/>
        <w:rPr>
          <w:rFonts w:ascii="Times New Roman" w:hAnsi="Times New Roman" w:cs="Times New Roman" w:eastAsiaTheme="minorEastAsia"/>
          <w:bCs w:val="0"/>
        </w:rPr>
      </w:pPr>
      <w:r>
        <w:rPr>
          <w:rFonts w:ascii="Times New Roman" w:hAnsi="Times New Roman" w:cs="Times New Roman" w:eastAsiaTheme="minorEastAsia"/>
          <w:bCs w:val="0"/>
        </w:rPr>
        <w:t>2.4.2.2  试油试采特征</w:t>
      </w:r>
    </w:p>
    <w:p>
      <w:pPr>
        <w:ind w:firstLine="560"/>
      </w:pPr>
      <w:r>
        <w:t>1）根据营1-斜118井区Ng3试采特征，考虑营1-斜118块布井工区—华8井区为普通稠油、边底水较发育，降粘冷采较注汽热采更为经济高效；</w:t>
      </w:r>
    </w:p>
    <w:p>
      <w:pPr>
        <w:ind w:firstLine="560"/>
      </w:pPr>
      <w:r>
        <w:t>2）营1-斜118井区西块馆三段4、5、6砂组发育油层，厚度较厚，且与水层7、8、9砂组有较厚隔层，主要受南、北的边水影响，可考虑直井开发；</w:t>
      </w:r>
    </w:p>
    <w:p>
      <w:pPr>
        <w:ind w:firstLine="560"/>
      </w:pPr>
      <w:r>
        <w:t>3）营1-斜118井区东块馆三段4、5、9砂组发育油层，厚度较薄，且与水层6砂组局部连通，主要受底水影响，可考虑水平井开发。</w:t>
      </w:r>
    </w:p>
    <w:p>
      <w:pPr>
        <w:pStyle w:val="3"/>
        <w:rPr>
          <w:rFonts w:eastAsiaTheme="minorEastAsia"/>
        </w:rPr>
      </w:pPr>
      <w:bookmarkStart w:id="97" w:name="_Toc41742618"/>
      <w:bookmarkStart w:id="98" w:name="_Toc32348"/>
      <w:bookmarkStart w:id="99" w:name="_Toc522018252"/>
      <w:r>
        <w:rPr>
          <w:rFonts w:eastAsiaTheme="minorEastAsia"/>
        </w:rPr>
        <w:t>2.5  钻井工程方案</w:t>
      </w:r>
      <w:bookmarkEnd w:id="97"/>
      <w:bookmarkEnd w:id="98"/>
      <w:bookmarkEnd w:id="99"/>
    </w:p>
    <w:p>
      <w:pPr>
        <w:pStyle w:val="5"/>
        <w:rPr>
          <w:rFonts w:eastAsiaTheme="minorEastAsia"/>
        </w:rPr>
      </w:pPr>
      <w:r>
        <w:rPr>
          <w:rFonts w:eastAsiaTheme="minorEastAsia"/>
        </w:rPr>
        <w:t>2.5.1  钻井规模及布井方案</w:t>
      </w:r>
    </w:p>
    <w:p>
      <w:pPr>
        <w:ind w:firstLine="560"/>
        <w:rPr>
          <w:rFonts w:eastAsiaTheme="minorEastAsia"/>
        </w:rPr>
      </w:pPr>
      <w:r>
        <w:rPr>
          <w:rFonts w:eastAsiaTheme="minorEastAsia"/>
        </w:rPr>
        <w:t>1）钻井规模</w:t>
      </w:r>
    </w:p>
    <w:p>
      <w:pPr>
        <w:ind w:firstLine="560"/>
        <w:rPr>
          <w:rFonts w:eastAsiaTheme="minorEastAsia"/>
        </w:rPr>
      </w:pPr>
      <w:r>
        <w:rPr>
          <w:rFonts w:eastAsiaTheme="minorEastAsia"/>
        </w:rPr>
        <w:t>本方案共部署新井6口。位于党校南门井场，北边第一排，大门方向朝东。</w:t>
      </w:r>
    </w:p>
    <w:p>
      <w:pPr>
        <w:ind w:firstLine="560"/>
        <w:rPr>
          <w:rFonts w:eastAsiaTheme="minorEastAsia"/>
        </w:rPr>
      </w:pPr>
      <w:r>
        <w:rPr>
          <w:rFonts w:eastAsiaTheme="minorEastAsia"/>
        </w:rPr>
        <w:t>2）布井方案</w:t>
      </w:r>
    </w:p>
    <w:p>
      <w:pPr>
        <w:ind w:firstLine="560"/>
        <w:rPr>
          <w:rFonts w:eastAsiaTheme="minorEastAsia"/>
        </w:rPr>
      </w:pPr>
      <w:r>
        <w:rPr>
          <w:rFonts w:eastAsiaTheme="minorEastAsia"/>
        </w:rPr>
        <w:t>党校南台井场采用的4×9分布式槽口。四排，暂定挖北边三排槽口，最南边一排暂不开挖，留作后期备用，井排间距分别为9.5m。每排9个槽口，槽口间距3m。本次设计的6口新井部署在北部第一排槽口。</w:t>
      </w:r>
    </w:p>
    <w:p>
      <w:pPr>
        <w:ind w:firstLine="560"/>
        <w:rPr>
          <w:rFonts w:eastAsiaTheme="minorEastAsia"/>
        </w:rPr>
      </w:pPr>
      <w:r>
        <w:rPr>
          <w:rFonts w:eastAsiaTheme="minorEastAsia"/>
        </w:rPr>
        <w:t>综合油藏工程、钻井、采油以及地面条件等方面因素，方案6口新井总进尺为10364.12m，平均单井进尺1727.35m。新钻井方案见表2.5-1。</w:t>
      </w:r>
    </w:p>
    <w:p>
      <w:pPr>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表2.5-1  新钻井部署方案表</w:t>
      </w:r>
    </w:p>
    <w:tbl>
      <w:tblPr>
        <w:tblStyle w:val="45"/>
        <w:tblW w:w="448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24"/>
        <w:gridCol w:w="1788"/>
        <w:gridCol w:w="1788"/>
        <w:gridCol w:w="1512"/>
        <w:gridCol w:w="13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exact"/>
          <w:tblHeader/>
          <w:jc w:val="center"/>
        </w:trPr>
        <w:tc>
          <w:tcPr>
            <w:tcW w:w="742"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钻井顺序</w:t>
            </w:r>
          </w:p>
        </w:tc>
        <w:tc>
          <w:tcPr>
            <w:tcW w:w="1179"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槽口号</w:t>
            </w:r>
          </w:p>
        </w:tc>
        <w:tc>
          <w:tcPr>
            <w:tcW w:w="1179"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井号</w:t>
            </w:r>
          </w:p>
        </w:tc>
        <w:tc>
          <w:tcPr>
            <w:tcW w:w="997"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井别</w:t>
            </w:r>
          </w:p>
        </w:tc>
        <w:tc>
          <w:tcPr>
            <w:tcW w:w="900"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4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w:t>
            </w:r>
          </w:p>
        </w:tc>
        <w:tc>
          <w:tcPr>
            <w:tcW w:w="117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0108</w:t>
            </w:r>
          </w:p>
        </w:tc>
        <w:tc>
          <w:tcPr>
            <w:tcW w:w="1179" w:type="pct"/>
            <w:tcBorders>
              <w:tl2br w:val="nil"/>
              <w:tr2bl w:val="nil"/>
            </w:tcBorders>
            <w:vAlign w:val="center"/>
          </w:tcPr>
          <w:p>
            <w:pPr>
              <w:spacing w:line="288" w:lineRule="auto"/>
              <w:ind w:firstLine="0" w:firstLineChars="0"/>
              <w:jc w:val="center"/>
              <w:rPr>
                <w:rFonts w:eastAsiaTheme="minorEastAsia"/>
                <w:color w:val="auto"/>
                <w:sz w:val="21"/>
                <w:szCs w:val="21"/>
                <w:highlight w:val="none"/>
              </w:rPr>
            </w:pPr>
            <w:r>
              <w:rPr>
                <w:rFonts w:eastAsiaTheme="minorEastAsia"/>
                <w:color w:val="auto"/>
                <w:sz w:val="21"/>
                <w:szCs w:val="21"/>
                <w:highlight w:val="none"/>
              </w:rPr>
              <w:t>营1-斜111</w:t>
            </w:r>
          </w:p>
        </w:tc>
        <w:tc>
          <w:tcPr>
            <w:tcW w:w="99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定向井</w:t>
            </w:r>
          </w:p>
        </w:tc>
        <w:tc>
          <w:tcPr>
            <w:tcW w:w="900"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油井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4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w:t>
            </w:r>
          </w:p>
        </w:tc>
        <w:tc>
          <w:tcPr>
            <w:tcW w:w="117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0107</w:t>
            </w:r>
          </w:p>
        </w:tc>
        <w:tc>
          <w:tcPr>
            <w:tcW w:w="1179" w:type="pct"/>
            <w:tcBorders>
              <w:tl2br w:val="nil"/>
              <w:tr2bl w:val="nil"/>
            </w:tcBorders>
            <w:vAlign w:val="center"/>
          </w:tcPr>
          <w:p>
            <w:pPr>
              <w:spacing w:line="288" w:lineRule="auto"/>
              <w:ind w:firstLine="0" w:firstLineChars="0"/>
              <w:jc w:val="center"/>
              <w:rPr>
                <w:rFonts w:eastAsiaTheme="minorEastAsia"/>
                <w:color w:val="auto"/>
                <w:sz w:val="21"/>
                <w:szCs w:val="21"/>
                <w:highlight w:val="none"/>
              </w:rPr>
            </w:pPr>
            <w:r>
              <w:rPr>
                <w:rFonts w:eastAsiaTheme="minorEastAsia"/>
                <w:color w:val="auto"/>
                <w:sz w:val="21"/>
                <w:szCs w:val="21"/>
                <w:highlight w:val="none"/>
              </w:rPr>
              <w:t>营1-斜105</w:t>
            </w:r>
          </w:p>
        </w:tc>
        <w:tc>
          <w:tcPr>
            <w:tcW w:w="99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定向井</w:t>
            </w:r>
          </w:p>
        </w:tc>
        <w:tc>
          <w:tcPr>
            <w:tcW w:w="900"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油井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4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w:t>
            </w:r>
          </w:p>
        </w:tc>
        <w:tc>
          <w:tcPr>
            <w:tcW w:w="117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0106</w:t>
            </w:r>
          </w:p>
        </w:tc>
        <w:tc>
          <w:tcPr>
            <w:tcW w:w="1179" w:type="pct"/>
            <w:tcBorders>
              <w:tl2br w:val="nil"/>
              <w:tr2bl w:val="nil"/>
            </w:tcBorders>
            <w:vAlign w:val="center"/>
          </w:tcPr>
          <w:p>
            <w:pPr>
              <w:spacing w:line="288" w:lineRule="auto"/>
              <w:ind w:firstLine="0" w:firstLineChars="0"/>
              <w:jc w:val="center"/>
              <w:rPr>
                <w:rFonts w:eastAsiaTheme="minorEastAsia"/>
                <w:color w:val="auto"/>
                <w:sz w:val="21"/>
                <w:szCs w:val="21"/>
                <w:highlight w:val="none"/>
              </w:rPr>
            </w:pPr>
            <w:r>
              <w:rPr>
                <w:rFonts w:eastAsiaTheme="minorEastAsia"/>
                <w:color w:val="auto"/>
                <w:sz w:val="21"/>
                <w:szCs w:val="21"/>
                <w:highlight w:val="none"/>
              </w:rPr>
              <w:t>营1-斜120</w:t>
            </w:r>
          </w:p>
        </w:tc>
        <w:tc>
          <w:tcPr>
            <w:tcW w:w="99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定向井</w:t>
            </w:r>
          </w:p>
        </w:tc>
        <w:tc>
          <w:tcPr>
            <w:tcW w:w="900"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油井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4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w:t>
            </w:r>
          </w:p>
        </w:tc>
        <w:tc>
          <w:tcPr>
            <w:tcW w:w="117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0104</w:t>
            </w:r>
          </w:p>
        </w:tc>
        <w:tc>
          <w:tcPr>
            <w:tcW w:w="1179" w:type="pct"/>
            <w:tcBorders>
              <w:tl2br w:val="nil"/>
              <w:tr2bl w:val="nil"/>
            </w:tcBorders>
            <w:vAlign w:val="center"/>
          </w:tcPr>
          <w:p>
            <w:pPr>
              <w:spacing w:line="288" w:lineRule="auto"/>
              <w:ind w:firstLine="0" w:firstLineChars="0"/>
              <w:jc w:val="center"/>
              <w:rPr>
                <w:rFonts w:eastAsiaTheme="minorEastAsia"/>
                <w:color w:val="auto"/>
                <w:sz w:val="21"/>
                <w:szCs w:val="21"/>
                <w:highlight w:val="none"/>
              </w:rPr>
            </w:pPr>
            <w:r>
              <w:rPr>
                <w:rFonts w:eastAsiaTheme="minorEastAsia"/>
                <w:color w:val="auto"/>
                <w:sz w:val="21"/>
                <w:szCs w:val="21"/>
                <w:highlight w:val="none"/>
              </w:rPr>
              <w:t>营1-斜116</w:t>
            </w:r>
          </w:p>
        </w:tc>
        <w:tc>
          <w:tcPr>
            <w:tcW w:w="99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定向井</w:t>
            </w:r>
          </w:p>
        </w:tc>
        <w:tc>
          <w:tcPr>
            <w:tcW w:w="900"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油井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4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w:t>
            </w:r>
          </w:p>
        </w:tc>
        <w:tc>
          <w:tcPr>
            <w:tcW w:w="117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0103</w:t>
            </w:r>
          </w:p>
        </w:tc>
        <w:tc>
          <w:tcPr>
            <w:tcW w:w="1179" w:type="pct"/>
            <w:tcBorders>
              <w:tl2br w:val="nil"/>
              <w:tr2bl w:val="nil"/>
            </w:tcBorders>
            <w:vAlign w:val="center"/>
          </w:tcPr>
          <w:p>
            <w:pPr>
              <w:spacing w:line="288" w:lineRule="auto"/>
              <w:ind w:firstLine="0" w:firstLineChars="0"/>
              <w:jc w:val="center"/>
              <w:rPr>
                <w:rFonts w:eastAsiaTheme="minorEastAsia"/>
                <w:color w:val="auto"/>
                <w:sz w:val="21"/>
                <w:szCs w:val="21"/>
                <w:highlight w:val="none"/>
              </w:rPr>
            </w:pPr>
            <w:r>
              <w:rPr>
                <w:rFonts w:eastAsiaTheme="minorEastAsia"/>
                <w:color w:val="auto"/>
                <w:sz w:val="21"/>
                <w:szCs w:val="21"/>
                <w:highlight w:val="none"/>
              </w:rPr>
              <w:t>营1-斜121</w:t>
            </w:r>
          </w:p>
        </w:tc>
        <w:tc>
          <w:tcPr>
            <w:tcW w:w="99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定向井</w:t>
            </w:r>
          </w:p>
        </w:tc>
        <w:tc>
          <w:tcPr>
            <w:tcW w:w="900"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油井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4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w:t>
            </w:r>
          </w:p>
        </w:tc>
        <w:tc>
          <w:tcPr>
            <w:tcW w:w="117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0102</w:t>
            </w:r>
          </w:p>
        </w:tc>
        <w:tc>
          <w:tcPr>
            <w:tcW w:w="1179" w:type="pct"/>
            <w:tcBorders>
              <w:tl2br w:val="nil"/>
              <w:tr2bl w:val="nil"/>
            </w:tcBorders>
            <w:vAlign w:val="center"/>
          </w:tcPr>
          <w:p>
            <w:pPr>
              <w:spacing w:line="288" w:lineRule="auto"/>
              <w:ind w:firstLine="0" w:firstLineChars="0"/>
              <w:jc w:val="center"/>
              <w:rPr>
                <w:rFonts w:eastAsiaTheme="minorEastAsia"/>
                <w:color w:val="auto"/>
                <w:sz w:val="21"/>
                <w:szCs w:val="21"/>
                <w:highlight w:val="none"/>
              </w:rPr>
            </w:pPr>
            <w:r>
              <w:rPr>
                <w:rFonts w:eastAsiaTheme="minorEastAsia"/>
                <w:color w:val="auto"/>
                <w:sz w:val="21"/>
                <w:szCs w:val="21"/>
                <w:highlight w:val="none"/>
              </w:rPr>
              <w:t>营1-斜122</w:t>
            </w:r>
          </w:p>
        </w:tc>
        <w:tc>
          <w:tcPr>
            <w:tcW w:w="99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定向井</w:t>
            </w:r>
          </w:p>
        </w:tc>
        <w:tc>
          <w:tcPr>
            <w:tcW w:w="900"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油井　</w:t>
            </w:r>
          </w:p>
        </w:tc>
      </w:tr>
    </w:tbl>
    <w:p>
      <w:pPr>
        <w:pStyle w:val="5"/>
        <w:spacing w:before="360" w:beforeLines="150"/>
        <w:rPr>
          <w:rFonts w:eastAsiaTheme="minorEastAsia"/>
        </w:rPr>
      </w:pPr>
      <w:r>
        <w:rPr>
          <w:rFonts w:eastAsiaTheme="minorEastAsia"/>
        </w:rPr>
        <w:t>2.5.2  井眼轨道设计</w:t>
      </w:r>
    </w:p>
    <w:p>
      <w:pPr>
        <w:ind w:firstLine="560"/>
        <w:jc w:val="left"/>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1）井眼轨道设计</w:t>
      </w:r>
    </w:p>
    <w:p>
      <w:pPr>
        <w:ind w:firstLine="560"/>
        <w:jc w:val="left"/>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依据井口坐标、靶点坐标及垂深数据、下泵深度等进行方案井井眼轨道模拟优化设计，见表2.5-2。</w:t>
      </w:r>
    </w:p>
    <w:p>
      <w:pPr>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表2.5-2  方案轨道优化参数表</w:t>
      </w:r>
    </w:p>
    <w:tbl>
      <w:tblPr>
        <w:tblStyle w:val="45"/>
        <w:tblW w:w="559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424"/>
        <w:gridCol w:w="957"/>
        <w:gridCol w:w="539"/>
        <w:gridCol w:w="535"/>
        <w:gridCol w:w="708"/>
        <w:gridCol w:w="640"/>
        <w:gridCol w:w="627"/>
        <w:gridCol w:w="747"/>
        <w:gridCol w:w="867"/>
        <w:gridCol w:w="719"/>
        <w:gridCol w:w="935"/>
        <w:gridCol w:w="845"/>
        <w:gridCol w:w="8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0" w:hRule="atLeast"/>
          <w:tblHeader/>
          <w:jc w:val="center"/>
        </w:trPr>
        <w:tc>
          <w:tcPr>
            <w:tcW w:w="226"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钻井</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顺序</w:t>
            </w:r>
          </w:p>
        </w:tc>
        <w:tc>
          <w:tcPr>
            <w:tcW w:w="509"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井号</w:t>
            </w:r>
          </w:p>
        </w:tc>
        <w:tc>
          <w:tcPr>
            <w:tcW w:w="287"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槽口</w:t>
            </w:r>
          </w:p>
        </w:tc>
        <w:tc>
          <w:tcPr>
            <w:tcW w:w="285"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造斜点</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hint="eastAsia" w:eastAsiaTheme="minorEastAsia"/>
                <w:b/>
                <w:bCs/>
                <w:color w:val="000000" w:themeColor="text1"/>
                <w:sz w:val="21"/>
                <w:szCs w:val="21"/>
                <w14:textFill>
                  <w14:solidFill>
                    <w14:schemeClr w14:val="tx1"/>
                  </w14:solidFill>
                </w14:textFill>
              </w:rPr>
              <w:t>（</w:t>
            </w:r>
            <w:r>
              <w:rPr>
                <w:rFonts w:eastAsiaTheme="minorEastAsia"/>
                <w:b/>
                <w:bCs/>
                <w:color w:val="000000" w:themeColor="text1"/>
                <w:sz w:val="21"/>
                <w:szCs w:val="21"/>
                <w14:textFill>
                  <w14:solidFill>
                    <w14:schemeClr w14:val="tx1"/>
                  </w14:solidFill>
                </w14:textFill>
              </w:rPr>
              <w:t>m</w:t>
            </w:r>
            <w:r>
              <w:rPr>
                <w:rFonts w:hint="eastAsia" w:eastAsiaTheme="minorEastAsia"/>
                <w:b/>
                <w:bCs/>
                <w:color w:val="000000" w:themeColor="text1"/>
                <w:sz w:val="21"/>
                <w:szCs w:val="21"/>
                <w14:textFill>
                  <w14:solidFill>
                    <w14:schemeClr w14:val="tx1"/>
                  </w14:solidFill>
                </w14:textFill>
              </w:rPr>
              <w:t>）</w:t>
            </w:r>
          </w:p>
        </w:tc>
        <w:tc>
          <w:tcPr>
            <w:tcW w:w="377"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造斜</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终点</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斜深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hint="eastAsia" w:eastAsiaTheme="minorEastAsia"/>
                <w:b/>
                <w:bCs/>
                <w:color w:val="000000" w:themeColor="text1"/>
                <w:sz w:val="21"/>
                <w:szCs w:val="21"/>
                <w14:textFill>
                  <w14:solidFill>
                    <w14:schemeClr w14:val="tx1"/>
                  </w14:solidFill>
                </w14:textFill>
              </w:rPr>
              <w:t>（</w:t>
            </w:r>
            <w:r>
              <w:rPr>
                <w:rFonts w:eastAsiaTheme="minorEastAsia"/>
                <w:b/>
                <w:bCs/>
                <w:color w:val="000000" w:themeColor="text1"/>
                <w:sz w:val="21"/>
                <w:szCs w:val="21"/>
                <w14:textFill>
                  <w14:solidFill>
                    <w14:schemeClr w14:val="tx1"/>
                  </w14:solidFill>
                </w14:textFill>
              </w:rPr>
              <w:t>m</w:t>
            </w:r>
            <w:r>
              <w:rPr>
                <w:rFonts w:hint="eastAsia" w:eastAsiaTheme="minorEastAsia"/>
                <w:b/>
                <w:bCs/>
                <w:color w:val="000000" w:themeColor="text1"/>
                <w:sz w:val="21"/>
                <w:szCs w:val="21"/>
                <w14:textFill>
                  <w14:solidFill>
                    <w14:schemeClr w14:val="tx1"/>
                  </w14:solidFill>
                </w14:textFill>
              </w:rPr>
              <w:t>）</w:t>
            </w:r>
          </w:p>
        </w:tc>
        <w:tc>
          <w:tcPr>
            <w:tcW w:w="341"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造斜段</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狗腿度</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°/30m</w:t>
            </w:r>
          </w:p>
        </w:tc>
        <w:tc>
          <w:tcPr>
            <w:tcW w:w="334"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最大</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井斜角</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hint="eastAsia" w:eastAsiaTheme="minorEastAsia"/>
                <w:b/>
                <w:bCs/>
                <w:color w:val="000000" w:themeColor="text1"/>
                <w:sz w:val="21"/>
                <w:szCs w:val="21"/>
                <w14:textFill>
                  <w14:solidFill>
                    <w14:schemeClr w14:val="tx1"/>
                  </w14:solidFill>
                </w14:textFill>
              </w:rPr>
              <w:t>（</w:t>
            </w:r>
            <w:r>
              <w:rPr>
                <w:rFonts w:eastAsiaTheme="minorEastAsia"/>
                <w:b/>
                <w:bCs/>
                <w:color w:val="000000" w:themeColor="text1"/>
                <w:sz w:val="21"/>
                <w:szCs w:val="21"/>
                <w14:textFill>
                  <w14:solidFill>
                    <w14:schemeClr w14:val="tx1"/>
                  </w14:solidFill>
                </w14:textFill>
              </w:rPr>
              <w:t>°</w:t>
            </w:r>
            <w:r>
              <w:rPr>
                <w:rFonts w:hint="eastAsia" w:eastAsiaTheme="minorEastAsia"/>
                <w:b/>
                <w:bCs/>
                <w:color w:val="000000" w:themeColor="text1"/>
                <w:sz w:val="21"/>
                <w:szCs w:val="21"/>
                <w14:textFill>
                  <w14:solidFill>
                    <w14:schemeClr w14:val="tx1"/>
                  </w14:solidFill>
                </w14:textFill>
              </w:rPr>
              <w:t>）</w:t>
            </w:r>
          </w:p>
        </w:tc>
        <w:tc>
          <w:tcPr>
            <w:tcW w:w="398"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设计</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hint="eastAsia" w:eastAsiaTheme="minorEastAsia"/>
                <w:b/>
                <w:bCs/>
                <w:color w:val="000000" w:themeColor="text1"/>
                <w:sz w:val="21"/>
                <w:szCs w:val="21"/>
                <w14:textFill>
                  <w14:solidFill>
                    <w14:schemeClr w14:val="tx1"/>
                  </w14:solidFill>
                </w14:textFill>
              </w:rPr>
              <w:t>（</w:t>
            </w:r>
            <w:r>
              <w:rPr>
                <w:rFonts w:eastAsiaTheme="minorEastAsia"/>
                <w:b/>
                <w:bCs/>
                <w:color w:val="000000" w:themeColor="text1"/>
                <w:sz w:val="21"/>
                <w:szCs w:val="21"/>
                <w14:textFill>
                  <w14:solidFill>
                    <w14:schemeClr w14:val="tx1"/>
                  </w14:solidFill>
                </w14:textFill>
              </w:rPr>
              <w:t>°</w:t>
            </w:r>
            <w:r>
              <w:rPr>
                <w:rFonts w:hint="eastAsia" w:eastAsiaTheme="minorEastAsia"/>
                <w:b/>
                <w:bCs/>
                <w:color w:val="000000" w:themeColor="text1"/>
                <w:sz w:val="21"/>
                <w:szCs w:val="21"/>
                <w14:textFill>
                  <w14:solidFill>
                    <w14:schemeClr w14:val="tx1"/>
                  </w14:solidFill>
                </w14:textFill>
              </w:rPr>
              <w:t>）</w:t>
            </w:r>
          </w:p>
        </w:tc>
        <w:tc>
          <w:tcPr>
            <w:tcW w:w="461"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靶点</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垂深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hint="eastAsia" w:eastAsiaTheme="minorEastAsia"/>
                <w:b/>
                <w:bCs/>
                <w:color w:val="000000" w:themeColor="text1"/>
                <w:sz w:val="21"/>
                <w:szCs w:val="21"/>
                <w14:textFill>
                  <w14:solidFill>
                    <w14:schemeClr w14:val="tx1"/>
                  </w14:solidFill>
                </w14:textFill>
              </w:rPr>
              <w:t>（</w:t>
            </w:r>
            <w:r>
              <w:rPr>
                <w:rFonts w:eastAsiaTheme="minorEastAsia"/>
                <w:b/>
                <w:bCs/>
                <w:color w:val="000000" w:themeColor="text1"/>
                <w:sz w:val="21"/>
                <w:szCs w:val="21"/>
                <w14:textFill>
                  <w14:solidFill>
                    <w14:schemeClr w14:val="tx1"/>
                  </w14:solidFill>
                </w14:textFill>
              </w:rPr>
              <w:t>m</w:t>
            </w:r>
            <w:r>
              <w:rPr>
                <w:rFonts w:hint="eastAsia" w:eastAsiaTheme="minorEastAsia"/>
                <w:b/>
                <w:bCs/>
                <w:color w:val="000000" w:themeColor="text1"/>
                <w:sz w:val="21"/>
                <w:szCs w:val="21"/>
                <w14:textFill>
                  <w14:solidFill>
                    <w14:schemeClr w14:val="tx1"/>
                  </w14:solidFill>
                </w14:textFill>
              </w:rPr>
              <w:t>）</w:t>
            </w:r>
          </w:p>
        </w:tc>
        <w:tc>
          <w:tcPr>
            <w:tcW w:w="383"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靶点</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位移</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hint="eastAsia" w:eastAsiaTheme="minorEastAsia"/>
                <w:b/>
                <w:bCs/>
                <w:color w:val="000000" w:themeColor="text1"/>
                <w:sz w:val="21"/>
                <w:szCs w:val="21"/>
                <w14:textFill>
                  <w14:solidFill>
                    <w14:schemeClr w14:val="tx1"/>
                  </w14:solidFill>
                </w14:textFill>
              </w:rPr>
              <w:t>（</w:t>
            </w:r>
            <w:r>
              <w:rPr>
                <w:rFonts w:eastAsiaTheme="minorEastAsia"/>
                <w:b/>
                <w:bCs/>
                <w:color w:val="000000" w:themeColor="text1"/>
                <w:sz w:val="21"/>
                <w:szCs w:val="21"/>
                <w14:textFill>
                  <w14:solidFill>
                    <w14:schemeClr w14:val="tx1"/>
                  </w14:solidFill>
                </w14:textFill>
              </w:rPr>
              <w:t>m</w:t>
            </w:r>
            <w:r>
              <w:rPr>
                <w:rFonts w:hint="eastAsia" w:eastAsiaTheme="minorEastAsia"/>
                <w:b/>
                <w:bCs/>
                <w:color w:val="000000" w:themeColor="text1"/>
                <w:sz w:val="21"/>
                <w:szCs w:val="21"/>
                <w14:textFill>
                  <w14:solidFill>
                    <w14:schemeClr w14:val="tx1"/>
                  </w14:solidFill>
                </w14:textFill>
              </w:rPr>
              <w:t>）</w:t>
            </w:r>
          </w:p>
        </w:tc>
        <w:tc>
          <w:tcPr>
            <w:tcW w:w="497"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井底</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位移</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hint="eastAsia" w:eastAsiaTheme="minorEastAsia"/>
                <w:b/>
                <w:bCs/>
                <w:color w:val="000000" w:themeColor="text1"/>
                <w:sz w:val="21"/>
                <w:szCs w:val="21"/>
                <w14:textFill>
                  <w14:solidFill>
                    <w14:schemeClr w14:val="tx1"/>
                  </w14:solidFill>
                </w14:textFill>
              </w:rPr>
              <w:t>（</w:t>
            </w:r>
            <w:r>
              <w:rPr>
                <w:rFonts w:eastAsiaTheme="minorEastAsia"/>
                <w:b/>
                <w:bCs/>
                <w:color w:val="000000" w:themeColor="text1"/>
                <w:sz w:val="21"/>
                <w:szCs w:val="21"/>
                <w14:textFill>
                  <w14:solidFill>
                    <w14:schemeClr w14:val="tx1"/>
                  </w14:solidFill>
                </w14:textFill>
              </w:rPr>
              <w:t>m</w:t>
            </w:r>
            <w:r>
              <w:rPr>
                <w:rFonts w:hint="eastAsia" w:eastAsiaTheme="minorEastAsia"/>
                <w:b/>
                <w:bCs/>
                <w:color w:val="000000" w:themeColor="text1"/>
                <w:sz w:val="21"/>
                <w:szCs w:val="21"/>
                <w14:textFill>
                  <w14:solidFill>
                    <w14:schemeClr w14:val="tx1"/>
                  </w14:solidFill>
                </w14:textFill>
              </w:rPr>
              <w:t>）</w:t>
            </w:r>
          </w:p>
        </w:tc>
        <w:tc>
          <w:tcPr>
            <w:tcW w:w="449"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完钻</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hint="eastAsia" w:eastAsiaTheme="minorEastAsia"/>
                <w:b/>
                <w:bCs/>
                <w:color w:val="000000" w:themeColor="text1"/>
                <w:sz w:val="21"/>
                <w:szCs w:val="21"/>
                <w14:textFill>
                  <w14:solidFill>
                    <w14:schemeClr w14:val="tx1"/>
                  </w14:solidFill>
                </w14:textFill>
              </w:rPr>
              <w:t>（</w:t>
            </w:r>
            <w:r>
              <w:rPr>
                <w:rFonts w:eastAsiaTheme="minorEastAsia"/>
                <w:b/>
                <w:bCs/>
                <w:color w:val="000000" w:themeColor="text1"/>
                <w:sz w:val="21"/>
                <w:szCs w:val="21"/>
                <w14:textFill>
                  <w14:solidFill>
                    <w14:schemeClr w14:val="tx1"/>
                  </w14:solidFill>
                </w14:textFill>
              </w:rPr>
              <w:t>m</w:t>
            </w:r>
            <w:r>
              <w:rPr>
                <w:rFonts w:hint="eastAsia" w:eastAsiaTheme="minorEastAsia"/>
                <w:b/>
                <w:bCs/>
                <w:color w:val="000000" w:themeColor="text1"/>
                <w:sz w:val="21"/>
                <w:szCs w:val="21"/>
                <w14:textFill>
                  <w14:solidFill>
                    <w14:schemeClr w14:val="tx1"/>
                  </w14:solidFill>
                </w14:textFill>
              </w:rPr>
              <w:t>）</w:t>
            </w:r>
          </w:p>
        </w:tc>
        <w:tc>
          <w:tcPr>
            <w:tcW w:w="447"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完钻</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垂深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hint="eastAsia" w:eastAsiaTheme="minorEastAsia"/>
                <w:b/>
                <w:bCs/>
                <w:color w:val="000000" w:themeColor="text1"/>
                <w:sz w:val="21"/>
                <w:szCs w:val="21"/>
                <w14:textFill>
                  <w14:solidFill>
                    <w14:schemeClr w14:val="tx1"/>
                  </w14:solidFill>
                </w14:textFill>
              </w:rPr>
              <w:t>（</w:t>
            </w:r>
            <w:r>
              <w:rPr>
                <w:rFonts w:eastAsiaTheme="minorEastAsia"/>
                <w:b/>
                <w:bCs/>
                <w:color w:val="000000" w:themeColor="text1"/>
                <w:sz w:val="21"/>
                <w:szCs w:val="21"/>
                <w14:textFill>
                  <w14:solidFill>
                    <w14:schemeClr w14:val="tx1"/>
                  </w14:solidFill>
                </w14:textFill>
              </w:rPr>
              <w:t>m</w:t>
            </w:r>
            <w:r>
              <w:rPr>
                <w:rFonts w:hint="eastAsia" w:eastAsiaTheme="minorEastAsia"/>
                <w:b/>
                <w:bCs/>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22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w:t>
            </w:r>
          </w:p>
        </w:tc>
        <w:tc>
          <w:tcPr>
            <w:tcW w:w="50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营1-斜111</w:t>
            </w:r>
          </w:p>
        </w:tc>
        <w:tc>
          <w:tcPr>
            <w:tcW w:w="28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0108</w:t>
            </w:r>
          </w:p>
        </w:tc>
        <w:tc>
          <w:tcPr>
            <w:tcW w:w="28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w:t>
            </w:r>
          </w:p>
        </w:tc>
        <w:tc>
          <w:tcPr>
            <w:tcW w:w="37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544.66</w:t>
            </w:r>
          </w:p>
        </w:tc>
        <w:tc>
          <w:tcPr>
            <w:tcW w:w="341"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34"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44.96</w:t>
            </w:r>
          </w:p>
        </w:tc>
        <w:tc>
          <w:tcPr>
            <w:tcW w:w="398"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1"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1206.00</w:t>
            </w:r>
          </w:p>
        </w:tc>
        <w:tc>
          <w:tcPr>
            <w:tcW w:w="383"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837.25</w:t>
            </w:r>
          </w:p>
        </w:tc>
        <w:tc>
          <w:tcPr>
            <w:tcW w:w="49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961.07</w:t>
            </w:r>
          </w:p>
        </w:tc>
        <w:tc>
          <w:tcPr>
            <w:tcW w:w="44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1707.21</w:t>
            </w:r>
          </w:p>
        </w:tc>
        <w:tc>
          <w:tcPr>
            <w:tcW w:w="44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22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w:t>
            </w:r>
          </w:p>
        </w:tc>
        <w:tc>
          <w:tcPr>
            <w:tcW w:w="50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营1-斜105</w:t>
            </w:r>
          </w:p>
        </w:tc>
        <w:tc>
          <w:tcPr>
            <w:tcW w:w="28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0107</w:t>
            </w:r>
          </w:p>
        </w:tc>
        <w:tc>
          <w:tcPr>
            <w:tcW w:w="28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w:t>
            </w:r>
          </w:p>
        </w:tc>
        <w:tc>
          <w:tcPr>
            <w:tcW w:w="37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533.58</w:t>
            </w:r>
          </w:p>
        </w:tc>
        <w:tc>
          <w:tcPr>
            <w:tcW w:w="341"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34"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47.23</w:t>
            </w:r>
          </w:p>
        </w:tc>
        <w:tc>
          <w:tcPr>
            <w:tcW w:w="398"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461"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1203.00</w:t>
            </w:r>
          </w:p>
        </w:tc>
        <w:tc>
          <w:tcPr>
            <w:tcW w:w="383"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923.47</w:t>
            </w:r>
          </w:p>
        </w:tc>
        <w:tc>
          <w:tcPr>
            <w:tcW w:w="49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1060.76</w:t>
            </w:r>
          </w:p>
        </w:tc>
        <w:tc>
          <w:tcPr>
            <w:tcW w:w="44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1769.85</w:t>
            </w:r>
          </w:p>
        </w:tc>
        <w:tc>
          <w:tcPr>
            <w:tcW w:w="44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22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w:t>
            </w:r>
          </w:p>
        </w:tc>
        <w:tc>
          <w:tcPr>
            <w:tcW w:w="50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营1-斜120</w:t>
            </w:r>
          </w:p>
        </w:tc>
        <w:tc>
          <w:tcPr>
            <w:tcW w:w="28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0106</w:t>
            </w:r>
          </w:p>
        </w:tc>
        <w:tc>
          <w:tcPr>
            <w:tcW w:w="28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w:t>
            </w:r>
          </w:p>
        </w:tc>
        <w:tc>
          <w:tcPr>
            <w:tcW w:w="37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539.29</w:t>
            </w:r>
          </w:p>
        </w:tc>
        <w:tc>
          <w:tcPr>
            <w:tcW w:w="341"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34"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44.31</w:t>
            </w:r>
          </w:p>
        </w:tc>
        <w:tc>
          <w:tcPr>
            <w:tcW w:w="398"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461"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1207.00</w:t>
            </w:r>
          </w:p>
        </w:tc>
        <w:tc>
          <w:tcPr>
            <w:tcW w:w="383"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822.64</w:t>
            </w:r>
          </w:p>
        </w:tc>
        <w:tc>
          <w:tcPr>
            <w:tcW w:w="49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947.62</w:t>
            </w:r>
          </w:p>
        </w:tc>
        <w:tc>
          <w:tcPr>
            <w:tcW w:w="44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1701.31</w:t>
            </w:r>
          </w:p>
        </w:tc>
        <w:tc>
          <w:tcPr>
            <w:tcW w:w="44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22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w:t>
            </w:r>
          </w:p>
        </w:tc>
        <w:tc>
          <w:tcPr>
            <w:tcW w:w="50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营1-斜116</w:t>
            </w:r>
          </w:p>
        </w:tc>
        <w:tc>
          <w:tcPr>
            <w:tcW w:w="28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0104</w:t>
            </w:r>
          </w:p>
        </w:tc>
        <w:tc>
          <w:tcPr>
            <w:tcW w:w="28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w:t>
            </w:r>
          </w:p>
        </w:tc>
        <w:tc>
          <w:tcPr>
            <w:tcW w:w="37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538.96</w:t>
            </w:r>
          </w:p>
        </w:tc>
        <w:tc>
          <w:tcPr>
            <w:tcW w:w="341"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34"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47.88</w:t>
            </w:r>
          </w:p>
        </w:tc>
        <w:tc>
          <w:tcPr>
            <w:tcW w:w="398"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461"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1206.00</w:t>
            </w:r>
          </w:p>
        </w:tc>
        <w:tc>
          <w:tcPr>
            <w:tcW w:w="383"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944.37</w:t>
            </w:r>
          </w:p>
        </w:tc>
        <w:tc>
          <w:tcPr>
            <w:tcW w:w="49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1081.49</w:t>
            </w:r>
          </w:p>
        </w:tc>
        <w:tc>
          <w:tcPr>
            <w:tcW w:w="44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1785.14</w:t>
            </w:r>
          </w:p>
        </w:tc>
        <w:tc>
          <w:tcPr>
            <w:tcW w:w="44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22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w:t>
            </w:r>
          </w:p>
        </w:tc>
        <w:tc>
          <w:tcPr>
            <w:tcW w:w="50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营1-斜121</w:t>
            </w:r>
          </w:p>
        </w:tc>
        <w:tc>
          <w:tcPr>
            <w:tcW w:w="28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0103</w:t>
            </w:r>
          </w:p>
        </w:tc>
        <w:tc>
          <w:tcPr>
            <w:tcW w:w="28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w:t>
            </w:r>
          </w:p>
        </w:tc>
        <w:tc>
          <w:tcPr>
            <w:tcW w:w="37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577.11</w:t>
            </w:r>
          </w:p>
        </w:tc>
        <w:tc>
          <w:tcPr>
            <w:tcW w:w="341"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34"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48.85</w:t>
            </w:r>
          </w:p>
        </w:tc>
        <w:tc>
          <w:tcPr>
            <w:tcW w:w="398"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20.68</w:t>
            </w:r>
          </w:p>
        </w:tc>
        <w:tc>
          <w:tcPr>
            <w:tcW w:w="461"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1203.00</w:t>
            </w:r>
          </w:p>
        </w:tc>
        <w:tc>
          <w:tcPr>
            <w:tcW w:w="383"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934.02</w:t>
            </w:r>
          </w:p>
        </w:tc>
        <w:tc>
          <w:tcPr>
            <w:tcW w:w="49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1033.58</w:t>
            </w:r>
          </w:p>
        </w:tc>
        <w:tc>
          <w:tcPr>
            <w:tcW w:w="44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1732.83</w:t>
            </w:r>
          </w:p>
        </w:tc>
        <w:tc>
          <w:tcPr>
            <w:tcW w:w="44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1290.00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0" w:hRule="atLeast"/>
          <w:jc w:val="center"/>
        </w:trPr>
        <w:tc>
          <w:tcPr>
            <w:tcW w:w="22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w:t>
            </w:r>
          </w:p>
        </w:tc>
        <w:tc>
          <w:tcPr>
            <w:tcW w:w="50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营1-斜122</w:t>
            </w:r>
          </w:p>
        </w:tc>
        <w:tc>
          <w:tcPr>
            <w:tcW w:w="28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0102</w:t>
            </w:r>
          </w:p>
        </w:tc>
        <w:tc>
          <w:tcPr>
            <w:tcW w:w="28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w:t>
            </w:r>
          </w:p>
        </w:tc>
        <w:tc>
          <w:tcPr>
            <w:tcW w:w="37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516.61</w:t>
            </w:r>
          </w:p>
        </w:tc>
        <w:tc>
          <w:tcPr>
            <w:tcW w:w="341"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34"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45.19</w:t>
            </w:r>
          </w:p>
        </w:tc>
        <w:tc>
          <w:tcPr>
            <w:tcW w:w="398"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61"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1206.00</w:t>
            </w:r>
          </w:p>
        </w:tc>
        <w:tc>
          <w:tcPr>
            <w:tcW w:w="383"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873.17</w:t>
            </w:r>
          </w:p>
        </w:tc>
        <w:tc>
          <w:tcPr>
            <w:tcW w:w="49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957.74</w:t>
            </w:r>
          </w:p>
        </w:tc>
        <w:tc>
          <w:tcPr>
            <w:tcW w:w="44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1667.78</w:t>
            </w:r>
          </w:p>
        </w:tc>
        <w:tc>
          <w:tcPr>
            <w:tcW w:w="447"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1290.00</w:t>
            </w:r>
          </w:p>
        </w:tc>
      </w:tr>
    </w:tbl>
    <w:p>
      <w:pPr>
        <w:widowControl/>
        <w:tabs>
          <w:tab w:val="left" w:pos="377"/>
        </w:tabs>
        <w:spacing w:before="360" w:beforeLines="150"/>
        <w:ind w:firstLine="560"/>
        <w:jc w:val="left"/>
        <w:rPr>
          <w:szCs w:val="21"/>
        </w:rPr>
      </w:pPr>
      <w:r>
        <w:rPr>
          <w:szCs w:val="21"/>
        </w:rPr>
        <w:t>2）轨道模拟</w:t>
      </w:r>
    </w:p>
    <w:p>
      <w:pPr>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3</w:t>
      </w:r>
      <w:r>
        <w:rPr>
          <w:rFonts w:eastAsiaTheme="minorEastAsia"/>
          <w:b/>
          <w:color w:val="000000" w:themeColor="text1"/>
          <w:sz w:val="24"/>
          <w14:textFill>
            <w14:solidFill>
              <w14:schemeClr w14:val="tx1"/>
            </w14:solidFill>
          </w14:textFill>
        </w:rPr>
        <w:t xml:space="preserve">  轨道模拟表（营1-斜105井）</w:t>
      </w:r>
    </w:p>
    <w:tbl>
      <w:tblPr>
        <w:tblStyle w:val="45"/>
        <w:tblW w:w="5000" w:type="pct"/>
        <w:tblInd w:w="0" w:type="dxa"/>
        <w:tblLayout w:type="fixed"/>
        <w:tblCellMar>
          <w:top w:w="0" w:type="dxa"/>
          <w:left w:w="108" w:type="dxa"/>
          <w:bottom w:w="0" w:type="dxa"/>
          <w:right w:w="108" w:type="dxa"/>
        </w:tblCellMar>
      </w:tblPr>
      <w:tblGrid>
        <w:gridCol w:w="2549"/>
        <w:gridCol w:w="5843"/>
      </w:tblGrid>
      <w:tr>
        <w:tblPrEx>
          <w:tblCellMar>
            <w:top w:w="0" w:type="dxa"/>
            <w:left w:w="108" w:type="dxa"/>
            <w:bottom w:w="0" w:type="dxa"/>
            <w:right w:w="108" w:type="dxa"/>
          </w:tblCellMar>
        </w:tblPrEx>
        <w:trPr>
          <w:cantSplit/>
        </w:trPr>
        <w:tc>
          <w:tcPr>
            <w:tcW w:w="2852" w:type="dxa"/>
            <w:tcMar>
              <w:left w:w="57" w:type="dxa"/>
              <w:right w:w="57" w:type="dxa"/>
            </w:tcMar>
          </w:tcPr>
          <w:p>
            <w:pPr>
              <w:tabs>
                <w:tab w:val="left" w:pos="377"/>
              </w:tabs>
              <w:spacing w:line="300" w:lineRule="auto"/>
              <w:ind w:firstLine="0" w:firstLineChars="0"/>
              <w:jc w:val="left"/>
            </w:pPr>
            <w:r>
              <w:rPr>
                <w:rFonts w:eastAsiaTheme="minorEastAsia"/>
                <w:color w:val="000000" w:themeColor="text1"/>
                <w14:textFill>
                  <w14:solidFill>
                    <w14:schemeClr w14:val="tx1"/>
                  </w14:solidFill>
                </w14:textFill>
              </w:rPr>
              <w:t>井号：营1-斜105</w:t>
            </w:r>
          </w:p>
        </w:tc>
        <w:tc>
          <w:tcPr>
            <w:tcW w:w="6561" w:type="dxa"/>
            <w:tcMar>
              <w:left w:w="57" w:type="dxa"/>
              <w:right w:w="57" w:type="dxa"/>
            </w:tcMar>
          </w:tcPr>
          <w:p>
            <w:pPr>
              <w:tabs>
                <w:tab w:val="left" w:pos="377"/>
              </w:tabs>
              <w:spacing w:line="300" w:lineRule="auto"/>
              <w:ind w:firstLine="560"/>
              <w:jc w:val="left"/>
            </w:pPr>
            <w:r>
              <w:t>轨道类型：直-增-稳</w:t>
            </w:r>
          </w:p>
        </w:tc>
      </w:tr>
    </w:tbl>
    <w:p>
      <w:pPr>
        <w:tabs>
          <w:tab w:val="left" w:pos="377"/>
        </w:tabs>
        <w:ind w:firstLine="40"/>
        <w:jc w:val="center"/>
        <w:rPr>
          <w:sz w:val="2"/>
        </w:rPr>
      </w:pPr>
    </w:p>
    <w:tbl>
      <w:tblPr>
        <w:tblStyle w:val="45"/>
        <w:tblW w:w="5000"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1676"/>
        <w:gridCol w:w="1679"/>
        <w:gridCol w:w="1679"/>
        <w:gridCol w:w="1679"/>
        <w:gridCol w:w="1679"/>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井底垂深（m）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井底闭合距（m）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井底闭合方位（°）</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造斜点 （m）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最大井斜角（°）</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1330.00</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1060.76</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47.23</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磁倾角（°）</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磁场强度（μT）</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磁偏角 （°）</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收敛角 （°）</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方位修正角 （°）</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56.03</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53.19</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-7.4</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0.92</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-8.32</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409" w:hRule="atLeast"/>
        </w:trPr>
        <w:tc>
          <w:tcPr>
            <w:tcW w:w="9413" w:type="dxa"/>
            <w:gridSpan w:val="5"/>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井口：X=4150227.98 Y=20633173.35</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94" w:hRule="atLeast"/>
        </w:trPr>
        <w:tc>
          <w:tcPr>
            <w:tcW w:w="9413" w:type="dxa"/>
            <w:gridSpan w:val="5"/>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 xml:space="preserve">靶点:A X=4151150 Y=20633225 垂深:1203m  闭合距:923.47m  闭合方位:3.21°  靶半径:30m </w:t>
            </w: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lang w:eastAsia="zh-CN"/>
          <w14:textFill>
            <w14:solidFill>
              <w14:schemeClr w14:val="tx1"/>
            </w14:solidFill>
          </w14:textFill>
        </w:rPr>
        <w:t>表</w:t>
      </w:r>
      <w:r>
        <w:rPr>
          <w:rFonts w:hint="eastAsia" w:eastAsiaTheme="minorEastAsia"/>
          <w:b/>
          <w:color w:val="000000" w:themeColor="text1"/>
          <w:sz w:val="24"/>
          <w:lang w:val="en-US" w:eastAsia="zh-CN"/>
          <w14:textFill>
            <w14:solidFill>
              <w14:schemeClr w14:val="tx1"/>
            </w14:solidFill>
          </w14:textFill>
        </w:rPr>
        <w:t xml:space="preserve">2.5-4  </w:t>
      </w:r>
      <w:r>
        <w:rPr>
          <w:rFonts w:eastAsiaTheme="minorEastAsia"/>
          <w:b/>
          <w:color w:val="000000" w:themeColor="text1"/>
          <w:sz w:val="24"/>
          <w14:textFill>
            <w14:solidFill>
              <w14:schemeClr w14:val="tx1"/>
            </w14:solidFill>
          </w14:textFill>
        </w:rPr>
        <w:t>轨道参数</w:t>
      </w:r>
    </w:p>
    <w:tbl>
      <w:tblPr>
        <w:tblStyle w:val="45"/>
        <w:tblW w:w="5000"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759"/>
        <w:gridCol w:w="759"/>
        <w:gridCol w:w="759"/>
        <w:gridCol w:w="758"/>
        <w:gridCol w:w="939"/>
        <w:gridCol w:w="759"/>
        <w:gridCol w:w="725"/>
        <w:gridCol w:w="880"/>
        <w:gridCol w:w="880"/>
        <w:gridCol w:w="1174"/>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628" w:hRule="exact"/>
        </w:trPr>
        <w:tc>
          <w:tcPr>
            <w:tcW w:w="850"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849"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井斜</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850"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848"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垂深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1055"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水平位移</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850"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南北</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810"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东西</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988"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狗腿度</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（°/30m）</w:t>
            </w:r>
          </w:p>
        </w:tc>
        <w:tc>
          <w:tcPr>
            <w:tcW w:w="988"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工具面</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1325"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靶点</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4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84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05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1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3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84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84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105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1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3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533.58</w:t>
            </w:r>
          </w:p>
        </w:tc>
        <w:tc>
          <w:tcPr>
            <w:tcW w:w="84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47.23</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84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490.50</w:t>
            </w:r>
          </w:p>
        </w:tc>
        <w:tc>
          <w:tcPr>
            <w:tcW w:w="105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153.24</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153.00</w:t>
            </w:r>
          </w:p>
        </w:tc>
        <w:tc>
          <w:tcPr>
            <w:tcW w:w="81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8.57</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3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1582.82</w:t>
            </w:r>
          </w:p>
        </w:tc>
        <w:tc>
          <w:tcPr>
            <w:tcW w:w="84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47.23</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84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1203.00</w:t>
            </w:r>
          </w:p>
        </w:tc>
        <w:tc>
          <w:tcPr>
            <w:tcW w:w="105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923.47</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922.02</w:t>
            </w:r>
          </w:p>
        </w:tc>
        <w:tc>
          <w:tcPr>
            <w:tcW w:w="81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51.65</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3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A</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0"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1769.85</w:t>
            </w:r>
          </w:p>
        </w:tc>
        <w:tc>
          <w:tcPr>
            <w:tcW w:w="849"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47.23</w:t>
            </w:r>
          </w:p>
        </w:tc>
        <w:tc>
          <w:tcPr>
            <w:tcW w:w="850"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848"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1330.00</w:t>
            </w:r>
          </w:p>
        </w:tc>
        <w:tc>
          <w:tcPr>
            <w:tcW w:w="1055"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1060.76</w:t>
            </w:r>
          </w:p>
        </w:tc>
        <w:tc>
          <w:tcPr>
            <w:tcW w:w="850"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1059.09</w:t>
            </w:r>
          </w:p>
        </w:tc>
        <w:tc>
          <w:tcPr>
            <w:tcW w:w="810"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59.33</w:t>
            </w:r>
          </w:p>
        </w:tc>
        <w:tc>
          <w:tcPr>
            <w:tcW w:w="988"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88"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325"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lang w:eastAsia="zh-CN"/>
          <w14:textFill>
            <w14:solidFill>
              <w14:schemeClr w14:val="tx1"/>
            </w14:solidFill>
          </w14:textFill>
        </w:rPr>
        <w:t>表</w:t>
      </w:r>
      <w:r>
        <w:rPr>
          <w:rFonts w:hint="eastAsia" w:eastAsiaTheme="minorEastAsia"/>
          <w:b/>
          <w:color w:val="000000" w:themeColor="text1"/>
          <w:sz w:val="24"/>
          <w:lang w:val="en-US" w:eastAsia="zh-CN"/>
          <w14:textFill>
            <w14:solidFill>
              <w14:schemeClr w14:val="tx1"/>
            </w14:solidFill>
          </w14:textFill>
        </w:rPr>
        <w:t xml:space="preserve">2.5-5  </w:t>
      </w:r>
      <w:r>
        <w:rPr>
          <w:rFonts w:eastAsiaTheme="minorEastAsia"/>
          <w:b/>
          <w:color w:val="000000" w:themeColor="text1"/>
          <w:sz w:val="24"/>
          <w14:textFill>
            <w14:solidFill>
              <w14:schemeClr w14:val="tx1"/>
            </w14:solidFill>
          </w14:textFill>
        </w:rPr>
        <w:t>轨道各点数据</w:t>
      </w:r>
    </w:p>
    <w:tbl>
      <w:tblPr>
        <w:tblStyle w:val="45"/>
        <w:tblW w:w="4995"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690"/>
        <w:gridCol w:w="541"/>
        <w:gridCol w:w="541"/>
        <w:gridCol w:w="541"/>
        <w:gridCol w:w="691"/>
        <w:gridCol w:w="691"/>
        <w:gridCol w:w="691"/>
        <w:gridCol w:w="618"/>
        <w:gridCol w:w="915"/>
        <w:gridCol w:w="915"/>
        <w:gridCol w:w="1017"/>
        <w:gridCol w:w="54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blHeader/>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井斜</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闭合方位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垂深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闭合距（m）</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南北</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东西</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造斜率（°/30m）</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方位变化率（°/30m）</w:t>
            </w:r>
          </w:p>
        </w:tc>
        <w:tc>
          <w:tcPr>
            <w:tcW w:w="615"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狗腿度（°/30m）</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工具面</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190.00</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189.91</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2.62</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2.61</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0.15</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240.00</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239.27</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10.43</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10.42</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0.58</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290.00</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18.00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287.54</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23.37</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23.33</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1.31</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340.00</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24.00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334.20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41.28</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41.21</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2.31</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390.00</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30.00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378.73</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63.97</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63.87</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3.58</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440.00</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420.65</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91.19</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91.04</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5.10</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490.00</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459.49</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122.64</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122.45</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6.86</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533.58</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47.23</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490.50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153.24</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153.00</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8.57</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733.58</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47.23</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626.31</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300.05</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299.58</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16.78</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933.58</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47.23</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762.12</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446.87</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446.17</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24.99</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1133.58</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47.23</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897.94</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593.68</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592.76</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33.21</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1333.58</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47.23</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1033.75</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740.50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739.34</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41.42</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1533.58</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47.23</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1169.56</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887.32</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885.93</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49.63</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1582.82</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47.23</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1203.00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923.47</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922.02</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51.65</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3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1769.85</w:t>
            </w:r>
          </w:p>
        </w:tc>
        <w:tc>
          <w:tcPr>
            <w:tcW w:w="40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47.23</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8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3.21</w:t>
            </w:r>
          </w:p>
        </w:tc>
        <w:tc>
          <w:tcPr>
            <w:tcW w:w="37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1330.00</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1060.76</w:t>
            </w:r>
          </w:p>
        </w:tc>
        <w:tc>
          <w:tcPr>
            <w:tcW w:w="37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1059.09</w:t>
            </w:r>
          </w:p>
        </w:tc>
        <w:tc>
          <w:tcPr>
            <w:tcW w:w="3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59.33</w:t>
            </w:r>
          </w:p>
        </w:tc>
        <w:tc>
          <w:tcPr>
            <w:tcW w:w="527"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1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6</w:t>
      </w:r>
      <w:r>
        <w:rPr>
          <w:rFonts w:eastAsiaTheme="minorEastAsia"/>
          <w:b/>
          <w:color w:val="000000" w:themeColor="text1"/>
          <w:sz w:val="24"/>
          <w14:textFill>
            <w14:solidFill>
              <w14:schemeClr w14:val="tx1"/>
            </w14:solidFill>
          </w14:textFill>
        </w:rPr>
        <w:t xml:space="preserve">  轨道模拟表（营1-斜111井）</w:t>
      </w:r>
    </w:p>
    <w:tbl>
      <w:tblPr>
        <w:tblStyle w:val="45"/>
        <w:tblW w:w="5000" w:type="pct"/>
        <w:tblInd w:w="0" w:type="dxa"/>
        <w:tblLayout w:type="fixed"/>
        <w:tblCellMar>
          <w:top w:w="0" w:type="dxa"/>
          <w:left w:w="108" w:type="dxa"/>
          <w:bottom w:w="0" w:type="dxa"/>
          <w:right w:w="108" w:type="dxa"/>
        </w:tblCellMar>
      </w:tblPr>
      <w:tblGrid>
        <w:gridCol w:w="2549"/>
        <w:gridCol w:w="5843"/>
      </w:tblGrid>
      <w:tr>
        <w:tblPrEx>
          <w:tblCellMar>
            <w:top w:w="0" w:type="dxa"/>
            <w:left w:w="108" w:type="dxa"/>
            <w:bottom w:w="0" w:type="dxa"/>
            <w:right w:w="108" w:type="dxa"/>
          </w:tblCellMar>
        </w:tblPrEx>
        <w:trPr>
          <w:cantSplit/>
        </w:trPr>
        <w:tc>
          <w:tcPr>
            <w:tcW w:w="2852" w:type="dxa"/>
            <w:tcMar>
              <w:left w:w="57" w:type="dxa"/>
              <w:right w:w="57" w:type="dxa"/>
            </w:tcMar>
          </w:tcPr>
          <w:p>
            <w:pPr>
              <w:tabs>
                <w:tab w:val="left" w:pos="377"/>
              </w:tabs>
              <w:spacing w:line="300" w:lineRule="auto"/>
              <w:ind w:firstLine="0" w:firstLineChars="0"/>
              <w:jc w:val="left"/>
            </w:pPr>
            <w:r>
              <w:t>井号：营1-斜111</w:t>
            </w:r>
          </w:p>
        </w:tc>
        <w:tc>
          <w:tcPr>
            <w:tcW w:w="6561" w:type="dxa"/>
            <w:tcMar>
              <w:left w:w="57" w:type="dxa"/>
              <w:right w:w="57" w:type="dxa"/>
            </w:tcMar>
          </w:tcPr>
          <w:p>
            <w:pPr>
              <w:tabs>
                <w:tab w:val="left" w:pos="377"/>
              </w:tabs>
              <w:spacing w:line="300" w:lineRule="auto"/>
              <w:ind w:firstLine="560"/>
              <w:jc w:val="left"/>
            </w:pPr>
            <w:r>
              <w:t>轨道类型：直-增-稳</w:t>
            </w:r>
          </w:p>
        </w:tc>
      </w:tr>
    </w:tbl>
    <w:p>
      <w:pPr>
        <w:tabs>
          <w:tab w:val="left" w:pos="377"/>
        </w:tabs>
        <w:ind w:firstLine="40"/>
        <w:jc w:val="center"/>
        <w:rPr>
          <w:sz w:val="2"/>
        </w:rPr>
      </w:pPr>
    </w:p>
    <w:tbl>
      <w:tblPr>
        <w:tblStyle w:val="45"/>
        <w:tblW w:w="5000"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1676"/>
        <w:gridCol w:w="1679"/>
        <w:gridCol w:w="1679"/>
        <w:gridCol w:w="1679"/>
        <w:gridCol w:w="1679"/>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井底垂深（m）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井底闭合距（m）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井底闭合方位（°）</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造斜点 （m）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最大井斜角（°）</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1330.00</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961.07</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170.00</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44.96</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磁倾角（°）</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磁场强度（μT）</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磁偏角 （°）</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收敛角 （°）</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方位修正角 （°）</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56.03</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53.19</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-7.4</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0.92</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-8.32</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409" w:hRule="atLeast"/>
        </w:trPr>
        <w:tc>
          <w:tcPr>
            <w:tcW w:w="9413" w:type="dxa"/>
            <w:gridSpan w:val="5"/>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井口：X=4150228.50 Y=20633170.34</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94" w:hRule="atLeast"/>
        </w:trPr>
        <w:tc>
          <w:tcPr>
            <w:tcW w:w="9413" w:type="dxa"/>
            <w:gridSpan w:val="5"/>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 xml:space="preserve">靶点:A X=4151065 Y=20633135 垂深:1206m  闭合距:837.25m  闭合方位:357.58°  靶半径:30m </w:t>
            </w: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lang w:eastAsia="zh-CN"/>
          <w14:textFill>
            <w14:solidFill>
              <w14:schemeClr w14:val="tx1"/>
            </w14:solidFill>
          </w14:textFill>
        </w:rPr>
        <w:t>表</w:t>
      </w:r>
      <w:r>
        <w:rPr>
          <w:rFonts w:hint="eastAsia" w:eastAsiaTheme="minorEastAsia"/>
          <w:b/>
          <w:color w:val="000000" w:themeColor="text1"/>
          <w:sz w:val="24"/>
          <w:lang w:val="en-US" w:eastAsia="zh-CN"/>
          <w14:textFill>
            <w14:solidFill>
              <w14:schemeClr w14:val="tx1"/>
            </w14:solidFill>
          </w14:textFill>
        </w:rPr>
        <w:t xml:space="preserve">2.5-7  </w:t>
      </w:r>
      <w:r>
        <w:rPr>
          <w:rFonts w:eastAsiaTheme="minorEastAsia"/>
          <w:b/>
          <w:color w:val="000000" w:themeColor="text1"/>
          <w:sz w:val="24"/>
          <w14:textFill>
            <w14:solidFill>
              <w14:schemeClr w14:val="tx1"/>
            </w14:solidFill>
          </w14:textFill>
        </w:rPr>
        <w:t>轨道参数</w:t>
      </w:r>
    </w:p>
    <w:tbl>
      <w:tblPr>
        <w:tblStyle w:val="45"/>
        <w:tblW w:w="5000"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882"/>
        <w:gridCol w:w="808"/>
        <w:gridCol w:w="745"/>
        <w:gridCol w:w="910"/>
        <w:gridCol w:w="897"/>
        <w:gridCol w:w="909"/>
        <w:gridCol w:w="758"/>
        <w:gridCol w:w="1187"/>
        <w:gridCol w:w="783"/>
        <w:gridCol w:w="513"/>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628" w:hRule="exact"/>
          <w:tblHeader/>
        </w:trPr>
        <w:tc>
          <w:tcPr>
            <w:tcW w:w="882"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808"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井斜</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745"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910"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垂深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897"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水平位移</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909"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南北</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758"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东西</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1187"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狗腿度</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（°/30m）</w:t>
            </w:r>
          </w:p>
        </w:tc>
        <w:tc>
          <w:tcPr>
            <w:tcW w:w="7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工具面</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51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靶点</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82"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0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4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91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97"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0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5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187"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51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82"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170.00</w:t>
            </w:r>
          </w:p>
        </w:tc>
        <w:tc>
          <w:tcPr>
            <w:tcW w:w="80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4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91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170.00</w:t>
            </w:r>
          </w:p>
        </w:tc>
        <w:tc>
          <w:tcPr>
            <w:tcW w:w="897"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0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5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187"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51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82"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544.66</w:t>
            </w:r>
          </w:p>
        </w:tc>
        <w:tc>
          <w:tcPr>
            <w:tcW w:w="80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44.96</w:t>
            </w:r>
          </w:p>
        </w:tc>
        <w:tc>
          <w:tcPr>
            <w:tcW w:w="74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91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507.38</w:t>
            </w:r>
          </w:p>
        </w:tc>
        <w:tc>
          <w:tcPr>
            <w:tcW w:w="897"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139.61</w:t>
            </w:r>
          </w:p>
        </w:tc>
        <w:tc>
          <w:tcPr>
            <w:tcW w:w="90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139.48</w:t>
            </w:r>
          </w:p>
        </w:tc>
        <w:tc>
          <w:tcPr>
            <w:tcW w:w="75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-5.89</w:t>
            </w:r>
          </w:p>
        </w:tc>
        <w:tc>
          <w:tcPr>
            <w:tcW w:w="1187"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7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51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82"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1531.97</w:t>
            </w:r>
          </w:p>
        </w:tc>
        <w:tc>
          <w:tcPr>
            <w:tcW w:w="80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44.96</w:t>
            </w:r>
          </w:p>
        </w:tc>
        <w:tc>
          <w:tcPr>
            <w:tcW w:w="74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91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1206.00</w:t>
            </w:r>
          </w:p>
        </w:tc>
        <w:tc>
          <w:tcPr>
            <w:tcW w:w="897"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837.25</w:t>
            </w:r>
          </w:p>
        </w:tc>
        <w:tc>
          <w:tcPr>
            <w:tcW w:w="90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836.50</w:t>
            </w:r>
          </w:p>
        </w:tc>
        <w:tc>
          <w:tcPr>
            <w:tcW w:w="75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-35.34</w:t>
            </w:r>
          </w:p>
        </w:tc>
        <w:tc>
          <w:tcPr>
            <w:tcW w:w="1187"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51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A</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82"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1707.21</w:t>
            </w:r>
          </w:p>
        </w:tc>
        <w:tc>
          <w:tcPr>
            <w:tcW w:w="808"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44.96</w:t>
            </w:r>
          </w:p>
        </w:tc>
        <w:tc>
          <w:tcPr>
            <w:tcW w:w="745"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910"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1330.00</w:t>
            </w:r>
          </w:p>
        </w:tc>
        <w:tc>
          <w:tcPr>
            <w:tcW w:w="897"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961.07</w:t>
            </w:r>
          </w:p>
        </w:tc>
        <w:tc>
          <w:tcPr>
            <w:tcW w:w="909"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960.22</w:t>
            </w:r>
          </w:p>
        </w:tc>
        <w:tc>
          <w:tcPr>
            <w:tcW w:w="758"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-40.57</w:t>
            </w:r>
          </w:p>
        </w:tc>
        <w:tc>
          <w:tcPr>
            <w:tcW w:w="1187"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83"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513"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lang w:eastAsia="zh-CN"/>
          <w14:textFill>
            <w14:solidFill>
              <w14:schemeClr w14:val="tx1"/>
            </w14:solidFill>
          </w14:textFill>
        </w:rPr>
        <w:t>表</w:t>
      </w:r>
      <w:r>
        <w:rPr>
          <w:rFonts w:hint="eastAsia" w:eastAsiaTheme="minorEastAsia"/>
          <w:b/>
          <w:color w:val="000000" w:themeColor="text1"/>
          <w:sz w:val="24"/>
          <w:lang w:val="en-US" w:eastAsia="zh-CN"/>
          <w14:textFill>
            <w14:solidFill>
              <w14:schemeClr w14:val="tx1"/>
            </w14:solidFill>
          </w14:textFill>
        </w:rPr>
        <w:t xml:space="preserve">2.5-8  </w:t>
      </w:r>
      <w:r>
        <w:rPr>
          <w:rFonts w:eastAsiaTheme="minorEastAsia"/>
          <w:b/>
          <w:color w:val="000000" w:themeColor="text1"/>
          <w:sz w:val="24"/>
          <w14:textFill>
            <w14:solidFill>
              <w14:schemeClr w14:val="tx1"/>
            </w14:solidFill>
          </w14:textFill>
        </w:rPr>
        <w:t>轨道各点数据</w:t>
      </w:r>
    </w:p>
    <w:tbl>
      <w:tblPr>
        <w:tblStyle w:val="45"/>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692"/>
        <w:gridCol w:w="644"/>
        <w:gridCol w:w="733"/>
        <w:gridCol w:w="783"/>
        <w:gridCol w:w="872"/>
        <w:gridCol w:w="720"/>
        <w:gridCol w:w="770"/>
        <w:gridCol w:w="708"/>
        <w:gridCol w:w="593"/>
        <w:gridCol w:w="657"/>
        <w:gridCol w:w="676"/>
        <w:gridCol w:w="54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井斜</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闭合方位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垂深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闭合距</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南北</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东西</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造斜率（°/30m）</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方位变化率</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（°/30m）</w:t>
            </w:r>
          </w:p>
        </w:tc>
        <w:tc>
          <w:tcPr>
            <w:tcW w:w="402"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狗腿度</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（°/30m）</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工具面</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170.00</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170.00</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220.00</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6.00</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219.91</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2.62</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2.61</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-0.11</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270.00</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12.00</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269.27</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10.43</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10.42</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-0.44</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320.00</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18.00</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317.54</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23.37</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23.35</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-0.99</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370.00</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24.00</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364.20</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41.28</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41.24</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-1.74</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420.00</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30.00</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408.73</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63.97</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63.91</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-2.70</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470.00</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36.00</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450.65</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91.19</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91.11</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-3.85</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520.00</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42.00</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489.49</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122.64</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122.53</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-5.18</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544.66</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44.96</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507.38</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139.61</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139.48</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-5.89</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744.66</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44.96</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648.90</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280.93</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280.68</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-11.86</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944.66</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44.96</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790.42</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422.25</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421.88</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-17.82</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1144.66</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44.96</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931.94</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563.57</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563.07</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-23.79</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1344.66</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44.96</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1073.46</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704.90</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704.27</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-29.75</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1531.97</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44.96</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1206.00</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837.25</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836.50</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-35.34</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1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1707.21</w:t>
            </w:r>
          </w:p>
        </w:tc>
        <w:tc>
          <w:tcPr>
            <w:tcW w:w="38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44.96</w:t>
            </w:r>
          </w:p>
        </w:tc>
        <w:tc>
          <w:tcPr>
            <w:tcW w:w="43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357.58</w:t>
            </w:r>
          </w:p>
        </w:tc>
        <w:tc>
          <w:tcPr>
            <w:tcW w:w="51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1330.00</w:t>
            </w:r>
          </w:p>
        </w:tc>
        <w:tc>
          <w:tcPr>
            <w:tcW w:w="4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961.07</w:t>
            </w:r>
          </w:p>
        </w:tc>
        <w:tc>
          <w:tcPr>
            <w:tcW w:w="45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960.22</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-40.57</w:t>
            </w:r>
          </w:p>
        </w:tc>
        <w:tc>
          <w:tcPr>
            <w:tcW w:w="35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9</w:t>
      </w:r>
      <w:r>
        <w:rPr>
          <w:rFonts w:eastAsiaTheme="minorEastAsia"/>
          <w:b/>
          <w:color w:val="000000" w:themeColor="text1"/>
          <w:sz w:val="24"/>
          <w14:textFill>
            <w14:solidFill>
              <w14:schemeClr w14:val="tx1"/>
            </w14:solidFill>
          </w14:textFill>
        </w:rPr>
        <w:t xml:space="preserve">  轨道模拟表（营1-斜116井）</w:t>
      </w:r>
    </w:p>
    <w:tbl>
      <w:tblPr>
        <w:tblStyle w:val="45"/>
        <w:tblW w:w="5000" w:type="pct"/>
        <w:tblInd w:w="0" w:type="dxa"/>
        <w:tblLayout w:type="fixed"/>
        <w:tblCellMar>
          <w:top w:w="0" w:type="dxa"/>
          <w:left w:w="108" w:type="dxa"/>
          <w:bottom w:w="0" w:type="dxa"/>
          <w:right w:w="108" w:type="dxa"/>
        </w:tblCellMar>
      </w:tblPr>
      <w:tblGrid>
        <w:gridCol w:w="2549"/>
        <w:gridCol w:w="5843"/>
      </w:tblGrid>
      <w:tr>
        <w:tblPrEx>
          <w:tblCellMar>
            <w:top w:w="0" w:type="dxa"/>
            <w:left w:w="108" w:type="dxa"/>
            <w:bottom w:w="0" w:type="dxa"/>
            <w:right w:w="108" w:type="dxa"/>
          </w:tblCellMar>
        </w:tblPrEx>
        <w:trPr>
          <w:cantSplit/>
        </w:trPr>
        <w:tc>
          <w:tcPr>
            <w:tcW w:w="2852" w:type="dxa"/>
            <w:tcMar>
              <w:left w:w="57" w:type="dxa"/>
              <w:right w:w="57" w:type="dxa"/>
            </w:tcMar>
          </w:tcPr>
          <w:p>
            <w:pPr>
              <w:tabs>
                <w:tab w:val="left" w:pos="377"/>
              </w:tabs>
              <w:spacing w:line="300" w:lineRule="auto"/>
              <w:ind w:firstLine="0" w:firstLineChars="0"/>
              <w:jc w:val="left"/>
            </w:pPr>
            <w:r>
              <w:t>井号：营1-斜116</w:t>
            </w:r>
          </w:p>
        </w:tc>
        <w:tc>
          <w:tcPr>
            <w:tcW w:w="6561" w:type="dxa"/>
            <w:tcMar>
              <w:left w:w="57" w:type="dxa"/>
              <w:right w:w="57" w:type="dxa"/>
            </w:tcMar>
          </w:tcPr>
          <w:p>
            <w:pPr>
              <w:tabs>
                <w:tab w:val="left" w:pos="377"/>
              </w:tabs>
              <w:spacing w:line="300" w:lineRule="auto"/>
              <w:ind w:firstLine="560"/>
              <w:jc w:val="left"/>
            </w:pPr>
            <w:r>
              <w:t>轨道类型：直-增-稳</w:t>
            </w:r>
          </w:p>
        </w:tc>
      </w:tr>
    </w:tbl>
    <w:p>
      <w:pPr>
        <w:tabs>
          <w:tab w:val="left" w:pos="377"/>
        </w:tabs>
        <w:ind w:firstLine="40"/>
        <w:jc w:val="center"/>
        <w:rPr>
          <w:sz w:val="2"/>
        </w:rPr>
      </w:pPr>
    </w:p>
    <w:tbl>
      <w:tblPr>
        <w:tblStyle w:val="45"/>
        <w:tblW w:w="5000"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1676"/>
        <w:gridCol w:w="1679"/>
        <w:gridCol w:w="1679"/>
        <w:gridCol w:w="1679"/>
        <w:gridCol w:w="1679"/>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井底垂深（m）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井底闭合距（m）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井底闭合方位（°）</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造斜点 （m）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最大井斜角（°）</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1330.00</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1081.49</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47.88</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磁倾角（°）</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磁场强度（μT）</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磁偏角 （°）</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收敛角 （°）</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方位修正角 （°）</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56.03</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53.19</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-7.4</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0.92</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-8.32</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409" w:hRule="atLeast"/>
        </w:trPr>
        <w:tc>
          <w:tcPr>
            <w:tcW w:w="9413" w:type="dxa"/>
            <w:gridSpan w:val="5"/>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井口：X=4150226.56 Y=20633182.27</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94" w:hRule="atLeast"/>
        </w:trPr>
        <w:tc>
          <w:tcPr>
            <w:tcW w:w="9413" w:type="dxa"/>
            <w:gridSpan w:val="5"/>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 xml:space="preserve">靶点:A X=4151155 Y=20633355 垂深:1206m  闭合距:944.37m  闭合方位:10.54°  靶半径:30m </w:t>
            </w: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 xml:space="preserve">10  </w:t>
      </w:r>
      <w:r>
        <w:rPr>
          <w:rFonts w:eastAsiaTheme="minorEastAsia"/>
          <w:b/>
          <w:color w:val="000000" w:themeColor="text1"/>
          <w:sz w:val="24"/>
          <w14:textFill>
            <w14:solidFill>
              <w14:schemeClr w14:val="tx1"/>
            </w14:solidFill>
          </w14:textFill>
        </w:rPr>
        <w:t>轨道参数</w:t>
      </w:r>
    </w:p>
    <w:tbl>
      <w:tblPr>
        <w:tblStyle w:val="45"/>
        <w:tblW w:w="5000"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759"/>
        <w:gridCol w:w="759"/>
        <w:gridCol w:w="759"/>
        <w:gridCol w:w="758"/>
        <w:gridCol w:w="939"/>
        <w:gridCol w:w="759"/>
        <w:gridCol w:w="725"/>
        <w:gridCol w:w="880"/>
        <w:gridCol w:w="880"/>
        <w:gridCol w:w="1174"/>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628" w:hRule="exact"/>
        </w:trPr>
        <w:tc>
          <w:tcPr>
            <w:tcW w:w="850"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849"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井斜</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850"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848"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垂深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1055"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水平位移</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850"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南北</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810"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东西</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988"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狗腿度</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（°/30m）</w:t>
            </w:r>
          </w:p>
        </w:tc>
        <w:tc>
          <w:tcPr>
            <w:tcW w:w="988"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工具面</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1325"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靶点</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4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84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05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1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3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84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84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105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1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3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538.96</w:t>
            </w:r>
          </w:p>
        </w:tc>
        <w:tc>
          <w:tcPr>
            <w:tcW w:w="84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47.88</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84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494.13</w:t>
            </w:r>
          </w:p>
        </w:tc>
        <w:tc>
          <w:tcPr>
            <w:tcW w:w="105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157.21</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154.56</w:t>
            </w:r>
          </w:p>
        </w:tc>
        <w:tc>
          <w:tcPr>
            <w:tcW w:w="81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28.75</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3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1600.27</w:t>
            </w:r>
          </w:p>
        </w:tc>
        <w:tc>
          <w:tcPr>
            <w:tcW w:w="84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47.88</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84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1206.00</w:t>
            </w:r>
          </w:p>
        </w:tc>
        <w:tc>
          <w:tcPr>
            <w:tcW w:w="105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944.37</w:t>
            </w:r>
          </w:p>
        </w:tc>
        <w:tc>
          <w:tcPr>
            <w:tcW w:w="85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928.44</w:t>
            </w:r>
          </w:p>
        </w:tc>
        <w:tc>
          <w:tcPr>
            <w:tcW w:w="81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172.73</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8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3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A</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0"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1785.14</w:t>
            </w:r>
          </w:p>
        </w:tc>
        <w:tc>
          <w:tcPr>
            <w:tcW w:w="849"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47.88</w:t>
            </w:r>
          </w:p>
        </w:tc>
        <w:tc>
          <w:tcPr>
            <w:tcW w:w="850"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848"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1330.00</w:t>
            </w:r>
          </w:p>
        </w:tc>
        <w:tc>
          <w:tcPr>
            <w:tcW w:w="1055"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1081.49</w:t>
            </w:r>
          </w:p>
        </w:tc>
        <w:tc>
          <w:tcPr>
            <w:tcW w:w="850"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1063.24</w:t>
            </w:r>
          </w:p>
        </w:tc>
        <w:tc>
          <w:tcPr>
            <w:tcW w:w="810"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197.81</w:t>
            </w:r>
          </w:p>
        </w:tc>
        <w:tc>
          <w:tcPr>
            <w:tcW w:w="988"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88"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325"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 xml:space="preserve">11  </w:t>
      </w:r>
      <w:r>
        <w:rPr>
          <w:rFonts w:eastAsiaTheme="minorEastAsia"/>
          <w:b/>
          <w:color w:val="000000" w:themeColor="text1"/>
          <w:sz w:val="24"/>
          <w14:textFill>
            <w14:solidFill>
              <w14:schemeClr w14:val="tx1"/>
            </w14:solidFill>
          </w14:textFill>
        </w:rPr>
        <w:t>轨道各点数据</w:t>
      </w:r>
    </w:p>
    <w:tbl>
      <w:tblPr>
        <w:tblStyle w:val="45"/>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831"/>
        <w:gridCol w:w="606"/>
        <w:gridCol w:w="632"/>
        <w:gridCol w:w="657"/>
        <w:gridCol w:w="846"/>
        <w:gridCol w:w="707"/>
        <w:gridCol w:w="809"/>
        <w:gridCol w:w="796"/>
        <w:gridCol w:w="619"/>
        <w:gridCol w:w="745"/>
        <w:gridCol w:w="604"/>
        <w:gridCol w:w="54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blHeader/>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井斜</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闭合方位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垂深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闭合距</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南北</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东西</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造斜率</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（°/30m）</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方位变化率（°/30m）</w:t>
            </w:r>
          </w:p>
        </w:tc>
        <w:tc>
          <w:tcPr>
            <w:tcW w:w="359"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狗腿度（°/30m）</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工具面（°）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190.00</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6.00</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189.91</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2.62</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2.57</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0.48</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240.00</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12.00</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239.27</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10.43</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10.26</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1.91</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290.00</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18.00</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287.54</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23.37</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22.97</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4.27</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340.00</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24.00</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334.20</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41.28</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40.58</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7.55</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390.00</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30.00</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378.73</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63.97</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62.89</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11.70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440.00</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36.00</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420.65</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91.19</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89.65</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16.68</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490.00</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42.00</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459.49</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122.64</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120.57</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22.43</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538.96</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47.88</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494.13</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157.21</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154.56</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28.75</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738.96</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47.88</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628.28</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305.55</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300.39</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55.89</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938.96</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47.88</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762.43</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453.88</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446.23</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83.02</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1138.96</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47.88</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896.58</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602.22</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592.06</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110.15</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1338.96</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47.88</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1030.73</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750.56</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737.90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137.28</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1538.96</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47.88</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1164.87</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898.90</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883.73</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164.41</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1600.27</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47.88</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1206.00</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944.37</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928.44</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172.73</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9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1785.14</w:t>
            </w:r>
          </w:p>
        </w:tc>
        <w:tc>
          <w:tcPr>
            <w:tcW w:w="36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47.88</w:t>
            </w:r>
          </w:p>
        </w:tc>
        <w:tc>
          <w:tcPr>
            <w:tcW w:w="37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39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10.54</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1330.00</w:t>
            </w:r>
          </w:p>
        </w:tc>
        <w:tc>
          <w:tcPr>
            <w:tcW w:w="4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1081.49</w:t>
            </w:r>
          </w:p>
        </w:tc>
        <w:tc>
          <w:tcPr>
            <w:tcW w:w="48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1063.24</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197.81</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4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1"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12</w:t>
      </w:r>
      <w:r>
        <w:rPr>
          <w:rFonts w:eastAsiaTheme="minorEastAsia"/>
          <w:b/>
          <w:color w:val="000000" w:themeColor="text1"/>
          <w:sz w:val="24"/>
          <w14:textFill>
            <w14:solidFill>
              <w14:schemeClr w14:val="tx1"/>
            </w14:solidFill>
          </w14:textFill>
        </w:rPr>
        <w:t xml:space="preserve">  轨道模拟表（营1-斜120井）</w:t>
      </w:r>
    </w:p>
    <w:tbl>
      <w:tblPr>
        <w:tblStyle w:val="45"/>
        <w:tblW w:w="5000" w:type="pct"/>
        <w:tblInd w:w="0" w:type="dxa"/>
        <w:tblLayout w:type="fixed"/>
        <w:tblCellMar>
          <w:top w:w="0" w:type="dxa"/>
          <w:left w:w="108" w:type="dxa"/>
          <w:bottom w:w="0" w:type="dxa"/>
          <w:right w:w="108" w:type="dxa"/>
        </w:tblCellMar>
      </w:tblPr>
      <w:tblGrid>
        <w:gridCol w:w="2549"/>
        <w:gridCol w:w="5843"/>
      </w:tblGrid>
      <w:tr>
        <w:tblPrEx>
          <w:tblCellMar>
            <w:top w:w="0" w:type="dxa"/>
            <w:left w:w="108" w:type="dxa"/>
            <w:bottom w:w="0" w:type="dxa"/>
            <w:right w:w="108" w:type="dxa"/>
          </w:tblCellMar>
        </w:tblPrEx>
        <w:trPr>
          <w:cantSplit/>
        </w:trPr>
        <w:tc>
          <w:tcPr>
            <w:tcW w:w="2852" w:type="dxa"/>
            <w:tcMar>
              <w:left w:w="57" w:type="dxa"/>
              <w:right w:w="57" w:type="dxa"/>
            </w:tcMar>
          </w:tcPr>
          <w:p>
            <w:pPr>
              <w:tabs>
                <w:tab w:val="left" w:pos="377"/>
              </w:tabs>
              <w:spacing w:line="300" w:lineRule="auto"/>
              <w:ind w:firstLine="0" w:firstLineChars="0"/>
              <w:jc w:val="left"/>
            </w:pPr>
            <w:r>
              <w:t>井号：营1-斜120</w:t>
            </w:r>
          </w:p>
        </w:tc>
        <w:tc>
          <w:tcPr>
            <w:tcW w:w="6561" w:type="dxa"/>
            <w:tcMar>
              <w:left w:w="57" w:type="dxa"/>
              <w:right w:w="57" w:type="dxa"/>
            </w:tcMar>
          </w:tcPr>
          <w:p>
            <w:pPr>
              <w:tabs>
                <w:tab w:val="left" w:pos="377"/>
              </w:tabs>
              <w:spacing w:line="300" w:lineRule="auto"/>
              <w:ind w:firstLine="560"/>
              <w:jc w:val="left"/>
            </w:pPr>
            <w:r>
              <w:t>轨道类型：直-增-稳</w:t>
            </w:r>
          </w:p>
        </w:tc>
      </w:tr>
    </w:tbl>
    <w:p>
      <w:pPr>
        <w:tabs>
          <w:tab w:val="left" w:pos="377"/>
        </w:tabs>
        <w:ind w:firstLine="40"/>
        <w:jc w:val="center"/>
        <w:rPr>
          <w:sz w:val="2"/>
        </w:rPr>
      </w:pPr>
    </w:p>
    <w:tbl>
      <w:tblPr>
        <w:tblStyle w:val="45"/>
        <w:tblW w:w="5000"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1676"/>
        <w:gridCol w:w="1679"/>
        <w:gridCol w:w="1679"/>
        <w:gridCol w:w="1679"/>
        <w:gridCol w:w="1679"/>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井底垂深（m）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井底闭合距（m）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井底闭合方位（°）</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造斜点 （m）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最大井斜角（°）</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1335.00</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947.62</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170.00</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44.31</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磁倾角（°）</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磁场强度（μT）</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磁偏角 （°）</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收敛角 （°）</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方位修正角 （°）</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56.03</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53.19</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-7.4</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0.92</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-8.32</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409" w:hRule="atLeast"/>
        </w:trPr>
        <w:tc>
          <w:tcPr>
            <w:tcW w:w="9413" w:type="dxa"/>
            <w:gridSpan w:val="5"/>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井口：X=4150227.48 Y=20633176.35</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94" w:hRule="atLeast"/>
        </w:trPr>
        <w:tc>
          <w:tcPr>
            <w:tcW w:w="9413" w:type="dxa"/>
            <w:gridSpan w:val="5"/>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 xml:space="preserve">靶点:A X=4151040 Y=20633305 垂深:1207m  闭合距:822.64m  闭合方位:9°  靶半径:30m </w:t>
            </w: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 xml:space="preserve">13  </w:t>
      </w:r>
      <w:r>
        <w:rPr>
          <w:rFonts w:eastAsiaTheme="minorEastAsia"/>
          <w:b/>
          <w:color w:val="000000" w:themeColor="text1"/>
          <w:sz w:val="24"/>
          <w14:textFill>
            <w14:solidFill>
              <w14:schemeClr w14:val="tx1"/>
            </w14:solidFill>
          </w14:textFill>
        </w:rPr>
        <w:t>轨道参数</w:t>
      </w:r>
    </w:p>
    <w:tbl>
      <w:tblPr>
        <w:tblStyle w:val="45"/>
        <w:tblW w:w="5000"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759"/>
        <w:gridCol w:w="759"/>
        <w:gridCol w:w="759"/>
        <w:gridCol w:w="758"/>
        <w:gridCol w:w="939"/>
        <w:gridCol w:w="759"/>
        <w:gridCol w:w="725"/>
        <w:gridCol w:w="1145"/>
        <w:gridCol w:w="1125"/>
        <w:gridCol w:w="664"/>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628" w:hRule="exact"/>
          <w:tblHeader/>
        </w:trPr>
        <w:tc>
          <w:tcPr>
            <w:tcW w:w="759" w:type="dxa"/>
            <w:tcBorders>
              <w:bottom w:val="single" w:color="auto" w:sz="4" w:space="0"/>
            </w:tcBorders>
            <w:tcMar>
              <w:left w:w="57" w:type="dxa"/>
              <w:right w:w="57" w:type="dxa"/>
            </w:tcMar>
            <w:vAlign w:val="center"/>
          </w:tcPr>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井深</w:t>
            </w:r>
          </w:p>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759" w:type="dxa"/>
            <w:tcBorders>
              <w:bottom w:val="single" w:color="auto" w:sz="4" w:space="0"/>
            </w:tcBorders>
            <w:tcMar>
              <w:left w:w="57" w:type="dxa"/>
              <w:right w:w="57" w:type="dxa"/>
            </w:tcMar>
            <w:vAlign w:val="center"/>
          </w:tcPr>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井斜</w:t>
            </w:r>
          </w:p>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759" w:type="dxa"/>
            <w:tcBorders>
              <w:bottom w:val="single" w:color="auto" w:sz="4" w:space="0"/>
            </w:tcBorders>
            <w:tcMar>
              <w:left w:w="57" w:type="dxa"/>
              <w:right w:w="57" w:type="dxa"/>
            </w:tcMar>
            <w:vAlign w:val="center"/>
          </w:tcPr>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w:t>
            </w:r>
          </w:p>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758" w:type="dxa"/>
            <w:tcBorders>
              <w:bottom w:val="single" w:color="auto" w:sz="4" w:space="0"/>
            </w:tcBorders>
            <w:tcMar>
              <w:left w:w="57" w:type="dxa"/>
              <w:right w:w="57" w:type="dxa"/>
            </w:tcMar>
            <w:vAlign w:val="center"/>
          </w:tcPr>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垂深</w:t>
            </w:r>
          </w:p>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939" w:type="dxa"/>
            <w:tcBorders>
              <w:bottom w:val="single" w:color="auto" w:sz="4" w:space="0"/>
            </w:tcBorders>
            <w:tcMar>
              <w:left w:w="57" w:type="dxa"/>
              <w:right w:w="57" w:type="dxa"/>
            </w:tcMar>
            <w:vAlign w:val="center"/>
          </w:tcPr>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水平位移</w:t>
            </w:r>
          </w:p>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759" w:type="dxa"/>
            <w:tcBorders>
              <w:bottom w:val="single" w:color="auto" w:sz="4" w:space="0"/>
            </w:tcBorders>
            <w:tcMar>
              <w:left w:w="57" w:type="dxa"/>
              <w:right w:w="57" w:type="dxa"/>
            </w:tcMar>
            <w:vAlign w:val="center"/>
          </w:tcPr>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南北</w:t>
            </w:r>
          </w:p>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725" w:type="dxa"/>
            <w:tcBorders>
              <w:bottom w:val="single" w:color="auto" w:sz="4" w:space="0"/>
            </w:tcBorders>
            <w:tcMar>
              <w:left w:w="57" w:type="dxa"/>
              <w:right w:w="57" w:type="dxa"/>
            </w:tcMar>
            <w:vAlign w:val="center"/>
          </w:tcPr>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东西</w:t>
            </w:r>
          </w:p>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1145" w:type="dxa"/>
            <w:tcBorders>
              <w:bottom w:val="single" w:color="auto" w:sz="4" w:space="0"/>
            </w:tcBorders>
            <w:tcMar>
              <w:left w:w="57" w:type="dxa"/>
              <w:right w:w="57" w:type="dxa"/>
            </w:tcMar>
            <w:vAlign w:val="center"/>
          </w:tcPr>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狗腿度</w:t>
            </w:r>
          </w:p>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（°/30m）</w:t>
            </w:r>
          </w:p>
        </w:tc>
        <w:tc>
          <w:tcPr>
            <w:tcW w:w="1125" w:type="dxa"/>
            <w:tcBorders>
              <w:bottom w:val="single" w:color="auto" w:sz="4" w:space="0"/>
            </w:tcBorders>
            <w:tcMar>
              <w:left w:w="57" w:type="dxa"/>
              <w:right w:w="57" w:type="dxa"/>
            </w:tcMar>
            <w:vAlign w:val="center"/>
          </w:tcPr>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工具面</w:t>
            </w:r>
          </w:p>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664" w:type="dxa"/>
            <w:tcBorders>
              <w:bottom w:val="single" w:color="auto" w:sz="4" w:space="0"/>
            </w:tcBorders>
            <w:tcMar>
              <w:left w:w="57" w:type="dxa"/>
              <w:right w:w="57" w:type="dxa"/>
            </w:tcMar>
            <w:vAlign w:val="center"/>
          </w:tcPr>
          <w:p>
            <w:pPr>
              <w:spacing w:line="240"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靶点</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75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93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14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1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64"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170.00</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75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170.00</w:t>
            </w:r>
          </w:p>
        </w:tc>
        <w:tc>
          <w:tcPr>
            <w:tcW w:w="93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14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1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64"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539.29</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44.31</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75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503.56</w:t>
            </w:r>
          </w:p>
        </w:tc>
        <w:tc>
          <w:tcPr>
            <w:tcW w:w="93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135.83</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134.16</w:t>
            </w:r>
          </w:p>
        </w:tc>
        <w:tc>
          <w:tcPr>
            <w:tcW w:w="7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21.24</w:t>
            </w:r>
          </w:p>
        </w:tc>
        <w:tc>
          <w:tcPr>
            <w:tcW w:w="114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11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64"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1522.42</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44.31</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758"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1207.00</w:t>
            </w:r>
          </w:p>
        </w:tc>
        <w:tc>
          <w:tcPr>
            <w:tcW w:w="93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822.64</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812.52</w:t>
            </w:r>
          </w:p>
        </w:tc>
        <w:tc>
          <w:tcPr>
            <w:tcW w:w="7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128.65</w:t>
            </w:r>
          </w:p>
        </w:tc>
        <w:tc>
          <w:tcPr>
            <w:tcW w:w="114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1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64"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A</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759"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1701.31</w:t>
            </w:r>
          </w:p>
        </w:tc>
        <w:tc>
          <w:tcPr>
            <w:tcW w:w="759"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44.31</w:t>
            </w:r>
          </w:p>
        </w:tc>
        <w:tc>
          <w:tcPr>
            <w:tcW w:w="759"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758"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1335.00</w:t>
            </w:r>
          </w:p>
        </w:tc>
        <w:tc>
          <w:tcPr>
            <w:tcW w:w="939"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947.62</w:t>
            </w:r>
          </w:p>
        </w:tc>
        <w:tc>
          <w:tcPr>
            <w:tcW w:w="759"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935.96</w:t>
            </w:r>
          </w:p>
        </w:tc>
        <w:tc>
          <w:tcPr>
            <w:tcW w:w="725"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148.19</w:t>
            </w:r>
          </w:p>
        </w:tc>
        <w:tc>
          <w:tcPr>
            <w:tcW w:w="1145"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125"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64"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 xml:space="preserve">14  </w:t>
      </w:r>
      <w:r>
        <w:rPr>
          <w:rFonts w:eastAsiaTheme="minorEastAsia"/>
          <w:b/>
          <w:color w:val="000000" w:themeColor="text1"/>
          <w:sz w:val="24"/>
          <w14:textFill>
            <w14:solidFill>
              <w14:schemeClr w14:val="tx1"/>
            </w14:solidFill>
          </w14:textFill>
        </w:rPr>
        <w:t>轨道各点数据</w:t>
      </w:r>
    </w:p>
    <w:tbl>
      <w:tblPr>
        <w:tblStyle w:val="45"/>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806"/>
        <w:gridCol w:w="619"/>
        <w:gridCol w:w="492"/>
        <w:gridCol w:w="619"/>
        <w:gridCol w:w="847"/>
        <w:gridCol w:w="694"/>
        <w:gridCol w:w="695"/>
        <w:gridCol w:w="783"/>
        <w:gridCol w:w="670"/>
        <w:gridCol w:w="833"/>
        <w:gridCol w:w="783"/>
        <w:gridCol w:w="55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blHeader/>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井斜</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闭合方位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垂深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闭合距</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南北</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东西</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造斜率</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（°/30m）</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方位变化率</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（°/30m）</w:t>
            </w:r>
          </w:p>
        </w:tc>
        <w:tc>
          <w:tcPr>
            <w:tcW w:w="466"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狗腿度</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（°/30m）</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工具面</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170.00</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220.00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6.00</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219.91</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2.62</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2.58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0.41</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270.00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12.00</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269.27</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10.43</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10.31</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1.63</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320.00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18.00</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317.54</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23.37</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23.08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3.65</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370.00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24.00</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364.20</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41.28</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40.77</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6.46</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420.00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30.00</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408.73</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63.97</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63.18</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10.00</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470.00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36.00</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450.65</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91.19</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90.07</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14.26</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520.00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42.00</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489.49</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122.64</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121.13</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19.18</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539.29</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44.31</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503.56</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135.83</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134.16</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21.24</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739.29</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44.31</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646.66</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275.55</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272.16</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43.09</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939.29</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44.31</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789.76</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415.27</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410.16</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64.94</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1139.29</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44.31</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932.86</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554.99</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548.16</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86.79</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1339.29</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44.31</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1075.97</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694.71</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686.16</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108.64</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1522.42</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44.31</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1207.00</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822.64</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812.52</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128.65</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Pr>
        <w:tc>
          <w:tcPr>
            <w:tcW w:w="480"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1701.31</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44.31</w:t>
            </w:r>
          </w:p>
        </w:tc>
        <w:tc>
          <w:tcPr>
            <w:tcW w:w="29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36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9.00</w:t>
            </w:r>
          </w:p>
        </w:tc>
        <w:tc>
          <w:tcPr>
            <w:tcW w:w="50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1335.00</w:t>
            </w:r>
          </w:p>
        </w:tc>
        <w:tc>
          <w:tcPr>
            <w:tcW w:w="413"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947.62</w:t>
            </w:r>
          </w:p>
        </w:tc>
        <w:tc>
          <w:tcPr>
            <w:tcW w:w="41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935.96</w:t>
            </w:r>
          </w:p>
        </w:tc>
        <w:tc>
          <w:tcPr>
            <w:tcW w:w="46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148.19</w:t>
            </w:r>
          </w:p>
        </w:tc>
        <w:tc>
          <w:tcPr>
            <w:tcW w:w="39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66"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2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w:t>
      </w:r>
      <w:r>
        <w:rPr>
          <w:rFonts w:hint="eastAsia" w:eastAsiaTheme="minorEastAsia"/>
          <w:b/>
          <w:color w:val="000000" w:themeColor="text1"/>
          <w:sz w:val="24"/>
          <w14:textFill>
            <w14:solidFill>
              <w14:schemeClr w14:val="tx1"/>
            </w14:solidFill>
          </w14:textFill>
        </w:rPr>
        <w:t>2.5-</w:t>
      </w:r>
      <w:r>
        <w:rPr>
          <w:rFonts w:hint="eastAsia" w:eastAsiaTheme="minorEastAsia"/>
          <w:b/>
          <w:color w:val="000000" w:themeColor="text1"/>
          <w:sz w:val="24"/>
          <w:lang w:val="en-US" w:eastAsia="zh-CN"/>
          <w14:textFill>
            <w14:solidFill>
              <w14:schemeClr w14:val="tx1"/>
            </w14:solidFill>
          </w14:textFill>
        </w:rPr>
        <w:t>15</w:t>
      </w:r>
      <w:r>
        <w:rPr>
          <w:rFonts w:eastAsiaTheme="minorEastAsia"/>
          <w:b/>
          <w:color w:val="000000" w:themeColor="text1"/>
          <w:sz w:val="24"/>
          <w14:textFill>
            <w14:solidFill>
              <w14:schemeClr w14:val="tx1"/>
            </w14:solidFill>
          </w14:textFill>
        </w:rPr>
        <w:t xml:space="preserve">  轨道模拟表（营1-斜122井）</w:t>
      </w:r>
    </w:p>
    <w:tbl>
      <w:tblPr>
        <w:tblStyle w:val="45"/>
        <w:tblW w:w="5000" w:type="pct"/>
        <w:tblInd w:w="0" w:type="dxa"/>
        <w:tblLayout w:type="fixed"/>
        <w:tblCellMar>
          <w:top w:w="0" w:type="dxa"/>
          <w:left w:w="108" w:type="dxa"/>
          <w:bottom w:w="0" w:type="dxa"/>
          <w:right w:w="108" w:type="dxa"/>
        </w:tblCellMar>
      </w:tblPr>
      <w:tblGrid>
        <w:gridCol w:w="2549"/>
        <w:gridCol w:w="5843"/>
      </w:tblGrid>
      <w:tr>
        <w:tblPrEx>
          <w:tblCellMar>
            <w:top w:w="0" w:type="dxa"/>
            <w:left w:w="108" w:type="dxa"/>
            <w:bottom w:w="0" w:type="dxa"/>
            <w:right w:w="108" w:type="dxa"/>
          </w:tblCellMar>
        </w:tblPrEx>
        <w:trPr>
          <w:cantSplit/>
        </w:trPr>
        <w:tc>
          <w:tcPr>
            <w:tcW w:w="2852" w:type="dxa"/>
            <w:tcMar>
              <w:left w:w="57" w:type="dxa"/>
              <w:right w:w="57" w:type="dxa"/>
            </w:tcMar>
          </w:tcPr>
          <w:p>
            <w:pPr>
              <w:tabs>
                <w:tab w:val="left" w:pos="377"/>
              </w:tabs>
              <w:spacing w:line="300" w:lineRule="auto"/>
              <w:ind w:firstLine="0" w:firstLineChars="0"/>
              <w:jc w:val="left"/>
            </w:pPr>
            <w:r>
              <w:t>井号：营1-斜122</w:t>
            </w:r>
          </w:p>
        </w:tc>
        <w:tc>
          <w:tcPr>
            <w:tcW w:w="6561" w:type="dxa"/>
            <w:tcMar>
              <w:left w:w="57" w:type="dxa"/>
              <w:right w:w="57" w:type="dxa"/>
            </w:tcMar>
          </w:tcPr>
          <w:p>
            <w:pPr>
              <w:tabs>
                <w:tab w:val="left" w:pos="377"/>
              </w:tabs>
              <w:spacing w:line="300" w:lineRule="auto"/>
              <w:ind w:firstLine="560"/>
              <w:jc w:val="left"/>
            </w:pPr>
            <w:r>
              <w:t>轨道类型：直-增-稳</w:t>
            </w:r>
          </w:p>
        </w:tc>
      </w:tr>
    </w:tbl>
    <w:p>
      <w:pPr>
        <w:tabs>
          <w:tab w:val="left" w:pos="377"/>
        </w:tabs>
        <w:ind w:firstLine="40"/>
        <w:jc w:val="center"/>
        <w:rPr>
          <w:sz w:val="2"/>
        </w:rPr>
      </w:pPr>
    </w:p>
    <w:tbl>
      <w:tblPr>
        <w:tblStyle w:val="45"/>
        <w:tblW w:w="5000"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1676"/>
        <w:gridCol w:w="1679"/>
        <w:gridCol w:w="1679"/>
        <w:gridCol w:w="1679"/>
        <w:gridCol w:w="1679"/>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井底垂深（m）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井底闭合距（m）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井底闭合方位（°）</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造斜点 （m）</w:t>
            </w:r>
          </w:p>
        </w:tc>
        <w:tc>
          <w:tcPr>
            <w:tcW w:w="1883"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最大井斜角（°）</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1290.00</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957.74</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45.19</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磁倾角（°）</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磁场强度（μT）</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磁偏角 （°）</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收敛角 （°）</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方位修正角 （°）</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188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56.03</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53.19</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-7.4</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0.92</w:t>
            </w:r>
          </w:p>
        </w:tc>
        <w:tc>
          <w:tcPr>
            <w:tcW w:w="1883"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-8.32</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409" w:hRule="atLeast"/>
        </w:trPr>
        <w:tc>
          <w:tcPr>
            <w:tcW w:w="9413" w:type="dxa"/>
            <w:gridSpan w:val="5"/>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井口：X=4150225.56 Y=20633188.04</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94" w:hRule="atLeast"/>
        </w:trPr>
        <w:tc>
          <w:tcPr>
            <w:tcW w:w="9413" w:type="dxa"/>
            <w:gridSpan w:val="5"/>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 xml:space="preserve">靶点:A X=4150990 Y=20633610 垂深:1206m  闭合距:873.17m  闭合方位:28.9°  靶半径:30m </w:t>
            </w: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 xml:space="preserve">16  </w:t>
      </w:r>
      <w:r>
        <w:rPr>
          <w:rFonts w:eastAsiaTheme="minorEastAsia"/>
          <w:b/>
          <w:color w:val="000000" w:themeColor="text1"/>
          <w:sz w:val="24"/>
          <w14:textFill>
            <w14:solidFill>
              <w14:schemeClr w14:val="tx1"/>
            </w14:solidFill>
          </w14:textFill>
        </w:rPr>
        <w:t>轨道参数</w:t>
      </w:r>
    </w:p>
    <w:tbl>
      <w:tblPr>
        <w:tblStyle w:val="45"/>
        <w:tblW w:w="5000"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856"/>
        <w:gridCol w:w="662"/>
        <w:gridCol w:w="759"/>
        <w:gridCol w:w="866"/>
        <w:gridCol w:w="831"/>
        <w:gridCol w:w="759"/>
        <w:gridCol w:w="725"/>
        <w:gridCol w:w="880"/>
        <w:gridCol w:w="880"/>
        <w:gridCol w:w="1174"/>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628" w:hRule="exact"/>
        </w:trPr>
        <w:tc>
          <w:tcPr>
            <w:tcW w:w="856"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662"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井斜</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759"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866"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垂深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831"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水平位移</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759"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南北</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725"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东西</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880"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狗腿度</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（°/30m）</w:t>
            </w:r>
          </w:p>
        </w:tc>
        <w:tc>
          <w:tcPr>
            <w:tcW w:w="880"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工具面</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1174" w:type="dxa"/>
            <w:tcBorders>
              <w:bottom w:val="single" w:color="auto" w:sz="4" w:space="0"/>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靶点</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6"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662"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866"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3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8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8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174"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6"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662"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866"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83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7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8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8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174"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6"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516.61</w:t>
            </w:r>
          </w:p>
        </w:tc>
        <w:tc>
          <w:tcPr>
            <w:tcW w:w="662"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45.19</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866"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478.76</w:t>
            </w:r>
          </w:p>
        </w:tc>
        <w:tc>
          <w:tcPr>
            <w:tcW w:w="83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140.99</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123.43</w:t>
            </w:r>
          </w:p>
        </w:tc>
        <w:tc>
          <w:tcPr>
            <w:tcW w:w="7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68.13</w:t>
            </w:r>
          </w:p>
        </w:tc>
        <w:tc>
          <w:tcPr>
            <w:tcW w:w="88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88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174"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6"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1548.58</w:t>
            </w:r>
          </w:p>
        </w:tc>
        <w:tc>
          <w:tcPr>
            <w:tcW w:w="662"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45.19</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866"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1206.00</w:t>
            </w:r>
          </w:p>
        </w:tc>
        <w:tc>
          <w:tcPr>
            <w:tcW w:w="831"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873.17</w:t>
            </w:r>
          </w:p>
        </w:tc>
        <w:tc>
          <w:tcPr>
            <w:tcW w:w="759"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764.44</w:t>
            </w:r>
          </w:p>
        </w:tc>
        <w:tc>
          <w:tcPr>
            <w:tcW w:w="725"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421.96</w:t>
            </w:r>
          </w:p>
        </w:tc>
        <w:tc>
          <w:tcPr>
            <w:tcW w:w="88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80"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174" w:type="dxa"/>
            <w:tcBorders>
              <w:top w:val="single" w:color="auto" w:sz="4" w:space="0"/>
              <w:bottom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A</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56"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1667.78</w:t>
            </w:r>
          </w:p>
        </w:tc>
        <w:tc>
          <w:tcPr>
            <w:tcW w:w="662"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45.19</w:t>
            </w:r>
          </w:p>
        </w:tc>
        <w:tc>
          <w:tcPr>
            <w:tcW w:w="759"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866"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1290.00</w:t>
            </w:r>
          </w:p>
        </w:tc>
        <w:tc>
          <w:tcPr>
            <w:tcW w:w="831"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957.74</w:t>
            </w:r>
          </w:p>
        </w:tc>
        <w:tc>
          <w:tcPr>
            <w:tcW w:w="759"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838.48</w:t>
            </w:r>
          </w:p>
        </w:tc>
        <w:tc>
          <w:tcPr>
            <w:tcW w:w="725"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462.83</w:t>
            </w:r>
          </w:p>
        </w:tc>
        <w:tc>
          <w:tcPr>
            <w:tcW w:w="880"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880"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1174" w:type="dxa"/>
            <w:tcBorders>
              <w:top w:val="single" w:color="auto" w:sz="4" w:space="0"/>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 xml:space="preserve">17  </w:t>
      </w:r>
      <w:r>
        <w:rPr>
          <w:rFonts w:eastAsiaTheme="minorEastAsia"/>
          <w:b/>
          <w:color w:val="000000" w:themeColor="text1"/>
          <w:sz w:val="24"/>
          <w14:textFill>
            <w14:solidFill>
              <w14:schemeClr w14:val="tx1"/>
            </w14:solidFill>
          </w14:textFill>
        </w:rPr>
        <w:t>轨道各点数据</w:t>
      </w:r>
    </w:p>
    <w:tbl>
      <w:tblPr>
        <w:tblStyle w:val="45"/>
        <w:tblW w:w="5194"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865"/>
        <w:gridCol w:w="635"/>
        <w:gridCol w:w="610"/>
        <w:gridCol w:w="600"/>
        <w:gridCol w:w="828"/>
        <w:gridCol w:w="767"/>
        <w:gridCol w:w="707"/>
        <w:gridCol w:w="796"/>
        <w:gridCol w:w="707"/>
        <w:gridCol w:w="755"/>
        <w:gridCol w:w="842"/>
        <w:gridCol w:w="60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blHeader/>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井斜</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闭合方位</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垂深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闭合距</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南北</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东西</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（m）</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造斜率</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（°/30m）</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方位变化率（°/30m）</w:t>
            </w:r>
          </w:p>
        </w:tc>
        <w:tc>
          <w:tcPr>
            <w:tcW w:w="482"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狗腿度（°/30m）</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工具面</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140.00</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190.00</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6.00</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189.91</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2.62</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2.29</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1.26</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240.00</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12.00</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239.27</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10.43</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9.13</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5.04</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290.00</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18.00</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287.54</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23.37</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20.46</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11.29</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340.00</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24.00</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334.20</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41.28</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36.14</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19.95</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390.00</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30.00</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378.73</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63.97</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56.00</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30.91</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440.00</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36.00</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420.65</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91.19</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79.83</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44.07</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490.00</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42.00</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459.49</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122.64</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107.37</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59.27</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516.61</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45.19</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478.76</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140.99</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123.43</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68.13</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3.60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716.61</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45.19</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619.70</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282.89</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247.66</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136.71</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916.61</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45.19</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760.64</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424.79</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371.89</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205.28</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1116.61</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45.19</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901.59</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566.69</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496.12</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273.85</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1316.61</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45.19</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1042.53</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708.58</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620.35</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342.43</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1516.61</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45.19</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1183.47</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850.48</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744.58</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411.00</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1548.58</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45.19</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1206.00</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873.17</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764.44</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421.96</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49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1667.78</w:t>
            </w:r>
          </w:p>
        </w:tc>
        <w:tc>
          <w:tcPr>
            <w:tcW w:w="36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45.19</w:t>
            </w:r>
          </w:p>
        </w:tc>
        <w:tc>
          <w:tcPr>
            <w:tcW w:w="34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34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28.90</w:t>
            </w:r>
          </w:p>
        </w:tc>
        <w:tc>
          <w:tcPr>
            <w:tcW w:w="474"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1290.00</w:t>
            </w:r>
          </w:p>
        </w:tc>
        <w:tc>
          <w:tcPr>
            <w:tcW w:w="439"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957.74</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838.48</w:t>
            </w:r>
          </w:p>
        </w:tc>
        <w:tc>
          <w:tcPr>
            <w:tcW w:w="456"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462.83</w:t>
            </w:r>
          </w:p>
        </w:tc>
        <w:tc>
          <w:tcPr>
            <w:tcW w:w="405"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32"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48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c>
          <w:tcPr>
            <w:tcW w:w="348" w:type="pct"/>
            <w:tcBorders>
              <w:tl2br w:val="nil"/>
              <w:tr2bl w:val="nil"/>
            </w:tcBorders>
            <w:tcMar>
              <w:left w:w="57" w:type="dxa"/>
              <w:right w:w="57" w:type="dxa"/>
            </w:tcMar>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0.00</w:t>
            </w:r>
          </w:p>
        </w:tc>
      </w:tr>
    </w:tbl>
    <w:p>
      <w:pPr>
        <w:pStyle w:val="5"/>
        <w:spacing w:before="360" w:beforeLines="150"/>
        <w:rPr>
          <w:rFonts w:eastAsiaTheme="minorEastAsia"/>
        </w:rPr>
      </w:pPr>
      <w:r>
        <w:rPr>
          <w:rFonts w:eastAsiaTheme="minorEastAsia"/>
          <w:color w:val="000000"/>
        </w:rPr>
        <w:t>2.5.3  井身结构设计</w:t>
      </w:r>
    </w:p>
    <w:p>
      <w:pPr>
        <w:pStyle w:val="226"/>
        <w:adjustRightInd w:val="0"/>
        <w:snapToGrid w:val="0"/>
        <w:spacing w:line="360" w:lineRule="auto"/>
        <w:ind w:firstLine="560"/>
        <w:rPr>
          <w:rFonts w:eastAsiaTheme="minorEastAsia"/>
          <w:color w:val="000000" w:themeColor="text1"/>
          <w:sz w:val="28"/>
          <w:szCs w:val="28"/>
          <w14:textFill>
            <w14:solidFill>
              <w14:schemeClr w14:val="tx1"/>
            </w14:solidFill>
          </w14:textFill>
        </w:rPr>
      </w:pPr>
      <w:r>
        <w:rPr>
          <w:rFonts w:eastAsiaTheme="minorEastAsia"/>
          <w:color w:val="000000" w:themeColor="text1"/>
          <w:sz w:val="28"/>
          <w:szCs w:val="28"/>
          <w14:textFill>
            <w14:solidFill>
              <w14:schemeClr w14:val="tx1"/>
            </w14:solidFill>
          </w14:textFill>
        </w:rPr>
        <w:t>采用二开井身结构：</w:t>
      </w:r>
    </w:p>
    <w:p>
      <w:pPr>
        <w:ind w:firstLine="560"/>
      </w:pPr>
      <w:r>
        <w:t>一开采用Ф273.1mm表层套管封过造斜终点斜深30m左右。二开采用Φ177.8mm油层套管，水泥均返至地面。井身结构数据表见表2.5-</w:t>
      </w:r>
      <w:r>
        <w:rPr>
          <w:rFonts w:hint="eastAsia"/>
          <w:lang w:val="en-US" w:eastAsia="zh-CN"/>
        </w:rPr>
        <w:t>18</w:t>
      </w:r>
      <w:r>
        <w:t>，井身结构示意图见图2.5-1。</w:t>
      </w:r>
    </w:p>
    <w:p>
      <w:pPr>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18</w:t>
      </w:r>
      <w:r>
        <w:rPr>
          <w:rFonts w:eastAsiaTheme="minorEastAsia"/>
          <w:b/>
          <w:color w:val="000000" w:themeColor="text1"/>
          <w:sz w:val="24"/>
          <w14:textFill>
            <w14:solidFill>
              <w14:schemeClr w14:val="tx1"/>
            </w14:solidFill>
          </w14:textFill>
        </w:rPr>
        <w:t xml:space="preserve">  定向井井身结构设计表</w:t>
      </w:r>
    </w:p>
    <w:tbl>
      <w:tblPr>
        <w:tblStyle w:val="45"/>
        <w:tblW w:w="506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963"/>
        <w:gridCol w:w="1371"/>
        <w:gridCol w:w="1278"/>
        <w:gridCol w:w="48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tblHeader/>
          <w:jc w:val="center"/>
        </w:trPr>
        <w:tc>
          <w:tcPr>
            <w:tcW w:w="572"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钻井</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顺序</w:t>
            </w:r>
          </w:p>
        </w:tc>
        <w:tc>
          <w:tcPr>
            <w:tcW w:w="814"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井号</w:t>
            </w:r>
          </w:p>
        </w:tc>
        <w:tc>
          <w:tcPr>
            <w:tcW w:w="759"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完钻井深</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hint="eastAsia" w:eastAsiaTheme="minorEastAsia"/>
                <w:b/>
                <w:bCs/>
                <w:color w:val="000000" w:themeColor="text1"/>
                <w:sz w:val="21"/>
                <w:szCs w:val="21"/>
                <w14:textFill>
                  <w14:solidFill>
                    <w14:schemeClr w14:val="tx1"/>
                  </w14:solidFill>
                </w14:textFill>
              </w:rPr>
              <w:t>（</w:t>
            </w:r>
            <w:r>
              <w:rPr>
                <w:rFonts w:eastAsiaTheme="minorEastAsia"/>
                <w:b/>
                <w:bCs/>
                <w:color w:val="000000" w:themeColor="text1"/>
                <w:sz w:val="21"/>
                <w:szCs w:val="21"/>
                <w14:textFill>
                  <w14:solidFill>
                    <w14:schemeClr w14:val="tx1"/>
                  </w14:solidFill>
                </w14:textFill>
              </w:rPr>
              <w:t>m</w:t>
            </w:r>
            <w:r>
              <w:rPr>
                <w:rFonts w:hint="eastAsia" w:eastAsiaTheme="minorEastAsia"/>
                <w:b/>
                <w:bCs/>
                <w:color w:val="000000" w:themeColor="text1"/>
                <w:sz w:val="21"/>
                <w:szCs w:val="21"/>
                <w14:textFill>
                  <w14:solidFill>
                    <w14:schemeClr w14:val="tx1"/>
                  </w14:solidFill>
                </w14:textFill>
              </w:rPr>
              <w:t>）</w:t>
            </w:r>
          </w:p>
        </w:tc>
        <w:tc>
          <w:tcPr>
            <w:tcW w:w="2855" w:type="pct"/>
            <w:tcBorders>
              <w:tl2br w:val="nil"/>
              <w:tr2bl w:val="nil"/>
            </w:tcBorders>
            <w:vAlign w:val="center"/>
          </w:tcPr>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eastAsiaTheme="minorEastAsia"/>
                <w:b/>
                <w:bCs/>
                <w:color w:val="000000" w:themeColor="text1"/>
                <w:sz w:val="21"/>
                <w:szCs w:val="21"/>
                <w14:textFill>
                  <w14:solidFill>
                    <w14:schemeClr w14:val="tx1"/>
                  </w14:solidFill>
                </w14:textFill>
              </w:rPr>
              <w:t>井身结构</w:t>
            </w:r>
          </w:p>
          <w:p>
            <w:pPr>
              <w:spacing w:line="288" w:lineRule="auto"/>
              <w:ind w:firstLine="0" w:firstLineChars="0"/>
              <w:jc w:val="center"/>
              <w:rPr>
                <w:rFonts w:eastAsiaTheme="minorEastAsia"/>
                <w:b/>
                <w:bCs/>
                <w:color w:val="000000" w:themeColor="text1"/>
                <w:sz w:val="21"/>
                <w:szCs w:val="21"/>
                <w14:textFill>
                  <w14:solidFill>
                    <w14:schemeClr w14:val="tx1"/>
                  </w14:solidFill>
                </w14:textFill>
              </w:rPr>
            </w:pPr>
            <w:r>
              <w:rPr>
                <w:rFonts w:hint="eastAsia" w:eastAsiaTheme="minorEastAsia"/>
                <w:b/>
                <w:bCs/>
                <w:color w:val="000000" w:themeColor="text1"/>
                <w:sz w:val="21"/>
                <w:szCs w:val="21"/>
                <w14:textFill>
                  <w14:solidFill>
                    <w14:schemeClr w14:val="tx1"/>
                  </w14:solidFill>
                </w14:textFill>
              </w:rPr>
              <w:t>（</w:t>
            </w:r>
            <w:r>
              <w:rPr>
                <w:rFonts w:eastAsiaTheme="minorEastAsia"/>
                <w:b/>
                <w:bCs/>
                <w:color w:val="000000" w:themeColor="text1"/>
                <w:sz w:val="21"/>
                <w:szCs w:val="21"/>
                <w14:textFill>
                  <w14:solidFill>
                    <w14:schemeClr w14:val="tx1"/>
                  </w14:solidFill>
                </w14:textFill>
              </w:rPr>
              <w:t>mm*m</w:t>
            </w:r>
            <w:r>
              <w:rPr>
                <w:rFonts w:hint="eastAsia" w:eastAsiaTheme="minorEastAsia"/>
                <w:b/>
                <w:bCs/>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tblHeader/>
          <w:jc w:val="center"/>
        </w:trPr>
        <w:tc>
          <w:tcPr>
            <w:tcW w:w="57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w:t>
            </w:r>
          </w:p>
        </w:tc>
        <w:tc>
          <w:tcPr>
            <w:tcW w:w="814"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营1-斜111</w:t>
            </w:r>
          </w:p>
        </w:tc>
        <w:tc>
          <w:tcPr>
            <w:tcW w:w="7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1707.21</w:t>
            </w:r>
          </w:p>
        </w:tc>
        <w:tc>
          <w:tcPr>
            <w:tcW w:w="285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Ф273.1×575+Ф177.8×1704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tblHeader/>
          <w:jc w:val="center"/>
        </w:trPr>
        <w:tc>
          <w:tcPr>
            <w:tcW w:w="57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2</w:t>
            </w:r>
          </w:p>
        </w:tc>
        <w:tc>
          <w:tcPr>
            <w:tcW w:w="814"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营1-斜105</w:t>
            </w:r>
          </w:p>
        </w:tc>
        <w:tc>
          <w:tcPr>
            <w:tcW w:w="7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1769.85</w:t>
            </w:r>
          </w:p>
        </w:tc>
        <w:tc>
          <w:tcPr>
            <w:tcW w:w="285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Ф273.1×564+Ф177.8×1766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tblHeader/>
          <w:jc w:val="center"/>
        </w:trPr>
        <w:tc>
          <w:tcPr>
            <w:tcW w:w="57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3</w:t>
            </w:r>
          </w:p>
        </w:tc>
        <w:tc>
          <w:tcPr>
            <w:tcW w:w="814"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营1-斜120</w:t>
            </w:r>
          </w:p>
        </w:tc>
        <w:tc>
          <w:tcPr>
            <w:tcW w:w="7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1701.31</w:t>
            </w:r>
          </w:p>
        </w:tc>
        <w:tc>
          <w:tcPr>
            <w:tcW w:w="285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Ф273.1×569+Ф177.8×1698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tblHeader/>
          <w:jc w:val="center"/>
        </w:trPr>
        <w:tc>
          <w:tcPr>
            <w:tcW w:w="57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4</w:t>
            </w:r>
          </w:p>
        </w:tc>
        <w:tc>
          <w:tcPr>
            <w:tcW w:w="814"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营1-斜116</w:t>
            </w:r>
          </w:p>
        </w:tc>
        <w:tc>
          <w:tcPr>
            <w:tcW w:w="7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1785.14</w:t>
            </w:r>
          </w:p>
        </w:tc>
        <w:tc>
          <w:tcPr>
            <w:tcW w:w="285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Ф273.1×569+Ф177.8×1782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tblHeader/>
          <w:jc w:val="center"/>
        </w:trPr>
        <w:tc>
          <w:tcPr>
            <w:tcW w:w="57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5</w:t>
            </w:r>
          </w:p>
        </w:tc>
        <w:tc>
          <w:tcPr>
            <w:tcW w:w="814"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营1-斜121</w:t>
            </w:r>
          </w:p>
        </w:tc>
        <w:tc>
          <w:tcPr>
            <w:tcW w:w="7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1732.83</w:t>
            </w:r>
          </w:p>
        </w:tc>
        <w:tc>
          <w:tcPr>
            <w:tcW w:w="285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Ф273.1×607+Ф177.8×1729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tblHeader/>
          <w:jc w:val="center"/>
        </w:trPr>
        <w:tc>
          <w:tcPr>
            <w:tcW w:w="572"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6</w:t>
            </w:r>
          </w:p>
        </w:tc>
        <w:tc>
          <w:tcPr>
            <w:tcW w:w="814"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营1-斜122</w:t>
            </w:r>
          </w:p>
        </w:tc>
        <w:tc>
          <w:tcPr>
            <w:tcW w:w="759"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1667.78</w:t>
            </w:r>
          </w:p>
        </w:tc>
        <w:tc>
          <w:tcPr>
            <w:tcW w:w="2855" w:type="pct"/>
            <w:tcBorders>
              <w:tl2br w:val="nil"/>
              <w:tr2bl w:val="nil"/>
            </w:tcBorders>
            <w:vAlign w:val="center"/>
          </w:tcPr>
          <w:p>
            <w:pPr>
              <w:spacing w:line="288" w:lineRule="auto"/>
              <w:ind w:firstLine="0" w:firstLineChars="0"/>
              <w:jc w:val="center"/>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Ф273.1×545+Ф177.8×1664</w:t>
            </w:r>
          </w:p>
        </w:tc>
      </w:tr>
    </w:tbl>
    <w:p>
      <w:pPr>
        <w:ind w:firstLine="0" w:firstLineChars="0"/>
      </w:pPr>
    </w:p>
    <w:p>
      <w:pPr>
        <w:spacing w:line="276" w:lineRule="auto"/>
        <w:ind w:firstLine="0" w:firstLineChars="0"/>
        <w:jc w:val="center"/>
        <w:rPr>
          <w:rFonts w:eastAsiaTheme="minorEastAsia"/>
          <w:b/>
          <w:color w:val="000000" w:themeColor="text1"/>
          <w:szCs w:val="21"/>
          <w14:textFill>
            <w14:solidFill>
              <w14:schemeClr w14:val="tx1"/>
            </w14:solidFill>
          </w14:textFill>
        </w:rPr>
      </w:pPr>
      <w:r>
        <w:rPr>
          <w:szCs w:val="21"/>
        </w:rPr>
        <w:drawing>
          <wp:inline distT="0" distB="0" distL="114300" distR="114300">
            <wp:extent cx="3725545" cy="4142105"/>
            <wp:effectExtent l="0" t="0" r="8255" b="3175"/>
            <wp:docPr id="15" name="图片 6" descr="营47-斜52_井身结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descr="营47-斜52_井身结构图"/>
                    <pic:cNvPicPr>
                      <a:picLocks noChangeAspect="1"/>
                    </pic:cNvPicPr>
                  </pic:nvPicPr>
                  <pic:blipFill>
                    <a:blip r:embed="rId23"/>
                    <a:stretch>
                      <a:fillRect/>
                    </a:stretch>
                  </pic:blipFill>
                  <pic:spPr>
                    <a:xfrm>
                      <a:off x="0" y="0"/>
                      <a:ext cx="3725545" cy="4142105"/>
                    </a:xfrm>
                    <a:prstGeom prst="rect">
                      <a:avLst/>
                    </a:prstGeom>
                    <a:noFill/>
                    <a:ln>
                      <a:noFill/>
                    </a:ln>
                  </pic:spPr>
                </pic:pic>
              </a:graphicData>
            </a:graphic>
          </wp:inline>
        </w:drawing>
      </w:r>
    </w:p>
    <w:p>
      <w:pPr>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图2.5-1  井身结构示意图（营1-斜111为例）</w:t>
      </w:r>
    </w:p>
    <w:p>
      <w:pPr>
        <w:pStyle w:val="5"/>
        <w:rPr>
          <w:rFonts w:eastAsiaTheme="minorEastAsia"/>
        </w:rPr>
      </w:pPr>
      <w:r>
        <w:rPr>
          <w:rFonts w:eastAsiaTheme="minorEastAsia"/>
        </w:rPr>
        <w:t>2.5.4  钻井工程配套方案</w:t>
      </w:r>
    </w:p>
    <w:p>
      <w:pPr>
        <w:ind w:firstLine="560"/>
        <w:rPr>
          <w:rFonts w:eastAsiaTheme="minorEastAsia"/>
        </w:rPr>
      </w:pPr>
      <w:bookmarkStart w:id="100" w:name="_Toc265987196"/>
      <w:bookmarkStart w:id="101" w:name="_Toc267061356"/>
      <w:bookmarkStart w:id="102" w:name="_Toc267290817"/>
      <w:bookmarkStart w:id="103" w:name="_Toc87280405"/>
      <w:r>
        <w:rPr>
          <w:rFonts w:eastAsiaTheme="minorEastAsia"/>
        </w:rPr>
        <w:t>1）钻井的选择</w:t>
      </w:r>
    </w:p>
    <w:p>
      <w:pPr>
        <w:ind w:firstLine="560"/>
        <w:rPr>
          <w:rFonts w:eastAsiaTheme="minorEastAsia"/>
        </w:rPr>
      </w:pPr>
      <w:r>
        <w:rPr>
          <w:rFonts w:eastAsiaTheme="minorEastAsia"/>
        </w:rPr>
        <w:t>本次方案井若按照载荷、井口装置安装等均采用30型网电钻机，但考虑到井组40型钻机正在施工，也可采用40型网电钻机。</w:t>
      </w:r>
    </w:p>
    <w:p>
      <w:pPr>
        <w:ind w:firstLine="560"/>
        <w:rPr>
          <w:rFonts w:eastAsiaTheme="minorEastAsia"/>
        </w:rPr>
      </w:pPr>
      <w:r>
        <w:rPr>
          <w:rFonts w:eastAsiaTheme="minorEastAsia"/>
        </w:rPr>
        <w:t>2）钻头选型</w:t>
      </w:r>
    </w:p>
    <w:p>
      <w:pPr>
        <w:spacing w:line="331" w:lineRule="auto"/>
        <w:ind w:firstLine="560"/>
        <w:jc w:val="left"/>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在保证井身质量和井下安全的前提下，结合选用的钻具组合优选钻井参数，充分发挥水力喷射破岩作用。钻头设计见表2.5-</w:t>
      </w:r>
      <w:r>
        <w:rPr>
          <w:rFonts w:hint="eastAsia" w:eastAsiaTheme="minorEastAsia"/>
          <w:color w:val="000000" w:themeColor="text1"/>
          <w:lang w:val="en-US" w:eastAsia="zh-CN"/>
          <w14:textFill>
            <w14:solidFill>
              <w14:schemeClr w14:val="tx1"/>
            </w14:solidFill>
          </w14:textFill>
        </w:rPr>
        <w:t>19</w:t>
      </w:r>
      <w:r>
        <w:rPr>
          <w:rFonts w:eastAsiaTheme="minorEastAsia"/>
          <w:color w:val="000000" w:themeColor="text1"/>
          <w14:textFill>
            <w14:solidFill>
              <w14:schemeClr w14:val="tx1"/>
            </w14:solidFill>
          </w14:textFill>
        </w:rPr>
        <w:t>。</w:t>
      </w:r>
    </w:p>
    <w:p>
      <w:pPr>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19</w:t>
      </w:r>
      <w:r>
        <w:rPr>
          <w:rFonts w:eastAsiaTheme="minorEastAsia"/>
          <w:b/>
          <w:color w:val="000000" w:themeColor="text1"/>
          <w:sz w:val="24"/>
          <w14:textFill>
            <w14:solidFill>
              <w14:schemeClr w14:val="tx1"/>
            </w14:solidFill>
          </w14:textFill>
        </w:rPr>
        <w:t xml:space="preserve">  定向井钻头设计表</w:t>
      </w:r>
    </w:p>
    <w:tbl>
      <w:tblPr>
        <w:tblStyle w:val="4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1806"/>
        <w:gridCol w:w="1288"/>
        <w:gridCol w:w="1109"/>
        <w:gridCol w:w="1639"/>
        <w:gridCol w:w="2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tblHeader/>
        </w:trPr>
        <w:tc>
          <w:tcPr>
            <w:tcW w:w="376" w:type="pct"/>
            <w:tcBorders>
              <w:top w:val="single" w:color="000000" w:sz="12" w:space="0"/>
              <w:left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szCs w:val="21"/>
              </w:rPr>
            </w:pPr>
            <w:r>
              <w:rPr>
                <w:rFonts w:ascii="Times New Roman" w:hAnsi="Times New Roman" w:cs="Times New Roman" w:eastAsiaTheme="minorEastAsia"/>
                <w:szCs w:val="21"/>
              </w:rPr>
              <w:t>开次</w:t>
            </w:r>
          </w:p>
        </w:tc>
        <w:tc>
          <w:tcPr>
            <w:tcW w:w="1063" w:type="pct"/>
            <w:tcBorders>
              <w:top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szCs w:val="21"/>
              </w:rPr>
            </w:pPr>
            <w:r>
              <w:rPr>
                <w:rFonts w:ascii="Times New Roman" w:hAnsi="Times New Roman" w:cs="Times New Roman" w:eastAsiaTheme="minorEastAsia"/>
                <w:szCs w:val="21"/>
              </w:rPr>
              <w:t>井段</w:t>
            </w:r>
          </w:p>
        </w:tc>
        <w:tc>
          <w:tcPr>
            <w:tcW w:w="758" w:type="pct"/>
            <w:tcBorders>
              <w:top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szCs w:val="21"/>
              </w:rPr>
            </w:pPr>
            <w:r>
              <w:rPr>
                <w:rFonts w:ascii="Times New Roman" w:hAnsi="Times New Roman" w:cs="Times New Roman" w:eastAsiaTheme="minorEastAsia"/>
                <w:szCs w:val="21"/>
              </w:rPr>
              <w:t>钻头直径</w:t>
            </w:r>
          </w:p>
          <w:p>
            <w:pPr>
              <w:pStyle w:val="256"/>
              <w:adjustRightInd w:val="0"/>
              <w:snapToGrid w:val="0"/>
              <w:spacing w:before="0" w:beforeAutospacing="0"/>
              <w:jc w:val="left"/>
              <w:rPr>
                <w:rFonts w:ascii="Times New Roman" w:hAnsi="Times New Roman" w:cs="Times New Roman" w:eastAsiaTheme="minorEastAsia"/>
                <w:szCs w:val="21"/>
              </w:rPr>
            </w:pPr>
            <w:r>
              <w:rPr>
                <w:rFonts w:hint="eastAsia" w:ascii="Times New Roman" w:hAnsi="Times New Roman" w:cs="Times New Roman" w:eastAsiaTheme="minorEastAsia"/>
                <w:szCs w:val="21"/>
              </w:rPr>
              <w:t>（</w:t>
            </w:r>
            <w:r>
              <w:rPr>
                <w:rFonts w:ascii="Times New Roman" w:hAnsi="Times New Roman" w:cs="Times New Roman" w:eastAsiaTheme="minorEastAsia"/>
                <w:szCs w:val="21"/>
              </w:rPr>
              <w:t>mm</w:t>
            </w:r>
            <w:r>
              <w:rPr>
                <w:rFonts w:hint="eastAsia" w:ascii="Times New Roman" w:hAnsi="Times New Roman" w:cs="Times New Roman" w:eastAsiaTheme="minorEastAsia"/>
                <w:szCs w:val="21"/>
              </w:rPr>
              <w:t>）</w:t>
            </w:r>
          </w:p>
        </w:tc>
        <w:tc>
          <w:tcPr>
            <w:tcW w:w="653" w:type="pct"/>
            <w:tcBorders>
              <w:top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szCs w:val="21"/>
              </w:rPr>
            </w:pPr>
            <w:r>
              <w:rPr>
                <w:rFonts w:ascii="Times New Roman" w:hAnsi="Times New Roman" w:cs="Times New Roman" w:eastAsiaTheme="minorEastAsia"/>
                <w:szCs w:val="21"/>
              </w:rPr>
              <w:t>推荐类型</w:t>
            </w:r>
          </w:p>
        </w:tc>
        <w:tc>
          <w:tcPr>
            <w:tcW w:w="965" w:type="pct"/>
            <w:tcBorders>
              <w:top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szCs w:val="21"/>
              </w:rPr>
            </w:pPr>
            <w:r>
              <w:rPr>
                <w:rFonts w:ascii="Times New Roman" w:hAnsi="Times New Roman" w:cs="Times New Roman" w:eastAsiaTheme="minorEastAsia"/>
                <w:szCs w:val="21"/>
              </w:rPr>
              <w:t>钻  压</w:t>
            </w:r>
          </w:p>
          <w:p>
            <w:pPr>
              <w:pStyle w:val="256"/>
              <w:adjustRightInd w:val="0"/>
              <w:snapToGrid w:val="0"/>
              <w:spacing w:before="0" w:beforeAutospacing="0"/>
              <w:jc w:val="left"/>
              <w:rPr>
                <w:rFonts w:ascii="Times New Roman" w:hAnsi="Times New Roman" w:cs="Times New Roman" w:eastAsiaTheme="minorEastAsia"/>
                <w:szCs w:val="21"/>
              </w:rPr>
            </w:pPr>
            <w:r>
              <w:rPr>
                <w:rFonts w:hint="eastAsia" w:ascii="Times New Roman" w:hAnsi="Times New Roman" w:cs="Times New Roman" w:eastAsiaTheme="minorEastAsia"/>
                <w:szCs w:val="21"/>
              </w:rPr>
              <w:t>（</w:t>
            </w:r>
            <w:r>
              <w:rPr>
                <w:rFonts w:ascii="Times New Roman" w:hAnsi="Times New Roman" w:cs="Times New Roman" w:eastAsiaTheme="minorEastAsia"/>
                <w:szCs w:val="21"/>
              </w:rPr>
              <w:t>kN</w:t>
            </w:r>
            <w:r>
              <w:rPr>
                <w:rFonts w:hint="eastAsia" w:ascii="Times New Roman" w:hAnsi="Times New Roman" w:cs="Times New Roman" w:eastAsiaTheme="minorEastAsia"/>
                <w:szCs w:val="21"/>
              </w:rPr>
              <w:t>）</w:t>
            </w:r>
          </w:p>
        </w:tc>
        <w:tc>
          <w:tcPr>
            <w:tcW w:w="1182" w:type="pct"/>
            <w:tcBorders>
              <w:top w:val="single" w:color="000000" w:sz="12" w:space="0"/>
              <w:right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szCs w:val="21"/>
              </w:rPr>
            </w:pPr>
            <w:r>
              <w:rPr>
                <w:rFonts w:ascii="Times New Roman" w:hAnsi="Times New Roman" w:cs="Times New Roman" w:eastAsiaTheme="minorEastAsia"/>
                <w:szCs w:val="21"/>
              </w:rPr>
              <w:t>转  速</w:t>
            </w:r>
          </w:p>
          <w:p>
            <w:pPr>
              <w:pStyle w:val="256"/>
              <w:adjustRightInd w:val="0"/>
              <w:snapToGrid w:val="0"/>
              <w:spacing w:before="0" w:beforeAutospacing="0"/>
              <w:jc w:val="left"/>
              <w:rPr>
                <w:rFonts w:ascii="Times New Roman" w:hAnsi="Times New Roman" w:cs="Times New Roman" w:eastAsiaTheme="minorEastAsia"/>
                <w:szCs w:val="21"/>
              </w:rPr>
            </w:pPr>
            <w:r>
              <w:rPr>
                <w:rFonts w:hint="eastAsia" w:ascii="Times New Roman" w:hAnsi="Times New Roman" w:cs="Times New Roman" w:eastAsiaTheme="minorEastAsia"/>
                <w:szCs w:val="21"/>
              </w:rPr>
              <w:t>（</w:t>
            </w:r>
            <w:r>
              <w:rPr>
                <w:rFonts w:ascii="Times New Roman" w:hAnsi="Times New Roman" w:cs="Times New Roman" w:eastAsiaTheme="minorEastAsia"/>
                <w:szCs w:val="21"/>
              </w:rPr>
              <w:t>r/min</w:t>
            </w:r>
            <w:r>
              <w:rPr>
                <w:rFonts w:hint="eastAsia" w:ascii="Times New Roman" w:hAnsi="Times New Roman" w:cs="Times New Roman" w:eastAsia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376" w:type="pct"/>
            <w:vMerge w:val="restart"/>
            <w:tcBorders>
              <w:left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一开</w:t>
            </w:r>
          </w:p>
        </w:tc>
        <w:tc>
          <w:tcPr>
            <w:tcW w:w="1063"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直井段</w:t>
            </w:r>
          </w:p>
        </w:tc>
        <w:tc>
          <w:tcPr>
            <w:tcW w:w="758" w:type="pct"/>
            <w:vMerge w:val="restar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Φ346.1</w:t>
            </w:r>
          </w:p>
        </w:tc>
        <w:tc>
          <w:tcPr>
            <w:tcW w:w="653" w:type="pct"/>
            <w:vMerge w:val="restar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PDC</w:t>
            </w:r>
          </w:p>
        </w:tc>
        <w:tc>
          <w:tcPr>
            <w:tcW w:w="965"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30～60</w:t>
            </w:r>
          </w:p>
        </w:tc>
        <w:tc>
          <w:tcPr>
            <w:tcW w:w="1182" w:type="pct"/>
            <w:tcBorders>
              <w:right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70+螺杆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trPr>
        <w:tc>
          <w:tcPr>
            <w:tcW w:w="376" w:type="pct"/>
            <w:vMerge w:val="continue"/>
            <w:tcBorders>
              <w:left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p>
        </w:tc>
        <w:tc>
          <w:tcPr>
            <w:tcW w:w="1063"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定向段</w:t>
            </w:r>
          </w:p>
        </w:tc>
        <w:tc>
          <w:tcPr>
            <w:tcW w:w="758" w:type="pct"/>
            <w:vMerge w:val="continue"/>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p>
        </w:tc>
        <w:tc>
          <w:tcPr>
            <w:tcW w:w="653" w:type="pct"/>
            <w:vMerge w:val="continue"/>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p>
        </w:tc>
        <w:tc>
          <w:tcPr>
            <w:tcW w:w="965"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30～60</w:t>
            </w:r>
          </w:p>
        </w:tc>
        <w:tc>
          <w:tcPr>
            <w:tcW w:w="1182" w:type="pct"/>
            <w:tcBorders>
              <w:right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螺杆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6" w:hRule="atLeast"/>
        </w:trPr>
        <w:tc>
          <w:tcPr>
            <w:tcW w:w="376" w:type="pct"/>
            <w:vMerge w:val="continue"/>
            <w:tcBorders>
              <w:left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p>
        </w:tc>
        <w:tc>
          <w:tcPr>
            <w:tcW w:w="1063"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稳斜段</w:t>
            </w:r>
          </w:p>
        </w:tc>
        <w:tc>
          <w:tcPr>
            <w:tcW w:w="758" w:type="pct"/>
            <w:vMerge w:val="continue"/>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p>
        </w:tc>
        <w:tc>
          <w:tcPr>
            <w:tcW w:w="653" w:type="pct"/>
            <w:vMerge w:val="continue"/>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p>
        </w:tc>
        <w:tc>
          <w:tcPr>
            <w:tcW w:w="965"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30～60</w:t>
            </w:r>
          </w:p>
        </w:tc>
        <w:tc>
          <w:tcPr>
            <w:tcW w:w="1182" w:type="pct"/>
            <w:tcBorders>
              <w:right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70+螺杆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376" w:type="pct"/>
            <w:tcBorders>
              <w:left w:val="single" w:color="000000" w:sz="12" w:space="0"/>
              <w:bottom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二开</w:t>
            </w:r>
          </w:p>
        </w:tc>
        <w:tc>
          <w:tcPr>
            <w:tcW w:w="1063" w:type="pct"/>
            <w:tcBorders>
              <w:bottom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稳斜段</w:t>
            </w:r>
          </w:p>
        </w:tc>
        <w:tc>
          <w:tcPr>
            <w:tcW w:w="758" w:type="pct"/>
            <w:tcBorders>
              <w:bottom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Φ241.3</w:t>
            </w:r>
          </w:p>
        </w:tc>
        <w:tc>
          <w:tcPr>
            <w:tcW w:w="653" w:type="pct"/>
            <w:vMerge w:val="continue"/>
            <w:tcBorders>
              <w:bottom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p>
        </w:tc>
        <w:tc>
          <w:tcPr>
            <w:tcW w:w="965" w:type="pct"/>
            <w:tcBorders>
              <w:bottom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40～60</w:t>
            </w:r>
          </w:p>
        </w:tc>
        <w:tc>
          <w:tcPr>
            <w:tcW w:w="1182" w:type="pct"/>
            <w:tcBorders>
              <w:bottom w:val="single" w:color="000000" w:sz="12" w:space="0"/>
              <w:right w:val="single" w:color="000000" w:sz="12" w:space="0"/>
            </w:tcBorders>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70+螺杆</w:t>
            </w:r>
          </w:p>
        </w:tc>
      </w:tr>
    </w:tbl>
    <w:p>
      <w:pPr>
        <w:spacing w:before="360" w:beforeLines="150"/>
        <w:ind w:firstLine="560"/>
        <w:jc w:val="left"/>
        <w:rPr>
          <w:rFonts w:eastAsiaTheme="minorEastAsia"/>
          <w:bCs/>
          <w:color w:val="000000" w:themeColor="text1"/>
          <w14:textFill>
            <w14:solidFill>
              <w14:schemeClr w14:val="tx1"/>
            </w14:solidFill>
          </w14:textFill>
        </w:rPr>
      </w:pPr>
      <w:r>
        <w:rPr>
          <w:rFonts w:eastAsiaTheme="minorEastAsia"/>
          <w:bCs/>
          <w:color w:val="000000" w:themeColor="text1"/>
          <w14:textFill>
            <w14:solidFill>
              <w14:schemeClr w14:val="tx1"/>
            </w14:solidFill>
          </w14:textFill>
        </w:rPr>
        <w:t>3）</w:t>
      </w:r>
      <w:bookmarkStart w:id="104" w:name="_Toc88644743"/>
      <w:bookmarkStart w:id="105" w:name="_Toc88656261"/>
      <w:r>
        <w:rPr>
          <w:rFonts w:eastAsiaTheme="minorEastAsia"/>
          <w:color w:val="000000" w:themeColor="text1"/>
          <w14:textFill>
            <w14:solidFill>
              <w14:schemeClr w14:val="tx1"/>
            </w14:solidFill>
          </w14:textFill>
        </w:rPr>
        <w:t>钻具组合及钻柱强度校核</w:t>
      </w:r>
      <w:bookmarkEnd w:id="104"/>
      <w:bookmarkEnd w:id="105"/>
    </w:p>
    <w:p>
      <w:pPr>
        <w:ind w:firstLine="560"/>
        <w:jc w:val="left"/>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根据钻具组合选择思路确定本区钻具组合方式，实际钻进过程中可根据钻遇地层的实际情况适时调整钻具组合，最大限度地符合地层规律，确保钻具组合与地层相配伍，从而提高机械钻速，实现钻探目的。钻具组合方案见表2.5-</w:t>
      </w:r>
      <w:r>
        <w:rPr>
          <w:rFonts w:hint="eastAsia" w:eastAsiaTheme="minorEastAsia"/>
          <w:color w:val="000000" w:themeColor="text1"/>
          <w:lang w:val="en-US" w:eastAsia="zh-CN"/>
          <w14:textFill>
            <w14:solidFill>
              <w14:schemeClr w14:val="tx1"/>
            </w14:solidFill>
          </w14:textFill>
        </w:rPr>
        <w:t>20</w:t>
      </w:r>
      <w:r>
        <w:rPr>
          <w:rFonts w:eastAsiaTheme="minorEastAsia"/>
          <w:color w:val="000000" w:themeColor="text1"/>
          <w14:textFill>
            <w14:solidFill>
              <w14:schemeClr w14:val="tx1"/>
            </w14:solidFill>
          </w14:textFill>
        </w:rPr>
        <w:t>。</w:t>
      </w:r>
    </w:p>
    <w:p>
      <w:pPr>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20</w:t>
      </w:r>
      <w:r>
        <w:rPr>
          <w:rFonts w:eastAsiaTheme="minorEastAsia"/>
          <w:b/>
          <w:color w:val="000000" w:themeColor="text1"/>
          <w:sz w:val="24"/>
          <w14:textFill>
            <w14:solidFill>
              <w14:schemeClr w14:val="tx1"/>
            </w14:solidFill>
          </w14:textFill>
        </w:rPr>
        <w:t xml:space="preserve">  定向井钻具组合设计</w:t>
      </w:r>
    </w:p>
    <w:tbl>
      <w:tblPr>
        <w:tblStyle w:val="45"/>
        <w:tblW w:w="4998" w:type="pct"/>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57" w:type="dxa"/>
          <w:bottom w:w="0" w:type="dxa"/>
          <w:right w:w="57" w:type="dxa"/>
        </w:tblCellMar>
      </w:tblPr>
      <w:tblGrid>
        <w:gridCol w:w="857"/>
        <w:gridCol w:w="811"/>
        <w:gridCol w:w="940"/>
        <w:gridCol w:w="5781"/>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136" w:hRule="atLeast"/>
          <w:jc w:val="center"/>
        </w:trPr>
        <w:tc>
          <w:tcPr>
            <w:tcW w:w="994" w:type="pct"/>
            <w:gridSpan w:val="2"/>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开钻</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次序</w:t>
            </w:r>
          </w:p>
        </w:tc>
        <w:tc>
          <w:tcPr>
            <w:tcW w:w="560" w:type="pc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井眼尺寸（mm）</w:t>
            </w:r>
          </w:p>
        </w:tc>
        <w:tc>
          <w:tcPr>
            <w:tcW w:w="3445" w:type="pc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钻具组合</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106" w:hRule="atLeast"/>
          <w:jc w:val="center"/>
        </w:trPr>
        <w:tc>
          <w:tcPr>
            <w:tcW w:w="511" w:type="pct"/>
            <w:vMerge w:val="restar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一开</w:t>
            </w:r>
          </w:p>
        </w:tc>
        <w:tc>
          <w:tcPr>
            <w:tcW w:w="482"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直井段</w:t>
            </w:r>
          </w:p>
        </w:tc>
        <w:tc>
          <w:tcPr>
            <w:tcW w:w="560" w:type="pct"/>
            <w:vMerge w:val="restar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346.1</w:t>
            </w:r>
          </w:p>
        </w:tc>
        <w:tc>
          <w:tcPr>
            <w:tcW w:w="3445" w:type="pct"/>
            <w:vMerge w:val="restar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Φ346.1mm钻头 +Φ244.5mm1.5°单弯动力钻具+止回阀+Φ177.8mm无磁钻铤1根+MWD+Φ177.8mm钻铤2根+Φ127mm加重钻杆15根+Φ127mm钻杆</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106" w:hRule="atLeast"/>
          <w:jc w:val="center"/>
        </w:trPr>
        <w:tc>
          <w:tcPr>
            <w:tcW w:w="511" w:type="pct"/>
            <w:vMerge w:val="continue"/>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p>
        </w:tc>
        <w:tc>
          <w:tcPr>
            <w:tcW w:w="482"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定向段</w:t>
            </w:r>
          </w:p>
        </w:tc>
        <w:tc>
          <w:tcPr>
            <w:tcW w:w="560" w:type="pct"/>
            <w:vMerge w:val="continue"/>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p>
        </w:tc>
        <w:tc>
          <w:tcPr>
            <w:tcW w:w="3445" w:type="pct"/>
            <w:vMerge w:val="continue"/>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106" w:hRule="atLeast"/>
          <w:jc w:val="center"/>
        </w:trPr>
        <w:tc>
          <w:tcPr>
            <w:tcW w:w="511" w:type="pct"/>
            <w:vMerge w:val="continue"/>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p>
        </w:tc>
        <w:tc>
          <w:tcPr>
            <w:tcW w:w="482"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稳斜段</w:t>
            </w:r>
          </w:p>
        </w:tc>
        <w:tc>
          <w:tcPr>
            <w:tcW w:w="560" w:type="pct"/>
            <w:vMerge w:val="continue"/>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p>
        </w:tc>
        <w:tc>
          <w:tcPr>
            <w:tcW w:w="3445" w:type="pct"/>
            <w:vMerge w:val="continue"/>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106" w:hRule="atLeast"/>
          <w:jc w:val="center"/>
        </w:trPr>
        <w:tc>
          <w:tcPr>
            <w:tcW w:w="511"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二开</w:t>
            </w:r>
          </w:p>
        </w:tc>
        <w:tc>
          <w:tcPr>
            <w:tcW w:w="482"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稳斜段</w:t>
            </w:r>
          </w:p>
        </w:tc>
        <w:tc>
          <w:tcPr>
            <w:tcW w:w="560"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241.3</w:t>
            </w:r>
          </w:p>
        </w:tc>
        <w:tc>
          <w:tcPr>
            <w:tcW w:w="3445"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241.3mm钻头+Φ196.7mm1.25°单弯动力钻具+止回阀+Φ177.8mm无磁钻铤1根+MWD+Φ177.8mm钻铤2根+Φ127mm加重钻杆30根+Φ127mm钻杆</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106" w:hRule="atLeast"/>
          <w:jc w:val="center"/>
        </w:trPr>
        <w:tc>
          <w:tcPr>
            <w:tcW w:w="994" w:type="pct"/>
            <w:gridSpan w:val="2"/>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通井</w:t>
            </w:r>
          </w:p>
        </w:tc>
        <w:tc>
          <w:tcPr>
            <w:tcW w:w="560"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241.3</w:t>
            </w:r>
          </w:p>
        </w:tc>
        <w:tc>
          <w:tcPr>
            <w:tcW w:w="3445" w:type="pct"/>
            <w:vAlign w:val="center"/>
          </w:tcPr>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组合一：Φ241.3mm钻头+止回阀+Φ177.8mm钻铤2根+Φ235mm螺扶+Φ127mm加重钻杆+Φ127mm钻杆</w:t>
            </w:r>
          </w:p>
          <w:p>
            <w:pPr>
              <w:pStyle w:val="256"/>
              <w:adjustRightInd w:val="0"/>
              <w:snapToGrid w:val="0"/>
              <w:spacing w:before="0" w:beforeAutospacing="0"/>
              <w:jc w:val="left"/>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组合二：Φ241.3mm钻头+Φ235mm螺扶+止回阀+Φ127mm加重钻杆1根+Φ235mm螺扶+Φ127mm加重钻杆+Φ127mm钻杆</w:t>
            </w:r>
          </w:p>
        </w:tc>
      </w:tr>
      <w:bookmarkEnd w:id="100"/>
      <w:bookmarkEnd w:id="101"/>
      <w:bookmarkEnd w:id="102"/>
      <w:bookmarkEnd w:id="103"/>
    </w:tbl>
    <w:p>
      <w:pPr>
        <w:pStyle w:val="5"/>
        <w:spacing w:before="360" w:beforeLines="150"/>
        <w:rPr>
          <w:rFonts w:eastAsiaTheme="minorEastAsia"/>
        </w:rPr>
      </w:pPr>
      <w:bookmarkStart w:id="106" w:name="_Toc268958768"/>
      <w:bookmarkStart w:id="107" w:name="_Toc267290805"/>
      <w:bookmarkStart w:id="108" w:name="_Toc87280408"/>
      <w:bookmarkStart w:id="109" w:name="_Toc265987184"/>
      <w:r>
        <w:rPr>
          <w:rFonts w:eastAsiaTheme="minorEastAsia"/>
        </w:rPr>
        <w:t>2.5.5  钻井液设计</w:t>
      </w:r>
      <w:bookmarkEnd w:id="106"/>
      <w:bookmarkEnd w:id="107"/>
      <w:bookmarkEnd w:id="108"/>
      <w:bookmarkEnd w:id="109"/>
    </w:p>
    <w:p>
      <w:pPr>
        <w:ind w:firstLine="560"/>
        <w:rPr>
          <w:rFonts w:eastAsiaTheme="minorEastAsia"/>
        </w:rPr>
      </w:pPr>
      <w:bookmarkStart w:id="110" w:name="_Toc267061345"/>
      <w:bookmarkStart w:id="111" w:name="_Toc267290806"/>
      <w:bookmarkStart w:id="112" w:name="_Toc265987185"/>
      <w:bookmarkStart w:id="113" w:name="_Toc257813395"/>
      <w:bookmarkStart w:id="114" w:name="_Toc87280409"/>
      <w:r>
        <w:rPr>
          <w:rFonts w:eastAsiaTheme="minorEastAsia"/>
        </w:rPr>
        <w:t>1）钻井液体系</w:t>
      </w:r>
      <w:bookmarkEnd w:id="110"/>
      <w:bookmarkEnd w:id="111"/>
      <w:bookmarkEnd w:id="112"/>
      <w:bookmarkEnd w:id="113"/>
      <w:bookmarkEnd w:id="114"/>
    </w:p>
    <w:p>
      <w:pPr>
        <w:ind w:firstLine="560"/>
        <w:rPr>
          <w:rFonts w:eastAsiaTheme="minorEastAsia"/>
        </w:rPr>
      </w:pPr>
      <w:r>
        <w:rPr>
          <w:rFonts w:eastAsiaTheme="minorEastAsia"/>
        </w:rPr>
        <w:t>新钻井钻开储层推荐采用聚合物润滑防塌钻井液体系。</w:t>
      </w:r>
    </w:p>
    <w:p>
      <w:pPr>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21</w:t>
      </w:r>
      <w:r>
        <w:rPr>
          <w:rFonts w:eastAsiaTheme="minorEastAsia"/>
          <w:b/>
          <w:color w:val="000000" w:themeColor="text1"/>
          <w:sz w:val="24"/>
          <w14:textFill>
            <w14:solidFill>
              <w14:schemeClr w14:val="tx1"/>
            </w14:solidFill>
          </w14:textFill>
        </w:rPr>
        <w:t xml:space="preserve">  钻井液体系</w:t>
      </w:r>
    </w:p>
    <w:tbl>
      <w:tblPr>
        <w:tblStyle w:val="45"/>
        <w:tblpPr w:leftFromText="180" w:rightFromText="180" w:vertAnchor="text" w:horzAnchor="margin" w:tblpY="4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3924"/>
        <w:gridCol w:w="4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 w:hRule="atLeast"/>
        </w:trPr>
        <w:tc>
          <w:tcPr>
            <w:tcW w:w="2338" w:type="pct"/>
            <w:tcBorders>
              <w:top w:val="single" w:color="000000" w:sz="12" w:space="0"/>
              <w:left w:val="single" w:color="000000" w:sz="12" w:space="0"/>
              <w:bottom w:val="single" w:color="auto" w:sz="4" w:space="0"/>
              <w:right w:val="single" w:color="auto" w:sz="4" w:space="0"/>
            </w:tcBorders>
            <w:vAlign w:val="center"/>
          </w:tcPr>
          <w:p>
            <w:pPr>
              <w:pStyle w:val="256"/>
              <w:rPr>
                <w:rFonts w:ascii="Times New Roman" w:hAnsi="Times New Roman" w:cs="Times New Roman" w:eastAsiaTheme="minorEastAsia"/>
                <w:szCs w:val="21"/>
              </w:rPr>
            </w:pPr>
            <w:r>
              <w:rPr>
                <w:rFonts w:ascii="Times New Roman" w:hAnsi="Times New Roman" w:cs="Times New Roman" w:eastAsiaTheme="minorEastAsia"/>
                <w:szCs w:val="21"/>
              </w:rPr>
              <w:t>井段层位</w:t>
            </w:r>
          </w:p>
        </w:tc>
        <w:tc>
          <w:tcPr>
            <w:tcW w:w="2661" w:type="pct"/>
            <w:tcBorders>
              <w:top w:val="single" w:color="000000" w:sz="12" w:space="0"/>
              <w:left w:val="single" w:color="auto" w:sz="4" w:space="0"/>
              <w:bottom w:val="single" w:color="auto" w:sz="4" w:space="0"/>
              <w:right w:val="single" w:color="000000" w:sz="12" w:space="0"/>
            </w:tcBorders>
            <w:vAlign w:val="center"/>
          </w:tcPr>
          <w:p>
            <w:pPr>
              <w:pStyle w:val="256"/>
              <w:rPr>
                <w:rFonts w:ascii="Times New Roman" w:hAnsi="Times New Roman" w:cs="Times New Roman" w:eastAsiaTheme="minorEastAsia"/>
                <w:szCs w:val="21"/>
              </w:rPr>
            </w:pPr>
            <w:r>
              <w:rPr>
                <w:rFonts w:ascii="Times New Roman" w:hAnsi="Times New Roman" w:cs="Times New Roman" w:eastAsiaTheme="minorEastAsia"/>
                <w:szCs w:val="21"/>
              </w:rPr>
              <w:t>钻井液体系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 w:hRule="atLeast"/>
        </w:trPr>
        <w:tc>
          <w:tcPr>
            <w:tcW w:w="2338" w:type="pct"/>
            <w:tcBorders>
              <w:top w:val="single" w:color="auto" w:sz="4" w:space="0"/>
              <w:left w:val="single" w:color="000000" w:sz="12" w:space="0"/>
              <w:bottom w:val="single" w:color="auto" w:sz="4" w:space="0"/>
              <w:right w:val="single" w:color="auto" w:sz="4" w:space="0"/>
            </w:tcBorders>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一开</w:t>
            </w:r>
          </w:p>
        </w:tc>
        <w:tc>
          <w:tcPr>
            <w:tcW w:w="2661" w:type="pct"/>
            <w:tcBorders>
              <w:top w:val="single" w:color="auto" w:sz="4" w:space="0"/>
              <w:left w:val="single" w:color="auto" w:sz="4" w:space="0"/>
              <w:bottom w:val="single" w:color="auto" w:sz="4" w:space="0"/>
              <w:right w:val="single" w:color="000000" w:sz="12" w:space="0"/>
            </w:tcBorders>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聚合物（润滑）钻井液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 w:hRule="atLeast"/>
        </w:trPr>
        <w:tc>
          <w:tcPr>
            <w:tcW w:w="2338" w:type="pct"/>
            <w:tcBorders>
              <w:top w:val="single" w:color="auto" w:sz="4" w:space="0"/>
              <w:left w:val="single" w:color="000000" w:sz="12" w:space="0"/>
              <w:bottom w:val="single" w:color="auto" w:sz="4" w:space="0"/>
              <w:right w:val="single" w:color="auto" w:sz="4" w:space="0"/>
            </w:tcBorders>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二开上部</w:t>
            </w:r>
          </w:p>
        </w:tc>
        <w:tc>
          <w:tcPr>
            <w:tcW w:w="2661" w:type="pct"/>
            <w:tcBorders>
              <w:top w:val="single" w:color="auto" w:sz="4" w:space="0"/>
              <w:left w:val="single" w:color="auto" w:sz="4" w:space="0"/>
              <w:bottom w:val="single" w:color="auto" w:sz="4" w:space="0"/>
              <w:right w:val="single" w:color="000000" w:sz="12" w:space="0"/>
            </w:tcBorders>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钙处理-聚合物（润滑）钻井液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 w:hRule="atLeast"/>
        </w:trPr>
        <w:tc>
          <w:tcPr>
            <w:tcW w:w="2338" w:type="pct"/>
            <w:tcBorders>
              <w:top w:val="single" w:color="auto" w:sz="4" w:space="0"/>
              <w:left w:val="single" w:color="000000" w:sz="12" w:space="0"/>
              <w:bottom w:val="single" w:color="000000" w:sz="12" w:space="0"/>
              <w:right w:val="single" w:color="auto" w:sz="4" w:space="0"/>
            </w:tcBorders>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二开下部</w:t>
            </w:r>
          </w:p>
        </w:tc>
        <w:tc>
          <w:tcPr>
            <w:tcW w:w="2661" w:type="pct"/>
            <w:tcBorders>
              <w:top w:val="single" w:color="auto" w:sz="4" w:space="0"/>
              <w:left w:val="single" w:color="auto" w:sz="4" w:space="0"/>
              <w:bottom w:val="single" w:color="000000" w:sz="12" w:space="0"/>
              <w:right w:val="single" w:color="000000" w:sz="12" w:space="0"/>
            </w:tcBorders>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聚合物润滑封堵防塌钻井液</w:t>
            </w:r>
          </w:p>
        </w:tc>
      </w:tr>
    </w:tbl>
    <w:p>
      <w:pPr>
        <w:spacing w:before="360" w:beforeLines="150"/>
        <w:ind w:firstLine="560"/>
        <w:rPr>
          <w:rFonts w:eastAsiaTheme="minorEastAsia"/>
        </w:rPr>
      </w:pPr>
      <w:r>
        <w:rPr>
          <w:rFonts w:eastAsiaTheme="minorEastAsia"/>
        </w:rPr>
        <w:t>2）分段钻井液体系性能与流变参数</w:t>
      </w:r>
    </w:p>
    <w:p>
      <w:pPr>
        <w:ind w:firstLine="560"/>
        <w:rPr>
          <w:rFonts w:eastAsiaTheme="minorEastAsia"/>
        </w:rPr>
      </w:pPr>
      <w:r>
        <w:rPr>
          <w:rFonts w:eastAsiaTheme="minorEastAsia"/>
        </w:rPr>
        <w:t>推荐新钻井分段钻井液体系主要性能与流变参数分别见表2.5-</w:t>
      </w:r>
      <w:r>
        <w:rPr>
          <w:rFonts w:hint="eastAsia" w:eastAsiaTheme="minorEastAsia"/>
          <w:lang w:val="en-US" w:eastAsia="zh-CN"/>
        </w:rPr>
        <w:t>22</w:t>
      </w:r>
      <w:r>
        <w:rPr>
          <w:rFonts w:eastAsiaTheme="minorEastAsia"/>
        </w:rPr>
        <w:t>。</w:t>
      </w:r>
    </w:p>
    <w:p>
      <w:pPr>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22</w:t>
      </w:r>
      <w:r>
        <w:rPr>
          <w:rFonts w:eastAsiaTheme="minorEastAsia"/>
          <w:b/>
          <w:color w:val="000000" w:themeColor="text1"/>
          <w:sz w:val="24"/>
          <w14:textFill>
            <w14:solidFill>
              <w14:schemeClr w14:val="tx1"/>
            </w14:solidFill>
          </w14:textFill>
        </w:rPr>
        <w:t xml:space="preserve">  钻井液主要性能与流变参数</w:t>
      </w:r>
    </w:p>
    <w:tbl>
      <w:tblPr>
        <w:tblStyle w:val="45"/>
        <w:tblW w:w="5000" w:type="pct"/>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2053"/>
        <w:gridCol w:w="1266"/>
        <w:gridCol w:w="1573"/>
        <w:gridCol w:w="1695"/>
        <w:gridCol w:w="1861"/>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16" w:hRule="exact"/>
          <w:jc w:val="center"/>
        </w:trPr>
        <w:tc>
          <w:tcPr>
            <w:tcW w:w="2306" w:type="dxa"/>
            <w:vMerge w:val="restart"/>
            <w:tcMar>
              <w:left w:w="85" w:type="dxa"/>
              <w:right w:w="85" w:type="dxa"/>
            </w:tcMar>
            <w:vAlign w:val="center"/>
          </w:tcPr>
          <w:p>
            <w:pPr>
              <w:pStyle w:val="256"/>
              <w:rPr>
                <w:rFonts w:ascii="Times New Roman" w:hAnsi="Times New Roman" w:cs="Times New Roman" w:eastAsiaTheme="minorEastAsia"/>
                <w:szCs w:val="21"/>
              </w:rPr>
            </w:pPr>
            <w:r>
              <w:rPr>
                <w:rFonts w:ascii="Times New Roman" w:hAnsi="Times New Roman" w:cs="Times New Roman" w:eastAsiaTheme="minorEastAsia"/>
                <w:szCs w:val="21"/>
              </w:rPr>
              <w:t>项目</w:t>
            </w:r>
          </w:p>
        </w:tc>
        <w:tc>
          <w:tcPr>
            <w:tcW w:w="7163" w:type="dxa"/>
            <w:gridSpan w:val="4"/>
            <w:tcMar>
              <w:left w:w="85" w:type="dxa"/>
              <w:right w:w="85" w:type="dxa"/>
            </w:tcMar>
          </w:tcPr>
          <w:p>
            <w:pPr>
              <w:pStyle w:val="256"/>
              <w:rPr>
                <w:rFonts w:ascii="Times New Roman" w:hAnsi="Times New Roman" w:cs="Times New Roman" w:eastAsiaTheme="minorEastAsia"/>
                <w:szCs w:val="21"/>
              </w:rPr>
            </w:pPr>
            <w:r>
              <w:rPr>
                <w:rFonts w:ascii="Times New Roman" w:hAnsi="Times New Roman" w:cs="Times New Roman" w:eastAsiaTheme="minorEastAsia"/>
                <w:szCs w:val="21"/>
              </w:rPr>
              <w:t>性能指标</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16" w:hRule="exact"/>
          <w:jc w:val="center"/>
        </w:trPr>
        <w:tc>
          <w:tcPr>
            <w:tcW w:w="2306" w:type="dxa"/>
            <w:vMerge w:val="continue"/>
            <w:tcMar>
              <w:left w:w="85" w:type="dxa"/>
              <w:right w:w="85" w:type="dxa"/>
            </w:tcMar>
            <w:vAlign w:val="center"/>
          </w:tcPr>
          <w:p>
            <w:pPr>
              <w:pStyle w:val="256"/>
              <w:rPr>
                <w:rFonts w:ascii="Times New Roman" w:hAnsi="Times New Roman" w:cs="Times New Roman" w:eastAsiaTheme="minorEastAsia"/>
                <w:szCs w:val="21"/>
              </w:rPr>
            </w:pPr>
          </w:p>
        </w:tc>
        <w:tc>
          <w:tcPr>
            <w:tcW w:w="1413" w:type="dxa"/>
            <w:tcMar>
              <w:left w:w="85" w:type="dxa"/>
              <w:right w:w="85" w:type="dxa"/>
            </w:tcMar>
            <w:vAlign w:val="center"/>
          </w:tcPr>
          <w:p>
            <w:pPr>
              <w:pStyle w:val="256"/>
              <w:rPr>
                <w:rFonts w:ascii="Times New Roman" w:hAnsi="Times New Roman" w:cs="Times New Roman" w:eastAsiaTheme="minorEastAsia"/>
                <w:szCs w:val="21"/>
              </w:rPr>
            </w:pPr>
            <w:r>
              <w:rPr>
                <w:rFonts w:ascii="Times New Roman" w:hAnsi="Times New Roman" w:cs="Times New Roman" w:eastAsiaTheme="minorEastAsia"/>
                <w:szCs w:val="21"/>
              </w:rPr>
              <w:t>一开</w:t>
            </w:r>
          </w:p>
        </w:tc>
        <w:tc>
          <w:tcPr>
            <w:tcW w:w="1761" w:type="dxa"/>
            <w:tcMar>
              <w:left w:w="85" w:type="dxa"/>
              <w:right w:w="85" w:type="dxa"/>
            </w:tcMar>
            <w:vAlign w:val="center"/>
          </w:tcPr>
          <w:p>
            <w:pPr>
              <w:pStyle w:val="256"/>
              <w:rPr>
                <w:rFonts w:ascii="Times New Roman" w:hAnsi="Times New Roman" w:cs="Times New Roman" w:eastAsiaTheme="minorEastAsia"/>
                <w:szCs w:val="21"/>
              </w:rPr>
            </w:pPr>
            <w:r>
              <w:rPr>
                <w:rFonts w:ascii="Times New Roman" w:hAnsi="Times New Roman" w:cs="Times New Roman" w:eastAsiaTheme="minorEastAsia"/>
                <w:szCs w:val="21"/>
              </w:rPr>
              <w:t>二开上部</w:t>
            </w:r>
          </w:p>
        </w:tc>
        <w:tc>
          <w:tcPr>
            <w:tcW w:w="1900" w:type="dxa"/>
            <w:tcMar>
              <w:left w:w="85" w:type="dxa"/>
              <w:right w:w="85" w:type="dxa"/>
            </w:tcMar>
            <w:vAlign w:val="center"/>
          </w:tcPr>
          <w:p>
            <w:pPr>
              <w:pStyle w:val="256"/>
              <w:rPr>
                <w:rFonts w:ascii="Times New Roman" w:hAnsi="Times New Roman" w:cs="Times New Roman" w:eastAsiaTheme="minorEastAsia"/>
                <w:szCs w:val="21"/>
              </w:rPr>
            </w:pPr>
            <w:r>
              <w:rPr>
                <w:rFonts w:ascii="Times New Roman" w:hAnsi="Times New Roman" w:cs="Times New Roman" w:eastAsiaTheme="minorEastAsia"/>
                <w:szCs w:val="21"/>
              </w:rPr>
              <w:t>二开中部</w:t>
            </w:r>
          </w:p>
        </w:tc>
        <w:tc>
          <w:tcPr>
            <w:tcW w:w="2089" w:type="dxa"/>
            <w:tcMar>
              <w:left w:w="85" w:type="dxa"/>
              <w:right w:w="85" w:type="dxa"/>
            </w:tcMar>
            <w:vAlign w:val="center"/>
          </w:tcPr>
          <w:p>
            <w:pPr>
              <w:pStyle w:val="256"/>
              <w:rPr>
                <w:rFonts w:ascii="Times New Roman" w:hAnsi="Times New Roman" w:cs="Times New Roman" w:eastAsiaTheme="minorEastAsia"/>
                <w:szCs w:val="21"/>
              </w:rPr>
            </w:pPr>
            <w:r>
              <w:rPr>
                <w:rFonts w:ascii="Times New Roman" w:hAnsi="Times New Roman" w:cs="Times New Roman" w:eastAsiaTheme="minorEastAsia"/>
                <w:szCs w:val="21"/>
              </w:rPr>
              <w:t>二开下部</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16" w:hRule="exact"/>
          <w:jc w:val="center"/>
        </w:trPr>
        <w:tc>
          <w:tcPr>
            <w:tcW w:w="2306"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 xml:space="preserve">密度              </w:t>
            </w:r>
            <w:r>
              <w:rPr>
                <w:rFonts w:hint="eastAsia" w:ascii="Times New Roman" w:hAnsi="Times New Roman" w:cs="Times New Roman" w:eastAsiaTheme="minorEastAsia"/>
                <w:b w:val="0"/>
                <w:bCs/>
                <w:szCs w:val="21"/>
              </w:rPr>
              <w:t>（</w:t>
            </w:r>
            <w:r>
              <w:rPr>
                <w:rFonts w:ascii="Times New Roman" w:hAnsi="Times New Roman" w:cs="Times New Roman" w:eastAsiaTheme="minorEastAsia"/>
                <w:b w:val="0"/>
                <w:bCs/>
                <w:szCs w:val="21"/>
              </w:rPr>
              <w:t>g/cm3</w:t>
            </w:r>
            <w:r>
              <w:rPr>
                <w:rFonts w:hint="eastAsia" w:ascii="Times New Roman" w:hAnsi="Times New Roman" w:cs="Times New Roman" w:eastAsiaTheme="minorEastAsia"/>
                <w:b w:val="0"/>
                <w:bCs/>
                <w:szCs w:val="21"/>
              </w:rPr>
              <w:t>）</w:t>
            </w:r>
          </w:p>
        </w:tc>
        <w:tc>
          <w:tcPr>
            <w:tcW w:w="1413"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1.05～1.10</w:t>
            </w:r>
          </w:p>
        </w:tc>
        <w:tc>
          <w:tcPr>
            <w:tcW w:w="1761"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1.05～1.10</w:t>
            </w:r>
          </w:p>
        </w:tc>
        <w:tc>
          <w:tcPr>
            <w:tcW w:w="1900"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1.10～1.15</w:t>
            </w:r>
          </w:p>
        </w:tc>
        <w:tc>
          <w:tcPr>
            <w:tcW w:w="2089"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1.12～1.15</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16" w:hRule="exact"/>
          <w:jc w:val="center"/>
        </w:trPr>
        <w:tc>
          <w:tcPr>
            <w:tcW w:w="2306"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马氏漏斗黏度</w:t>
            </w:r>
            <w:r>
              <w:rPr>
                <w:rFonts w:hint="eastAsia" w:ascii="Times New Roman" w:hAnsi="Times New Roman" w:cs="Times New Roman" w:eastAsiaTheme="minorEastAsia"/>
                <w:b w:val="0"/>
                <w:bCs/>
                <w:szCs w:val="21"/>
              </w:rPr>
              <w:t>（</w:t>
            </w:r>
            <w:r>
              <w:rPr>
                <w:rFonts w:ascii="Times New Roman" w:hAnsi="Times New Roman" w:cs="Times New Roman" w:eastAsiaTheme="minorEastAsia"/>
                <w:b w:val="0"/>
                <w:bCs/>
                <w:szCs w:val="21"/>
              </w:rPr>
              <w:t>s</w:t>
            </w:r>
            <w:r>
              <w:rPr>
                <w:rFonts w:hint="eastAsia" w:ascii="Times New Roman" w:hAnsi="Times New Roman" w:cs="Times New Roman" w:eastAsiaTheme="minorEastAsia"/>
                <w:b w:val="0"/>
                <w:bCs/>
                <w:szCs w:val="21"/>
              </w:rPr>
              <w:t>）</w:t>
            </w:r>
          </w:p>
        </w:tc>
        <w:tc>
          <w:tcPr>
            <w:tcW w:w="1413"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30～40</w:t>
            </w:r>
          </w:p>
        </w:tc>
        <w:tc>
          <w:tcPr>
            <w:tcW w:w="1761"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28～32</w:t>
            </w:r>
          </w:p>
        </w:tc>
        <w:tc>
          <w:tcPr>
            <w:tcW w:w="1900"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32～42</w:t>
            </w:r>
          </w:p>
        </w:tc>
        <w:tc>
          <w:tcPr>
            <w:tcW w:w="2089"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42～50</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16" w:hRule="exact"/>
          <w:jc w:val="center"/>
        </w:trPr>
        <w:tc>
          <w:tcPr>
            <w:tcW w:w="2306"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 xml:space="preserve">API滤失量       </w:t>
            </w:r>
            <w:r>
              <w:rPr>
                <w:rFonts w:hint="eastAsia" w:ascii="Times New Roman" w:hAnsi="Times New Roman" w:cs="Times New Roman" w:eastAsiaTheme="minorEastAsia"/>
                <w:b w:val="0"/>
                <w:bCs/>
                <w:szCs w:val="21"/>
              </w:rPr>
              <w:t>（</w:t>
            </w:r>
            <w:r>
              <w:rPr>
                <w:rFonts w:ascii="Times New Roman" w:hAnsi="Times New Roman" w:cs="Times New Roman" w:eastAsiaTheme="minorEastAsia"/>
                <w:b w:val="0"/>
                <w:bCs/>
                <w:szCs w:val="21"/>
              </w:rPr>
              <w:t>ml</w:t>
            </w:r>
            <w:r>
              <w:rPr>
                <w:rFonts w:hint="eastAsia" w:ascii="Times New Roman" w:hAnsi="Times New Roman" w:cs="Times New Roman" w:eastAsiaTheme="minorEastAsia"/>
                <w:b w:val="0"/>
                <w:bCs/>
                <w:szCs w:val="21"/>
              </w:rPr>
              <w:t>）</w:t>
            </w:r>
          </w:p>
        </w:tc>
        <w:tc>
          <w:tcPr>
            <w:tcW w:w="1413"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761"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900"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↘5</w:t>
            </w:r>
          </w:p>
        </w:tc>
        <w:tc>
          <w:tcPr>
            <w:tcW w:w="2089"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≤5</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16" w:hRule="exact"/>
          <w:jc w:val="center"/>
        </w:trPr>
        <w:tc>
          <w:tcPr>
            <w:tcW w:w="2306"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 xml:space="preserve">API滤饼厚度    </w:t>
            </w:r>
            <w:r>
              <w:rPr>
                <w:rFonts w:hint="eastAsia" w:ascii="Times New Roman" w:hAnsi="Times New Roman" w:cs="Times New Roman" w:eastAsiaTheme="minorEastAsia"/>
                <w:b w:val="0"/>
                <w:bCs/>
                <w:szCs w:val="21"/>
              </w:rPr>
              <w:t>（</w:t>
            </w:r>
            <w:r>
              <w:rPr>
                <w:rFonts w:ascii="Times New Roman" w:hAnsi="Times New Roman" w:cs="Times New Roman" w:eastAsiaTheme="minorEastAsia"/>
                <w:b w:val="0"/>
                <w:bCs/>
                <w:szCs w:val="21"/>
              </w:rPr>
              <w:t>mm</w:t>
            </w:r>
            <w:r>
              <w:rPr>
                <w:rFonts w:hint="eastAsia" w:ascii="Times New Roman" w:hAnsi="Times New Roman" w:cs="Times New Roman" w:eastAsiaTheme="minorEastAsia"/>
                <w:b w:val="0"/>
                <w:bCs/>
                <w:szCs w:val="21"/>
              </w:rPr>
              <w:t>）</w:t>
            </w:r>
          </w:p>
        </w:tc>
        <w:tc>
          <w:tcPr>
            <w:tcW w:w="1413"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761"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900"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↘0.5</w:t>
            </w:r>
          </w:p>
        </w:tc>
        <w:tc>
          <w:tcPr>
            <w:tcW w:w="2089"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≤0.5</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16" w:hRule="exact"/>
          <w:jc w:val="center"/>
        </w:trPr>
        <w:tc>
          <w:tcPr>
            <w:tcW w:w="2306"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 xml:space="preserve">静 切 力          </w:t>
            </w:r>
            <w:r>
              <w:rPr>
                <w:rFonts w:hint="eastAsia" w:ascii="Times New Roman" w:hAnsi="Times New Roman" w:cs="Times New Roman" w:eastAsiaTheme="minorEastAsia"/>
                <w:b w:val="0"/>
                <w:bCs/>
                <w:szCs w:val="21"/>
              </w:rPr>
              <w:t>（</w:t>
            </w:r>
            <w:r>
              <w:rPr>
                <w:rFonts w:ascii="Times New Roman" w:hAnsi="Times New Roman" w:cs="Times New Roman" w:eastAsiaTheme="minorEastAsia"/>
                <w:b w:val="0"/>
                <w:bCs/>
                <w:szCs w:val="21"/>
              </w:rPr>
              <w:t>Pa</w:t>
            </w:r>
            <w:r>
              <w:rPr>
                <w:rFonts w:hint="eastAsia" w:ascii="Times New Roman" w:hAnsi="Times New Roman" w:cs="Times New Roman" w:eastAsiaTheme="minorEastAsia"/>
                <w:b w:val="0"/>
                <w:bCs/>
                <w:szCs w:val="21"/>
              </w:rPr>
              <w:t>）</w:t>
            </w:r>
          </w:p>
        </w:tc>
        <w:tc>
          <w:tcPr>
            <w:tcW w:w="1413"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761"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900"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0～2/2～6</w:t>
            </w:r>
          </w:p>
        </w:tc>
        <w:tc>
          <w:tcPr>
            <w:tcW w:w="2089"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1～3/4～10</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16" w:hRule="exact"/>
          <w:jc w:val="center"/>
        </w:trPr>
        <w:tc>
          <w:tcPr>
            <w:tcW w:w="2306"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 xml:space="preserve">pH值 </w:t>
            </w:r>
          </w:p>
        </w:tc>
        <w:tc>
          <w:tcPr>
            <w:tcW w:w="1413"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761"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900"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7～9</w:t>
            </w:r>
          </w:p>
        </w:tc>
        <w:tc>
          <w:tcPr>
            <w:tcW w:w="2089"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8～9</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16" w:hRule="exact"/>
          <w:jc w:val="center"/>
        </w:trPr>
        <w:tc>
          <w:tcPr>
            <w:tcW w:w="2306"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 xml:space="preserve">含 砂 量          </w:t>
            </w:r>
            <w:r>
              <w:rPr>
                <w:rFonts w:hint="eastAsia" w:ascii="Times New Roman" w:hAnsi="Times New Roman" w:cs="Times New Roman" w:eastAsiaTheme="minorEastAsia"/>
                <w:b w:val="0"/>
                <w:bCs/>
                <w:szCs w:val="21"/>
              </w:rPr>
              <w:t>（</w:t>
            </w:r>
            <w:r>
              <w:rPr>
                <w:rFonts w:ascii="Times New Roman" w:hAnsi="Times New Roman" w:cs="Times New Roman" w:eastAsiaTheme="minorEastAsia"/>
                <w:b w:val="0"/>
                <w:bCs/>
                <w:szCs w:val="21"/>
              </w:rPr>
              <w:t>％</w:t>
            </w:r>
            <w:r>
              <w:rPr>
                <w:rFonts w:hint="eastAsia" w:ascii="Times New Roman" w:hAnsi="Times New Roman" w:cs="Times New Roman" w:eastAsiaTheme="minorEastAsia"/>
                <w:b w:val="0"/>
                <w:bCs/>
                <w:szCs w:val="21"/>
              </w:rPr>
              <w:t>）</w:t>
            </w:r>
          </w:p>
        </w:tc>
        <w:tc>
          <w:tcPr>
            <w:tcW w:w="1413"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761"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900"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＜0.5</w:t>
            </w:r>
          </w:p>
        </w:tc>
        <w:tc>
          <w:tcPr>
            <w:tcW w:w="2089"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＜0.5</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16" w:hRule="exact"/>
          <w:jc w:val="center"/>
        </w:trPr>
        <w:tc>
          <w:tcPr>
            <w:tcW w:w="2306" w:type="dxa"/>
            <w:tcMar>
              <w:left w:w="85" w:type="dxa"/>
              <w:right w:w="85" w:type="dxa"/>
            </w:tcMar>
            <w:vAlign w:val="center"/>
          </w:tcPr>
          <w:p>
            <w:pPr>
              <w:pStyle w:val="256"/>
              <w:rPr>
                <w:rFonts w:ascii="Times New Roman" w:hAnsi="Times New Roman" w:cs="Times New Roman" w:eastAsiaTheme="minorEastAsia"/>
                <w:b w:val="0"/>
                <w:bCs/>
                <w:szCs w:val="21"/>
              </w:rPr>
            </w:pPr>
            <w:r>
              <w:rPr>
                <w:rFonts w:hint="default" w:ascii="Times New Roman" w:hAnsi="Times New Roman" w:cs="Times New Roman" w:eastAsiaTheme="minorEastAsia"/>
                <w:b w:val="0"/>
                <w:bCs/>
                <w:szCs w:val="21"/>
              </w:rPr>
              <w:t>总固含      （</w:t>
            </w:r>
            <w:r>
              <w:rPr>
                <w:rFonts w:hint="eastAsia" w:ascii="Times New Roman" w:hAnsi="Times New Roman" w:cs="Times New Roman" w:eastAsiaTheme="minorEastAsia"/>
                <w:b w:val="0"/>
                <w:bCs/>
                <w:szCs w:val="21"/>
                <w:lang w:val="en-US" w:eastAsia="zh-CN"/>
              </w:rPr>
              <w:t>%</w:t>
            </w:r>
            <w:r>
              <w:rPr>
                <w:rFonts w:hint="default" w:ascii="Times New Roman" w:hAnsi="Times New Roman" w:cs="Times New Roman" w:eastAsiaTheme="minorEastAsia"/>
                <w:b w:val="0"/>
                <w:bCs/>
                <w:szCs w:val="21"/>
              </w:rPr>
              <w:t>）</w:t>
            </w:r>
          </w:p>
        </w:tc>
        <w:tc>
          <w:tcPr>
            <w:tcW w:w="1413"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761"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900"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≤10</w:t>
            </w:r>
          </w:p>
        </w:tc>
        <w:tc>
          <w:tcPr>
            <w:tcW w:w="2089"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≤10</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16" w:hRule="exact"/>
          <w:jc w:val="center"/>
        </w:trPr>
        <w:tc>
          <w:tcPr>
            <w:tcW w:w="2306"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摩 阻 系 数</w:t>
            </w:r>
          </w:p>
        </w:tc>
        <w:tc>
          <w:tcPr>
            <w:tcW w:w="1413"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761"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900"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≤0.1</w:t>
            </w:r>
          </w:p>
        </w:tc>
        <w:tc>
          <w:tcPr>
            <w:tcW w:w="2089"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≤0.1</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16" w:hRule="exact"/>
          <w:jc w:val="center"/>
        </w:trPr>
        <w:tc>
          <w:tcPr>
            <w:tcW w:w="2306"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 xml:space="preserve">动 切 力          </w:t>
            </w:r>
            <w:r>
              <w:rPr>
                <w:rFonts w:hint="eastAsia" w:ascii="Times New Roman" w:hAnsi="Times New Roman" w:cs="Times New Roman" w:eastAsiaTheme="minorEastAsia"/>
                <w:b w:val="0"/>
                <w:bCs/>
                <w:szCs w:val="21"/>
              </w:rPr>
              <w:t>（</w:t>
            </w:r>
            <w:r>
              <w:rPr>
                <w:rFonts w:ascii="Times New Roman" w:hAnsi="Times New Roman" w:cs="Times New Roman" w:eastAsiaTheme="minorEastAsia"/>
                <w:b w:val="0"/>
                <w:bCs/>
                <w:szCs w:val="21"/>
              </w:rPr>
              <w:t>Pa</w:t>
            </w:r>
            <w:r>
              <w:rPr>
                <w:rFonts w:hint="eastAsia" w:ascii="Times New Roman" w:hAnsi="Times New Roman" w:cs="Times New Roman" w:eastAsiaTheme="minorEastAsia"/>
                <w:b w:val="0"/>
                <w:bCs/>
                <w:szCs w:val="21"/>
              </w:rPr>
              <w:t>）</w:t>
            </w:r>
          </w:p>
        </w:tc>
        <w:tc>
          <w:tcPr>
            <w:tcW w:w="1413"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761"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900"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3～6</w:t>
            </w:r>
          </w:p>
        </w:tc>
        <w:tc>
          <w:tcPr>
            <w:tcW w:w="2089"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5～8</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16" w:hRule="exact"/>
          <w:jc w:val="center"/>
        </w:trPr>
        <w:tc>
          <w:tcPr>
            <w:tcW w:w="2306"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 xml:space="preserve">塑性黏度    </w:t>
            </w:r>
            <w:r>
              <w:rPr>
                <w:rFonts w:hint="eastAsia" w:ascii="Times New Roman" w:hAnsi="Times New Roman" w:cs="Times New Roman" w:eastAsiaTheme="minorEastAsia"/>
                <w:b w:val="0"/>
                <w:bCs/>
                <w:szCs w:val="21"/>
              </w:rPr>
              <w:t>（</w:t>
            </w:r>
            <w:r>
              <w:rPr>
                <w:rFonts w:ascii="Times New Roman" w:hAnsi="Times New Roman" w:cs="Times New Roman" w:eastAsiaTheme="minorEastAsia"/>
                <w:b w:val="0"/>
                <w:bCs/>
                <w:szCs w:val="21"/>
              </w:rPr>
              <w:t>mPa·s</w:t>
            </w:r>
            <w:r>
              <w:rPr>
                <w:rFonts w:hint="eastAsia" w:ascii="Times New Roman" w:hAnsi="Times New Roman" w:cs="Times New Roman" w:eastAsiaTheme="minorEastAsia"/>
                <w:b w:val="0"/>
                <w:bCs/>
                <w:szCs w:val="21"/>
              </w:rPr>
              <w:t>）</w:t>
            </w:r>
          </w:p>
        </w:tc>
        <w:tc>
          <w:tcPr>
            <w:tcW w:w="1413"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761" w:type="dxa"/>
            <w:tcMar>
              <w:left w:w="85" w:type="dxa"/>
              <w:right w:w="85" w:type="dxa"/>
            </w:tcMar>
            <w:vAlign w:val="center"/>
          </w:tcPr>
          <w:p>
            <w:pPr>
              <w:pStyle w:val="256"/>
              <w:rPr>
                <w:rFonts w:ascii="Times New Roman" w:hAnsi="Times New Roman" w:cs="Times New Roman" w:eastAsiaTheme="minorEastAsia"/>
                <w:b w:val="0"/>
                <w:bCs/>
                <w:szCs w:val="21"/>
              </w:rPr>
            </w:pPr>
          </w:p>
        </w:tc>
        <w:tc>
          <w:tcPr>
            <w:tcW w:w="1900"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7～15</w:t>
            </w:r>
          </w:p>
        </w:tc>
        <w:tc>
          <w:tcPr>
            <w:tcW w:w="2089" w:type="dxa"/>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10～20</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448" w:hRule="exact"/>
          <w:jc w:val="center"/>
        </w:trPr>
        <w:tc>
          <w:tcPr>
            <w:tcW w:w="9469" w:type="dxa"/>
            <w:gridSpan w:val="5"/>
            <w:tcMar>
              <w:left w:w="85" w:type="dxa"/>
              <w:right w:w="85" w:type="dxa"/>
            </w:tcMar>
            <w:vAlign w:val="center"/>
          </w:tcPr>
          <w:p>
            <w:pPr>
              <w:pStyle w:val="256"/>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注：应根据井下实际情况调整钻井液性能，确保安全钻进。</w:t>
            </w:r>
          </w:p>
        </w:tc>
      </w:tr>
    </w:tbl>
    <w:p>
      <w:pPr>
        <w:pStyle w:val="5"/>
        <w:spacing w:before="360" w:beforeLines="150"/>
        <w:rPr>
          <w:rFonts w:eastAsiaTheme="minorEastAsia"/>
        </w:rPr>
      </w:pPr>
      <w:r>
        <w:rPr>
          <w:rFonts w:eastAsiaTheme="minorEastAsia"/>
        </w:rPr>
        <w:t>2.5.6  固井工艺方案</w:t>
      </w:r>
    </w:p>
    <w:p>
      <w:pPr>
        <w:ind w:firstLine="560"/>
        <w:rPr>
          <w:rFonts w:eastAsiaTheme="minorEastAsia"/>
        </w:rPr>
      </w:pPr>
      <w:r>
        <w:rPr>
          <w:rFonts w:eastAsiaTheme="minorEastAsia"/>
        </w:rPr>
        <w:t>1）套管程序和尺寸的确定</w:t>
      </w:r>
    </w:p>
    <w:p>
      <w:pPr>
        <w:ind w:firstLine="560"/>
        <w:rPr>
          <w:rFonts w:eastAsiaTheme="minorEastAsia"/>
        </w:rPr>
      </w:pPr>
      <w:r>
        <w:rPr>
          <w:rFonts w:eastAsiaTheme="minorEastAsia"/>
        </w:rPr>
        <w:t>油层套管采用P110钢级套管。固井时所用套管附件和工具应与套管柱强度一致，扣型要与套管扣型相匹配。</w:t>
      </w:r>
    </w:p>
    <w:p>
      <w:pPr>
        <w:ind w:firstLine="560"/>
        <w:rPr>
          <w:rFonts w:eastAsiaTheme="minorEastAsia"/>
        </w:rPr>
      </w:pPr>
      <w:bookmarkStart w:id="115" w:name="_Toc87280417"/>
      <w:r>
        <w:rPr>
          <w:rFonts w:eastAsiaTheme="minorEastAsia"/>
        </w:rPr>
        <w:t>2）套管柱设计</w:t>
      </w:r>
      <w:bookmarkEnd w:id="115"/>
    </w:p>
    <w:p>
      <w:pPr>
        <w:autoSpaceDE w:val="0"/>
        <w:autoSpaceDN w:val="0"/>
        <w:snapToGrid/>
        <w:ind w:firstLine="0" w:firstLineChars="0"/>
        <w:jc w:val="center"/>
        <w:rPr>
          <w:rFonts w:eastAsiaTheme="minorEastAsia"/>
          <w:b/>
          <w:bCs/>
          <w:snapToGrid/>
          <w:color w:val="000000"/>
          <w:kern w:val="2"/>
          <w:sz w:val="24"/>
          <w:szCs w:val="21"/>
          <w:lang w:bidi="he-IL"/>
        </w:rPr>
      </w:pPr>
      <w:bookmarkStart w:id="116" w:name="_Toc87280418"/>
      <w:r>
        <w:rPr>
          <w:rFonts w:eastAsiaTheme="minorEastAsia"/>
          <w:b/>
          <w:bCs/>
          <w:snapToGrid/>
          <w:color w:val="000000"/>
          <w:kern w:val="2"/>
          <w:sz w:val="24"/>
          <w:szCs w:val="21"/>
          <w:lang w:bidi="he-IL"/>
        </w:rPr>
        <w:t>表2.5-</w:t>
      </w:r>
      <w:r>
        <w:rPr>
          <w:rFonts w:hint="eastAsia" w:eastAsiaTheme="minorEastAsia"/>
          <w:b/>
          <w:bCs/>
          <w:snapToGrid/>
          <w:color w:val="000000"/>
          <w:kern w:val="2"/>
          <w:sz w:val="24"/>
          <w:szCs w:val="21"/>
          <w:lang w:val="en-US" w:eastAsia="zh-CN" w:bidi="he-IL"/>
        </w:rPr>
        <w:t>23</w:t>
      </w:r>
      <w:r>
        <w:rPr>
          <w:rFonts w:eastAsiaTheme="minorEastAsia"/>
          <w:b/>
          <w:bCs/>
          <w:snapToGrid/>
          <w:color w:val="000000"/>
          <w:kern w:val="2"/>
          <w:sz w:val="24"/>
          <w:szCs w:val="21"/>
          <w:lang w:bidi="he-IL"/>
        </w:rPr>
        <w:t xml:space="preserve">  套管柱设计表（以营1-斜111井为例）</w:t>
      </w:r>
    </w:p>
    <w:tbl>
      <w:tblPr>
        <w:tblStyle w:val="45"/>
        <w:tblW w:w="8392"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57" w:type="dxa"/>
          <w:bottom w:w="0" w:type="dxa"/>
          <w:right w:w="57" w:type="dxa"/>
        </w:tblCellMar>
      </w:tblPr>
      <w:tblGrid>
        <w:gridCol w:w="961"/>
        <w:gridCol w:w="1172"/>
        <w:gridCol w:w="886"/>
        <w:gridCol w:w="635"/>
        <w:gridCol w:w="886"/>
        <w:gridCol w:w="841"/>
        <w:gridCol w:w="1347"/>
        <w:gridCol w:w="838"/>
        <w:gridCol w:w="826"/>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114" w:hRule="atLeast"/>
          <w:jc w:val="center"/>
        </w:trPr>
        <w:tc>
          <w:tcPr>
            <w:tcW w:w="961" w:type="dxa"/>
            <w:vMerge w:val="restar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套管程序</w:t>
            </w:r>
          </w:p>
        </w:tc>
        <w:tc>
          <w:tcPr>
            <w:tcW w:w="1172" w:type="dxa"/>
            <w:vMerge w:val="restar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井段</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（m）</w:t>
            </w:r>
          </w:p>
        </w:tc>
        <w:tc>
          <w:tcPr>
            <w:tcW w:w="4595" w:type="dxa"/>
            <w:gridSpan w:val="5"/>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套　管　规　范</w:t>
            </w:r>
          </w:p>
        </w:tc>
        <w:tc>
          <w:tcPr>
            <w:tcW w:w="838" w:type="dxa"/>
            <w:vMerge w:val="restar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长度</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（m）</w:t>
            </w:r>
          </w:p>
        </w:tc>
        <w:tc>
          <w:tcPr>
            <w:tcW w:w="826" w:type="dxa"/>
            <w:vMerge w:val="restar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钻井液</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密度）g/cm</w:t>
            </w:r>
            <w:r>
              <w:rPr>
                <w:rFonts w:ascii="Times New Roman" w:hAnsi="Times New Roman" w:cs="Times New Roman" w:eastAsiaTheme="minorEastAsia"/>
                <w:szCs w:val="21"/>
                <w:vertAlign w:val="superscript"/>
              </w:rPr>
              <w:t>3</w:t>
            </w:r>
            <w:r>
              <w:rPr>
                <w:rFonts w:ascii="Times New Roman" w:hAnsi="Times New Roman" w:cs="Times New Roman" w:eastAsiaTheme="minorEastAsia"/>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70" w:hRule="atLeast"/>
          <w:jc w:val="center"/>
        </w:trPr>
        <w:tc>
          <w:tcPr>
            <w:tcW w:w="961" w:type="dxa"/>
            <w:vMerge w:val="continue"/>
            <w:vAlign w:val="center"/>
          </w:tcPr>
          <w:p>
            <w:pPr>
              <w:pStyle w:val="256"/>
              <w:adjustRightInd w:val="0"/>
              <w:snapToGrid w:val="0"/>
              <w:spacing w:before="0" w:beforeAutospacing="0"/>
              <w:rPr>
                <w:rFonts w:ascii="Times New Roman" w:hAnsi="Times New Roman" w:cs="Times New Roman" w:eastAsiaTheme="minorEastAsia"/>
                <w:szCs w:val="21"/>
              </w:rPr>
            </w:pPr>
          </w:p>
        </w:tc>
        <w:tc>
          <w:tcPr>
            <w:tcW w:w="1172" w:type="dxa"/>
            <w:vMerge w:val="continue"/>
            <w:vAlign w:val="center"/>
          </w:tcPr>
          <w:p>
            <w:pPr>
              <w:pStyle w:val="256"/>
              <w:adjustRightInd w:val="0"/>
              <w:snapToGrid w:val="0"/>
              <w:spacing w:before="0" w:beforeAutospacing="0"/>
              <w:rPr>
                <w:rFonts w:ascii="Times New Roman" w:hAnsi="Times New Roman" w:cs="Times New Roman" w:eastAsiaTheme="minorEastAsia"/>
                <w:szCs w:val="21"/>
              </w:rPr>
            </w:pPr>
          </w:p>
        </w:tc>
        <w:tc>
          <w:tcPr>
            <w:tcW w:w="886" w:type="dxa"/>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尺寸</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（mm）</w:t>
            </w:r>
          </w:p>
        </w:tc>
        <w:tc>
          <w:tcPr>
            <w:tcW w:w="635" w:type="dxa"/>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钢级</w:t>
            </w:r>
          </w:p>
        </w:tc>
        <w:tc>
          <w:tcPr>
            <w:tcW w:w="886" w:type="dxa"/>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壁厚</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（mm）</w:t>
            </w:r>
          </w:p>
        </w:tc>
        <w:tc>
          <w:tcPr>
            <w:tcW w:w="841" w:type="dxa"/>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扣型</w:t>
            </w:r>
          </w:p>
        </w:tc>
        <w:tc>
          <w:tcPr>
            <w:tcW w:w="1347" w:type="dxa"/>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最佳上扣扭矩</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（N.m）</w:t>
            </w:r>
          </w:p>
        </w:tc>
        <w:tc>
          <w:tcPr>
            <w:tcW w:w="838" w:type="dxa"/>
            <w:vMerge w:val="continue"/>
            <w:vAlign w:val="center"/>
          </w:tcPr>
          <w:p>
            <w:pPr>
              <w:pStyle w:val="256"/>
              <w:adjustRightInd w:val="0"/>
              <w:snapToGrid w:val="0"/>
              <w:spacing w:before="0" w:beforeAutospacing="0"/>
              <w:rPr>
                <w:rFonts w:ascii="Times New Roman" w:hAnsi="Times New Roman" w:cs="Times New Roman" w:eastAsiaTheme="minorEastAsia"/>
                <w:szCs w:val="21"/>
              </w:rPr>
            </w:pPr>
          </w:p>
        </w:tc>
        <w:tc>
          <w:tcPr>
            <w:tcW w:w="826" w:type="dxa"/>
            <w:vMerge w:val="continue"/>
            <w:vAlign w:val="center"/>
          </w:tcPr>
          <w:p>
            <w:pPr>
              <w:pStyle w:val="256"/>
              <w:adjustRightInd w:val="0"/>
              <w:snapToGrid w:val="0"/>
              <w:spacing w:before="0" w:beforeAutospacing="0"/>
              <w:rPr>
                <w:rFonts w:ascii="Times New Roman" w:hAnsi="Times New Roman" w:cs="Times New Roman" w:eastAsiaTheme="minorEastAsia"/>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70" w:hRule="atLeast"/>
          <w:jc w:val="center"/>
        </w:trPr>
        <w:tc>
          <w:tcPr>
            <w:tcW w:w="961"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一开</w:t>
            </w:r>
          </w:p>
        </w:tc>
        <w:tc>
          <w:tcPr>
            <w:tcW w:w="1172"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0～575</w:t>
            </w:r>
          </w:p>
        </w:tc>
        <w:tc>
          <w:tcPr>
            <w:tcW w:w="886"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273.1</w:t>
            </w:r>
          </w:p>
        </w:tc>
        <w:tc>
          <w:tcPr>
            <w:tcW w:w="635"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J55</w:t>
            </w:r>
          </w:p>
        </w:tc>
        <w:tc>
          <w:tcPr>
            <w:tcW w:w="886"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8.89</w:t>
            </w:r>
          </w:p>
        </w:tc>
        <w:tc>
          <w:tcPr>
            <w:tcW w:w="841"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短圆</w:t>
            </w:r>
          </w:p>
        </w:tc>
        <w:tc>
          <w:tcPr>
            <w:tcW w:w="1347"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5690</w:t>
            </w:r>
          </w:p>
        </w:tc>
        <w:tc>
          <w:tcPr>
            <w:tcW w:w="838"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575</w:t>
            </w:r>
          </w:p>
        </w:tc>
        <w:tc>
          <w:tcPr>
            <w:tcW w:w="826"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1.10</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70" w:hRule="atLeast"/>
          <w:jc w:val="center"/>
        </w:trPr>
        <w:tc>
          <w:tcPr>
            <w:tcW w:w="961"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二开</w:t>
            </w:r>
          </w:p>
        </w:tc>
        <w:tc>
          <w:tcPr>
            <w:tcW w:w="1172"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0～1704</w:t>
            </w:r>
          </w:p>
        </w:tc>
        <w:tc>
          <w:tcPr>
            <w:tcW w:w="886"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177.8</w:t>
            </w:r>
          </w:p>
        </w:tc>
        <w:tc>
          <w:tcPr>
            <w:tcW w:w="635"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P110</w:t>
            </w:r>
          </w:p>
        </w:tc>
        <w:tc>
          <w:tcPr>
            <w:tcW w:w="886"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9.19</w:t>
            </w:r>
          </w:p>
        </w:tc>
        <w:tc>
          <w:tcPr>
            <w:tcW w:w="841"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长圆</w:t>
            </w:r>
          </w:p>
        </w:tc>
        <w:tc>
          <w:tcPr>
            <w:tcW w:w="1347"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9380</w:t>
            </w:r>
          </w:p>
        </w:tc>
        <w:tc>
          <w:tcPr>
            <w:tcW w:w="838"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1704</w:t>
            </w:r>
          </w:p>
        </w:tc>
        <w:tc>
          <w:tcPr>
            <w:tcW w:w="826"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1.15</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70" w:hRule="atLeast"/>
          <w:jc w:val="center"/>
        </w:trPr>
        <w:tc>
          <w:tcPr>
            <w:tcW w:w="961"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一开</w:t>
            </w:r>
          </w:p>
        </w:tc>
        <w:tc>
          <w:tcPr>
            <w:tcW w:w="1172"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0～575</w:t>
            </w:r>
          </w:p>
        </w:tc>
        <w:tc>
          <w:tcPr>
            <w:tcW w:w="886"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273.1</w:t>
            </w:r>
          </w:p>
        </w:tc>
        <w:tc>
          <w:tcPr>
            <w:tcW w:w="635"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J55</w:t>
            </w:r>
          </w:p>
        </w:tc>
        <w:tc>
          <w:tcPr>
            <w:tcW w:w="886"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8.89</w:t>
            </w:r>
          </w:p>
        </w:tc>
        <w:tc>
          <w:tcPr>
            <w:tcW w:w="841"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短圆</w:t>
            </w:r>
          </w:p>
        </w:tc>
        <w:tc>
          <w:tcPr>
            <w:tcW w:w="1347"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5690</w:t>
            </w:r>
          </w:p>
        </w:tc>
        <w:tc>
          <w:tcPr>
            <w:tcW w:w="838"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575</w:t>
            </w:r>
          </w:p>
        </w:tc>
        <w:tc>
          <w:tcPr>
            <w:tcW w:w="826"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1.10</w:t>
            </w:r>
          </w:p>
        </w:tc>
      </w:tr>
    </w:tbl>
    <w:p>
      <w:pPr>
        <w:autoSpaceDE w:val="0"/>
        <w:autoSpaceDN w:val="0"/>
        <w:spacing w:before="360" w:beforeLines="150"/>
        <w:ind w:firstLine="0" w:firstLineChars="0"/>
        <w:jc w:val="center"/>
        <w:rPr>
          <w:rFonts w:eastAsiaTheme="minorEastAsia"/>
          <w:b/>
          <w:bCs/>
          <w:snapToGrid/>
          <w:color w:val="000000"/>
          <w:kern w:val="2"/>
          <w:sz w:val="24"/>
          <w:szCs w:val="21"/>
          <w:lang w:bidi="he-IL"/>
        </w:rPr>
      </w:pPr>
      <w:r>
        <w:rPr>
          <w:rFonts w:eastAsiaTheme="minorEastAsia"/>
          <w:b/>
          <w:bCs/>
          <w:snapToGrid/>
          <w:color w:val="000000"/>
          <w:kern w:val="2"/>
          <w:sz w:val="24"/>
          <w:szCs w:val="21"/>
          <w:lang w:bidi="he-IL"/>
        </w:rPr>
        <w:t>表2.5-</w:t>
      </w:r>
      <w:r>
        <w:rPr>
          <w:rFonts w:hint="eastAsia" w:eastAsiaTheme="minorEastAsia"/>
          <w:b/>
          <w:bCs/>
          <w:snapToGrid/>
          <w:color w:val="000000"/>
          <w:kern w:val="2"/>
          <w:sz w:val="24"/>
          <w:szCs w:val="21"/>
          <w:lang w:val="en-US" w:eastAsia="zh-CN" w:bidi="he-IL"/>
        </w:rPr>
        <w:t>24</w:t>
      </w:r>
      <w:r>
        <w:rPr>
          <w:rFonts w:eastAsiaTheme="minorEastAsia"/>
          <w:b/>
          <w:bCs/>
          <w:snapToGrid/>
          <w:color w:val="000000"/>
          <w:kern w:val="2"/>
          <w:sz w:val="24"/>
          <w:szCs w:val="21"/>
          <w:lang w:bidi="he-IL"/>
        </w:rPr>
        <w:t xml:space="preserve">  套管柱强度校核表（以营1-斜111井为例）</w:t>
      </w:r>
    </w:p>
    <w:tbl>
      <w:tblPr>
        <w:tblStyle w:val="45"/>
        <w:tblW w:w="8394"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57" w:type="dxa"/>
          <w:bottom w:w="0" w:type="dxa"/>
          <w:right w:w="57" w:type="dxa"/>
        </w:tblCellMar>
      </w:tblPr>
      <w:tblGrid>
        <w:gridCol w:w="671"/>
        <w:gridCol w:w="971"/>
        <w:gridCol w:w="840"/>
        <w:gridCol w:w="791"/>
        <w:gridCol w:w="818"/>
        <w:gridCol w:w="912"/>
        <w:gridCol w:w="740"/>
        <w:gridCol w:w="710"/>
        <w:gridCol w:w="557"/>
        <w:gridCol w:w="754"/>
        <w:gridCol w:w="630"/>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109" w:hRule="atLeast"/>
          <w:jc w:val="center"/>
        </w:trPr>
        <w:tc>
          <w:tcPr>
            <w:tcW w:w="671" w:type="dxa"/>
            <w:vMerge w:val="restart"/>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套管程序</w:t>
            </w:r>
          </w:p>
        </w:tc>
        <w:tc>
          <w:tcPr>
            <w:tcW w:w="971" w:type="dxa"/>
            <w:vMerge w:val="restart"/>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井段</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（m）</w:t>
            </w:r>
          </w:p>
        </w:tc>
        <w:tc>
          <w:tcPr>
            <w:tcW w:w="2449" w:type="dxa"/>
            <w:gridSpan w:val="3"/>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重  量</w:t>
            </w:r>
          </w:p>
        </w:tc>
        <w:tc>
          <w:tcPr>
            <w:tcW w:w="1652" w:type="dxa"/>
            <w:gridSpan w:val="2"/>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抗 外 挤</w:t>
            </w:r>
          </w:p>
        </w:tc>
        <w:tc>
          <w:tcPr>
            <w:tcW w:w="1267" w:type="dxa"/>
            <w:gridSpan w:val="2"/>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抗内压</w:t>
            </w:r>
          </w:p>
        </w:tc>
        <w:tc>
          <w:tcPr>
            <w:tcW w:w="1384" w:type="dxa"/>
            <w:gridSpan w:val="2"/>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抗 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67" w:hRule="atLeast"/>
          <w:jc w:val="center"/>
        </w:trPr>
        <w:tc>
          <w:tcPr>
            <w:tcW w:w="671" w:type="dxa"/>
            <w:vMerge w:val="continue"/>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p>
        </w:tc>
        <w:tc>
          <w:tcPr>
            <w:tcW w:w="971" w:type="dxa"/>
            <w:vMerge w:val="continue"/>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p>
        </w:tc>
        <w:tc>
          <w:tcPr>
            <w:tcW w:w="840"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每米重）kg/m）</w:t>
            </w:r>
          </w:p>
        </w:tc>
        <w:tc>
          <w:tcPr>
            <w:tcW w:w="791"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段重（t）</w:t>
            </w:r>
          </w:p>
        </w:tc>
        <w:tc>
          <w:tcPr>
            <w:tcW w:w="818"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累计重量（t）</w:t>
            </w:r>
          </w:p>
        </w:tc>
        <w:tc>
          <w:tcPr>
            <w:tcW w:w="912"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最大载荷（MPa）</w:t>
            </w:r>
          </w:p>
        </w:tc>
        <w:tc>
          <w:tcPr>
            <w:tcW w:w="740"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安全系数</w:t>
            </w:r>
          </w:p>
        </w:tc>
        <w:tc>
          <w:tcPr>
            <w:tcW w:w="710"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最大载荷（MPa）</w:t>
            </w:r>
          </w:p>
        </w:tc>
        <w:tc>
          <w:tcPr>
            <w:tcW w:w="557"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安全系数</w:t>
            </w:r>
          </w:p>
        </w:tc>
        <w:tc>
          <w:tcPr>
            <w:tcW w:w="754"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最大载荷）kN）</w:t>
            </w:r>
          </w:p>
        </w:tc>
        <w:tc>
          <w:tcPr>
            <w:tcW w:w="630"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安全系数</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67" w:hRule="atLeast"/>
          <w:jc w:val="center"/>
        </w:trPr>
        <w:tc>
          <w:tcPr>
            <w:tcW w:w="671"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一开</w:t>
            </w:r>
          </w:p>
        </w:tc>
        <w:tc>
          <w:tcPr>
            <w:tcW w:w="971"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0～575</w:t>
            </w:r>
          </w:p>
        </w:tc>
        <w:tc>
          <w:tcPr>
            <w:tcW w:w="840"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60.27</w:t>
            </w:r>
          </w:p>
        </w:tc>
        <w:tc>
          <w:tcPr>
            <w:tcW w:w="791"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31.87</w:t>
            </w:r>
          </w:p>
        </w:tc>
        <w:tc>
          <w:tcPr>
            <w:tcW w:w="818"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31.87</w:t>
            </w:r>
          </w:p>
        </w:tc>
        <w:tc>
          <w:tcPr>
            <w:tcW w:w="912"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5.71</w:t>
            </w:r>
          </w:p>
        </w:tc>
        <w:tc>
          <w:tcPr>
            <w:tcW w:w="740"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1.93</w:t>
            </w:r>
          </w:p>
        </w:tc>
        <w:tc>
          <w:tcPr>
            <w:tcW w:w="710"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9.04</w:t>
            </w:r>
          </w:p>
        </w:tc>
        <w:tc>
          <w:tcPr>
            <w:tcW w:w="557"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2.5</w:t>
            </w:r>
          </w:p>
        </w:tc>
        <w:tc>
          <w:tcPr>
            <w:tcW w:w="754"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314.68</w:t>
            </w:r>
          </w:p>
        </w:tc>
        <w:tc>
          <w:tcPr>
            <w:tcW w:w="630"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5.94</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67" w:hRule="atLeast"/>
          <w:jc w:val="center"/>
        </w:trPr>
        <w:tc>
          <w:tcPr>
            <w:tcW w:w="671"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二开</w:t>
            </w:r>
          </w:p>
        </w:tc>
        <w:tc>
          <w:tcPr>
            <w:tcW w:w="971"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0～1704</w:t>
            </w:r>
          </w:p>
        </w:tc>
        <w:tc>
          <w:tcPr>
            <w:tcW w:w="840"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39.14</w:t>
            </w:r>
          </w:p>
        </w:tc>
        <w:tc>
          <w:tcPr>
            <w:tcW w:w="791"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51.97</w:t>
            </w:r>
          </w:p>
        </w:tc>
        <w:tc>
          <w:tcPr>
            <w:tcW w:w="818"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51.97</w:t>
            </w:r>
          </w:p>
        </w:tc>
        <w:tc>
          <w:tcPr>
            <w:tcW w:w="912"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14.98</w:t>
            </w:r>
          </w:p>
        </w:tc>
        <w:tc>
          <w:tcPr>
            <w:tcW w:w="740"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2.87</w:t>
            </w:r>
          </w:p>
        </w:tc>
        <w:tc>
          <w:tcPr>
            <w:tcW w:w="710"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14.98</w:t>
            </w:r>
          </w:p>
        </w:tc>
        <w:tc>
          <w:tcPr>
            <w:tcW w:w="557"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4.79</w:t>
            </w:r>
          </w:p>
        </w:tc>
        <w:tc>
          <w:tcPr>
            <w:tcW w:w="754"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454.49</w:t>
            </w:r>
          </w:p>
        </w:tc>
        <w:tc>
          <w:tcPr>
            <w:tcW w:w="630" w:type="dxa"/>
            <w:tcMar>
              <w:left w:w="57" w:type="dxa"/>
              <w:right w:w="57"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6.78</w:t>
            </w: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25</w:t>
      </w:r>
      <w:r>
        <w:rPr>
          <w:rFonts w:eastAsiaTheme="minorEastAsia"/>
          <w:b/>
          <w:color w:val="000000" w:themeColor="text1"/>
          <w:sz w:val="24"/>
          <w14:textFill>
            <w14:solidFill>
              <w14:schemeClr w14:val="tx1"/>
            </w14:solidFill>
          </w14:textFill>
        </w:rPr>
        <w:t xml:space="preserve">  套管性能数据表</w:t>
      </w:r>
    </w:p>
    <w:tbl>
      <w:tblPr>
        <w:tblStyle w:val="45"/>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859"/>
        <w:gridCol w:w="956"/>
        <w:gridCol w:w="957"/>
        <w:gridCol w:w="957"/>
        <w:gridCol w:w="955"/>
        <w:gridCol w:w="955"/>
        <w:gridCol w:w="955"/>
        <w:gridCol w:w="955"/>
        <w:gridCol w:w="94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506" w:type="pc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外径</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mm</w:t>
            </w:r>
          </w:p>
        </w:tc>
        <w:tc>
          <w:tcPr>
            <w:tcW w:w="563" w:type="pc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钢级</w:t>
            </w:r>
          </w:p>
        </w:tc>
        <w:tc>
          <w:tcPr>
            <w:tcW w:w="563" w:type="pc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壁厚</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mm</w:t>
            </w:r>
          </w:p>
        </w:tc>
        <w:tc>
          <w:tcPr>
            <w:tcW w:w="563" w:type="pc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扣型</w:t>
            </w:r>
          </w:p>
        </w:tc>
        <w:tc>
          <w:tcPr>
            <w:tcW w:w="562" w:type="pc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每米</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重量</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kg/m</w:t>
            </w:r>
          </w:p>
        </w:tc>
        <w:tc>
          <w:tcPr>
            <w:tcW w:w="562" w:type="pc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接箍</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外径</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mm</w:t>
            </w:r>
          </w:p>
        </w:tc>
        <w:tc>
          <w:tcPr>
            <w:tcW w:w="562" w:type="pc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抗拉</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强度</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kN</w:t>
            </w:r>
          </w:p>
        </w:tc>
        <w:tc>
          <w:tcPr>
            <w:tcW w:w="562" w:type="pc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抗挤</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强度</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MPa</w:t>
            </w:r>
          </w:p>
        </w:tc>
        <w:tc>
          <w:tcPr>
            <w:tcW w:w="556" w:type="pc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抗内压强度</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MPa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506"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273.1</w:t>
            </w:r>
          </w:p>
        </w:tc>
        <w:tc>
          <w:tcPr>
            <w:tcW w:w="563"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J55</w:t>
            </w:r>
          </w:p>
        </w:tc>
        <w:tc>
          <w:tcPr>
            <w:tcW w:w="563"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8.89</w:t>
            </w:r>
          </w:p>
        </w:tc>
        <w:tc>
          <w:tcPr>
            <w:tcW w:w="563"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短圆</w:t>
            </w:r>
          </w:p>
        </w:tc>
        <w:tc>
          <w:tcPr>
            <w:tcW w:w="562"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60.27</w:t>
            </w:r>
          </w:p>
        </w:tc>
        <w:tc>
          <w:tcPr>
            <w:tcW w:w="562"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298.45</w:t>
            </w:r>
          </w:p>
        </w:tc>
        <w:tc>
          <w:tcPr>
            <w:tcW w:w="562"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1869</w:t>
            </w:r>
          </w:p>
        </w:tc>
        <w:tc>
          <w:tcPr>
            <w:tcW w:w="562"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11</w:t>
            </w:r>
          </w:p>
        </w:tc>
        <w:tc>
          <w:tcPr>
            <w:tcW w:w="556"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21.6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506"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177.8</w:t>
            </w:r>
          </w:p>
        </w:tc>
        <w:tc>
          <w:tcPr>
            <w:tcW w:w="563"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P110</w:t>
            </w:r>
          </w:p>
        </w:tc>
        <w:tc>
          <w:tcPr>
            <w:tcW w:w="563"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9.19</w:t>
            </w:r>
          </w:p>
        </w:tc>
        <w:tc>
          <w:tcPr>
            <w:tcW w:w="563"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长圆</w:t>
            </w:r>
          </w:p>
        </w:tc>
        <w:tc>
          <w:tcPr>
            <w:tcW w:w="562"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39.14</w:t>
            </w:r>
          </w:p>
        </w:tc>
        <w:tc>
          <w:tcPr>
            <w:tcW w:w="562"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200.03</w:t>
            </w:r>
          </w:p>
        </w:tc>
        <w:tc>
          <w:tcPr>
            <w:tcW w:w="562"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3080</w:t>
            </w:r>
          </w:p>
        </w:tc>
        <w:tc>
          <w:tcPr>
            <w:tcW w:w="562"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43</w:t>
            </w:r>
          </w:p>
        </w:tc>
        <w:tc>
          <w:tcPr>
            <w:tcW w:w="556" w:type="pc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68.6</w:t>
            </w:r>
          </w:p>
        </w:tc>
      </w:tr>
    </w:tbl>
    <w:p>
      <w:pPr>
        <w:pStyle w:val="254"/>
        <w:ind w:firstLine="0"/>
        <w:rPr>
          <w:rFonts w:ascii="Times New Roman" w:hAnsi="Times New Roman"/>
        </w:rPr>
      </w:pPr>
    </w:p>
    <w:p>
      <w:pPr>
        <w:ind w:firstLine="240" w:firstLineChars="1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注：①套管强度计算采用《套管柱结构与强度设计》（SY/T5724-2008）。</w:t>
      </w:r>
    </w:p>
    <w:p>
      <w:pPr>
        <w:ind w:firstLine="240" w:firstLineChars="100"/>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②套管外挤压力按套管内全掏空计算，套管外按下套管时的钻井液密度考虑。</w:t>
      </w:r>
    </w:p>
    <w:p>
      <w:pPr>
        <w:ind w:firstLine="240" w:firstLineChars="100"/>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③固井相关工具和附件的扣型要与套管扣型相匹配，其强度不得小于所在井段套管的强度，如果不匹配，应准备好足够的变扣短套管。</w:t>
      </w:r>
    </w:p>
    <w:p>
      <w:pPr>
        <w:ind w:firstLine="240" w:firstLineChars="100"/>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④本表为理论计算数据，套管送井时应根据实际重新校核。</w:t>
      </w:r>
    </w:p>
    <w:p>
      <w:pPr>
        <w:ind w:firstLine="240" w:firstLineChars="100"/>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⑤若无设计套管，现场在经校核符合标准强度要求和满足下部钻完井需要的情况下，可以选用更高钢级、更高壁厚的套管。</w:t>
      </w:r>
    </w:p>
    <w:p>
      <w:pPr>
        <w:ind w:firstLine="560"/>
        <w:jc w:val="left"/>
        <w:rPr>
          <w:rFonts w:eastAsiaTheme="minorEastAsia"/>
          <w:color w:val="000000" w:themeColor="text1"/>
          <w14:textFill>
            <w14:solidFill>
              <w14:schemeClr w14:val="tx1"/>
            </w14:solidFill>
          </w14:textFill>
        </w:rPr>
      </w:pPr>
      <w:r>
        <w:rPr>
          <w:rFonts w:hint="eastAsia" w:eastAsiaTheme="minorEastAsia"/>
          <w:color w:val="000000" w:themeColor="text1"/>
          <w14:textFill>
            <w14:solidFill>
              <w14:schemeClr w14:val="tx1"/>
            </w14:solidFill>
          </w14:textFill>
        </w:rPr>
        <w:t>（4）</w:t>
      </w:r>
      <w:r>
        <w:rPr>
          <w:rFonts w:eastAsiaTheme="minorEastAsia"/>
          <w:color w:val="000000" w:themeColor="text1"/>
          <w14:textFill>
            <w14:solidFill>
              <w14:schemeClr w14:val="tx1"/>
            </w14:solidFill>
          </w14:textFill>
        </w:rPr>
        <w:t>套管串结构、固井附件设计</w:t>
      </w:r>
    </w:p>
    <w:p>
      <w:pPr>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26</w:t>
      </w:r>
      <w:r>
        <w:rPr>
          <w:rFonts w:eastAsiaTheme="minorEastAsia"/>
          <w:b/>
          <w:color w:val="000000" w:themeColor="text1"/>
          <w:sz w:val="24"/>
          <w14:textFill>
            <w14:solidFill>
              <w14:schemeClr w14:val="tx1"/>
            </w14:solidFill>
          </w14:textFill>
        </w:rPr>
        <w:t xml:space="preserve">  各层次套管串结构</w:t>
      </w:r>
    </w:p>
    <w:tbl>
      <w:tblPr>
        <w:tblStyle w:val="45"/>
        <w:tblW w:w="8451"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57" w:type="dxa"/>
          <w:bottom w:w="0" w:type="dxa"/>
          <w:right w:w="57" w:type="dxa"/>
        </w:tblCellMar>
      </w:tblPr>
      <w:tblGrid>
        <w:gridCol w:w="1188"/>
        <w:gridCol w:w="6367"/>
        <w:gridCol w:w="896"/>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302" w:hRule="atLeast"/>
          <w:jc w:val="center"/>
        </w:trPr>
        <w:tc>
          <w:tcPr>
            <w:tcW w:w="1188" w:type="dxa"/>
            <w:vAlign w:val="center"/>
          </w:tcPr>
          <w:p>
            <w:pPr>
              <w:pStyle w:val="256"/>
              <w:spacing w:line="240" w:lineRule="auto"/>
              <w:rPr>
                <w:rFonts w:ascii="Times New Roman" w:hAnsi="Times New Roman" w:cs="Times New Roman" w:eastAsiaTheme="minorEastAsia"/>
                <w:szCs w:val="21"/>
              </w:rPr>
            </w:pPr>
            <w:r>
              <w:rPr>
                <w:rFonts w:ascii="Times New Roman" w:hAnsi="Times New Roman" w:cs="Times New Roman" w:eastAsiaTheme="minorEastAsia"/>
                <w:szCs w:val="21"/>
              </w:rPr>
              <w:t>套管程序</w:t>
            </w:r>
          </w:p>
        </w:tc>
        <w:tc>
          <w:tcPr>
            <w:tcW w:w="6367" w:type="dxa"/>
            <w:vAlign w:val="center"/>
          </w:tcPr>
          <w:p>
            <w:pPr>
              <w:pStyle w:val="256"/>
              <w:spacing w:line="240" w:lineRule="auto"/>
              <w:rPr>
                <w:rFonts w:ascii="Times New Roman" w:hAnsi="Times New Roman" w:cs="Times New Roman" w:eastAsiaTheme="minorEastAsia"/>
                <w:szCs w:val="21"/>
              </w:rPr>
            </w:pPr>
            <w:r>
              <w:rPr>
                <w:rFonts w:ascii="Times New Roman" w:hAnsi="Times New Roman" w:cs="Times New Roman" w:eastAsiaTheme="minorEastAsia"/>
                <w:szCs w:val="21"/>
              </w:rPr>
              <w:t>套管串结构）自下而上）</w:t>
            </w:r>
          </w:p>
        </w:tc>
        <w:tc>
          <w:tcPr>
            <w:tcW w:w="896" w:type="dxa"/>
          </w:tcPr>
          <w:p>
            <w:pPr>
              <w:pStyle w:val="256"/>
              <w:spacing w:line="240" w:lineRule="auto"/>
              <w:rPr>
                <w:rFonts w:ascii="Times New Roman" w:hAnsi="Times New Roman" w:cs="Times New Roman" w:eastAsiaTheme="minorEastAsia"/>
                <w:szCs w:val="21"/>
              </w:rPr>
            </w:pPr>
            <w:r>
              <w:rPr>
                <w:rFonts w:ascii="Times New Roman" w:hAnsi="Times New Roman" w:cs="Times New Roman" w:eastAsiaTheme="minorEastAsia"/>
                <w:szCs w:val="21"/>
              </w:rPr>
              <w:t>备注</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302" w:hRule="atLeast"/>
          <w:jc w:val="center"/>
        </w:trPr>
        <w:tc>
          <w:tcPr>
            <w:tcW w:w="1188" w:type="dxa"/>
            <w:vAlign w:val="center"/>
          </w:tcPr>
          <w:p>
            <w:pPr>
              <w:widowControl/>
              <w:tabs>
                <w:tab w:val="left" w:pos="377"/>
              </w:tabs>
              <w:spacing w:line="240" w:lineRule="auto"/>
              <w:ind w:firstLine="0" w:firstLineChars="0"/>
              <w:jc w:val="center"/>
              <w:rPr>
                <w:rFonts w:eastAsiaTheme="minorEastAsia"/>
                <w:bCs/>
                <w:snapToGrid/>
                <w:sz w:val="21"/>
                <w:szCs w:val="21"/>
              </w:rPr>
            </w:pPr>
            <w:r>
              <w:rPr>
                <w:rFonts w:eastAsiaTheme="minorEastAsia"/>
                <w:bCs/>
                <w:snapToGrid/>
                <w:sz w:val="21"/>
                <w:szCs w:val="21"/>
              </w:rPr>
              <w:t>一开</w:t>
            </w:r>
          </w:p>
        </w:tc>
        <w:tc>
          <w:tcPr>
            <w:tcW w:w="6367" w:type="dxa"/>
            <w:vAlign w:val="center"/>
          </w:tcPr>
          <w:p>
            <w:pPr>
              <w:widowControl/>
              <w:tabs>
                <w:tab w:val="left" w:pos="377"/>
              </w:tabs>
              <w:spacing w:line="240" w:lineRule="auto"/>
              <w:ind w:firstLine="0" w:firstLineChars="0"/>
              <w:jc w:val="center"/>
              <w:rPr>
                <w:rFonts w:eastAsiaTheme="minorEastAsia"/>
                <w:bCs/>
                <w:snapToGrid/>
                <w:sz w:val="21"/>
                <w:szCs w:val="21"/>
              </w:rPr>
            </w:pPr>
            <w:r>
              <w:rPr>
                <w:rFonts w:eastAsiaTheme="minorEastAsia"/>
                <w:bCs/>
                <w:snapToGrid/>
                <w:sz w:val="21"/>
                <w:szCs w:val="21"/>
              </w:rPr>
              <w:t>可钻浮鞋+套管1根+浮箍</w:t>
            </w:r>
            <w:r>
              <w:rPr>
                <w:rFonts w:hint="eastAsia" w:eastAsiaTheme="minorEastAsia"/>
                <w:bCs/>
                <w:snapToGrid/>
                <w:sz w:val="21"/>
                <w:szCs w:val="21"/>
              </w:rPr>
              <w:t>（</w:t>
            </w:r>
            <w:r>
              <w:rPr>
                <w:rFonts w:eastAsiaTheme="minorEastAsia"/>
                <w:bCs/>
                <w:snapToGrid/>
                <w:sz w:val="21"/>
                <w:szCs w:val="21"/>
              </w:rPr>
              <w:t>内插座</w:t>
            </w:r>
            <w:r>
              <w:rPr>
                <w:rFonts w:hint="eastAsia" w:eastAsiaTheme="minorEastAsia"/>
                <w:bCs/>
                <w:snapToGrid/>
                <w:sz w:val="21"/>
                <w:szCs w:val="21"/>
              </w:rPr>
              <w:t>）</w:t>
            </w:r>
            <w:r>
              <w:rPr>
                <w:rFonts w:eastAsiaTheme="minorEastAsia"/>
                <w:bCs/>
                <w:snapToGrid/>
                <w:sz w:val="21"/>
                <w:szCs w:val="21"/>
              </w:rPr>
              <w:t>+套管串+联顶节</w:t>
            </w:r>
          </w:p>
        </w:tc>
        <w:tc>
          <w:tcPr>
            <w:tcW w:w="896" w:type="dxa"/>
            <w:vMerge w:val="restart"/>
            <w:vAlign w:val="center"/>
          </w:tcPr>
          <w:p>
            <w:pPr>
              <w:widowControl/>
              <w:tabs>
                <w:tab w:val="left" w:pos="377"/>
              </w:tabs>
              <w:spacing w:line="240" w:lineRule="auto"/>
              <w:ind w:firstLine="0" w:firstLineChars="0"/>
              <w:jc w:val="center"/>
              <w:rPr>
                <w:rFonts w:eastAsiaTheme="minorEastAsia"/>
                <w:bCs/>
                <w:snapToGrid/>
                <w:sz w:val="21"/>
                <w:szCs w:val="21"/>
              </w:rPr>
            </w:pPr>
            <w:r>
              <w:rPr>
                <w:rFonts w:eastAsiaTheme="minorEastAsia"/>
                <w:bCs/>
                <w:snapToGrid/>
                <w:sz w:val="21"/>
                <w:szCs w:val="21"/>
              </w:rPr>
              <w:t>定向井</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155" w:hRule="atLeast"/>
          <w:jc w:val="center"/>
        </w:trPr>
        <w:tc>
          <w:tcPr>
            <w:tcW w:w="1188" w:type="dxa"/>
            <w:vAlign w:val="center"/>
          </w:tcPr>
          <w:p>
            <w:pPr>
              <w:widowControl/>
              <w:tabs>
                <w:tab w:val="left" w:pos="377"/>
              </w:tabs>
              <w:spacing w:line="240" w:lineRule="auto"/>
              <w:ind w:firstLine="0" w:firstLineChars="0"/>
              <w:jc w:val="center"/>
              <w:rPr>
                <w:rFonts w:eastAsiaTheme="minorEastAsia"/>
                <w:bCs/>
                <w:snapToGrid/>
                <w:sz w:val="21"/>
                <w:szCs w:val="21"/>
              </w:rPr>
            </w:pPr>
            <w:r>
              <w:rPr>
                <w:rFonts w:eastAsiaTheme="minorEastAsia"/>
                <w:bCs/>
                <w:snapToGrid/>
                <w:sz w:val="21"/>
                <w:szCs w:val="21"/>
              </w:rPr>
              <w:t>二开</w:t>
            </w:r>
          </w:p>
        </w:tc>
        <w:tc>
          <w:tcPr>
            <w:tcW w:w="6367" w:type="dxa"/>
            <w:vAlign w:val="center"/>
          </w:tcPr>
          <w:p>
            <w:pPr>
              <w:widowControl/>
              <w:tabs>
                <w:tab w:val="left" w:pos="377"/>
              </w:tabs>
              <w:spacing w:line="240" w:lineRule="auto"/>
              <w:ind w:firstLine="0" w:firstLineChars="0"/>
              <w:jc w:val="center"/>
              <w:rPr>
                <w:rFonts w:eastAsiaTheme="minorEastAsia"/>
                <w:bCs/>
                <w:snapToGrid/>
                <w:sz w:val="21"/>
                <w:szCs w:val="21"/>
              </w:rPr>
            </w:pPr>
            <w:r>
              <w:rPr>
                <w:rFonts w:eastAsiaTheme="minorEastAsia"/>
                <w:bCs/>
                <w:snapToGrid/>
                <w:sz w:val="21"/>
                <w:szCs w:val="21"/>
              </w:rPr>
              <w:t>引鞋+带旋流孔套管1根+套管1根+浮箍+套管1根+浮箍+套管串+联顶节</w:t>
            </w:r>
          </w:p>
        </w:tc>
        <w:tc>
          <w:tcPr>
            <w:tcW w:w="896" w:type="dxa"/>
            <w:vMerge w:val="continue"/>
          </w:tcPr>
          <w:p>
            <w:pPr>
              <w:widowControl/>
              <w:tabs>
                <w:tab w:val="left" w:pos="377"/>
              </w:tabs>
              <w:spacing w:line="240" w:lineRule="auto"/>
              <w:ind w:firstLine="0" w:firstLineChars="0"/>
              <w:jc w:val="center"/>
              <w:rPr>
                <w:rFonts w:eastAsiaTheme="minorEastAsia"/>
                <w:bCs/>
                <w:snapToGrid/>
                <w:sz w:val="21"/>
                <w:szCs w:val="21"/>
              </w:rPr>
            </w:pP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-26</w:t>
      </w:r>
      <w:r>
        <w:rPr>
          <w:rFonts w:eastAsiaTheme="minorEastAsia"/>
          <w:b/>
          <w:color w:val="000000" w:themeColor="text1"/>
          <w:sz w:val="24"/>
          <w14:textFill>
            <w14:solidFill>
              <w14:schemeClr w14:val="tx1"/>
            </w14:solidFill>
          </w14:textFill>
        </w:rPr>
        <w:t xml:space="preserve">  扶正器设计表（营1-斜111井为例）</w:t>
      </w:r>
    </w:p>
    <w:tbl>
      <w:tblPr>
        <w:tblStyle w:val="4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145"/>
        <w:gridCol w:w="1239"/>
        <w:gridCol w:w="1256"/>
        <w:gridCol w:w="1260"/>
        <w:gridCol w:w="1218"/>
        <w:gridCol w:w="1009"/>
        <w:gridCol w:w="1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682" w:type="pct"/>
            <w:tcBorders>
              <w:top w:val="single" w:color="000000" w:sz="12" w:space="0"/>
              <w:left w:val="single" w:color="000000" w:sz="12" w:space="0"/>
            </w:tcBorders>
            <w:vAlign w:val="center"/>
          </w:tcPr>
          <w:p>
            <w:pPr>
              <w:widowControl/>
              <w:tabs>
                <w:tab w:val="left" w:pos="377"/>
              </w:tabs>
              <w:spacing w:line="240" w:lineRule="auto"/>
              <w:ind w:firstLine="0" w:firstLineChars="0"/>
              <w:jc w:val="center"/>
              <w:rPr>
                <w:rFonts w:eastAsiaTheme="minorEastAsia"/>
                <w:b/>
                <w:snapToGrid/>
                <w:sz w:val="21"/>
                <w:szCs w:val="21"/>
              </w:rPr>
            </w:pPr>
            <w:r>
              <w:rPr>
                <w:rFonts w:eastAsiaTheme="minorEastAsia"/>
                <w:b/>
                <w:snapToGrid/>
                <w:sz w:val="21"/>
                <w:szCs w:val="21"/>
              </w:rPr>
              <w:t>套管程序</w:t>
            </w:r>
          </w:p>
        </w:tc>
        <w:tc>
          <w:tcPr>
            <w:tcW w:w="738" w:type="pct"/>
            <w:tcBorders>
              <w:top w:val="single" w:color="000000" w:sz="12" w:space="0"/>
            </w:tcBorders>
            <w:vAlign w:val="center"/>
          </w:tcPr>
          <w:p>
            <w:pPr>
              <w:widowControl/>
              <w:tabs>
                <w:tab w:val="left" w:pos="377"/>
              </w:tabs>
              <w:spacing w:line="240" w:lineRule="auto"/>
              <w:ind w:firstLine="0" w:firstLineChars="0"/>
              <w:jc w:val="center"/>
              <w:rPr>
                <w:rFonts w:eastAsiaTheme="minorEastAsia"/>
                <w:b/>
                <w:snapToGrid/>
                <w:sz w:val="21"/>
                <w:szCs w:val="21"/>
              </w:rPr>
            </w:pPr>
            <w:r>
              <w:rPr>
                <w:rFonts w:eastAsiaTheme="minorEastAsia"/>
                <w:b/>
                <w:snapToGrid/>
                <w:sz w:val="21"/>
                <w:szCs w:val="21"/>
              </w:rPr>
              <w:t>套管尺寸</w:t>
            </w:r>
          </w:p>
          <w:p>
            <w:pPr>
              <w:widowControl/>
              <w:tabs>
                <w:tab w:val="left" w:pos="377"/>
              </w:tabs>
              <w:spacing w:line="240" w:lineRule="auto"/>
              <w:ind w:firstLine="0" w:firstLineChars="0"/>
              <w:jc w:val="center"/>
              <w:rPr>
                <w:rFonts w:eastAsiaTheme="minorEastAsia"/>
                <w:b/>
                <w:snapToGrid/>
                <w:sz w:val="21"/>
                <w:szCs w:val="21"/>
              </w:rPr>
            </w:pPr>
            <w:r>
              <w:rPr>
                <w:rFonts w:hint="eastAsia" w:eastAsiaTheme="minorEastAsia"/>
                <w:b/>
                <w:snapToGrid/>
                <w:sz w:val="21"/>
                <w:szCs w:val="21"/>
              </w:rPr>
              <w:t>（</w:t>
            </w:r>
            <w:r>
              <w:rPr>
                <w:rFonts w:eastAsiaTheme="minorEastAsia"/>
                <w:b/>
                <w:snapToGrid/>
                <w:sz w:val="21"/>
                <w:szCs w:val="21"/>
              </w:rPr>
              <w:t>mm</w:t>
            </w:r>
            <w:r>
              <w:rPr>
                <w:rFonts w:hint="eastAsia" w:eastAsiaTheme="minorEastAsia"/>
                <w:b/>
                <w:snapToGrid/>
                <w:sz w:val="21"/>
                <w:szCs w:val="21"/>
              </w:rPr>
              <w:t>）</w:t>
            </w:r>
          </w:p>
        </w:tc>
        <w:tc>
          <w:tcPr>
            <w:tcW w:w="748" w:type="pct"/>
            <w:tcBorders>
              <w:top w:val="single" w:color="000000" w:sz="12" w:space="0"/>
            </w:tcBorders>
            <w:vAlign w:val="center"/>
          </w:tcPr>
          <w:p>
            <w:pPr>
              <w:widowControl/>
              <w:tabs>
                <w:tab w:val="left" w:pos="377"/>
              </w:tabs>
              <w:spacing w:line="240" w:lineRule="auto"/>
              <w:ind w:firstLine="0" w:firstLineChars="0"/>
              <w:jc w:val="center"/>
              <w:rPr>
                <w:rFonts w:eastAsiaTheme="minorEastAsia"/>
                <w:b/>
                <w:snapToGrid/>
                <w:sz w:val="21"/>
                <w:szCs w:val="21"/>
              </w:rPr>
            </w:pPr>
            <w:r>
              <w:rPr>
                <w:rFonts w:eastAsiaTheme="minorEastAsia"/>
                <w:b/>
                <w:snapToGrid/>
                <w:sz w:val="21"/>
                <w:szCs w:val="21"/>
              </w:rPr>
              <w:t>井眼尺寸</w:t>
            </w:r>
          </w:p>
          <w:p>
            <w:pPr>
              <w:widowControl/>
              <w:tabs>
                <w:tab w:val="left" w:pos="377"/>
              </w:tabs>
              <w:spacing w:line="240" w:lineRule="auto"/>
              <w:ind w:firstLine="0" w:firstLineChars="0"/>
              <w:jc w:val="center"/>
              <w:rPr>
                <w:rFonts w:eastAsiaTheme="minorEastAsia"/>
                <w:b/>
                <w:snapToGrid/>
                <w:sz w:val="21"/>
                <w:szCs w:val="21"/>
              </w:rPr>
            </w:pPr>
            <w:r>
              <w:rPr>
                <w:rFonts w:hint="eastAsia" w:eastAsiaTheme="minorEastAsia"/>
                <w:b/>
                <w:snapToGrid/>
                <w:sz w:val="21"/>
                <w:szCs w:val="21"/>
              </w:rPr>
              <w:t>（</w:t>
            </w:r>
            <w:r>
              <w:rPr>
                <w:rFonts w:eastAsiaTheme="minorEastAsia"/>
                <w:b/>
                <w:snapToGrid/>
                <w:sz w:val="21"/>
                <w:szCs w:val="21"/>
              </w:rPr>
              <w:t>mm</w:t>
            </w:r>
            <w:r>
              <w:rPr>
                <w:rFonts w:hint="eastAsia" w:eastAsiaTheme="minorEastAsia"/>
                <w:b/>
                <w:snapToGrid/>
                <w:sz w:val="21"/>
                <w:szCs w:val="21"/>
              </w:rPr>
              <w:t>）</w:t>
            </w:r>
          </w:p>
        </w:tc>
        <w:tc>
          <w:tcPr>
            <w:tcW w:w="750" w:type="pct"/>
            <w:tcBorders>
              <w:top w:val="single" w:color="000000" w:sz="12" w:space="0"/>
            </w:tcBorders>
            <w:vAlign w:val="center"/>
          </w:tcPr>
          <w:p>
            <w:pPr>
              <w:widowControl/>
              <w:tabs>
                <w:tab w:val="left" w:pos="377"/>
              </w:tabs>
              <w:spacing w:line="240" w:lineRule="auto"/>
              <w:ind w:firstLine="0" w:firstLineChars="0"/>
              <w:jc w:val="center"/>
              <w:rPr>
                <w:rFonts w:eastAsiaTheme="minorEastAsia"/>
                <w:b/>
                <w:snapToGrid/>
                <w:sz w:val="21"/>
                <w:szCs w:val="21"/>
              </w:rPr>
            </w:pPr>
            <w:r>
              <w:rPr>
                <w:rFonts w:eastAsiaTheme="minorEastAsia"/>
                <w:b/>
                <w:snapToGrid/>
                <w:sz w:val="21"/>
                <w:szCs w:val="21"/>
              </w:rPr>
              <w:t>井段</w:t>
            </w:r>
          </w:p>
          <w:p>
            <w:pPr>
              <w:widowControl/>
              <w:tabs>
                <w:tab w:val="left" w:pos="377"/>
              </w:tabs>
              <w:spacing w:line="240" w:lineRule="auto"/>
              <w:ind w:firstLine="0" w:firstLineChars="0"/>
              <w:jc w:val="center"/>
              <w:rPr>
                <w:rFonts w:eastAsiaTheme="minorEastAsia"/>
                <w:b/>
                <w:snapToGrid/>
                <w:sz w:val="21"/>
                <w:szCs w:val="21"/>
              </w:rPr>
            </w:pPr>
            <w:r>
              <w:rPr>
                <w:rFonts w:hint="eastAsia" w:eastAsiaTheme="minorEastAsia"/>
                <w:b/>
                <w:snapToGrid/>
                <w:sz w:val="21"/>
                <w:szCs w:val="21"/>
              </w:rPr>
              <w:t>（</w:t>
            </w:r>
            <w:r>
              <w:rPr>
                <w:rFonts w:eastAsiaTheme="minorEastAsia"/>
                <w:b/>
                <w:snapToGrid/>
                <w:sz w:val="21"/>
                <w:szCs w:val="21"/>
              </w:rPr>
              <w:t>m</w:t>
            </w:r>
            <w:r>
              <w:rPr>
                <w:rFonts w:hint="eastAsia" w:eastAsiaTheme="minorEastAsia"/>
                <w:b/>
                <w:snapToGrid/>
                <w:sz w:val="21"/>
                <w:szCs w:val="21"/>
              </w:rPr>
              <w:t>）</w:t>
            </w:r>
          </w:p>
        </w:tc>
        <w:tc>
          <w:tcPr>
            <w:tcW w:w="725" w:type="pct"/>
            <w:tcBorders>
              <w:top w:val="single" w:color="000000" w:sz="12" w:space="0"/>
            </w:tcBorders>
            <w:vAlign w:val="center"/>
          </w:tcPr>
          <w:p>
            <w:pPr>
              <w:widowControl/>
              <w:tabs>
                <w:tab w:val="left" w:pos="377"/>
              </w:tabs>
              <w:spacing w:line="240" w:lineRule="auto"/>
              <w:ind w:firstLine="0" w:firstLineChars="0"/>
              <w:jc w:val="center"/>
              <w:rPr>
                <w:rFonts w:eastAsiaTheme="minorEastAsia"/>
                <w:b/>
                <w:snapToGrid/>
                <w:sz w:val="21"/>
                <w:szCs w:val="21"/>
              </w:rPr>
            </w:pPr>
            <w:r>
              <w:rPr>
                <w:rFonts w:eastAsiaTheme="minorEastAsia"/>
                <w:b/>
                <w:snapToGrid/>
                <w:sz w:val="21"/>
                <w:szCs w:val="21"/>
              </w:rPr>
              <w:t>扶正器类型</w:t>
            </w:r>
          </w:p>
        </w:tc>
        <w:tc>
          <w:tcPr>
            <w:tcW w:w="601" w:type="pct"/>
            <w:tcBorders>
              <w:top w:val="single" w:color="000000" w:sz="12" w:space="0"/>
            </w:tcBorders>
            <w:vAlign w:val="center"/>
          </w:tcPr>
          <w:p>
            <w:pPr>
              <w:widowControl/>
              <w:tabs>
                <w:tab w:val="left" w:pos="377"/>
              </w:tabs>
              <w:spacing w:line="240" w:lineRule="auto"/>
              <w:ind w:firstLine="0" w:firstLineChars="0"/>
              <w:jc w:val="center"/>
              <w:rPr>
                <w:rFonts w:eastAsiaTheme="minorEastAsia"/>
                <w:b/>
                <w:snapToGrid/>
                <w:sz w:val="21"/>
                <w:szCs w:val="21"/>
              </w:rPr>
            </w:pPr>
            <w:r>
              <w:rPr>
                <w:rFonts w:eastAsiaTheme="minorEastAsia"/>
                <w:b/>
                <w:snapToGrid/>
                <w:sz w:val="21"/>
                <w:szCs w:val="21"/>
              </w:rPr>
              <w:t>扶正器间距（m）</w:t>
            </w:r>
          </w:p>
        </w:tc>
        <w:tc>
          <w:tcPr>
            <w:tcW w:w="753" w:type="pct"/>
            <w:tcBorders>
              <w:top w:val="single" w:color="000000" w:sz="12" w:space="0"/>
              <w:right w:val="single" w:color="000000" w:sz="12" w:space="0"/>
            </w:tcBorders>
            <w:vAlign w:val="center"/>
          </w:tcPr>
          <w:p>
            <w:pPr>
              <w:widowControl/>
              <w:tabs>
                <w:tab w:val="left" w:pos="377"/>
              </w:tabs>
              <w:spacing w:line="240" w:lineRule="auto"/>
              <w:ind w:firstLine="0" w:firstLineChars="0"/>
              <w:jc w:val="center"/>
              <w:rPr>
                <w:rFonts w:eastAsiaTheme="minorEastAsia"/>
                <w:b/>
                <w:snapToGrid/>
                <w:sz w:val="21"/>
                <w:szCs w:val="21"/>
              </w:rPr>
            </w:pPr>
            <w:r>
              <w:rPr>
                <w:rFonts w:eastAsiaTheme="minorEastAsia"/>
                <w:b/>
                <w:snapToGrid/>
                <w:sz w:val="21"/>
                <w:szCs w:val="21"/>
              </w:rPr>
              <w:t>扶正器数量</w:t>
            </w:r>
          </w:p>
          <w:p>
            <w:pPr>
              <w:widowControl/>
              <w:tabs>
                <w:tab w:val="left" w:pos="377"/>
              </w:tabs>
              <w:spacing w:line="240" w:lineRule="auto"/>
              <w:ind w:firstLine="0" w:firstLineChars="0"/>
              <w:jc w:val="center"/>
              <w:rPr>
                <w:rFonts w:eastAsiaTheme="minorEastAsia"/>
                <w:b/>
                <w:snapToGrid/>
                <w:sz w:val="21"/>
                <w:szCs w:val="21"/>
              </w:rPr>
            </w:pPr>
            <w:r>
              <w:rPr>
                <w:rFonts w:hint="eastAsia" w:eastAsiaTheme="minorEastAsia"/>
                <w:b/>
                <w:snapToGrid/>
                <w:sz w:val="21"/>
                <w:szCs w:val="21"/>
              </w:rPr>
              <w:t>（</w:t>
            </w:r>
            <w:r>
              <w:rPr>
                <w:rFonts w:eastAsiaTheme="minorEastAsia"/>
                <w:b/>
                <w:snapToGrid/>
                <w:sz w:val="21"/>
                <w:szCs w:val="21"/>
              </w:rPr>
              <w:t>只</w:t>
            </w:r>
            <w:r>
              <w:rPr>
                <w:rFonts w:hint="eastAsia" w:eastAsiaTheme="minorEastAsia"/>
                <w:b/>
                <w:snapToGrid/>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0" w:hRule="atLeast"/>
          <w:jc w:val="center"/>
        </w:trPr>
        <w:tc>
          <w:tcPr>
            <w:tcW w:w="682" w:type="pct"/>
            <w:vMerge w:val="restart"/>
            <w:tcBorders>
              <w:left w:val="single" w:color="000000" w:sz="12" w:space="0"/>
            </w:tcBorders>
            <w:vAlign w:val="center"/>
          </w:tcPr>
          <w:p>
            <w:pPr>
              <w:widowControl/>
              <w:tabs>
                <w:tab w:val="left" w:pos="377"/>
              </w:tabs>
              <w:spacing w:line="240" w:lineRule="auto"/>
              <w:ind w:firstLine="0" w:firstLineChars="0"/>
              <w:jc w:val="center"/>
              <w:rPr>
                <w:rFonts w:eastAsiaTheme="minorEastAsia"/>
                <w:bCs/>
                <w:snapToGrid/>
                <w:sz w:val="21"/>
                <w:szCs w:val="21"/>
              </w:rPr>
            </w:pPr>
            <w:r>
              <w:rPr>
                <w:rFonts w:eastAsiaTheme="minorEastAsia"/>
                <w:bCs/>
                <w:snapToGrid/>
                <w:sz w:val="21"/>
                <w:szCs w:val="21"/>
              </w:rPr>
              <w:t>二开</w:t>
            </w:r>
          </w:p>
        </w:tc>
        <w:tc>
          <w:tcPr>
            <w:tcW w:w="738" w:type="pct"/>
            <w:vMerge w:val="restart"/>
            <w:vAlign w:val="center"/>
          </w:tcPr>
          <w:p>
            <w:pPr>
              <w:widowControl/>
              <w:tabs>
                <w:tab w:val="left" w:pos="377"/>
              </w:tabs>
              <w:spacing w:line="240" w:lineRule="auto"/>
              <w:ind w:firstLine="0" w:firstLineChars="0"/>
              <w:jc w:val="center"/>
              <w:rPr>
                <w:rFonts w:eastAsiaTheme="minorEastAsia"/>
                <w:bCs/>
                <w:snapToGrid/>
                <w:sz w:val="21"/>
                <w:szCs w:val="21"/>
                <w:lang w:val="en-GB"/>
              </w:rPr>
            </w:pPr>
            <w:r>
              <w:rPr>
                <w:rFonts w:eastAsiaTheme="minorEastAsia"/>
                <w:bCs/>
                <w:snapToGrid/>
                <w:sz w:val="21"/>
                <w:szCs w:val="21"/>
                <w:lang w:val="en-GB"/>
              </w:rPr>
              <w:t>Ф177.8</w:t>
            </w:r>
          </w:p>
        </w:tc>
        <w:tc>
          <w:tcPr>
            <w:tcW w:w="748" w:type="pct"/>
            <w:vMerge w:val="restart"/>
            <w:vAlign w:val="center"/>
          </w:tcPr>
          <w:p>
            <w:pPr>
              <w:widowControl/>
              <w:tabs>
                <w:tab w:val="left" w:pos="377"/>
              </w:tabs>
              <w:spacing w:line="240" w:lineRule="auto"/>
              <w:ind w:firstLine="0" w:firstLineChars="0"/>
              <w:jc w:val="center"/>
              <w:rPr>
                <w:rFonts w:eastAsiaTheme="minorEastAsia"/>
                <w:bCs/>
                <w:snapToGrid/>
                <w:sz w:val="21"/>
                <w:szCs w:val="21"/>
                <w:lang w:val="en-GB"/>
              </w:rPr>
            </w:pPr>
            <w:r>
              <w:rPr>
                <w:rFonts w:eastAsiaTheme="minorEastAsia"/>
                <w:bCs/>
                <w:snapToGrid/>
                <w:sz w:val="21"/>
                <w:szCs w:val="21"/>
                <w:lang w:val="en-GB"/>
              </w:rPr>
              <w:t>Ф241.3</w:t>
            </w:r>
          </w:p>
        </w:tc>
        <w:tc>
          <w:tcPr>
            <w:tcW w:w="750" w:type="pct"/>
            <w:vAlign w:val="center"/>
          </w:tcPr>
          <w:p>
            <w:pPr>
              <w:widowControl/>
              <w:tabs>
                <w:tab w:val="left" w:pos="377"/>
              </w:tabs>
              <w:spacing w:line="240" w:lineRule="auto"/>
              <w:ind w:firstLine="0" w:firstLineChars="0"/>
              <w:jc w:val="center"/>
              <w:rPr>
                <w:rFonts w:eastAsiaTheme="minorEastAsia"/>
                <w:bCs/>
                <w:snapToGrid/>
                <w:sz w:val="21"/>
                <w:szCs w:val="21"/>
                <w:lang w:val="en-GB"/>
              </w:rPr>
            </w:pPr>
            <w:r>
              <w:rPr>
                <w:rFonts w:eastAsiaTheme="minorEastAsia"/>
                <w:bCs/>
                <w:snapToGrid/>
                <w:sz w:val="21"/>
                <w:szCs w:val="21"/>
                <w:lang w:val="en-GB"/>
              </w:rPr>
              <w:t>0～170</w:t>
            </w:r>
          </w:p>
        </w:tc>
        <w:tc>
          <w:tcPr>
            <w:tcW w:w="725" w:type="pct"/>
            <w:vAlign w:val="center"/>
          </w:tcPr>
          <w:p>
            <w:pPr>
              <w:widowControl/>
              <w:tabs>
                <w:tab w:val="left" w:pos="377"/>
              </w:tabs>
              <w:spacing w:line="240" w:lineRule="auto"/>
              <w:ind w:firstLine="0" w:firstLineChars="0"/>
              <w:jc w:val="center"/>
              <w:rPr>
                <w:rFonts w:eastAsiaTheme="minorEastAsia"/>
                <w:bCs/>
                <w:snapToGrid/>
                <w:sz w:val="21"/>
                <w:szCs w:val="21"/>
                <w:lang w:val="en-GB"/>
              </w:rPr>
            </w:pPr>
            <w:r>
              <w:rPr>
                <w:rFonts w:eastAsiaTheme="minorEastAsia"/>
                <w:bCs/>
                <w:snapToGrid/>
                <w:sz w:val="21"/>
                <w:szCs w:val="21"/>
              </w:rPr>
              <w:t>整体式</w:t>
            </w:r>
          </w:p>
        </w:tc>
        <w:tc>
          <w:tcPr>
            <w:tcW w:w="601" w:type="pct"/>
            <w:vAlign w:val="center"/>
          </w:tcPr>
          <w:p>
            <w:pPr>
              <w:widowControl/>
              <w:tabs>
                <w:tab w:val="left" w:pos="377"/>
              </w:tabs>
              <w:spacing w:line="240" w:lineRule="auto"/>
              <w:ind w:firstLine="0" w:firstLineChars="0"/>
              <w:jc w:val="center"/>
              <w:rPr>
                <w:rFonts w:eastAsiaTheme="minorEastAsia"/>
                <w:bCs/>
                <w:snapToGrid/>
                <w:sz w:val="21"/>
                <w:szCs w:val="21"/>
              </w:rPr>
            </w:pPr>
            <w:r>
              <w:rPr>
                <w:rFonts w:eastAsiaTheme="minorEastAsia"/>
                <w:bCs/>
                <w:snapToGrid/>
                <w:sz w:val="21"/>
                <w:szCs w:val="21"/>
              </w:rPr>
              <w:t>100</w:t>
            </w:r>
          </w:p>
        </w:tc>
        <w:tc>
          <w:tcPr>
            <w:tcW w:w="753" w:type="pct"/>
            <w:tcBorders>
              <w:right w:val="single" w:color="000000" w:sz="12" w:space="0"/>
            </w:tcBorders>
            <w:vAlign w:val="center"/>
          </w:tcPr>
          <w:p>
            <w:pPr>
              <w:widowControl/>
              <w:tabs>
                <w:tab w:val="left" w:pos="377"/>
              </w:tabs>
              <w:spacing w:line="240" w:lineRule="auto"/>
              <w:ind w:firstLine="0" w:firstLineChars="0"/>
              <w:jc w:val="center"/>
              <w:rPr>
                <w:rFonts w:eastAsiaTheme="minorEastAsia"/>
                <w:bCs/>
                <w:snapToGrid/>
                <w:sz w:val="21"/>
                <w:szCs w:val="21"/>
              </w:rPr>
            </w:pPr>
            <w:r>
              <w:rPr>
                <w:rFonts w:eastAsiaTheme="minorEastAsia"/>
                <w:bCs/>
                <w:snapToGrid/>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0" w:hRule="atLeast"/>
          <w:jc w:val="center"/>
        </w:trPr>
        <w:tc>
          <w:tcPr>
            <w:tcW w:w="682" w:type="pct"/>
            <w:vMerge w:val="continue"/>
            <w:tcBorders>
              <w:left w:val="single" w:color="000000" w:sz="12" w:space="0"/>
            </w:tcBorders>
            <w:vAlign w:val="center"/>
          </w:tcPr>
          <w:p>
            <w:pPr>
              <w:widowControl/>
              <w:tabs>
                <w:tab w:val="left" w:pos="377"/>
              </w:tabs>
              <w:spacing w:line="240" w:lineRule="auto"/>
              <w:ind w:firstLine="0" w:firstLineChars="0"/>
              <w:jc w:val="center"/>
              <w:rPr>
                <w:rFonts w:eastAsiaTheme="minorEastAsia"/>
                <w:bCs/>
                <w:snapToGrid/>
                <w:sz w:val="21"/>
                <w:szCs w:val="21"/>
              </w:rPr>
            </w:pPr>
          </w:p>
        </w:tc>
        <w:tc>
          <w:tcPr>
            <w:tcW w:w="738" w:type="pct"/>
            <w:vMerge w:val="continue"/>
            <w:vAlign w:val="center"/>
          </w:tcPr>
          <w:p>
            <w:pPr>
              <w:widowControl/>
              <w:tabs>
                <w:tab w:val="left" w:pos="377"/>
              </w:tabs>
              <w:spacing w:line="240" w:lineRule="auto"/>
              <w:ind w:firstLine="0" w:firstLineChars="0"/>
              <w:jc w:val="center"/>
              <w:rPr>
                <w:rFonts w:eastAsiaTheme="minorEastAsia"/>
                <w:bCs/>
                <w:snapToGrid/>
                <w:sz w:val="21"/>
                <w:szCs w:val="21"/>
                <w:lang w:val="en-GB"/>
              </w:rPr>
            </w:pPr>
          </w:p>
        </w:tc>
        <w:tc>
          <w:tcPr>
            <w:tcW w:w="748" w:type="pct"/>
            <w:vMerge w:val="continue"/>
            <w:vAlign w:val="center"/>
          </w:tcPr>
          <w:p>
            <w:pPr>
              <w:widowControl/>
              <w:tabs>
                <w:tab w:val="left" w:pos="377"/>
              </w:tabs>
              <w:spacing w:line="240" w:lineRule="auto"/>
              <w:ind w:firstLine="0" w:firstLineChars="0"/>
              <w:jc w:val="center"/>
              <w:rPr>
                <w:rFonts w:eastAsiaTheme="minorEastAsia"/>
                <w:bCs/>
                <w:snapToGrid/>
                <w:sz w:val="21"/>
                <w:szCs w:val="21"/>
                <w:lang w:val="en-GB"/>
              </w:rPr>
            </w:pPr>
          </w:p>
        </w:tc>
        <w:tc>
          <w:tcPr>
            <w:tcW w:w="750" w:type="pct"/>
            <w:vAlign w:val="center"/>
          </w:tcPr>
          <w:p>
            <w:pPr>
              <w:widowControl/>
              <w:tabs>
                <w:tab w:val="left" w:pos="377"/>
              </w:tabs>
              <w:spacing w:line="240" w:lineRule="auto"/>
              <w:ind w:firstLine="0" w:firstLineChars="0"/>
              <w:jc w:val="center"/>
              <w:rPr>
                <w:rFonts w:eastAsiaTheme="minorEastAsia"/>
                <w:bCs/>
                <w:snapToGrid/>
                <w:sz w:val="21"/>
                <w:szCs w:val="21"/>
                <w:lang w:val="en-GB"/>
              </w:rPr>
            </w:pPr>
            <w:r>
              <w:rPr>
                <w:rFonts w:eastAsiaTheme="minorEastAsia"/>
                <w:bCs/>
                <w:snapToGrid/>
                <w:sz w:val="21"/>
                <w:szCs w:val="21"/>
                <w:lang w:val="en-GB"/>
              </w:rPr>
              <w:t>170～1400</w:t>
            </w:r>
          </w:p>
        </w:tc>
        <w:tc>
          <w:tcPr>
            <w:tcW w:w="725" w:type="pct"/>
            <w:vAlign w:val="center"/>
          </w:tcPr>
          <w:p>
            <w:pPr>
              <w:widowControl/>
              <w:tabs>
                <w:tab w:val="left" w:pos="377"/>
              </w:tabs>
              <w:spacing w:line="240" w:lineRule="auto"/>
              <w:ind w:firstLine="0" w:firstLineChars="0"/>
              <w:jc w:val="center"/>
              <w:rPr>
                <w:rFonts w:eastAsiaTheme="minorEastAsia"/>
                <w:bCs/>
                <w:snapToGrid/>
                <w:sz w:val="21"/>
                <w:szCs w:val="21"/>
              </w:rPr>
            </w:pPr>
            <w:r>
              <w:rPr>
                <w:rFonts w:eastAsiaTheme="minorEastAsia"/>
                <w:bCs/>
                <w:snapToGrid/>
                <w:sz w:val="21"/>
                <w:szCs w:val="21"/>
              </w:rPr>
              <w:t>整体式</w:t>
            </w:r>
          </w:p>
        </w:tc>
        <w:tc>
          <w:tcPr>
            <w:tcW w:w="601" w:type="pct"/>
            <w:vAlign w:val="center"/>
          </w:tcPr>
          <w:p>
            <w:pPr>
              <w:widowControl/>
              <w:tabs>
                <w:tab w:val="left" w:pos="377"/>
              </w:tabs>
              <w:spacing w:line="240" w:lineRule="auto"/>
              <w:ind w:firstLine="0" w:firstLineChars="0"/>
              <w:jc w:val="center"/>
              <w:rPr>
                <w:rFonts w:eastAsiaTheme="minorEastAsia"/>
                <w:bCs/>
                <w:snapToGrid/>
                <w:sz w:val="21"/>
                <w:szCs w:val="21"/>
              </w:rPr>
            </w:pPr>
            <w:r>
              <w:rPr>
                <w:rFonts w:eastAsiaTheme="minorEastAsia"/>
                <w:bCs/>
                <w:snapToGrid/>
                <w:sz w:val="21"/>
                <w:szCs w:val="21"/>
              </w:rPr>
              <w:t>30</w:t>
            </w:r>
          </w:p>
        </w:tc>
        <w:tc>
          <w:tcPr>
            <w:tcW w:w="753" w:type="pct"/>
            <w:tcBorders>
              <w:right w:val="single" w:color="000000" w:sz="12" w:space="0"/>
            </w:tcBorders>
            <w:vAlign w:val="center"/>
          </w:tcPr>
          <w:p>
            <w:pPr>
              <w:widowControl/>
              <w:tabs>
                <w:tab w:val="left" w:pos="377"/>
              </w:tabs>
              <w:spacing w:line="240" w:lineRule="auto"/>
              <w:ind w:firstLine="0" w:firstLineChars="0"/>
              <w:jc w:val="center"/>
              <w:rPr>
                <w:rFonts w:eastAsiaTheme="minorEastAsia"/>
                <w:bCs/>
                <w:snapToGrid/>
                <w:sz w:val="21"/>
                <w:szCs w:val="21"/>
              </w:rPr>
            </w:pPr>
            <w:r>
              <w:rPr>
                <w:rFonts w:eastAsiaTheme="minorEastAsia"/>
                <w:bCs/>
                <w:snapToGrid/>
                <w:sz w:val="21"/>
                <w:szCs w:val="21"/>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0" w:hRule="atLeast"/>
          <w:jc w:val="center"/>
        </w:trPr>
        <w:tc>
          <w:tcPr>
            <w:tcW w:w="682" w:type="pct"/>
            <w:vMerge w:val="continue"/>
            <w:tcBorders>
              <w:left w:val="single" w:color="000000" w:sz="12" w:space="0"/>
              <w:bottom w:val="single" w:color="000000" w:sz="12" w:space="0"/>
            </w:tcBorders>
            <w:vAlign w:val="center"/>
          </w:tcPr>
          <w:p>
            <w:pPr>
              <w:widowControl/>
              <w:tabs>
                <w:tab w:val="left" w:pos="377"/>
              </w:tabs>
              <w:spacing w:line="240" w:lineRule="auto"/>
              <w:ind w:firstLine="0" w:firstLineChars="0"/>
              <w:jc w:val="center"/>
              <w:rPr>
                <w:rFonts w:eastAsiaTheme="minorEastAsia"/>
                <w:bCs/>
                <w:snapToGrid/>
                <w:sz w:val="21"/>
                <w:szCs w:val="21"/>
              </w:rPr>
            </w:pPr>
          </w:p>
        </w:tc>
        <w:tc>
          <w:tcPr>
            <w:tcW w:w="738" w:type="pct"/>
            <w:vMerge w:val="continue"/>
            <w:tcBorders>
              <w:bottom w:val="single" w:color="000000" w:sz="12" w:space="0"/>
            </w:tcBorders>
            <w:vAlign w:val="center"/>
          </w:tcPr>
          <w:p>
            <w:pPr>
              <w:widowControl/>
              <w:tabs>
                <w:tab w:val="left" w:pos="377"/>
              </w:tabs>
              <w:spacing w:line="240" w:lineRule="auto"/>
              <w:ind w:firstLine="0" w:firstLineChars="0"/>
              <w:jc w:val="center"/>
              <w:rPr>
                <w:rFonts w:eastAsiaTheme="minorEastAsia"/>
                <w:bCs/>
                <w:snapToGrid/>
                <w:sz w:val="21"/>
                <w:szCs w:val="21"/>
                <w:lang w:val="en-GB"/>
              </w:rPr>
            </w:pPr>
          </w:p>
        </w:tc>
        <w:tc>
          <w:tcPr>
            <w:tcW w:w="748" w:type="pct"/>
            <w:vMerge w:val="continue"/>
            <w:tcBorders>
              <w:bottom w:val="single" w:color="000000" w:sz="12" w:space="0"/>
            </w:tcBorders>
            <w:vAlign w:val="center"/>
          </w:tcPr>
          <w:p>
            <w:pPr>
              <w:widowControl/>
              <w:tabs>
                <w:tab w:val="left" w:pos="377"/>
              </w:tabs>
              <w:spacing w:line="240" w:lineRule="auto"/>
              <w:ind w:firstLine="0" w:firstLineChars="0"/>
              <w:jc w:val="center"/>
              <w:rPr>
                <w:rFonts w:eastAsiaTheme="minorEastAsia"/>
                <w:bCs/>
                <w:snapToGrid/>
                <w:sz w:val="21"/>
                <w:szCs w:val="21"/>
                <w:lang w:val="en-GB"/>
              </w:rPr>
            </w:pPr>
          </w:p>
        </w:tc>
        <w:tc>
          <w:tcPr>
            <w:tcW w:w="750" w:type="pct"/>
            <w:tcBorders>
              <w:bottom w:val="single" w:color="000000" w:sz="12" w:space="0"/>
            </w:tcBorders>
            <w:vAlign w:val="center"/>
          </w:tcPr>
          <w:p>
            <w:pPr>
              <w:widowControl/>
              <w:tabs>
                <w:tab w:val="left" w:pos="377"/>
              </w:tabs>
              <w:spacing w:line="240" w:lineRule="auto"/>
              <w:ind w:firstLine="0" w:firstLineChars="0"/>
              <w:jc w:val="center"/>
              <w:rPr>
                <w:rFonts w:eastAsiaTheme="minorEastAsia"/>
                <w:bCs/>
                <w:snapToGrid/>
                <w:sz w:val="21"/>
                <w:szCs w:val="21"/>
                <w:lang w:val="en-GB"/>
              </w:rPr>
            </w:pPr>
            <w:r>
              <w:rPr>
                <w:rFonts w:eastAsiaTheme="minorEastAsia"/>
                <w:bCs/>
                <w:snapToGrid/>
                <w:sz w:val="21"/>
                <w:szCs w:val="21"/>
                <w:lang w:val="en-GB"/>
              </w:rPr>
              <w:t>1400～1704</w:t>
            </w:r>
          </w:p>
        </w:tc>
        <w:tc>
          <w:tcPr>
            <w:tcW w:w="725" w:type="pct"/>
            <w:tcBorders>
              <w:bottom w:val="single" w:color="000000" w:sz="12" w:space="0"/>
            </w:tcBorders>
            <w:vAlign w:val="center"/>
          </w:tcPr>
          <w:p>
            <w:pPr>
              <w:widowControl/>
              <w:tabs>
                <w:tab w:val="left" w:pos="377"/>
              </w:tabs>
              <w:spacing w:line="240" w:lineRule="auto"/>
              <w:ind w:firstLine="0" w:firstLineChars="0"/>
              <w:jc w:val="center"/>
              <w:rPr>
                <w:rFonts w:eastAsiaTheme="minorEastAsia"/>
                <w:bCs/>
                <w:snapToGrid/>
                <w:sz w:val="21"/>
                <w:szCs w:val="21"/>
              </w:rPr>
            </w:pPr>
            <w:r>
              <w:rPr>
                <w:rFonts w:eastAsiaTheme="minorEastAsia"/>
                <w:bCs/>
                <w:snapToGrid/>
                <w:sz w:val="21"/>
                <w:szCs w:val="21"/>
              </w:rPr>
              <w:t>整体式</w:t>
            </w:r>
          </w:p>
        </w:tc>
        <w:tc>
          <w:tcPr>
            <w:tcW w:w="601" w:type="pct"/>
            <w:tcBorders>
              <w:bottom w:val="single" w:color="000000" w:sz="12" w:space="0"/>
            </w:tcBorders>
            <w:vAlign w:val="center"/>
          </w:tcPr>
          <w:p>
            <w:pPr>
              <w:widowControl/>
              <w:tabs>
                <w:tab w:val="left" w:pos="377"/>
              </w:tabs>
              <w:spacing w:line="240" w:lineRule="auto"/>
              <w:ind w:firstLine="0" w:firstLineChars="0"/>
              <w:jc w:val="center"/>
              <w:rPr>
                <w:rFonts w:eastAsiaTheme="minorEastAsia"/>
                <w:bCs/>
                <w:snapToGrid/>
                <w:sz w:val="21"/>
                <w:szCs w:val="21"/>
              </w:rPr>
            </w:pPr>
            <w:r>
              <w:rPr>
                <w:rFonts w:eastAsiaTheme="minorEastAsia"/>
                <w:bCs/>
                <w:snapToGrid/>
                <w:sz w:val="21"/>
                <w:szCs w:val="21"/>
              </w:rPr>
              <w:t>10</w:t>
            </w:r>
          </w:p>
        </w:tc>
        <w:tc>
          <w:tcPr>
            <w:tcW w:w="753" w:type="pct"/>
            <w:tcBorders>
              <w:bottom w:val="single" w:color="000000" w:sz="12" w:space="0"/>
              <w:right w:val="single" w:color="000000" w:sz="12" w:space="0"/>
            </w:tcBorders>
            <w:vAlign w:val="center"/>
          </w:tcPr>
          <w:p>
            <w:pPr>
              <w:widowControl/>
              <w:tabs>
                <w:tab w:val="left" w:pos="377"/>
              </w:tabs>
              <w:spacing w:line="240" w:lineRule="auto"/>
              <w:ind w:firstLine="0" w:firstLineChars="0"/>
              <w:jc w:val="center"/>
              <w:rPr>
                <w:rFonts w:eastAsiaTheme="minorEastAsia"/>
                <w:bCs/>
                <w:snapToGrid/>
                <w:sz w:val="21"/>
                <w:szCs w:val="21"/>
              </w:rPr>
            </w:pPr>
            <w:r>
              <w:rPr>
                <w:rFonts w:eastAsiaTheme="minorEastAsia"/>
                <w:bCs/>
                <w:snapToGrid/>
                <w:sz w:val="21"/>
                <w:szCs w:val="21"/>
              </w:rPr>
              <w:t>30</w:t>
            </w: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p>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27</w:t>
      </w:r>
      <w:r>
        <w:rPr>
          <w:rFonts w:eastAsiaTheme="minorEastAsia"/>
          <w:b/>
          <w:color w:val="000000" w:themeColor="text1"/>
          <w:sz w:val="24"/>
          <w14:textFill>
            <w14:solidFill>
              <w14:schemeClr w14:val="tx1"/>
            </w14:solidFill>
          </w14:textFill>
        </w:rPr>
        <w:t xml:space="preserve">  固井附件设计表（营1-斜111井为例）</w:t>
      </w:r>
    </w:p>
    <w:tbl>
      <w:tblPr>
        <w:tblStyle w:val="4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126"/>
        <w:gridCol w:w="3855"/>
        <w:gridCol w:w="883"/>
        <w:gridCol w:w="883"/>
        <w:gridCol w:w="1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7" w:hRule="atLeast"/>
          <w:tblHeader/>
          <w:jc w:val="center"/>
        </w:trPr>
        <w:tc>
          <w:tcPr>
            <w:tcW w:w="671" w:type="pct"/>
            <w:tcBorders>
              <w:top w:val="single" w:color="000000" w:sz="12" w:space="0"/>
              <w:left w:val="single" w:color="000000" w:sz="12"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
                <w:snapToGrid/>
                <w:sz w:val="21"/>
                <w:szCs w:val="21"/>
              </w:rPr>
            </w:pPr>
            <w:r>
              <w:rPr>
                <w:rFonts w:eastAsiaTheme="minorEastAsia"/>
                <w:b/>
                <w:snapToGrid/>
                <w:sz w:val="21"/>
                <w:szCs w:val="21"/>
              </w:rPr>
              <w:t>套管程序</w:t>
            </w:r>
          </w:p>
        </w:tc>
        <w:tc>
          <w:tcPr>
            <w:tcW w:w="2296" w:type="pct"/>
            <w:tcBorders>
              <w:top w:val="single" w:color="000000" w:sz="12"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
                <w:snapToGrid/>
                <w:sz w:val="21"/>
                <w:szCs w:val="21"/>
              </w:rPr>
            </w:pPr>
            <w:r>
              <w:rPr>
                <w:rFonts w:eastAsiaTheme="minorEastAsia"/>
                <w:b/>
                <w:snapToGrid/>
                <w:sz w:val="21"/>
                <w:szCs w:val="21"/>
              </w:rPr>
              <w:t>附件名称</w:t>
            </w:r>
          </w:p>
        </w:tc>
        <w:tc>
          <w:tcPr>
            <w:tcW w:w="526" w:type="pct"/>
            <w:tcBorders>
              <w:top w:val="single" w:color="000000" w:sz="12"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
                <w:snapToGrid/>
                <w:sz w:val="21"/>
                <w:szCs w:val="21"/>
              </w:rPr>
            </w:pPr>
            <w:r>
              <w:rPr>
                <w:rFonts w:eastAsiaTheme="minorEastAsia"/>
                <w:b/>
                <w:snapToGrid/>
                <w:sz w:val="21"/>
                <w:szCs w:val="21"/>
              </w:rPr>
              <w:t>单位</w:t>
            </w:r>
          </w:p>
        </w:tc>
        <w:tc>
          <w:tcPr>
            <w:tcW w:w="526" w:type="pct"/>
            <w:tcBorders>
              <w:top w:val="single" w:color="000000" w:sz="12"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
                <w:snapToGrid/>
                <w:sz w:val="21"/>
                <w:szCs w:val="21"/>
              </w:rPr>
            </w:pPr>
            <w:r>
              <w:rPr>
                <w:rFonts w:eastAsiaTheme="minorEastAsia"/>
                <w:b/>
                <w:snapToGrid/>
                <w:sz w:val="21"/>
                <w:szCs w:val="21"/>
              </w:rPr>
              <w:t>数量</w:t>
            </w:r>
          </w:p>
        </w:tc>
        <w:tc>
          <w:tcPr>
            <w:tcW w:w="978" w:type="pct"/>
            <w:tcBorders>
              <w:top w:val="single" w:color="000000" w:sz="12" w:space="0"/>
              <w:left w:val="single" w:color="auto" w:sz="4" w:space="0"/>
              <w:bottom w:val="single" w:color="auto" w:sz="4" w:space="0"/>
              <w:right w:val="single" w:color="000000" w:sz="12" w:space="0"/>
            </w:tcBorders>
            <w:vAlign w:val="center"/>
          </w:tcPr>
          <w:p>
            <w:pPr>
              <w:widowControl/>
              <w:tabs>
                <w:tab w:val="left" w:pos="377"/>
              </w:tabs>
              <w:spacing w:line="300" w:lineRule="auto"/>
              <w:ind w:firstLine="0" w:firstLineChars="0"/>
              <w:jc w:val="center"/>
              <w:rPr>
                <w:rFonts w:eastAsiaTheme="minorEastAsia"/>
                <w:b/>
                <w:snapToGrid/>
                <w:sz w:val="21"/>
                <w:szCs w:val="21"/>
              </w:rPr>
            </w:pPr>
            <w:r>
              <w:rPr>
                <w:rFonts w:eastAsiaTheme="minorEastAsia"/>
                <w:b/>
                <w:snapToGrid/>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7" w:hRule="atLeast"/>
          <w:jc w:val="center"/>
        </w:trPr>
        <w:tc>
          <w:tcPr>
            <w:tcW w:w="671" w:type="pct"/>
            <w:vMerge w:val="restart"/>
            <w:tcBorders>
              <w:top w:val="single" w:color="auto" w:sz="4" w:space="0"/>
              <w:left w:val="single" w:color="000000" w:sz="12"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一开</w:t>
            </w:r>
          </w:p>
        </w:tc>
        <w:tc>
          <w:tcPr>
            <w:tcW w:w="229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Φ273.1mm浮箍（内插座）</w:t>
            </w:r>
          </w:p>
        </w:tc>
        <w:tc>
          <w:tcPr>
            <w:tcW w:w="52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只</w:t>
            </w:r>
          </w:p>
        </w:tc>
        <w:tc>
          <w:tcPr>
            <w:tcW w:w="52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1</w:t>
            </w:r>
          </w:p>
        </w:tc>
        <w:tc>
          <w:tcPr>
            <w:tcW w:w="978" w:type="pct"/>
            <w:tcBorders>
              <w:top w:val="single" w:color="auto" w:sz="4" w:space="0"/>
              <w:left w:val="single" w:color="auto" w:sz="4" w:space="0"/>
              <w:bottom w:val="single" w:color="auto" w:sz="4" w:space="0"/>
              <w:right w:val="single" w:color="000000" w:sz="12" w:space="0"/>
            </w:tcBorders>
            <w:vAlign w:val="center"/>
          </w:tcPr>
          <w:p>
            <w:pPr>
              <w:widowControl/>
              <w:tabs>
                <w:tab w:val="left" w:pos="377"/>
              </w:tabs>
              <w:spacing w:line="300" w:lineRule="auto"/>
              <w:ind w:firstLine="0" w:firstLineChars="0"/>
              <w:jc w:val="center"/>
              <w:rPr>
                <w:rFonts w:eastAsiaTheme="minorEastAsia"/>
                <w:bCs/>
                <w:snapToGri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7" w:hRule="atLeast"/>
          <w:jc w:val="center"/>
        </w:trPr>
        <w:tc>
          <w:tcPr>
            <w:tcW w:w="671" w:type="pct"/>
            <w:vMerge w:val="continue"/>
            <w:tcBorders>
              <w:top w:val="single" w:color="auto" w:sz="4" w:space="0"/>
              <w:left w:val="single" w:color="000000" w:sz="12"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p>
        </w:tc>
        <w:tc>
          <w:tcPr>
            <w:tcW w:w="229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Φ273.1mm浮鞋</w:t>
            </w:r>
          </w:p>
        </w:tc>
        <w:tc>
          <w:tcPr>
            <w:tcW w:w="52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只</w:t>
            </w:r>
          </w:p>
        </w:tc>
        <w:tc>
          <w:tcPr>
            <w:tcW w:w="52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1</w:t>
            </w:r>
          </w:p>
        </w:tc>
        <w:tc>
          <w:tcPr>
            <w:tcW w:w="978" w:type="pct"/>
            <w:tcBorders>
              <w:top w:val="single" w:color="auto" w:sz="4" w:space="0"/>
              <w:left w:val="single" w:color="auto" w:sz="4" w:space="0"/>
              <w:bottom w:val="single" w:color="auto" w:sz="4" w:space="0"/>
              <w:right w:val="single" w:color="000000" w:sz="12"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根据现场情况定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7" w:hRule="atLeast"/>
          <w:jc w:val="center"/>
        </w:trPr>
        <w:tc>
          <w:tcPr>
            <w:tcW w:w="671" w:type="pct"/>
            <w:vMerge w:val="restart"/>
            <w:tcBorders>
              <w:top w:val="single" w:color="auto" w:sz="4" w:space="0"/>
              <w:left w:val="single" w:color="000000" w:sz="12"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二开</w:t>
            </w:r>
          </w:p>
        </w:tc>
        <w:tc>
          <w:tcPr>
            <w:tcW w:w="229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Φ177.8mm短套管</w:t>
            </w:r>
          </w:p>
        </w:tc>
        <w:tc>
          <w:tcPr>
            <w:tcW w:w="52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根</w:t>
            </w:r>
          </w:p>
        </w:tc>
        <w:tc>
          <w:tcPr>
            <w:tcW w:w="52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2</w:t>
            </w:r>
          </w:p>
        </w:tc>
        <w:tc>
          <w:tcPr>
            <w:tcW w:w="978" w:type="pct"/>
            <w:tcBorders>
              <w:top w:val="single" w:color="auto" w:sz="4" w:space="0"/>
              <w:left w:val="single" w:color="auto" w:sz="4" w:space="0"/>
              <w:bottom w:val="single" w:color="auto" w:sz="4" w:space="0"/>
              <w:right w:val="single" w:color="000000" w:sz="12" w:space="0"/>
            </w:tcBorders>
            <w:vAlign w:val="center"/>
          </w:tcPr>
          <w:p>
            <w:pPr>
              <w:widowControl/>
              <w:tabs>
                <w:tab w:val="left" w:pos="377"/>
              </w:tabs>
              <w:spacing w:line="300" w:lineRule="auto"/>
              <w:ind w:firstLine="0" w:firstLineChars="0"/>
              <w:jc w:val="center"/>
              <w:rPr>
                <w:rFonts w:eastAsiaTheme="minorEastAsia"/>
                <w:bCs/>
                <w:snapToGri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7" w:hRule="atLeast"/>
          <w:jc w:val="center"/>
        </w:trPr>
        <w:tc>
          <w:tcPr>
            <w:tcW w:w="671" w:type="pct"/>
            <w:vMerge w:val="continue"/>
            <w:tcBorders>
              <w:left w:val="single" w:color="000000" w:sz="12"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p>
        </w:tc>
        <w:tc>
          <w:tcPr>
            <w:tcW w:w="229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Φ177.8mm浮箍</w:t>
            </w:r>
          </w:p>
        </w:tc>
        <w:tc>
          <w:tcPr>
            <w:tcW w:w="52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只</w:t>
            </w:r>
          </w:p>
        </w:tc>
        <w:tc>
          <w:tcPr>
            <w:tcW w:w="52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2</w:t>
            </w:r>
          </w:p>
        </w:tc>
        <w:tc>
          <w:tcPr>
            <w:tcW w:w="978" w:type="pct"/>
            <w:tcBorders>
              <w:top w:val="single" w:color="auto" w:sz="4" w:space="0"/>
              <w:left w:val="single" w:color="auto" w:sz="4" w:space="0"/>
              <w:bottom w:val="single" w:color="auto" w:sz="4" w:space="0"/>
              <w:right w:val="single" w:color="000000" w:sz="12" w:space="0"/>
            </w:tcBorders>
            <w:vAlign w:val="center"/>
          </w:tcPr>
          <w:p>
            <w:pPr>
              <w:widowControl/>
              <w:tabs>
                <w:tab w:val="left" w:pos="377"/>
              </w:tabs>
              <w:spacing w:line="300" w:lineRule="auto"/>
              <w:ind w:firstLine="0" w:firstLineChars="0"/>
              <w:jc w:val="center"/>
              <w:rPr>
                <w:rFonts w:eastAsiaTheme="minorEastAsia"/>
                <w:bCs/>
                <w:snapToGri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1" w:hRule="atLeast"/>
          <w:jc w:val="center"/>
        </w:trPr>
        <w:tc>
          <w:tcPr>
            <w:tcW w:w="671" w:type="pct"/>
            <w:vMerge w:val="continue"/>
            <w:tcBorders>
              <w:left w:val="single" w:color="000000" w:sz="12"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p>
        </w:tc>
        <w:tc>
          <w:tcPr>
            <w:tcW w:w="229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Φ177.8mm引鞋</w:t>
            </w:r>
          </w:p>
        </w:tc>
        <w:tc>
          <w:tcPr>
            <w:tcW w:w="52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只</w:t>
            </w:r>
          </w:p>
        </w:tc>
        <w:tc>
          <w:tcPr>
            <w:tcW w:w="526" w:type="pct"/>
            <w:tcBorders>
              <w:top w:val="single" w:color="auto" w:sz="4" w:space="0"/>
              <w:left w:val="single" w:color="auto" w:sz="4" w:space="0"/>
              <w:bottom w:val="single" w:color="auto" w:sz="4"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1</w:t>
            </w:r>
          </w:p>
        </w:tc>
        <w:tc>
          <w:tcPr>
            <w:tcW w:w="978" w:type="pct"/>
            <w:tcBorders>
              <w:top w:val="single" w:color="auto" w:sz="4" w:space="0"/>
              <w:left w:val="single" w:color="auto" w:sz="4" w:space="0"/>
              <w:bottom w:val="single" w:color="auto" w:sz="4" w:space="0"/>
              <w:right w:val="single" w:color="000000" w:sz="12" w:space="0"/>
            </w:tcBorders>
            <w:vAlign w:val="center"/>
          </w:tcPr>
          <w:p>
            <w:pPr>
              <w:widowControl/>
              <w:tabs>
                <w:tab w:val="left" w:pos="377"/>
              </w:tabs>
              <w:spacing w:line="300" w:lineRule="auto"/>
              <w:ind w:firstLine="0" w:firstLineChars="0"/>
              <w:jc w:val="center"/>
              <w:rPr>
                <w:rFonts w:eastAsiaTheme="minorEastAsia"/>
                <w:bCs/>
                <w:snapToGrid/>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7" w:hRule="atLeast"/>
          <w:jc w:val="center"/>
        </w:trPr>
        <w:tc>
          <w:tcPr>
            <w:tcW w:w="671" w:type="pct"/>
            <w:vMerge w:val="continue"/>
            <w:tcBorders>
              <w:left w:val="single" w:color="000000" w:sz="12" w:space="0"/>
              <w:bottom w:val="single" w:color="000000" w:sz="12"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p>
        </w:tc>
        <w:tc>
          <w:tcPr>
            <w:tcW w:w="2296" w:type="pct"/>
            <w:tcBorders>
              <w:top w:val="single" w:color="auto" w:sz="4" w:space="0"/>
              <w:left w:val="single" w:color="auto" w:sz="4" w:space="0"/>
              <w:bottom w:val="single" w:color="000000" w:sz="12"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Φ241.3mm×Φ177.8mm整体式扶正器</w:t>
            </w:r>
          </w:p>
        </w:tc>
        <w:tc>
          <w:tcPr>
            <w:tcW w:w="526" w:type="pct"/>
            <w:tcBorders>
              <w:top w:val="single" w:color="auto" w:sz="4" w:space="0"/>
              <w:left w:val="single" w:color="auto" w:sz="4" w:space="0"/>
              <w:bottom w:val="single" w:color="000000" w:sz="12"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只</w:t>
            </w:r>
          </w:p>
        </w:tc>
        <w:tc>
          <w:tcPr>
            <w:tcW w:w="526" w:type="pct"/>
            <w:tcBorders>
              <w:top w:val="single" w:color="auto" w:sz="4" w:space="0"/>
              <w:left w:val="single" w:color="auto" w:sz="4" w:space="0"/>
              <w:bottom w:val="single" w:color="000000" w:sz="12" w:space="0"/>
              <w:right w:val="single" w:color="auto" w:sz="4" w:space="0"/>
            </w:tcBorders>
            <w:vAlign w:val="center"/>
          </w:tcPr>
          <w:p>
            <w:pPr>
              <w:widowControl/>
              <w:tabs>
                <w:tab w:val="left" w:pos="377"/>
              </w:tabs>
              <w:spacing w:line="300" w:lineRule="auto"/>
              <w:ind w:firstLine="0" w:firstLineChars="0"/>
              <w:jc w:val="center"/>
              <w:rPr>
                <w:rFonts w:eastAsiaTheme="minorEastAsia"/>
                <w:bCs/>
                <w:snapToGrid/>
                <w:sz w:val="21"/>
                <w:szCs w:val="21"/>
              </w:rPr>
            </w:pPr>
            <w:r>
              <w:rPr>
                <w:rFonts w:eastAsiaTheme="minorEastAsia"/>
                <w:bCs/>
                <w:snapToGrid/>
                <w:sz w:val="21"/>
                <w:szCs w:val="21"/>
              </w:rPr>
              <w:t>73</w:t>
            </w:r>
          </w:p>
        </w:tc>
        <w:tc>
          <w:tcPr>
            <w:tcW w:w="978" w:type="pct"/>
            <w:tcBorders>
              <w:top w:val="single" w:color="auto" w:sz="4" w:space="0"/>
              <w:left w:val="single" w:color="auto" w:sz="4" w:space="0"/>
              <w:bottom w:val="single" w:color="000000" w:sz="12" w:space="0"/>
              <w:right w:val="single" w:color="000000" w:sz="12" w:space="0"/>
            </w:tcBorders>
            <w:vAlign w:val="center"/>
          </w:tcPr>
          <w:p>
            <w:pPr>
              <w:widowControl/>
              <w:tabs>
                <w:tab w:val="left" w:pos="377"/>
              </w:tabs>
              <w:spacing w:line="300" w:lineRule="auto"/>
              <w:ind w:firstLine="0" w:firstLineChars="0"/>
              <w:jc w:val="center"/>
              <w:rPr>
                <w:rFonts w:eastAsiaTheme="minorEastAsia"/>
                <w:bCs/>
                <w:snapToGrid/>
                <w:sz w:val="21"/>
                <w:szCs w:val="21"/>
              </w:rPr>
            </w:pPr>
          </w:p>
        </w:tc>
      </w:tr>
    </w:tbl>
    <w:p>
      <w:pPr>
        <w:spacing w:before="360" w:beforeLines="150"/>
        <w:ind w:firstLine="560"/>
        <w:jc w:val="left"/>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2）固井方案设计</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（1）固井方式选择</w:t>
      </w:r>
    </w:p>
    <w:p>
      <w:pPr>
        <w:widowControl/>
        <w:tabs>
          <w:tab w:val="left" w:pos="377"/>
        </w:tabs>
        <w:ind w:firstLine="560"/>
        <w:rPr>
          <w:szCs w:val="28"/>
        </w:rPr>
      </w:pPr>
      <w:r>
        <w:rPr>
          <w:szCs w:val="28"/>
        </w:rPr>
        <w:t>一开表层套管采用内插法或常规法固井，要求水泥返至地面。</w:t>
      </w:r>
    </w:p>
    <w:p>
      <w:pPr>
        <w:widowControl/>
        <w:tabs>
          <w:tab w:val="left" w:pos="377"/>
        </w:tabs>
        <w:ind w:firstLine="560"/>
        <w:rPr>
          <w:szCs w:val="28"/>
        </w:rPr>
      </w:pPr>
      <w:r>
        <w:rPr>
          <w:szCs w:val="28"/>
        </w:rPr>
        <w:t>二开油层套管采用常规固井方式，要求水泥返至地面。</w:t>
      </w:r>
    </w:p>
    <w:p>
      <w:pPr>
        <w:widowControl/>
        <w:tabs>
          <w:tab w:val="left" w:pos="377"/>
        </w:tabs>
        <w:ind w:firstLine="560"/>
        <w:rPr>
          <w:szCs w:val="28"/>
        </w:rPr>
      </w:pPr>
      <w:r>
        <w:rPr>
          <w:szCs w:val="28"/>
        </w:rPr>
        <w:t>（2）水泥浆体系选择</w:t>
      </w:r>
    </w:p>
    <w:p>
      <w:pPr>
        <w:widowControl/>
        <w:tabs>
          <w:tab w:val="left" w:pos="377"/>
        </w:tabs>
        <w:ind w:firstLine="560"/>
        <w:rPr>
          <w:szCs w:val="28"/>
        </w:rPr>
      </w:pPr>
      <w:r>
        <w:rPr>
          <w:szCs w:val="28"/>
        </w:rPr>
        <w:t>一开采用常规固井水泥浆体系，油层段以上地层采用粉煤灰低密度水泥浆体系，密度1.55g/cm</w:t>
      </w:r>
      <w:r>
        <w:rPr>
          <w:szCs w:val="28"/>
          <w:vertAlign w:val="superscript"/>
        </w:rPr>
        <w:t>3</w:t>
      </w:r>
      <w:r>
        <w:rPr>
          <w:szCs w:val="28"/>
        </w:rPr>
        <w:t>～1.70g/cm</w:t>
      </w:r>
      <w:r>
        <w:rPr>
          <w:szCs w:val="28"/>
          <w:vertAlign w:val="superscript"/>
        </w:rPr>
        <w:t>3</w:t>
      </w:r>
      <w:r>
        <w:rPr>
          <w:szCs w:val="28"/>
        </w:rPr>
        <w:t>，油层段地层采用常规水泥浆，尾浆密度：1.88g/cm</w:t>
      </w:r>
      <w:r>
        <w:rPr>
          <w:szCs w:val="28"/>
          <w:vertAlign w:val="superscript"/>
        </w:rPr>
        <w:t>3</w:t>
      </w:r>
      <w:r>
        <w:rPr>
          <w:szCs w:val="28"/>
        </w:rPr>
        <w:t>～1.95g/cm</w:t>
      </w:r>
      <w:r>
        <w:rPr>
          <w:szCs w:val="28"/>
          <w:vertAlign w:val="superscript"/>
        </w:rPr>
        <w:t>3</w:t>
      </w:r>
      <w:r>
        <w:rPr>
          <w:szCs w:val="28"/>
        </w:rPr>
        <w:t>。</w:t>
      </w:r>
    </w:p>
    <w:p>
      <w:pPr>
        <w:ind w:firstLine="560"/>
        <w:jc w:val="left"/>
        <w:rPr>
          <w:rFonts w:eastAsiaTheme="minorEastAsia"/>
          <w:color w:val="000000" w:themeColor="text1"/>
          <w14:textFill>
            <w14:solidFill>
              <w14:schemeClr w14:val="tx1"/>
            </w14:solidFill>
          </w14:textFill>
        </w:rPr>
      </w:pPr>
      <w:r>
        <w:rPr>
          <w:rFonts w:hint="eastAsia" w:eastAsiaTheme="minorEastAsia"/>
          <w:color w:val="000000" w:themeColor="text1"/>
          <w14:textFill>
            <w14:solidFill>
              <w14:schemeClr w14:val="tx1"/>
            </w14:solidFill>
          </w14:textFill>
        </w:rPr>
        <w:t>（3）</w:t>
      </w:r>
      <w:r>
        <w:rPr>
          <w:rFonts w:eastAsiaTheme="minorEastAsia"/>
          <w:color w:val="000000" w:themeColor="text1"/>
          <w14:textFill>
            <w14:solidFill>
              <w14:schemeClr w14:val="tx1"/>
            </w14:solidFill>
          </w14:textFill>
        </w:rPr>
        <w:t>水泥浆配方</w:t>
      </w:r>
    </w:p>
    <w:p>
      <w:pPr>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28</w:t>
      </w:r>
      <w:r>
        <w:rPr>
          <w:rFonts w:eastAsiaTheme="minorEastAsia"/>
          <w:b/>
          <w:color w:val="000000" w:themeColor="text1"/>
          <w:sz w:val="24"/>
          <w14:textFill>
            <w14:solidFill>
              <w14:schemeClr w14:val="tx1"/>
            </w14:solidFill>
          </w14:textFill>
        </w:rPr>
        <w:t xml:space="preserve">  水泥浆基本配方</w:t>
      </w:r>
    </w:p>
    <w:tbl>
      <w:tblPr>
        <w:tblStyle w:val="4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0"/>
        <w:gridCol w:w="7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blHeader/>
        </w:trPr>
        <w:tc>
          <w:tcPr>
            <w:tcW w:w="665" w:type="pct"/>
            <w:tcBorders>
              <w:top w:val="single" w:color="000000" w:sz="12" w:space="0"/>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套管程序</w:t>
            </w:r>
          </w:p>
        </w:tc>
        <w:tc>
          <w:tcPr>
            <w:tcW w:w="4334" w:type="pct"/>
            <w:tcBorders>
              <w:top w:val="single" w:color="000000" w:sz="12" w:space="0"/>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配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5" w:type="pct"/>
            <w:tcBorders>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一开</w:t>
            </w:r>
          </w:p>
        </w:tc>
        <w:tc>
          <w:tcPr>
            <w:tcW w:w="4334" w:type="pct"/>
            <w:tcBorders>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G级水泥+配浆水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665" w:type="pct"/>
            <w:vMerge w:val="restart"/>
            <w:tcBorders>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二开</w:t>
            </w:r>
          </w:p>
        </w:tc>
        <w:tc>
          <w:tcPr>
            <w:tcW w:w="4334" w:type="pct"/>
            <w:tcBorders>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G级水泥+降失水剂+减阻剂+消泡剂+增韧剂+晶格膨胀剂+早强剂+配浆水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665" w:type="pct"/>
            <w:vMerge w:val="continue"/>
            <w:tcBorders>
              <w:left w:val="single" w:color="000000" w:sz="12" w:space="0"/>
              <w:bottom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p>
        </w:tc>
        <w:tc>
          <w:tcPr>
            <w:tcW w:w="4334" w:type="pct"/>
            <w:tcBorders>
              <w:bottom w:val="single" w:color="000000" w:sz="12" w:space="0"/>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G级水泥+降失水剂+减阻剂+消泡剂+增强剂+粉煤灰+配浆水</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40"/>
        <w:jc w:val="left"/>
        <w:textAlignment w:val="auto"/>
        <w:rPr>
          <w:rFonts w:eastAsiaTheme="minorEastAsia"/>
          <w:color w:val="000000" w:themeColor="text1"/>
          <w:sz w:val="24"/>
          <w:szCs w:val="24"/>
          <w14:textFill>
            <w14:solidFill>
              <w14:schemeClr w14:val="tx1"/>
            </w14:solidFill>
          </w14:textFill>
        </w:rPr>
      </w:pPr>
      <w:r>
        <w:rPr>
          <w:rFonts w:eastAsiaTheme="minorEastAsia"/>
          <w:color w:val="000000" w:themeColor="text1"/>
          <w:sz w:val="24"/>
          <w:szCs w:val="24"/>
          <w14:textFill>
            <w14:solidFill>
              <w14:schemeClr w14:val="tx1"/>
            </w14:solidFill>
          </w14:textFill>
        </w:rPr>
        <w:t>注：现场施工前可根据实际情况调整水泥浆配方，并做复核试验。</w:t>
      </w:r>
    </w:p>
    <w:p>
      <w:pPr>
        <w:spacing w:line="276" w:lineRule="auto"/>
        <w:ind w:firstLine="560"/>
        <w:jc w:val="left"/>
        <w:rPr>
          <w:rFonts w:eastAsiaTheme="minorEastAsia"/>
          <w:color w:val="000000" w:themeColor="text1"/>
          <w14:textFill>
            <w14:solidFill>
              <w14:schemeClr w14:val="tx1"/>
            </w14:solidFill>
          </w14:textFill>
        </w:rPr>
      </w:pPr>
      <w:r>
        <w:rPr>
          <w:rFonts w:hint="eastAsia" w:eastAsiaTheme="minorEastAsia"/>
          <w:color w:val="000000" w:themeColor="text1"/>
          <w14:textFill>
            <w14:solidFill>
              <w14:schemeClr w14:val="tx1"/>
            </w14:solidFill>
          </w14:textFill>
        </w:rPr>
        <w:t>（4）</w:t>
      </w:r>
      <w:r>
        <w:rPr>
          <w:rFonts w:eastAsiaTheme="minorEastAsia"/>
          <w:color w:val="000000" w:themeColor="text1"/>
          <w14:textFill>
            <w14:solidFill>
              <w14:schemeClr w14:val="tx1"/>
            </w14:solidFill>
          </w14:textFill>
        </w:rPr>
        <w:t>水泥用量设计</w:t>
      </w:r>
    </w:p>
    <w:p>
      <w:pPr>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29</w:t>
      </w:r>
      <w:r>
        <w:rPr>
          <w:rFonts w:eastAsiaTheme="minorEastAsia"/>
          <w:b/>
          <w:color w:val="000000" w:themeColor="text1"/>
          <w:sz w:val="24"/>
          <w14:textFill>
            <w14:solidFill>
              <w14:schemeClr w14:val="tx1"/>
            </w14:solidFill>
          </w14:textFill>
        </w:rPr>
        <w:t xml:space="preserve">  水泥用量设计</w:t>
      </w:r>
    </w:p>
    <w:tbl>
      <w:tblPr>
        <w:tblStyle w:val="45"/>
        <w:tblW w:w="4997" w:type="pct"/>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57" w:type="dxa"/>
          <w:bottom w:w="0" w:type="dxa"/>
          <w:right w:w="57" w:type="dxa"/>
        </w:tblCellMar>
      </w:tblPr>
      <w:tblGrid>
        <w:gridCol w:w="752"/>
        <w:gridCol w:w="753"/>
        <w:gridCol w:w="828"/>
        <w:gridCol w:w="828"/>
        <w:gridCol w:w="664"/>
        <w:gridCol w:w="739"/>
        <w:gridCol w:w="978"/>
        <w:gridCol w:w="664"/>
        <w:gridCol w:w="579"/>
        <w:gridCol w:w="577"/>
        <w:gridCol w:w="996"/>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351" w:hRule="atLeast"/>
          <w:tblHeader/>
        </w:trPr>
        <w:tc>
          <w:tcPr>
            <w:tcW w:w="489" w:type="pct"/>
            <w:vMerge w:val="restart"/>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井号</w:t>
            </w:r>
          </w:p>
        </w:tc>
        <w:tc>
          <w:tcPr>
            <w:tcW w:w="489" w:type="pct"/>
            <w:vMerge w:val="restar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套管</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程序</w:t>
            </w:r>
          </w:p>
        </w:tc>
        <w:tc>
          <w:tcPr>
            <w:tcW w:w="432" w:type="pct"/>
            <w:vMerge w:val="restar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套管</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外径</w:t>
            </w:r>
          </w:p>
          <w:p>
            <w:pPr>
              <w:pStyle w:val="256"/>
              <w:adjustRightInd w:val="0"/>
              <w:snapToGrid w:val="0"/>
              <w:spacing w:before="0" w:beforeAutospacing="0"/>
              <w:rPr>
                <w:rFonts w:ascii="Times New Roman" w:hAnsi="Times New Roman" w:cs="Times New Roman" w:eastAsiaTheme="minorEastAsia"/>
                <w:szCs w:val="21"/>
              </w:rPr>
            </w:pPr>
            <w:r>
              <w:rPr>
                <w:rFonts w:hint="eastAsia" w:ascii="Times New Roman" w:hAnsi="Times New Roman" w:cs="Times New Roman" w:eastAsiaTheme="minorEastAsia"/>
                <w:szCs w:val="21"/>
              </w:rPr>
              <w:t>（</w:t>
            </w:r>
            <w:r>
              <w:rPr>
                <w:rFonts w:ascii="Times New Roman" w:hAnsi="Times New Roman" w:cs="Times New Roman" w:eastAsiaTheme="minorEastAsia"/>
                <w:szCs w:val="21"/>
              </w:rPr>
              <w:t>mm</w:t>
            </w:r>
            <w:r>
              <w:rPr>
                <w:rFonts w:hint="eastAsia" w:ascii="Times New Roman" w:hAnsi="Times New Roman" w:cs="Times New Roman" w:eastAsiaTheme="minorEastAsia"/>
                <w:szCs w:val="21"/>
              </w:rPr>
              <w:t>）</w:t>
            </w:r>
          </w:p>
        </w:tc>
        <w:tc>
          <w:tcPr>
            <w:tcW w:w="436" w:type="pct"/>
            <w:vMerge w:val="restar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钻头</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直径</w:t>
            </w:r>
          </w:p>
          <w:p>
            <w:pPr>
              <w:pStyle w:val="256"/>
              <w:adjustRightInd w:val="0"/>
              <w:snapToGrid w:val="0"/>
              <w:spacing w:before="0" w:beforeAutospacing="0"/>
              <w:rPr>
                <w:rFonts w:ascii="Times New Roman" w:hAnsi="Times New Roman" w:cs="Times New Roman" w:eastAsiaTheme="minorEastAsia"/>
                <w:szCs w:val="21"/>
              </w:rPr>
            </w:pPr>
            <w:r>
              <w:rPr>
                <w:rFonts w:hint="eastAsia" w:ascii="Times New Roman" w:hAnsi="Times New Roman" w:cs="Times New Roman" w:eastAsiaTheme="minorEastAsia"/>
                <w:szCs w:val="21"/>
              </w:rPr>
              <w:t>（</w:t>
            </w:r>
            <w:r>
              <w:rPr>
                <w:rFonts w:ascii="Times New Roman" w:hAnsi="Times New Roman" w:cs="Times New Roman" w:eastAsiaTheme="minorEastAsia"/>
                <w:szCs w:val="21"/>
              </w:rPr>
              <w:t>mm</w:t>
            </w:r>
            <w:r>
              <w:rPr>
                <w:rFonts w:hint="eastAsia" w:ascii="Times New Roman" w:hAnsi="Times New Roman" w:cs="Times New Roman" w:eastAsiaTheme="minorEastAsia"/>
                <w:szCs w:val="21"/>
              </w:rPr>
              <w:t>）</w:t>
            </w:r>
          </w:p>
        </w:tc>
        <w:tc>
          <w:tcPr>
            <w:tcW w:w="875" w:type="pct"/>
            <w:gridSpan w:val="2"/>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封固井段</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m</w:t>
            </w:r>
            <w:r>
              <w:rPr>
                <w:rFonts w:hint="eastAsia" w:ascii="Times New Roman" w:hAnsi="Times New Roman" w:cs="Times New Roman" w:eastAsiaTheme="minorEastAsia"/>
                <w:szCs w:val="21"/>
              </w:rPr>
              <w:t>）</w:t>
            </w:r>
          </w:p>
        </w:tc>
        <w:tc>
          <w:tcPr>
            <w:tcW w:w="436" w:type="pct"/>
            <w:vMerge w:val="restar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水泥浆</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密度</w:t>
            </w:r>
          </w:p>
          <w:p>
            <w:pPr>
              <w:pStyle w:val="256"/>
              <w:adjustRightInd w:val="0"/>
              <w:snapToGrid w:val="0"/>
              <w:spacing w:before="0" w:beforeAutospacing="0"/>
              <w:rPr>
                <w:rFonts w:ascii="Times New Roman" w:hAnsi="Times New Roman" w:cs="Times New Roman" w:eastAsiaTheme="minorEastAsia"/>
                <w:szCs w:val="21"/>
              </w:rPr>
            </w:pPr>
            <w:r>
              <w:rPr>
                <w:rFonts w:hint="eastAsia" w:ascii="Times New Roman" w:hAnsi="Times New Roman" w:cs="Times New Roman" w:eastAsiaTheme="minorEastAsia"/>
                <w:szCs w:val="21"/>
              </w:rPr>
              <w:t>（</w:t>
            </w:r>
            <w:r>
              <w:rPr>
                <w:rFonts w:ascii="Times New Roman" w:hAnsi="Times New Roman" w:cs="Times New Roman" w:eastAsiaTheme="minorEastAsia"/>
                <w:szCs w:val="21"/>
              </w:rPr>
              <w:t>g/cm</w:t>
            </w:r>
            <w:r>
              <w:rPr>
                <w:rFonts w:ascii="Times New Roman" w:hAnsi="Times New Roman" w:cs="Times New Roman" w:eastAsiaTheme="minorEastAsia"/>
                <w:szCs w:val="21"/>
                <w:vertAlign w:val="superscript"/>
              </w:rPr>
              <w:t>3</w:t>
            </w:r>
            <w:r>
              <w:rPr>
                <w:rFonts w:hint="eastAsia" w:ascii="Times New Roman" w:hAnsi="Times New Roman" w:cs="Times New Roman" w:eastAsiaTheme="minorEastAsia"/>
                <w:szCs w:val="21"/>
              </w:rPr>
              <w:t>）</w:t>
            </w:r>
          </w:p>
        </w:tc>
        <w:tc>
          <w:tcPr>
            <w:tcW w:w="436" w:type="pct"/>
            <w:vMerge w:val="restar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水泥</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等级</w:t>
            </w:r>
          </w:p>
        </w:tc>
        <w:tc>
          <w:tcPr>
            <w:tcW w:w="385" w:type="pct"/>
            <w:vMerge w:val="restar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注水</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泥量</w:t>
            </w:r>
          </w:p>
          <w:p>
            <w:pPr>
              <w:pStyle w:val="256"/>
              <w:adjustRightInd w:val="0"/>
              <w:snapToGrid w:val="0"/>
              <w:spacing w:before="0" w:beforeAutospacing="0"/>
              <w:rPr>
                <w:rFonts w:ascii="Times New Roman" w:hAnsi="Times New Roman" w:cs="Times New Roman" w:eastAsiaTheme="minorEastAsia"/>
                <w:szCs w:val="21"/>
              </w:rPr>
            </w:pPr>
            <w:r>
              <w:rPr>
                <w:rFonts w:hint="eastAsia" w:ascii="Times New Roman" w:hAnsi="Times New Roman" w:cs="Times New Roman" w:eastAsiaTheme="minorEastAsia"/>
                <w:szCs w:val="21"/>
              </w:rPr>
              <w:t>（</w:t>
            </w:r>
            <w:r>
              <w:rPr>
                <w:rFonts w:ascii="Times New Roman" w:hAnsi="Times New Roman" w:cs="Times New Roman" w:eastAsiaTheme="minorEastAsia"/>
                <w:szCs w:val="21"/>
              </w:rPr>
              <w:t>t</w:t>
            </w:r>
            <w:r>
              <w:rPr>
                <w:rFonts w:hint="eastAsia" w:ascii="Times New Roman" w:hAnsi="Times New Roman" w:cs="Times New Roman" w:eastAsiaTheme="minorEastAsia"/>
                <w:szCs w:val="21"/>
              </w:rPr>
              <w:t>）</w:t>
            </w:r>
          </w:p>
        </w:tc>
        <w:tc>
          <w:tcPr>
            <w:tcW w:w="384" w:type="pct"/>
            <w:vMerge w:val="restar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固井</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方式</w:t>
            </w:r>
          </w:p>
        </w:tc>
        <w:tc>
          <w:tcPr>
            <w:tcW w:w="634" w:type="pct"/>
            <w:vMerge w:val="restar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备注</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351" w:hRule="atLeast"/>
          <w:tblHeader/>
        </w:trPr>
        <w:tc>
          <w:tcPr>
            <w:tcW w:w="489" w:type="pct"/>
            <w:vMerge w:val="continue"/>
            <w:vAlign w:val="center"/>
          </w:tcPr>
          <w:p>
            <w:pPr>
              <w:pStyle w:val="256"/>
              <w:adjustRightInd w:val="0"/>
              <w:snapToGrid w:val="0"/>
              <w:spacing w:before="0" w:beforeAutospacing="0"/>
              <w:rPr>
                <w:rFonts w:ascii="Times New Roman" w:hAnsi="Times New Roman" w:cs="Times New Roman" w:eastAsiaTheme="minorEastAsia"/>
                <w:szCs w:val="21"/>
              </w:rPr>
            </w:pPr>
          </w:p>
        </w:tc>
        <w:tc>
          <w:tcPr>
            <w:tcW w:w="489" w:type="pct"/>
            <w:vMerge w:val="continue"/>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p>
        </w:tc>
        <w:tc>
          <w:tcPr>
            <w:tcW w:w="432" w:type="pct"/>
            <w:vMerge w:val="continue"/>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p>
        </w:tc>
        <w:tc>
          <w:tcPr>
            <w:tcW w:w="436" w:type="pct"/>
            <w:vMerge w:val="continue"/>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p>
        </w:tc>
        <w:tc>
          <w:tcPr>
            <w:tcW w:w="436"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起始</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井深</w:t>
            </w:r>
          </w:p>
        </w:tc>
        <w:tc>
          <w:tcPr>
            <w:tcW w:w="438"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终止</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井深</w:t>
            </w:r>
          </w:p>
        </w:tc>
        <w:tc>
          <w:tcPr>
            <w:tcW w:w="436" w:type="pct"/>
            <w:vMerge w:val="continue"/>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p>
        </w:tc>
        <w:tc>
          <w:tcPr>
            <w:tcW w:w="436" w:type="pct"/>
            <w:vMerge w:val="continue"/>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p>
        </w:tc>
        <w:tc>
          <w:tcPr>
            <w:tcW w:w="385" w:type="pct"/>
            <w:vMerge w:val="continue"/>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p>
        </w:tc>
        <w:tc>
          <w:tcPr>
            <w:tcW w:w="384" w:type="pct"/>
            <w:vMerge w:val="continue"/>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p>
        </w:tc>
        <w:tc>
          <w:tcPr>
            <w:tcW w:w="634" w:type="pct"/>
            <w:vMerge w:val="continue"/>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58" w:hRule="atLeast"/>
        </w:trPr>
        <w:tc>
          <w:tcPr>
            <w:tcW w:w="489" w:type="pct"/>
            <w:vMerge w:val="restart"/>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营1-斜111井</w:t>
            </w:r>
          </w:p>
        </w:tc>
        <w:tc>
          <w:tcPr>
            <w:tcW w:w="489"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一开</w:t>
            </w:r>
          </w:p>
        </w:tc>
        <w:tc>
          <w:tcPr>
            <w:tcW w:w="432"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273.1</w:t>
            </w:r>
          </w:p>
        </w:tc>
        <w:tc>
          <w:tcPr>
            <w:tcW w:w="436"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311.2</w:t>
            </w:r>
          </w:p>
        </w:tc>
        <w:tc>
          <w:tcPr>
            <w:tcW w:w="436"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w:t>
            </w:r>
          </w:p>
        </w:tc>
        <w:tc>
          <w:tcPr>
            <w:tcW w:w="438"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576</w:t>
            </w:r>
          </w:p>
        </w:tc>
        <w:tc>
          <w:tcPr>
            <w:tcW w:w="436"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1.85</w:t>
            </w:r>
          </w:p>
        </w:tc>
        <w:tc>
          <w:tcPr>
            <w:tcW w:w="436"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G</w:t>
            </w:r>
          </w:p>
        </w:tc>
        <w:tc>
          <w:tcPr>
            <w:tcW w:w="385"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57</w:t>
            </w:r>
          </w:p>
        </w:tc>
        <w:tc>
          <w:tcPr>
            <w:tcW w:w="384"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内插</w:t>
            </w:r>
          </w:p>
        </w:tc>
        <w:tc>
          <w:tcPr>
            <w:tcW w:w="634"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或常规</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58" w:hRule="atLeast"/>
        </w:trPr>
        <w:tc>
          <w:tcPr>
            <w:tcW w:w="489" w:type="pct"/>
            <w:vMerge w:val="continue"/>
            <w:vAlign w:val="center"/>
          </w:tcPr>
          <w:p>
            <w:pPr>
              <w:pStyle w:val="256"/>
              <w:adjustRightInd w:val="0"/>
              <w:snapToGrid w:val="0"/>
              <w:spacing w:before="0" w:beforeAutospacing="0"/>
              <w:rPr>
                <w:rFonts w:ascii="Times New Roman" w:hAnsi="Times New Roman" w:cs="Times New Roman" w:eastAsiaTheme="minorEastAsia"/>
                <w:b w:val="0"/>
                <w:bCs/>
                <w:szCs w:val="21"/>
              </w:rPr>
            </w:pPr>
          </w:p>
        </w:tc>
        <w:tc>
          <w:tcPr>
            <w:tcW w:w="489" w:type="pct"/>
            <w:vMerge w:val="restar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二开</w:t>
            </w:r>
          </w:p>
        </w:tc>
        <w:tc>
          <w:tcPr>
            <w:tcW w:w="432" w:type="pct"/>
            <w:vMerge w:val="restar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177.8</w:t>
            </w:r>
          </w:p>
        </w:tc>
        <w:tc>
          <w:tcPr>
            <w:tcW w:w="436" w:type="pct"/>
            <w:vMerge w:val="restar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241.3</w:t>
            </w:r>
          </w:p>
        </w:tc>
        <w:tc>
          <w:tcPr>
            <w:tcW w:w="436"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1000</w:t>
            </w:r>
          </w:p>
        </w:tc>
        <w:tc>
          <w:tcPr>
            <w:tcW w:w="438"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1707.21</w:t>
            </w:r>
          </w:p>
        </w:tc>
        <w:tc>
          <w:tcPr>
            <w:tcW w:w="436"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1.90</w:t>
            </w:r>
          </w:p>
        </w:tc>
        <w:tc>
          <w:tcPr>
            <w:tcW w:w="436"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G</w:t>
            </w:r>
          </w:p>
        </w:tc>
        <w:tc>
          <w:tcPr>
            <w:tcW w:w="385"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33</w:t>
            </w:r>
          </w:p>
        </w:tc>
        <w:tc>
          <w:tcPr>
            <w:tcW w:w="384" w:type="pct"/>
            <w:vMerge w:val="restar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常规</w:t>
            </w:r>
          </w:p>
        </w:tc>
        <w:tc>
          <w:tcPr>
            <w:tcW w:w="634"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58" w:hRule="atLeast"/>
        </w:trPr>
        <w:tc>
          <w:tcPr>
            <w:tcW w:w="489" w:type="pct"/>
            <w:vMerge w:val="continue"/>
            <w:vAlign w:val="center"/>
          </w:tcPr>
          <w:p>
            <w:pPr>
              <w:pStyle w:val="256"/>
              <w:adjustRightInd w:val="0"/>
              <w:snapToGrid w:val="0"/>
              <w:spacing w:before="0" w:beforeAutospacing="0"/>
              <w:rPr>
                <w:rFonts w:ascii="Times New Roman" w:hAnsi="Times New Roman" w:cs="Times New Roman" w:eastAsiaTheme="minorEastAsia"/>
                <w:b w:val="0"/>
                <w:bCs/>
                <w:szCs w:val="21"/>
              </w:rPr>
            </w:pPr>
          </w:p>
        </w:tc>
        <w:tc>
          <w:tcPr>
            <w:tcW w:w="489" w:type="pct"/>
            <w:vMerge w:val="continue"/>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p>
        </w:tc>
        <w:tc>
          <w:tcPr>
            <w:tcW w:w="432" w:type="pct"/>
            <w:vMerge w:val="continue"/>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c>
          <w:tcPr>
            <w:tcW w:w="436" w:type="pct"/>
            <w:vMerge w:val="continue"/>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c>
          <w:tcPr>
            <w:tcW w:w="436"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w:t>
            </w:r>
          </w:p>
        </w:tc>
        <w:tc>
          <w:tcPr>
            <w:tcW w:w="438"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1000</w:t>
            </w:r>
          </w:p>
        </w:tc>
        <w:tc>
          <w:tcPr>
            <w:tcW w:w="436"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1.65</w:t>
            </w:r>
          </w:p>
        </w:tc>
        <w:tc>
          <w:tcPr>
            <w:tcW w:w="436"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G</w:t>
            </w:r>
          </w:p>
        </w:tc>
        <w:tc>
          <w:tcPr>
            <w:tcW w:w="385"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37</w:t>
            </w:r>
          </w:p>
        </w:tc>
        <w:tc>
          <w:tcPr>
            <w:tcW w:w="384" w:type="pct"/>
            <w:vMerge w:val="continue"/>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p>
        </w:tc>
        <w:tc>
          <w:tcPr>
            <w:tcW w:w="634" w:type="pct"/>
            <w:tcMar>
              <w:left w:w="28" w:type="dxa"/>
              <w:right w:w="28"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粉煤灰</w:t>
            </w:r>
          </w:p>
        </w:tc>
      </w:tr>
    </w:tbl>
    <w:p>
      <w:pPr>
        <w:spacing w:before="360" w:beforeLines="150"/>
        <w:ind w:firstLine="0" w:firstLineChars="0"/>
        <w:jc w:val="center"/>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表2.5-</w:t>
      </w:r>
      <w:r>
        <w:rPr>
          <w:rFonts w:hint="eastAsia" w:eastAsiaTheme="minorEastAsia"/>
          <w:b/>
          <w:color w:val="000000" w:themeColor="text1"/>
          <w:sz w:val="24"/>
          <w:lang w:val="en-US" w:eastAsia="zh-CN"/>
          <w14:textFill>
            <w14:solidFill>
              <w14:schemeClr w14:val="tx1"/>
            </w14:solidFill>
          </w14:textFill>
        </w:rPr>
        <w:t>30</w:t>
      </w:r>
      <w:r>
        <w:rPr>
          <w:rFonts w:eastAsiaTheme="minorEastAsia"/>
          <w:b/>
          <w:color w:val="000000" w:themeColor="text1"/>
          <w:sz w:val="24"/>
          <w14:textFill>
            <w14:solidFill>
              <w14:schemeClr w14:val="tx1"/>
            </w14:solidFill>
          </w14:textFill>
        </w:rPr>
        <w:t xml:space="preserve">  固井水泥添加剂用量设计</w:t>
      </w:r>
    </w:p>
    <w:tbl>
      <w:tblPr>
        <w:tblStyle w:val="45"/>
        <w:tblW w:w="496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2761"/>
        <w:gridCol w:w="2004"/>
        <w:gridCol w:w="201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48" w:hRule="atLeast"/>
          <w:jc w:val="center"/>
        </w:trPr>
        <w:tc>
          <w:tcPr>
            <w:tcW w:w="1656" w:type="pct"/>
            <w:vMerge w:val="restart"/>
            <w:tcBorders>
              <w:top w:val="single" w:color="000000" w:sz="12" w:space="0"/>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szCs w:val="21"/>
                <w:lang w:val="en-GB"/>
              </w:rPr>
            </w:pPr>
            <w:r>
              <w:rPr>
                <w:rFonts w:ascii="Times New Roman" w:hAnsi="Times New Roman" w:cs="Times New Roman" w:eastAsiaTheme="minorEastAsia"/>
                <w:szCs w:val="21"/>
                <w:lang w:val="en-GB"/>
              </w:rPr>
              <w:t>材料名称</w:t>
            </w:r>
          </w:p>
        </w:tc>
        <w:tc>
          <w:tcPr>
            <w:tcW w:w="2408" w:type="pct"/>
            <w:gridSpan w:val="2"/>
            <w:tcBorders>
              <w:top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szCs w:val="21"/>
                <w:lang w:val="en-GB"/>
              </w:rPr>
            </w:pPr>
            <w:r>
              <w:rPr>
                <w:rFonts w:ascii="Times New Roman" w:hAnsi="Times New Roman" w:cs="Times New Roman" w:eastAsiaTheme="minorEastAsia"/>
                <w:szCs w:val="21"/>
                <w:lang w:val="en-GB"/>
              </w:rPr>
              <w:t>营1-斜111用量</w:t>
            </w:r>
            <w:r>
              <w:rPr>
                <w:rFonts w:hint="eastAsia" w:ascii="Times New Roman" w:hAnsi="Times New Roman" w:cs="Times New Roman" w:eastAsiaTheme="minorEastAsia"/>
                <w:szCs w:val="21"/>
                <w:lang w:val="en-GB"/>
              </w:rPr>
              <w:t>（</w:t>
            </w:r>
            <w:r>
              <w:rPr>
                <w:rFonts w:ascii="Times New Roman" w:hAnsi="Times New Roman" w:cs="Times New Roman" w:eastAsiaTheme="minorEastAsia"/>
                <w:szCs w:val="21"/>
                <w:lang w:val="en-GB"/>
              </w:rPr>
              <w:t>t</w:t>
            </w:r>
            <w:r>
              <w:rPr>
                <w:rFonts w:hint="eastAsia" w:ascii="Times New Roman" w:hAnsi="Times New Roman" w:cs="Times New Roman" w:eastAsiaTheme="minorEastAsia"/>
                <w:szCs w:val="21"/>
                <w:lang w:val="en-GB"/>
              </w:rPr>
              <w:t>）</w:t>
            </w:r>
          </w:p>
        </w:tc>
        <w:tc>
          <w:tcPr>
            <w:tcW w:w="935" w:type="pct"/>
            <w:vMerge w:val="restart"/>
            <w:tcBorders>
              <w:top w:val="single" w:color="000000" w:sz="12" w:space="0"/>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szCs w:val="21"/>
                <w:lang w:val="en-GB"/>
              </w:rPr>
            </w:pPr>
            <w:r>
              <w:rPr>
                <w:rFonts w:ascii="Times New Roman" w:hAnsi="Times New Roman" w:cs="Times New Roman" w:eastAsiaTheme="minorEastAsia"/>
                <w:szCs w:val="21"/>
                <w:lang w:val="en-G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48" w:hRule="atLeast"/>
          <w:jc w:val="center"/>
        </w:trPr>
        <w:tc>
          <w:tcPr>
            <w:tcW w:w="1656" w:type="pct"/>
            <w:vMerge w:val="continue"/>
            <w:tcBorders>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szCs w:val="21"/>
                <w:lang w:val="en-GB"/>
              </w:rPr>
            </w:pPr>
          </w:p>
        </w:tc>
        <w:tc>
          <w:tcPr>
            <w:tcW w:w="1202" w:type="pct"/>
            <w:vAlign w:val="center"/>
          </w:tcPr>
          <w:p>
            <w:pPr>
              <w:pStyle w:val="256"/>
              <w:adjustRightInd w:val="0"/>
              <w:snapToGrid w:val="0"/>
              <w:spacing w:before="0" w:beforeAutospacing="0"/>
              <w:rPr>
                <w:rFonts w:ascii="Times New Roman" w:hAnsi="Times New Roman" w:cs="Times New Roman" w:eastAsiaTheme="minorEastAsia"/>
                <w:szCs w:val="21"/>
                <w:lang w:val="en-GB"/>
              </w:rPr>
            </w:pPr>
            <w:r>
              <w:rPr>
                <w:rFonts w:ascii="Times New Roman" w:hAnsi="Times New Roman" w:cs="Times New Roman" w:eastAsiaTheme="minorEastAsia"/>
                <w:szCs w:val="21"/>
                <w:lang w:val="en-GB"/>
              </w:rPr>
              <w:t>一开</w:t>
            </w:r>
          </w:p>
        </w:tc>
        <w:tc>
          <w:tcPr>
            <w:tcW w:w="1206" w:type="pct"/>
            <w:vAlign w:val="center"/>
          </w:tcPr>
          <w:p>
            <w:pPr>
              <w:pStyle w:val="256"/>
              <w:adjustRightInd w:val="0"/>
              <w:snapToGrid w:val="0"/>
              <w:spacing w:before="0" w:beforeAutospacing="0"/>
              <w:rPr>
                <w:rFonts w:ascii="Times New Roman" w:hAnsi="Times New Roman" w:cs="Times New Roman" w:eastAsiaTheme="minorEastAsia"/>
                <w:szCs w:val="21"/>
                <w:lang w:val="en-GB"/>
              </w:rPr>
            </w:pPr>
            <w:r>
              <w:rPr>
                <w:rFonts w:ascii="Times New Roman" w:hAnsi="Times New Roman" w:cs="Times New Roman" w:eastAsiaTheme="minorEastAsia"/>
                <w:szCs w:val="21"/>
                <w:lang w:val="en-GB"/>
              </w:rPr>
              <w:t>二开</w:t>
            </w:r>
          </w:p>
        </w:tc>
        <w:tc>
          <w:tcPr>
            <w:tcW w:w="935" w:type="pct"/>
            <w:vMerge w:val="continue"/>
            <w:tcBorders>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48" w:hRule="atLeast"/>
          <w:jc w:val="center"/>
        </w:trPr>
        <w:tc>
          <w:tcPr>
            <w:tcW w:w="1656" w:type="pct"/>
            <w:tcBorders>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减阻剂</w:t>
            </w:r>
          </w:p>
        </w:tc>
        <w:tc>
          <w:tcPr>
            <w:tcW w:w="1202" w:type="pct"/>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c>
          <w:tcPr>
            <w:tcW w:w="1206" w:type="pct"/>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1.22</w:t>
            </w:r>
          </w:p>
        </w:tc>
        <w:tc>
          <w:tcPr>
            <w:tcW w:w="935" w:type="pct"/>
            <w:tcBorders>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48" w:hRule="atLeast"/>
          <w:jc w:val="center"/>
        </w:trPr>
        <w:tc>
          <w:tcPr>
            <w:tcW w:w="1656" w:type="pct"/>
            <w:tcBorders>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降失水剂</w:t>
            </w:r>
          </w:p>
        </w:tc>
        <w:tc>
          <w:tcPr>
            <w:tcW w:w="1202" w:type="pct"/>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c>
          <w:tcPr>
            <w:tcW w:w="1206" w:type="pct"/>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2.26</w:t>
            </w:r>
          </w:p>
        </w:tc>
        <w:tc>
          <w:tcPr>
            <w:tcW w:w="935" w:type="pct"/>
            <w:tcBorders>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48" w:hRule="atLeast"/>
          <w:jc w:val="center"/>
        </w:trPr>
        <w:tc>
          <w:tcPr>
            <w:tcW w:w="1656" w:type="pct"/>
            <w:tcBorders>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消泡剂</w:t>
            </w:r>
          </w:p>
        </w:tc>
        <w:tc>
          <w:tcPr>
            <w:tcW w:w="1202" w:type="pct"/>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c>
          <w:tcPr>
            <w:tcW w:w="1206" w:type="pct"/>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0.75</w:t>
            </w:r>
          </w:p>
        </w:tc>
        <w:tc>
          <w:tcPr>
            <w:tcW w:w="935" w:type="pct"/>
            <w:tcBorders>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48" w:hRule="atLeast"/>
          <w:jc w:val="center"/>
        </w:trPr>
        <w:tc>
          <w:tcPr>
            <w:tcW w:w="1656" w:type="pct"/>
            <w:tcBorders>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早强剂</w:t>
            </w:r>
          </w:p>
        </w:tc>
        <w:tc>
          <w:tcPr>
            <w:tcW w:w="1202" w:type="pct"/>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c>
          <w:tcPr>
            <w:tcW w:w="1206" w:type="pct"/>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0.80</w:t>
            </w:r>
          </w:p>
        </w:tc>
        <w:tc>
          <w:tcPr>
            <w:tcW w:w="935" w:type="pct"/>
            <w:tcBorders>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48" w:hRule="atLeast"/>
          <w:jc w:val="center"/>
        </w:trPr>
        <w:tc>
          <w:tcPr>
            <w:tcW w:w="1656" w:type="pct"/>
            <w:tcBorders>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增韧剂</w:t>
            </w:r>
          </w:p>
        </w:tc>
        <w:tc>
          <w:tcPr>
            <w:tcW w:w="1202" w:type="pct"/>
          </w:tcPr>
          <w:p>
            <w:pPr>
              <w:pStyle w:val="256"/>
              <w:adjustRightInd w:val="0"/>
              <w:snapToGrid w:val="0"/>
              <w:spacing w:before="0" w:beforeAutospacing="0"/>
              <w:rPr>
                <w:rFonts w:ascii="Times New Roman" w:hAnsi="Times New Roman" w:cs="Times New Roman" w:eastAsiaTheme="minorEastAsia"/>
                <w:b w:val="0"/>
                <w:bCs/>
                <w:szCs w:val="21"/>
                <w:lang w:val="en-GB"/>
              </w:rPr>
            </w:pPr>
          </w:p>
        </w:tc>
        <w:tc>
          <w:tcPr>
            <w:tcW w:w="1206" w:type="pct"/>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0.10</w:t>
            </w:r>
          </w:p>
        </w:tc>
        <w:tc>
          <w:tcPr>
            <w:tcW w:w="935" w:type="pct"/>
            <w:tcBorders>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48" w:hRule="atLeast"/>
          <w:jc w:val="center"/>
        </w:trPr>
        <w:tc>
          <w:tcPr>
            <w:tcW w:w="1656" w:type="pct"/>
            <w:tcBorders>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晶格膨胀剂</w:t>
            </w:r>
          </w:p>
        </w:tc>
        <w:tc>
          <w:tcPr>
            <w:tcW w:w="1202" w:type="pct"/>
          </w:tcPr>
          <w:p>
            <w:pPr>
              <w:pStyle w:val="256"/>
              <w:adjustRightInd w:val="0"/>
              <w:snapToGrid w:val="0"/>
              <w:spacing w:before="0" w:beforeAutospacing="0"/>
              <w:rPr>
                <w:rFonts w:ascii="Times New Roman" w:hAnsi="Times New Roman" w:cs="Times New Roman" w:eastAsiaTheme="minorEastAsia"/>
                <w:b w:val="0"/>
                <w:bCs/>
                <w:szCs w:val="21"/>
                <w:lang w:val="en-GB"/>
              </w:rPr>
            </w:pPr>
          </w:p>
        </w:tc>
        <w:tc>
          <w:tcPr>
            <w:tcW w:w="1206" w:type="pct"/>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0.66</w:t>
            </w:r>
          </w:p>
        </w:tc>
        <w:tc>
          <w:tcPr>
            <w:tcW w:w="935" w:type="pct"/>
            <w:tcBorders>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48" w:hRule="atLeast"/>
          <w:jc w:val="center"/>
        </w:trPr>
        <w:tc>
          <w:tcPr>
            <w:tcW w:w="1656" w:type="pct"/>
            <w:tcBorders>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增强剂</w:t>
            </w:r>
          </w:p>
        </w:tc>
        <w:tc>
          <w:tcPr>
            <w:tcW w:w="1202" w:type="pct"/>
          </w:tcPr>
          <w:p>
            <w:pPr>
              <w:pStyle w:val="256"/>
              <w:adjustRightInd w:val="0"/>
              <w:snapToGrid w:val="0"/>
              <w:spacing w:before="0" w:beforeAutospacing="0"/>
              <w:rPr>
                <w:rFonts w:ascii="Times New Roman" w:hAnsi="Times New Roman" w:cs="Times New Roman" w:eastAsiaTheme="minorEastAsia"/>
                <w:b w:val="0"/>
                <w:bCs/>
                <w:szCs w:val="21"/>
                <w:lang w:val="en-GB"/>
              </w:rPr>
            </w:pPr>
          </w:p>
        </w:tc>
        <w:tc>
          <w:tcPr>
            <w:tcW w:w="1206" w:type="pct"/>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0.74</w:t>
            </w:r>
          </w:p>
        </w:tc>
        <w:tc>
          <w:tcPr>
            <w:tcW w:w="935" w:type="pct"/>
            <w:tcBorders>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48" w:hRule="atLeast"/>
          <w:jc w:val="center"/>
        </w:trPr>
        <w:tc>
          <w:tcPr>
            <w:tcW w:w="1656" w:type="pct"/>
            <w:tcBorders>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冲洗液（m</w:t>
            </w:r>
            <w:r>
              <w:rPr>
                <w:rFonts w:ascii="Times New Roman" w:hAnsi="Times New Roman" w:cs="Times New Roman" w:eastAsiaTheme="minorEastAsia"/>
                <w:b w:val="0"/>
                <w:bCs/>
                <w:szCs w:val="21"/>
                <w:vertAlign w:val="superscript"/>
                <w:lang w:val="en-GB"/>
              </w:rPr>
              <w:t>3</w:t>
            </w:r>
            <w:r>
              <w:rPr>
                <w:rFonts w:hint="eastAsia" w:ascii="Times New Roman" w:hAnsi="Times New Roman" w:cs="Times New Roman" w:eastAsiaTheme="minorEastAsia"/>
                <w:b w:val="0"/>
                <w:bCs/>
                <w:szCs w:val="21"/>
                <w:lang w:val="en-GB"/>
              </w:rPr>
              <w:t>）</w:t>
            </w:r>
          </w:p>
        </w:tc>
        <w:tc>
          <w:tcPr>
            <w:tcW w:w="1202" w:type="pct"/>
          </w:tcPr>
          <w:p>
            <w:pPr>
              <w:pStyle w:val="256"/>
              <w:adjustRightInd w:val="0"/>
              <w:snapToGrid w:val="0"/>
              <w:spacing w:before="0" w:beforeAutospacing="0"/>
              <w:rPr>
                <w:rFonts w:ascii="Times New Roman" w:hAnsi="Times New Roman" w:cs="Times New Roman" w:eastAsiaTheme="minorEastAsia"/>
                <w:b w:val="0"/>
                <w:bCs/>
                <w:szCs w:val="21"/>
                <w:lang w:val="en-GB"/>
              </w:rPr>
            </w:pPr>
          </w:p>
        </w:tc>
        <w:tc>
          <w:tcPr>
            <w:tcW w:w="1206" w:type="pct"/>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4.60</w:t>
            </w:r>
          </w:p>
        </w:tc>
        <w:tc>
          <w:tcPr>
            <w:tcW w:w="935" w:type="pct"/>
            <w:tcBorders>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56" w:hRule="atLeast"/>
          <w:jc w:val="center"/>
        </w:trPr>
        <w:tc>
          <w:tcPr>
            <w:tcW w:w="1656" w:type="pct"/>
            <w:tcBorders>
              <w:left w:val="single" w:color="000000" w:sz="12" w:space="0"/>
              <w:bottom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前置隔离液（m</w:t>
            </w:r>
            <w:r>
              <w:rPr>
                <w:rFonts w:ascii="Times New Roman" w:hAnsi="Times New Roman" w:cs="Times New Roman" w:eastAsiaTheme="minorEastAsia"/>
                <w:b w:val="0"/>
                <w:bCs/>
                <w:szCs w:val="21"/>
                <w:vertAlign w:val="superscript"/>
                <w:lang w:val="en-GB"/>
              </w:rPr>
              <w:t>3</w:t>
            </w:r>
            <w:r>
              <w:rPr>
                <w:rFonts w:hint="eastAsia" w:ascii="Times New Roman" w:hAnsi="Times New Roman" w:cs="Times New Roman" w:eastAsiaTheme="minorEastAsia"/>
                <w:b w:val="0"/>
                <w:bCs/>
                <w:szCs w:val="21"/>
                <w:lang w:val="en-GB"/>
              </w:rPr>
              <w:t>）</w:t>
            </w:r>
          </w:p>
        </w:tc>
        <w:tc>
          <w:tcPr>
            <w:tcW w:w="1202" w:type="pct"/>
            <w:tcBorders>
              <w:bottom w:val="single" w:color="000000" w:sz="12" w:space="0"/>
            </w:tcBorders>
          </w:tcPr>
          <w:p>
            <w:pPr>
              <w:pStyle w:val="256"/>
              <w:adjustRightInd w:val="0"/>
              <w:snapToGrid w:val="0"/>
              <w:spacing w:before="0" w:beforeAutospacing="0"/>
              <w:rPr>
                <w:rFonts w:ascii="Times New Roman" w:hAnsi="Times New Roman" w:cs="Times New Roman" w:eastAsiaTheme="minorEastAsia"/>
                <w:b w:val="0"/>
                <w:bCs/>
                <w:szCs w:val="21"/>
                <w:lang w:val="en-GB"/>
              </w:rPr>
            </w:pPr>
          </w:p>
        </w:tc>
        <w:tc>
          <w:tcPr>
            <w:tcW w:w="1206" w:type="pct"/>
            <w:tcBorders>
              <w:bottom w:val="single" w:color="000000" w:sz="12" w:space="0"/>
            </w:tcBorders>
          </w:tcPr>
          <w:p>
            <w:pPr>
              <w:pStyle w:val="256"/>
              <w:adjustRightInd w:val="0"/>
              <w:snapToGrid w:val="0"/>
              <w:spacing w:before="0" w:beforeAutospacing="0"/>
              <w:rPr>
                <w:rFonts w:ascii="Times New Roman" w:hAnsi="Times New Roman" w:cs="Times New Roman" w:eastAsiaTheme="minorEastAsia"/>
                <w:b w:val="0"/>
                <w:bCs/>
                <w:szCs w:val="21"/>
                <w:lang w:val="en-GB"/>
              </w:rPr>
            </w:pPr>
            <w:r>
              <w:rPr>
                <w:rFonts w:ascii="Times New Roman" w:hAnsi="Times New Roman" w:cs="Times New Roman" w:eastAsiaTheme="minorEastAsia"/>
                <w:b w:val="0"/>
                <w:bCs/>
                <w:szCs w:val="21"/>
                <w:lang w:val="en-GB"/>
              </w:rPr>
              <w:t>4.60</w:t>
            </w:r>
          </w:p>
        </w:tc>
        <w:tc>
          <w:tcPr>
            <w:tcW w:w="935" w:type="pct"/>
            <w:tcBorders>
              <w:bottom w:val="single" w:color="000000" w:sz="12" w:space="0"/>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lang w:val="en-GB"/>
              </w:rPr>
            </w:pPr>
          </w:p>
        </w:tc>
      </w:tr>
    </w:tbl>
    <w:p>
      <w:pPr>
        <w:spacing w:before="360" w:beforeLines="150"/>
        <w:ind w:firstLine="560"/>
        <w:rPr>
          <w:rFonts w:eastAsiaTheme="minorEastAsia"/>
          <w:color w:val="000000" w:themeColor="text1"/>
          <w14:textFill>
            <w14:solidFill>
              <w14:schemeClr w14:val="tx1"/>
            </w14:solidFill>
          </w14:textFill>
        </w:rPr>
      </w:pPr>
      <w:r>
        <w:rPr>
          <w:rFonts w:hint="eastAsia" w:eastAsiaTheme="minorEastAsia"/>
          <w:color w:val="000000" w:themeColor="text1"/>
          <w14:textFill>
            <w14:solidFill>
              <w14:schemeClr w14:val="tx1"/>
            </w14:solidFill>
          </w14:textFill>
        </w:rPr>
        <w:t>（5）</w:t>
      </w:r>
      <w:r>
        <w:rPr>
          <w:rFonts w:eastAsiaTheme="minorEastAsia"/>
          <w:color w:val="000000" w:themeColor="text1"/>
          <w14:textFill>
            <w14:solidFill>
              <w14:schemeClr w14:val="tx1"/>
            </w14:solidFill>
          </w14:textFill>
        </w:rPr>
        <w:t>固井质量保证技术措施</w:t>
      </w:r>
    </w:p>
    <w:p>
      <w:pPr>
        <w:ind w:firstLine="560"/>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fldChar w:fldCharType="begin"/>
      </w:r>
      <w:r>
        <w:rPr>
          <w:rFonts w:eastAsiaTheme="minorEastAsia"/>
          <w:color w:val="000000" w:themeColor="text1"/>
          <w14:textFill>
            <w14:solidFill>
              <w14:schemeClr w14:val="tx1"/>
            </w14:solidFill>
          </w14:textFill>
        </w:rPr>
        <w:instrText xml:space="preserve"> = 1 \* GB3 </w:instrText>
      </w:r>
      <w:r>
        <w:rPr>
          <w:rFonts w:eastAsiaTheme="minorEastAsia"/>
          <w:color w:val="000000" w:themeColor="text1"/>
          <w14:textFill>
            <w14:solidFill>
              <w14:schemeClr w14:val="tx1"/>
            </w14:solidFill>
          </w14:textFill>
        </w:rPr>
        <w:fldChar w:fldCharType="separate"/>
      </w:r>
      <w:r>
        <w:rPr>
          <w:rFonts w:eastAsiaTheme="minorEastAsia"/>
          <w:color w:val="000000" w:themeColor="text1"/>
          <w14:textFill>
            <w14:solidFill>
              <w14:schemeClr w14:val="tx1"/>
            </w14:solidFill>
          </w14:textFill>
        </w:rPr>
        <w:t>①</w:t>
      </w:r>
      <w:r>
        <w:rPr>
          <w:rFonts w:eastAsiaTheme="minorEastAsia"/>
          <w:color w:val="000000" w:themeColor="text1"/>
          <w14:textFill>
            <w14:solidFill>
              <w14:schemeClr w14:val="tx1"/>
            </w14:solidFill>
          </w14:textFill>
        </w:rPr>
        <w:fldChar w:fldCharType="end"/>
      </w:r>
      <w:r>
        <w:rPr>
          <w:rFonts w:eastAsiaTheme="minorEastAsia"/>
          <w:color w:val="000000" w:themeColor="text1"/>
          <w14:textFill>
            <w14:solidFill>
              <w14:schemeClr w14:val="tx1"/>
            </w14:solidFill>
          </w14:textFill>
        </w:rPr>
        <w:t>井径扩大率尽量控制在10%以内，避免出现</w:t>
      </w:r>
      <w:r>
        <w:rPr>
          <w:rFonts w:hint="eastAsia" w:eastAsiaTheme="minorEastAsia"/>
          <w:color w:val="000000" w:themeColor="text1"/>
          <w14:textFill>
            <w14:solidFill>
              <w14:schemeClr w14:val="tx1"/>
            </w14:solidFill>
          </w14:textFill>
        </w:rPr>
        <w:t>“</w:t>
      </w:r>
      <w:r>
        <w:rPr>
          <w:rFonts w:eastAsiaTheme="minorEastAsia"/>
          <w:color w:val="000000" w:themeColor="text1"/>
          <w14:textFill>
            <w14:solidFill>
              <w14:schemeClr w14:val="tx1"/>
            </w14:solidFill>
          </w14:textFill>
        </w:rPr>
        <w:t>糖葫芦</w:t>
      </w:r>
      <w:r>
        <w:rPr>
          <w:rFonts w:hint="eastAsia" w:eastAsiaTheme="minorEastAsia"/>
          <w:color w:val="000000" w:themeColor="text1"/>
          <w14:textFill>
            <w14:solidFill>
              <w14:schemeClr w14:val="tx1"/>
            </w14:solidFill>
          </w14:textFill>
        </w:rPr>
        <w:t>”</w:t>
      </w:r>
      <w:r>
        <w:rPr>
          <w:rFonts w:eastAsiaTheme="minorEastAsia"/>
          <w:color w:val="000000" w:themeColor="text1"/>
          <w14:textFill>
            <w14:solidFill>
              <w14:schemeClr w14:val="tx1"/>
            </w14:solidFill>
          </w14:textFill>
        </w:rPr>
        <w:t>井眼；</w:t>
      </w:r>
    </w:p>
    <w:p>
      <w:pPr>
        <w:ind w:firstLine="560"/>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fldChar w:fldCharType="begin"/>
      </w:r>
      <w:r>
        <w:rPr>
          <w:rFonts w:eastAsiaTheme="minorEastAsia"/>
          <w:color w:val="000000" w:themeColor="text1"/>
          <w14:textFill>
            <w14:solidFill>
              <w14:schemeClr w14:val="tx1"/>
            </w14:solidFill>
          </w14:textFill>
        </w:rPr>
        <w:instrText xml:space="preserve"> = 2 \* GB3 </w:instrText>
      </w:r>
      <w:r>
        <w:rPr>
          <w:rFonts w:eastAsiaTheme="minorEastAsia"/>
          <w:color w:val="000000" w:themeColor="text1"/>
          <w14:textFill>
            <w14:solidFill>
              <w14:schemeClr w14:val="tx1"/>
            </w14:solidFill>
          </w14:textFill>
        </w:rPr>
        <w:fldChar w:fldCharType="separate"/>
      </w:r>
      <w:r>
        <w:rPr>
          <w:rFonts w:eastAsiaTheme="minorEastAsia"/>
          <w:color w:val="000000" w:themeColor="text1"/>
          <w14:textFill>
            <w14:solidFill>
              <w14:schemeClr w14:val="tx1"/>
            </w14:solidFill>
          </w14:textFill>
        </w:rPr>
        <w:t>②</w:t>
      </w:r>
      <w:r>
        <w:rPr>
          <w:rFonts w:eastAsiaTheme="minorEastAsia"/>
          <w:color w:val="000000" w:themeColor="text1"/>
          <w14:textFill>
            <w14:solidFill>
              <w14:schemeClr w14:val="tx1"/>
            </w14:solidFill>
          </w14:textFill>
        </w:rPr>
        <w:fldChar w:fldCharType="end"/>
      </w:r>
      <w:r>
        <w:rPr>
          <w:rFonts w:eastAsiaTheme="minorEastAsia"/>
          <w:color w:val="000000" w:themeColor="text1"/>
          <w14:textFill>
            <w14:solidFill>
              <w14:schemeClr w14:val="tx1"/>
            </w14:solidFill>
          </w14:textFill>
        </w:rPr>
        <w:t>下套管过程中注意活动套管，合理使用套管扶正器，保证套管居中度；</w:t>
      </w:r>
    </w:p>
    <w:p>
      <w:pPr>
        <w:ind w:firstLine="560"/>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fldChar w:fldCharType="begin"/>
      </w:r>
      <w:r>
        <w:rPr>
          <w:rFonts w:eastAsiaTheme="minorEastAsia"/>
          <w:color w:val="000000" w:themeColor="text1"/>
          <w14:textFill>
            <w14:solidFill>
              <w14:schemeClr w14:val="tx1"/>
            </w14:solidFill>
          </w14:textFill>
        </w:rPr>
        <w:instrText xml:space="preserve"> = 3 \* GB3 </w:instrText>
      </w:r>
      <w:r>
        <w:rPr>
          <w:rFonts w:eastAsiaTheme="minorEastAsia"/>
          <w:color w:val="000000" w:themeColor="text1"/>
          <w14:textFill>
            <w14:solidFill>
              <w14:schemeClr w14:val="tx1"/>
            </w14:solidFill>
          </w14:textFill>
        </w:rPr>
        <w:fldChar w:fldCharType="separate"/>
      </w:r>
      <w:r>
        <w:rPr>
          <w:rFonts w:eastAsiaTheme="minorEastAsia"/>
          <w:color w:val="000000" w:themeColor="text1"/>
          <w14:textFill>
            <w14:solidFill>
              <w14:schemeClr w14:val="tx1"/>
            </w14:solidFill>
          </w14:textFill>
        </w:rPr>
        <w:t>③</w:t>
      </w:r>
      <w:r>
        <w:rPr>
          <w:rFonts w:eastAsiaTheme="minorEastAsia"/>
          <w:color w:val="000000" w:themeColor="text1"/>
          <w14:textFill>
            <w14:solidFill>
              <w14:schemeClr w14:val="tx1"/>
            </w14:solidFill>
          </w14:textFill>
        </w:rPr>
        <w:fldChar w:fldCharType="end"/>
      </w:r>
      <w:r>
        <w:rPr>
          <w:rFonts w:eastAsiaTheme="minorEastAsia"/>
          <w:color w:val="000000" w:themeColor="text1"/>
          <w14:textFill>
            <w14:solidFill>
              <w14:schemeClr w14:val="tx1"/>
            </w14:solidFill>
          </w14:textFill>
        </w:rPr>
        <w:t>在保证井眼安全的前提下，尽量采用紊流顶替，提高顶替效率；如果井眼条件不理想无法达到紊流，则通过设计合理前置液和先导低密度水泥浆的流变参数和用量来达到紊流；</w:t>
      </w:r>
    </w:p>
    <w:p>
      <w:pPr>
        <w:ind w:firstLine="560"/>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fldChar w:fldCharType="begin"/>
      </w:r>
      <w:r>
        <w:rPr>
          <w:rFonts w:eastAsiaTheme="minorEastAsia"/>
          <w:color w:val="000000" w:themeColor="text1"/>
          <w14:textFill>
            <w14:solidFill>
              <w14:schemeClr w14:val="tx1"/>
            </w14:solidFill>
          </w14:textFill>
        </w:rPr>
        <w:instrText xml:space="preserve"> = 4 \* GB3 </w:instrText>
      </w:r>
      <w:r>
        <w:rPr>
          <w:rFonts w:eastAsiaTheme="minorEastAsia"/>
          <w:color w:val="000000" w:themeColor="text1"/>
          <w14:textFill>
            <w14:solidFill>
              <w14:schemeClr w14:val="tx1"/>
            </w14:solidFill>
          </w14:textFill>
        </w:rPr>
        <w:fldChar w:fldCharType="separate"/>
      </w:r>
      <w:r>
        <w:rPr>
          <w:rFonts w:eastAsiaTheme="minorEastAsia"/>
          <w:color w:val="000000" w:themeColor="text1"/>
          <w14:textFill>
            <w14:solidFill>
              <w14:schemeClr w14:val="tx1"/>
            </w14:solidFill>
          </w14:textFill>
        </w:rPr>
        <w:t>④</w:t>
      </w:r>
      <w:r>
        <w:rPr>
          <w:rFonts w:eastAsiaTheme="minorEastAsia"/>
          <w:color w:val="000000" w:themeColor="text1"/>
          <w14:textFill>
            <w14:solidFill>
              <w14:schemeClr w14:val="tx1"/>
            </w14:solidFill>
          </w14:textFill>
        </w:rPr>
        <w:fldChar w:fldCharType="end"/>
      </w:r>
      <w:r>
        <w:rPr>
          <w:rFonts w:eastAsiaTheme="minorEastAsia"/>
          <w:color w:val="000000" w:themeColor="text1"/>
          <w14:textFill>
            <w14:solidFill>
              <w14:schemeClr w14:val="tx1"/>
            </w14:solidFill>
          </w14:textFill>
        </w:rPr>
        <w:t>控制水泥浆游离液和失水量，保证水泥浆的稳定性；通过使用双凝水泥浆体系确保压稳油层。</w:t>
      </w:r>
    </w:p>
    <w:bookmarkEnd w:id="116"/>
    <w:p>
      <w:pPr>
        <w:pStyle w:val="5"/>
        <w:rPr>
          <w:rFonts w:eastAsiaTheme="minorEastAsia"/>
          <w:color w:val="000000"/>
        </w:rPr>
      </w:pPr>
      <w:bookmarkStart w:id="117" w:name="_Toc267061359"/>
      <w:bookmarkStart w:id="118" w:name="_Toc265987199"/>
      <w:bookmarkStart w:id="119" w:name="_Toc267290820"/>
      <w:bookmarkStart w:id="120" w:name="_Toc87280419"/>
      <w:r>
        <w:rPr>
          <w:rFonts w:eastAsiaTheme="minorEastAsia"/>
          <w:color w:val="000000"/>
        </w:rPr>
        <w:t>2.5.7  井控</w:t>
      </w:r>
      <w:bookmarkEnd w:id="117"/>
      <w:bookmarkEnd w:id="118"/>
      <w:bookmarkEnd w:id="119"/>
      <w:r>
        <w:rPr>
          <w:rFonts w:eastAsiaTheme="minorEastAsia"/>
          <w:color w:val="000000"/>
        </w:rPr>
        <w:t>方案</w:t>
      </w:r>
      <w:bookmarkEnd w:id="120"/>
    </w:p>
    <w:p>
      <w:pPr>
        <w:spacing w:line="331" w:lineRule="auto"/>
        <w:ind w:firstLine="560"/>
        <w:jc w:val="left"/>
        <w:rPr>
          <w:rFonts w:eastAsiaTheme="minorEastAsia"/>
          <w:color w:val="000000" w:themeColor="text1"/>
          <w14:textFill>
            <w14:solidFill>
              <w14:schemeClr w14:val="tx1"/>
            </w14:solidFill>
          </w14:textFill>
        </w:rPr>
      </w:pPr>
      <w:bookmarkStart w:id="121" w:name="_Toc41742619"/>
      <w:bookmarkStart w:id="122" w:name="_Toc522018253"/>
      <w:r>
        <w:rPr>
          <w:rFonts w:eastAsiaTheme="minorEastAsia"/>
          <w:color w:val="000000" w:themeColor="text1"/>
          <w14:textFill>
            <w14:solidFill>
              <w14:schemeClr w14:val="tx1"/>
            </w14:solidFill>
          </w14:textFill>
        </w:rPr>
        <w:t>井控装置选择、井口装置示意图、节流管汇及压井管汇示意图及试压要求见表2.5-</w:t>
      </w:r>
      <w:r>
        <w:rPr>
          <w:rFonts w:hint="eastAsia" w:eastAsiaTheme="minorEastAsia"/>
          <w:color w:val="000000" w:themeColor="text1"/>
          <w:lang w:val="en-US" w:eastAsia="zh-CN"/>
          <w14:textFill>
            <w14:solidFill>
              <w14:schemeClr w14:val="tx1"/>
            </w14:solidFill>
          </w14:textFill>
        </w:rPr>
        <w:t>31</w:t>
      </w:r>
      <w:r>
        <w:rPr>
          <w:rFonts w:eastAsiaTheme="minorEastAsia"/>
          <w:color w:val="000000" w:themeColor="text1"/>
          <w14:textFill>
            <w14:solidFill>
              <w14:schemeClr w14:val="tx1"/>
            </w14:solidFill>
          </w14:textFill>
        </w:rPr>
        <w:t>、图2.5-2、图2.5-3。</w:t>
      </w:r>
    </w:p>
    <w:p>
      <w:pPr>
        <w:ind w:firstLine="0" w:firstLineChars="0"/>
        <w:jc w:val="center"/>
        <w:rPr>
          <w:rFonts w:eastAsiaTheme="minorEastAsia"/>
          <w:b/>
          <w:color w:val="000000" w:themeColor="text1"/>
          <w:sz w:val="24"/>
          <w:szCs w:val="24"/>
          <w14:textFill>
            <w14:solidFill>
              <w14:schemeClr w14:val="tx1"/>
            </w14:solidFill>
          </w14:textFill>
        </w:rPr>
      </w:pPr>
    </w:p>
    <w:p>
      <w:pPr>
        <w:ind w:firstLine="0" w:firstLineChars="0"/>
        <w:jc w:val="center"/>
        <w:rPr>
          <w:rFonts w:eastAsiaTheme="minorEastAsia"/>
          <w:b/>
          <w:color w:val="000000" w:themeColor="text1"/>
          <w:sz w:val="24"/>
          <w:szCs w:val="24"/>
          <w14:textFill>
            <w14:solidFill>
              <w14:schemeClr w14:val="tx1"/>
            </w14:solidFill>
          </w14:textFill>
        </w:rPr>
      </w:pPr>
    </w:p>
    <w:p>
      <w:pPr>
        <w:ind w:firstLine="0" w:firstLineChars="0"/>
        <w:jc w:val="center"/>
        <w:rPr>
          <w:rFonts w:eastAsiaTheme="minorEastAsia"/>
          <w:b/>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表2.5-</w:t>
      </w:r>
      <w:r>
        <w:rPr>
          <w:rFonts w:hint="eastAsia"/>
          <w:sz w:val="24"/>
          <w:szCs w:val="24"/>
          <w:lang w:val="en-US" w:eastAsia="zh-CN"/>
        </w:rPr>
        <w:t>31</w:t>
      </w:r>
      <w:r>
        <w:rPr>
          <w:rFonts w:eastAsiaTheme="minorEastAsia"/>
          <w:b/>
          <w:color w:val="000000" w:themeColor="text1"/>
          <w:sz w:val="24"/>
          <w:szCs w:val="24"/>
          <w14:textFill>
            <w14:solidFill>
              <w14:schemeClr w14:val="tx1"/>
            </w14:solidFill>
          </w14:textFill>
        </w:rPr>
        <w:t xml:space="preserve">  二开井井口装置及试压要求（定向井）</w:t>
      </w:r>
    </w:p>
    <w:tbl>
      <w:tblPr>
        <w:tblStyle w:val="45"/>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43"/>
        <w:gridCol w:w="1581"/>
        <w:gridCol w:w="2040"/>
        <w:gridCol w:w="903"/>
        <w:gridCol w:w="998"/>
        <w:gridCol w:w="1116"/>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643" w:type="dxa"/>
            <w:vMerge w:val="restart"/>
            <w:tcBorders>
              <w:top w:val="single" w:color="000000" w:sz="12" w:space="0"/>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开钻次数</w:t>
            </w:r>
          </w:p>
        </w:tc>
        <w:tc>
          <w:tcPr>
            <w:tcW w:w="1581" w:type="dxa"/>
            <w:vMerge w:val="restart"/>
            <w:tcBorders>
              <w:top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名称</w:t>
            </w:r>
          </w:p>
        </w:tc>
        <w:tc>
          <w:tcPr>
            <w:tcW w:w="2040" w:type="dxa"/>
            <w:vMerge w:val="restart"/>
            <w:tcBorders>
              <w:top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型号</w:t>
            </w:r>
          </w:p>
        </w:tc>
        <w:tc>
          <w:tcPr>
            <w:tcW w:w="4252" w:type="dxa"/>
            <w:gridSpan w:val="4"/>
            <w:tcBorders>
              <w:top w:val="single" w:color="000000" w:sz="12" w:space="0"/>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试压要求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93" w:hRule="atLeast"/>
          <w:jc w:val="center"/>
        </w:trPr>
        <w:tc>
          <w:tcPr>
            <w:tcW w:w="643" w:type="dxa"/>
            <w:vMerge w:val="continue"/>
            <w:tcBorders>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szCs w:val="21"/>
              </w:rPr>
            </w:pPr>
          </w:p>
        </w:tc>
        <w:tc>
          <w:tcPr>
            <w:tcW w:w="1581" w:type="dxa"/>
            <w:vMerge w:val="continue"/>
            <w:vAlign w:val="center"/>
          </w:tcPr>
          <w:p>
            <w:pPr>
              <w:pStyle w:val="256"/>
              <w:adjustRightInd w:val="0"/>
              <w:snapToGrid w:val="0"/>
              <w:spacing w:before="0" w:beforeAutospacing="0"/>
              <w:rPr>
                <w:rFonts w:ascii="Times New Roman" w:hAnsi="Times New Roman" w:cs="Times New Roman" w:eastAsiaTheme="minorEastAsia"/>
                <w:szCs w:val="21"/>
              </w:rPr>
            </w:pPr>
          </w:p>
        </w:tc>
        <w:tc>
          <w:tcPr>
            <w:tcW w:w="2040" w:type="dxa"/>
            <w:vMerge w:val="continue"/>
            <w:vAlign w:val="center"/>
          </w:tcPr>
          <w:p>
            <w:pPr>
              <w:pStyle w:val="256"/>
              <w:adjustRightInd w:val="0"/>
              <w:snapToGrid w:val="0"/>
              <w:spacing w:before="0" w:beforeAutospacing="0"/>
              <w:rPr>
                <w:rFonts w:ascii="Times New Roman" w:hAnsi="Times New Roman" w:cs="Times New Roman" w:eastAsiaTheme="minorEastAsia"/>
                <w:szCs w:val="21"/>
              </w:rPr>
            </w:pPr>
          </w:p>
        </w:tc>
        <w:tc>
          <w:tcPr>
            <w:tcW w:w="903" w:type="dxa"/>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试压</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介质</w:t>
            </w:r>
          </w:p>
        </w:tc>
        <w:tc>
          <w:tcPr>
            <w:tcW w:w="998" w:type="dxa"/>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试压值</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（MPa）</w:t>
            </w:r>
          </w:p>
        </w:tc>
        <w:tc>
          <w:tcPr>
            <w:tcW w:w="1116" w:type="dxa"/>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稳压时间</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（min）</w:t>
            </w:r>
          </w:p>
        </w:tc>
        <w:tc>
          <w:tcPr>
            <w:tcW w:w="1235" w:type="dxa"/>
            <w:tcBorders>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允许压降</w:t>
            </w:r>
          </w:p>
          <w:p>
            <w:pPr>
              <w:pStyle w:val="256"/>
              <w:adjustRightInd w:val="0"/>
              <w:snapToGrid w:val="0"/>
              <w:spacing w:before="0" w:beforeAutospacing="0"/>
              <w:rPr>
                <w:rFonts w:ascii="Times New Roman" w:hAnsi="Times New Roman" w:cs="Times New Roman" w:eastAsiaTheme="minorEastAsia"/>
                <w:szCs w:val="21"/>
              </w:rPr>
            </w:pPr>
            <w:r>
              <w:rPr>
                <w:rFonts w:ascii="Times New Roman" w:hAnsi="Times New Roman" w:cs="Times New Roman" w:eastAsiaTheme="minorEastAsia"/>
                <w:szCs w:val="21"/>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57" w:hRule="atLeast"/>
          <w:jc w:val="center"/>
        </w:trPr>
        <w:tc>
          <w:tcPr>
            <w:tcW w:w="643" w:type="dxa"/>
            <w:vMerge w:val="restart"/>
            <w:tcBorders>
              <w:lef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二开</w:t>
            </w:r>
          </w:p>
        </w:tc>
        <w:tc>
          <w:tcPr>
            <w:tcW w:w="1581"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双闸板</w:t>
            </w:r>
          </w:p>
        </w:tc>
        <w:tc>
          <w:tcPr>
            <w:tcW w:w="2040"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2FZ28-35</w:t>
            </w:r>
          </w:p>
        </w:tc>
        <w:tc>
          <w:tcPr>
            <w:tcW w:w="903"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清水</w:t>
            </w:r>
          </w:p>
        </w:tc>
        <w:tc>
          <w:tcPr>
            <w:tcW w:w="998"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14</w:t>
            </w:r>
          </w:p>
        </w:tc>
        <w:tc>
          <w:tcPr>
            <w:tcW w:w="1116" w:type="dxa"/>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≥15</w:t>
            </w:r>
          </w:p>
        </w:tc>
        <w:tc>
          <w:tcPr>
            <w:tcW w:w="1235" w:type="dxa"/>
            <w:tcBorders>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643" w:type="dxa"/>
            <w:vMerge w:val="continue"/>
            <w:tcBorders>
              <w:left w:val="single" w:color="000000" w:sz="12" w:space="0"/>
              <w:bottom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p>
        </w:tc>
        <w:tc>
          <w:tcPr>
            <w:tcW w:w="1581" w:type="dxa"/>
            <w:tcBorders>
              <w:bottom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节流压井管汇</w:t>
            </w:r>
          </w:p>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（内防喷管线）</w:t>
            </w:r>
          </w:p>
        </w:tc>
        <w:tc>
          <w:tcPr>
            <w:tcW w:w="2040" w:type="dxa"/>
            <w:tcBorders>
              <w:bottom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JG-Y-35/YG-35</w:t>
            </w:r>
          </w:p>
        </w:tc>
        <w:tc>
          <w:tcPr>
            <w:tcW w:w="903" w:type="dxa"/>
            <w:tcBorders>
              <w:bottom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清水</w:t>
            </w:r>
          </w:p>
        </w:tc>
        <w:tc>
          <w:tcPr>
            <w:tcW w:w="998" w:type="dxa"/>
            <w:tcBorders>
              <w:bottom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14</w:t>
            </w:r>
          </w:p>
        </w:tc>
        <w:tc>
          <w:tcPr>
            <w:tcW w:w="1116" w:type="dxa"/>
            <w:tcBorders>
              <w:bottom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≥15</w:t>
            </w:r>
          </w:p>
        </w:tc>
        <w:tc>
          <w:tcPr>
            <w:tcW w:w="1235" w:type="dxa"/>
            <w:tcBorders>
              <w:bottom w:val="single" w:color="000000" w:sz="12" w:space="0"/>
              <w:right w:val="single" w:color="000000" w:sz="12" w:space="0"/>
            </w:tcBorders>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≤0.7</w:t>
            </w:r>
          </w:p>
        </w:tc>
      </w:tr>
    </w:tbl>
    <w:p>
      <w:pPr>
        <w:ind w:firstLine="480"/>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备注：①各开要进行低压试压，试压值1.4MPa~2.1MPa，稳压时间不少于10min，压降不大于0.07 MPa，密封部位不允许有渗漏。放喷管线试压值不低于10MPa，稳压不少于15min，压降不大于0.7 MPa。②防喷器也可选用2FZ35-35。</w:t>
      </w:r>
    </w:p>
    <w:p>
      <w:pPr>
        <w:ind w:firstLine="560"/>
        <w:jc w:val="center"/>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drawing>
          <wp:inline distT="0" distB="0" distL="0" distR="0">
            <wp:extent cx="3657600" cy="3393440"/>
            <wp:effectExtent l="0" t="0" r="0" b="508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3657600" cy="3393440"/>
                    </a:xfrm>
                    <a:prstGeom prst="rect">
                      <a:avLst/>
                    </a:prstGeom>
                    <a:noFill/>
                    <a:ln>
                      <a:noFill/>
                    </a:ln>
                  </pic:spPr>
                </pic:pic>
              </a:graphicData>
            </a:graphic>
          </wp:inline>
        </w:drawing>
      </w:r>
      <w:r>
        <w:rPr>
          <w:rFonts w:eastAsiaTheme="minorEastAsia"/>
          <w:color w:val="000000" w:themeColor="text1"/>
          <w14:textFill>
            <w14:solidFill>
              <w14:schemeClr w14:val="tx1"/>
            </w14:solidFill>
          </w14:textFill>
        </w:rPr>
        <w:t xml:space="preserve"> </w:t>
      </w:r>
    </w:p>
    <w:p>
      <w:pPr>
        <w:ind w:firstLine="0" w:firstLineChars="0"/>
        <w:jc w:val="center"/>
        <w:rPr>
          <w:rFonts w:eastAsiaTheme="minorEastAsia"/>
          <w:b/>
          <w:color w:val="000000" w:themeColor="text1"/>
          <w:szCs w:val="21"/>
          <w14:textFill>
            <w14:solidFill>
              <w14:schemeClr w14:val="tx1"/>
            </w14:solidFill>
          </w14:textFill>
        </w:rPr>
      </w:pPr>
      <w:r>
        <w:rPr>
          <w:rFonts w:eastAsiaTheme="minorEastAsia"/>
          <w:b/>
          <w:color w:val="000000" w:themeColor="text1"/>
          <w:sz w:val="24"/>
          <w14:textFill>
            <w14:solidFill>
              <w14:schemeClr w14:val="tx1"/>
            </w14:solidFill>
          </w14:textFill>
        </w:rPr>
        <w:t>图2.5-2  井口装置示意图</w:t>
      </w:r>
      <w:r>
        <w:rPr>
          <w:rFonts w:eastAsiaTheme="minorEastAsia"/>
          <w:color w:val="000000" w:themeColor="text1"/>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2461895</wp:posOffset>
                </wp:positionH>
                <wp:positionV relativeFrom="paragraph">
                  <wp:posOffset>1406525</wp:posOffset>
                </wp:positionV>
                <wp:extent cx="490855" cy="285750"/>
                <wp:effectExtent l="0" t="0" r="0" b="0"/>
                <wp:wrapNone/>
                <wp:docPr id="448" name="文本框 448"/>
                <wp:cNvGraphicFramePr/>
                <a:graphic xmlns:a="http://schemas.openxmlformats.org/drawingml/2006/main">
                  <a:graphicData uri="http://schemas.microsoft.com/office/word/2010/wordprocessingShape">
                    <wps:wsp>
                      <wps:cNvSpPr txBox="1">
                        <a:spLocks noChangeArrowheads="1"/>
                      </wps:cNvSpPr>
                      <wps:spPr bwMode="auto">
                        <a:xfrm>
                          <a:off x="0" y="0"/>
                          <a:ext cx="490855" cy="285750"/>
                        </a:xfrm>
                        <a:prstGeom prst="rect">
                          <a:avLst/>
                        </a:prstGeom>
                        <a:noFill/>
                        <a:ln>
                          <a:noFill/>
                        </a:ln>
                      </wps:spPr>
                      <wps:txbx>
                        <w:txbxContent>
                          <w:p>
                            <w:pPr>
                              <w:ind w:firstLine="560"/>
                            </w:pPr>
                            <w:r>
                              <w:rPr>
                                <w:rFonts w:hint="eastAsia"/>
                              </w:rPr>
                              <w:t>全封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93.85pt;margin-top:110.75pt;height:22.5pt;width:38.65pt;z-index:251667456;mso-width-relative:page;mso-height-relative:page;" filled="f" stroked="f" coordsize="21600,21600" o:gfxdata="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Y+YrXZAAAACwEA&#10;AA8AAAAAAAAAAQAgAAAAIgAAAGRycy9kb3ducmV2LnhtbFBLAQIUABQAAAAIAIdO4kAiYUEtGQIA&#10;ABgEAAAOAAAAAAAAAAEAIAAAACgBAABkcnMvZTJvRG9jLnhtbFBLBQYAAAAABgAGAFkBAACzBQAA&#10;AAA=&#10;">
                <v:fill on="f" focussize="0,0"/>
                <v:stroke on="f"/>
                <v:imagedata o:title=""/>
                <o:lock v:ext="edit" aspectratio="f"/>
                <v:textbox>
                  <w:txbxContent>
                    <w:p>
                      <w:pPr>
                        <w:ind w:firstLine="560"/>
                      </w:pPr>
                      <w:r>
                        <w:rPr>
                          <w:rFonts w:hint="eastAsia"/>
                        </w:rPr>
                        <w:t>全封</w:t>
                      </w:r>
                    </w:p>
                  </w:txbxContent>
                </v:textbox>
              </v:shape>
            </w:pict>
          </mc:Fallback>
        </mc:AlternateContent>
      </w:r>
      <w:r>
        <w:rPr>
          <w:rFonts w:eastAsiaTheme="minorEastAsia"/>
          <w:color w:val="000000" w:themeColor="text1"/>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2490470</wp:posOffset>
                </wp:positionH>
                <wp:positionV relativeFrom="paragraph">
                  <wp:posOffset>1187450</wp:posOffset>
                </wp:positionV>
                <wp:extent cx="490855" cy="30924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490855" cy="309245"/>
                        </a:xfrm>
                        <a:prstGeom prst="rect">
                          <a:avLst/>
                        </a:prstGeom>
                        <a:noFill/>
                        <a:ln>
                          <a:noFill/>
                        </a:ln>
                      </wps:spPr>
                      <wps:txbx>
                        <w:txbxContent>
                          <w:p>
                            <w:pPr>
                              <w:ind w:firstLine="560"/>
                            </w:pPr>
                            <w:r>
                              <w:rPr>
                                <w:rFonts w:hint="eastAsia"/>
                              </w:rPr>
                              <w:t>半封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96.1pt;margin-top:93.5pt;height:24.35pt;width:38.65pt;z-index:251666432;mso-width-relative:page;mso-height-relative:page;" filled="f" stroked="f" coordsize="21600,21600" o:gfxdata="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SSbfZAAAACwEA&#10;AA8AAAAAAAAAAQAgAAAAIgAAAGRycy9kb3ducmV2LnhtbFBLAQIUABQAAAAIAIdO4kAY+EK1GQIA&#10;ABYEAAAOAAAAAAAAAAEAIAAAACgBAABkcnMvZTJvRG9jLnhtbFBLBQYAAAAABgAGAFkBAACzBQAA&#10;AAA=&#10;">
                <v:fill on="f" focussize="0,0"/>
                <v:stroke on="f"/>
                <v:imagedata o:title=""/>
                <o:lock v:ext="edit" aspectratio="f"/>
                <v:textbox>
                  <w:txbxContent>
                    <w:p>
                      <w:pPr>
                        <w:ind w:firstLine="560"/>
                      </w:pPr>
                      <w:r>
                        <w:rPr>
                          <w:rFonts w:hint="eastAsia"/>
                        </w:rPr>
                        <w:t>半封</w:t>
                      </w:r>
                    </w:p>
                  </w:txbxContent>
                </v:textbox>
              </v:shape>
            </w:pict>
          </mc:Fallback>
        </mc:AlternateContent>
      </w:r>
    </w:p>
    <w:p>
      <w:pPr>
        <w:spacing w:line="276" w:lineRule="auto"/>
        <w:ind w:firstLine="48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35MPa井控管汇</w:t>
      </w:r>
    </w:p>
    <w:p>
      <w:pPr>
        <w:spacing w:line="276" w:lineRule="auto"/>
        <w:ind w:firstLine="48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J1：液动节流阀；J4：手动节流阀；1~4、J2、J3、J5~J10，Y1、Y2：手动平板阀。</w:t>
      </w:r>
    </w:p>
    <w:p>
      <w:pPr>
        <w:spacing w:line="276" w:lineRule="auto"/>
        <w:ind w:firstLine="48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注1：节流管汇五通、压井管汇四通装有压力表；</w:t>
      </w:r>
    </w:p>
    <w:p>
      <w:pPr>
        <w:spacing w:line="276" w:lineRule="auto"/>
        <w:ind w:firstLine="48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注2：图中未标出压力表闸阀；</w:t>
      </w:r>
    </w:p>
    <w:p>
      <w:pPr>
        <w:spacing w:line="276" w:lineRule="auto"/>
        <w:ind w:firstLine="48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注3：35MPa节流管汇，J1可用手动节流阀，若J1为手动节流阀时J2a为关J3b 开；</w:t>
      </w:r>
    </w:p>
    <w:p>
      <w:pPr>
        <w:spacing w:line="276" w:lineRule="auto"/>
        <w:ind w:firstLine="48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注4：冬季为1、4开，2、3关。</w:t>
      </w:r>
    </w:p>
    <w:p>
      <w:pPr>
        <w:ind w:firstLine="0" w:firstLineChars="0"/>
        <w:jc w:val="center"/>
        <w:rPr>
          <w:rFonts w:eastAsiaTheme="minorEastAsia"/>
          <w:color w:val="000000" w:themeColor="text1"/>
          <w14:textFill>
            <w14:solidFill>
              <w14:schemeClr w14:val="tx1"/>
            </w14:solidFill>
          </w14:textFill>
        </w:rPr>
      </w:pPr>
      <w:r>
        <w:rPr>
          <w:sz w:val="24"/>
        </w:rPr>
        <w:drawing>
          <wp:inline distT="0" distB="0" distL="114300" distR="114300">
            <wp:extent cx="5315585" cy="2367915"/>
            <wp:effectExtent l="0" t="0" r="3175" b="9525"/>
            <wp:docPr id="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pic:cNvPicPr>
                      <a:picLocks noChangeAspect="1"/>
                    </pic:cNvPicPr>
                  </pic:nvPicPr>
                  <pic:blipFill>
                    <a:blip r:embed="rId25"/>
                    <a:stretch>
                      <a:fillRect/>
                    </a:stretch>
                  </pic:blipFill>
                  <pic:spPr>
                    <a:xfrm>
                      <a:off x="0" y="0"/>
                      <a:ext cx="5315585" cy="2367915"/>
                    </a:xfrm>
                    <a:prstGeom prst="rect">
                      <a:avLst/>
                    </a:prstGeom>
                    <a:noFill/>
                    <a:ln>
                      <a:noFill/>
                    </a:ln>
                  </pic:spPr>
                </pic:pic>
              </a:graphicData>
            </a:graphic>
          </wp:inline>
        </w:drawing>
      </w:r>
      <w:r>
        <w:rPr>
          <w:rFonts w:eastAsiaTheme="minorEastAsia"/>
          <w:b/>
          <w:color w:val="000000" w:themeColor="text1"/>
          <w:sz w:val="24"/>
          <w14:textFill>
            <w14:solidFill>
              <w14:schemeClr w14:val="tx1"/>
            </w14:solidFill>
          </w14:textFill>
        </w:rPr>
        <w:t>图2.5-</w:t>
      </w:r>
      <w:r>
        <w:rPr>
          <w:rFonts w:hint="eastAsia" w:eastAsiaTheme="minorEastAsia"/>
          <w:b/>
          <w:color w:val="000000" w:themeColor="text1"/>
          <w:sz w:val="24"/>
          <w14:textFill>
            <w14:solidFill>
              <w14:schemeClr w14:val="tx1"/>
            </w14:solidFill>
          </w14:textFill>
        </w:rPr>
        <w:t>3</w:t>
      </w:r>
      <w:r>
        <w:rPr>
          <w:rFonts w:eastAsiaTheme="minorEastAsia"/>
          <w:b/>
          <w:color w:val="000000" w:themeColor="text1"/>
          <w:sz w:val="24"/>
          <w14:textFill>
            <w14:solidFill>
              <w14:schemeClr w14:val="tx1"/>
            </w14:solidFill>
          </w14:textFill>
        </w:rPr>
        <w:t xml:space="preserve">  35MPa节流管汇及压井管汇示意图</w:t>
      </w:r>
    </w:p>
    <w:p>
      <w:pPr>
        <w:pStyle w:val="3"/>
        <w:rPr>
          <w:rFonts w:eastAsiaTheme="minorEastAsia"/>
        </w:rPr>
      </w:pPr>
      <w:bookmarkStart w:id="123" w:name="_Toc10587"/>
      <w:r>
        <w:rPr>
          <w:rFonts w:eastAsiaTheme="minorEastAsia"/>
        </w:rPr>
        <w:t xml:space="preserve">2.6 </w:t>
      </w:r>
      <w:bookmarkEnd w:id="48"/>
      <w:r>
        <w:rPr>
          <w:rFonts w:eastAsiaTheme="minorEastAsia"/>
        </w:rPr>
        <w:t xml:space="preserve"> 采油工程方案</w:t>
      </w:r>
      <w:bookmarkEnd w:id="121"/>
      <w:bookmarkEnd w:id="122"/>
      <w:bookmarkEnd w:id="123"/>
    </w:p>
    <w:p>
      <w:pPr>
        <w:pStyle w:val="5"/>
        <w:rPr>
          <w:rFonts w:eastAsiaTheme="minorEastAsia"/>
        </w:rPr>
      </w:pPr>
      <w:r>
        <w:rPr>
          <w:rFonts w:eastAsiaTheme="minorEastAsia"/>
        </w:rPr>
        <w:t>2.6.1  完井方式选择</w:t>
      </w:r>
    </w:p>
    <w:bookmarkEnd w:id="38"/>
    <w:p>
      <w:pPr>
        <w:ind w:firstLine="560"/>
        <w:rPr>
          <w:rFonts w:eastAsiaTheme="minorEastAsia"/>
        </w:rPr>
      </w:pPr>
      <w:bookmarkStart w:id="124" w:name="OLE_LINK8"/>
      <w:bookmarkEnd w:id="124"/>
      <w:r>
        <w:rPr>
          <w:rFonts w:eastAsiaTheme="minorEastAsia"/>
        </w:rPr>
        <w:t>1）完井方式选择</w:t>
      </w:r>
    </w:p>
    <w:p>
      <w:pPr>
        <w:ind w:firstLine="560"/>
        <w:rPr>
          <w:rFonts w:eastAsiaTheme="minorEastAsia"/>
        </w:rPr>
      </w:pPr>
      <w:r>
        <w:rPr>
          <w:rFonts w:eastAsiaTheme="minorEastAsia"/>
        </w:rPr>
        <w:t>新钻井设计采用套管射孔完井方式。</w:t>
      </w:r>
    </w:p>
    <w:p>
      <w:pPr>
        <w:ind w:firstLine="560"/>
        <w:rPr>
          <w:rFonts w:eastAsiaTheme="minorEastAsia"/>
        </w:rPr>
      </w:pPr>
      <w:bookmarkStart w:id="125" w:name="_Toc445738701"/>
      <w:bookmarkStart w:id="126" w:name="_Toc448238384"/>
      <w:bookmarkStart w:id="127" w:name="_Toc448237167"/>
      <w:bookmarkStart w:id="128" w:name="_Toc448237592"/>
      <w:bookmarkStart w:id="129" w:name="_Toc448238262"/>
      <w:bookmarkStart w:id="130" w:name="_Toc448237355"/>
      <w:r>
        <w:rPr>
          <w:rFonts w:eastAsiaTheme="minorEastAsia"/>
        </w:rPr>
        <w:t>2）射孔工艺</w:t>
      </w:r>
      <w:bookmarkEnd w:id="125"/>
      <w:bookmarkEnd w:id="126"/>
      <w:bookmarkEnd w:id="127"/>
      <w:bookmarkEnd w:id="128"/>
      <w:bookmarkEnd w:id="129"/>
      <w:bookmarkEnd w:id="130"/>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（1）射孔相位角选择</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选择相位角为90°。</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（2）射孔弹选择</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方案新钻井设计采用127型增效弹射孔。</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（3）射孔孔密选择</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采用16孔/m可满足要求。</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（4）射孔枪选择</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新钻井采用127型射孔枪。</w:t>
      </w:r>
    </w:p>
    <w:p>
      <w:pPr>
        <w:ind w:firstLine="560"/>
        <w:rPr>
          <w:rFonts w:eastAsiaTheme="minorEastAsia"/>
          <w:color w:val="000000" w:themeColor="text1"/>
          <w:szCs w:val="28"/>
          <w14:textFill>
            <w14:solidFill>
              <w14:schemeClr w14:val="tx1"/>
            </w14:solidFill>
          </w14:textFill>
        </w:rPr>
      </w:pPr>
      <w:r>
        <w:rPr>
          <w:rFonts w:hint="eastAsia" w:eastAsiaTheme="minorEastAsia"/>
          <w:color w:val="000000" w:themeColor="text1"/>
          <w:szCs w:val="28"/>
          <w14:textFill>
            <w14:solidFill>
              <w14:schemeClr w14:val="tx1"/>
            </w14:solidFill>
          </w14:textFill>
        </w:rPr>
        <w:t>（</w:t>
      </w:r>
      <w:r>
        <w:rPr>
          <w:rFonts w:eastAsiaTheme="minorEastAsia"/>
          <w:color w:val="000000" w:themeColor="text1"/>
          <w:szCs w:val="28"/>
          <w14:textFill>
            <w14:solidFill>
              <w14:schemeClr w14:val="tx1"/>
            </w14:solidFill>
          </w14:textFill>
        </w:rPr>
        <w:t>5</w:t>
      </w:r>
      <w:r>
        <w:rPr>
          <w:rFonts w:hint="eastAsia" w:eastAsiaTheme="minorEastAsia"/>
          <w:color w:val="000000" w:themeColor="text1"/>
          <w:szCs w:val="28"/>
          <w14:textFill>
            <w14:solidFill>
              <w14:schemeClr w14:val="tx1"/>
            </w14:solidFill>
          </w14:textFill>
        </w:rPr>
        <w:t>）</w:t>
      </w:r>
      <w:r>
        <w:rPr>
          <w:rFonts w:eastAsiaTheme="minorEastAsia"/>
          <w:color w:val="000000" w:themeColor="text1"/>
          <w:szCs w:val="28"/>
          <w14:textFill>
            <w14:solidFill>
              <w14:schemeClr w14:val="tx1"/>
            </w14:solidFill>
          </w14:textFill>
        </w:rPr>
        <w:t>射孔工艺优选结果</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射孔采用油管传输射孔，射孔参数设计如下：</w:t>
      </w:r>
    </w:p>
    <w:p>
      <w:pPr>
        <w:tabs>
          <w:tab w:val="left" w:pos="377"/>
        </w:tabs>
        <w:ind w:firstLine="482"/>
        <w:jc w:val="center"/>
        <w:rPr>
          <w:b/>
          <w:bCs/>
          <w:sz w:val="24"/>
        </w:rPr>
      </w:pPr>
    </w:p>
    <w:p>
      <w:pPr>
        <w:tabs>
          <w:tab w:val="left" w:pos="377"/>
        </w:tabs>
        <w:ind w:firstLine="482"/>
        <w:jc w:val="center"/>
        <w:rPr>
          <w:b/>
          <w:bCs/>
          <w:sz w:val="24"/>
        </w:rPr>
      </w:pPr>
      <w:r>
        <w:rPr>
          <w:b/>
          <w:bCs/>
          <w:sz w:val="24"/>
        </w:rPr>
        <w:t>表2.6-2  射孔参数表</w:t>
      </w:r>
    </w:p>
    <w:tbl>
      <w:tblPr>
        <w:tblStyle w:val="45"/>
        <w:tblW w:w="4999"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3765"/>
        <w:gridCol w:w="454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54" w:hRule="atLeast"/>
          <w:jc w:val="center"/>
        </w:trPr>
        <w:tc>
          <w:tcPr>
            <w:tcW w:w="2266" w:type="pct"/>
            <w:tcBorders>
              <w:tl2br w:val="nil"/>
              <w:tr2bl w:val="nil"/>
            </w:tcBorders>
            <w:shd w:val="clear" w:color="auto" w:fill="auto"/>
            <w:tcMar>
              <w:top w:w="15" w:type="dxa"/>
              <w:left w:w="15" w:type="dxa"/>
              <w:bottom w:w="0" w:type="dxa"/>
              <w:right w:w="15"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项  目</w:t>
            </w:r>
          </w:p>
        </w:tc>
        <w:tc>
          <w:tcPr>
            <w:tcW w:w="2733" w:type="pct"/>
            <w:tcBorders>
              <w:tl2br w:val="nil"/>
              <w:tr2bl w:val="nil"/>
            </w:tcBorders>
            <w:shd w:val="clear" w:color="auto" w:fill="auto"/>
            <w:tcMar>
              <w:top w:w="15" w:type="dxa"/>
              <w:left w:w="15" w:type="dxa"/>
              <w:bottom w:w="0" w:type="dxa"/>
              <w:right w:w="15"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定向井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54" w:hRule="atLeast"/>
          <w:jc w:val="center"/>
        </w:trPr>
        <w:tc>
          <w:tcPr>
            <w:tcW w:w="2266" w:type="pct"/>
            <w:tcBorders>
              <w:tl2br w:val="nil"/>
              <w:tr2bl w:val="nil"/>
            </w:tcBorders>
            <w:shd w:val="clear" w:color="auto" w:fill="auto"/>
            <w:tcMar>
              <w:top w:w="15" w:type="dxa"/>
              <w:left w:w="15" w:type="dxa"/>
              <w:bottom w:w="0" w:type="dxa"/>
              <w:right w:w="15"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射孔方式</w:t>
            </w:r>
          </w:p>
        </w:tc>
        <w:tc>
          <w:tcPr>
            <w:tcW w:w="2733" w:type="pct"/>
            <w:tcBorders>
              <w:tl2br w:val="nil"/>
              <w:tr2bl w:val="nil"/>
            </w:tcBorders>
            <w:shd w:val="clear" w:color="auto" w:fill="auto"/>
            <w:tcMar>
              <w:top w:w="15" w:type="dxa"/>
              <w:left w:w="15" w:type="dxa"/>
              <w:bottom w:w="0" w:type="dxa"/>
              <w:right w:w="15"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油管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54" w:hRule="atLeast"/>
          <w:jc w:val="center"/>
        </w:trPr>
        <w:tc>
          <w:tcPr>
            <w:tcW w:w="2266" w:type="pct"/>
            <w:tcBorders>
              <w:tl2br w:val="nil"/>
              <w:tr2bl w:val="nil"/>
            </w:tcBorders>
            <w:shd w:val="clear" w:color="auto" w:fill="auto"/>
            <w:tcMar>
              <w:top w:w="15" w:type="dxa"/>
              <w:left w:w="15" w:type="dxa"/>
              <w:bottom w:w="0" w:type="dxa"/>
              <w:right w:w="15"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射孔枪</w:t>
            </w:r>
          </w:p>
        </w:tc>
        <w:tc>
          <w:tcPr>
            <w:tcW w:w="2733" w:type="pct"/>
            <w:tcBorders>
              <w:tl2br w:val="nil"/>
              <w:tr2bl w:val="nil"/>
            </w:tcBorders>
            <w:shd w:val="clear" w:color="auto" w:fill="auto"/>
            <w:tcMar>
              <w:top w:w="15" w:type="dxa"/>
              <w:left w:w="15" w:type="dxa"/>
              <w:bottom w:w="0" w:type="dxa"/>
              <w:right w:w="15"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127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54" w:hRule="atLeast"/>
          <w:jc w:val="center"/>
        </w:trPr>
        <w:tc>
          <w:tcPr>
            <w:tcW w:w="2266" w:type="pct"/>
            <w:tcBorders>
              <w:tl2br w:val="nil"/>
              <w:tr2bl w:val="nil"/>
            </w:tcBorders>
            <w:shd w:val="clear" w:color="auto" w:fill="auto"/>
            <w:tcMar>
              <w:top w:w="15" w:type="dxa"/>
              <w:left w:w="15" w:type="dxa"/>
              <w:bottom w:w="0" w:type="dxa"/>
              <w:right w:w="15"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射孔弹</w:t>
            </w:r>
          </w:p>
        </w:tc>
        <w:tc>
          <w:tcPr>
            <w:tcW w:w="2733" w:type="pct"/>
            <w:tcBorders>
              <w:tl2br w:val="nil"/>
              <w:tr2bl w:val="nil"/>
            </w:tcBorders>
            <w:shd w:val="clear" w:color="auto" w:fill="auto"/>
            <w:tcMar>
              <w:top w:w="15" w:type="dxa"/>
              <w:left w:w="15" w:type="dxa"/>
              <w:bottom w:w="0" w:type="dxa"/>
              <w:right w:w="15"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127增效弹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2266" w:type="pct"/>
            <w:tcBorders>
              <w:tl2br w:val="nil"/>
              <w:tr2bl w:val="nil"/>
            </w:tcBorders>
            <w:shd w:val="clear" w:color="auto" w:fill="auto"/>
            <w:tcMar>
              <w:top w:w="72" w:type="dxa"/>
              <w:left w:w="144" w:type="dxa"/>
              <w:bottom w:w="72" w:type="dxa"/>
              <w:right w:w="144"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孔径</w:t>
            </w:r>
          </w:p>
        </w:tc>
        <w:tc>
          <w:tcPr>
            <w:tcW w:w="2733" w:type="pct"/>
            <w:tcBorders>
              <w:tl2br w:val="nil"/>
              <w:tr2bl w:val="nil"/>
            </w:tcBorders>
            <w:shd w:val="clear" w:color="auto" w:fill="auto"/>
            <w:tcMar>
              <w:top w:w="72" w:type="dxa"/>
              <w:left w:w="144" w:type="dxa"/>
              <w:bottom w:w="72" w:type="dxa"/>
              <w:right w:w="144"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13mm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54" w:hRule="atLeast"/>
          <w:jc w:val="center"/>
        </w:trPr>
        <w:tc>
          <w:tcPr>
            <w:tcW w:w="2266" w:type="pct"/>
            <w:tcBorders>
              <w:tl2br w:val="nil"/>
              <w:tr2bl w:val="nil"/>
            </w:tcBorders>
            <w:shd w:val="clear" w:color="auto" w:fill="auto"/>
            <w:tcMar>
              <w:top w:w="15" w:type="dxa"/>
              <w:left w:w="15" w:type="dxa"/>
              <w:bottom w:w="0" w:type="dxa"/>
              <w:right w:w="15"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孔密</w:t>
            </w:r>
          </w:p>
        </w:tc>
        <w:tc>
          <w:tcPr>
            <w:tcW w:w="2733" w:type="pct"/>
            <w:tcBorders>
              <w:tl2br w:val="nil"/>
              <w:tr2bl w:val="nil"/>
            </w:tcBorders>
            <w:shd w:val="clear" w:color="auto" w:fill="auto"/>
            <w:tcMar>
              <w:top w:w="15" w:type="dxa"/>
              <w:left w:w="15" w:type="dxa"/>
              <w:bottom w:w="0" w:type="dxa"/>
              <w:right w:w="15"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16孔/m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54" w:hRule="atLeast"/>
          <w:jc w:val="center"/>
        </w:trPr>
        <w:tc>
          <w:tcPr>
            <w:tcW w:w="2266" w:type="pct"/>
            <w:tcBorders>
              <w:tl2br w:val="nil"/>
              <w:tr2bl w:val="nil"/>
            </w:tcBorders>
            <w:shd w:val="clear" w:color="auto" w:fill="auto"/>
            <w:tcMar>
              <w:top w:w="15" w:type="dxa"/>
              <w:left w:w="15" w:type="dxa"/>
              <w:bottom w:w="0" w:type="dxa"/>
              <w:right w:w="15"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相位角</w:t>
            </w:r>
          </w:p>
        </w:tc>
        <w:tc>
          <w:tcPr>
            <w:tcW w:w="2733" w:type="pct"/>
            <w:tcBorders>
              <w:tl2br w:val="nil"/>
              <w:tr2bl w:val="nil"/>
            </w:tcBorders>
            <w:shd w:val="clear" w:color="auto" w:fill="auto"/>
            <w:tcMar>
              <w:top w:w="15" w:type="dxa"/>
              <w:left w:w="15" w:type="dxa"/>
              <w:bottom w:w="0" w:type="dxa"/>
              <w:right w:w="15" w:type="dxa"/>
            </w:tcMar>
            <w:vAlign w:val="center"/>
          </w:tcPr>
          <w:p>
            <w:pPr>
              <w:pStyle w:val="256"/>
              <w:adjustRightInd w:val="0"/>
              <w:snapToGrid w:val="0"/>
              <w:spacing w:before="0" w:beforeAutospacing="0"/>
              <w:rPr>
                <w:rFonts w:ascii="Times New Roman" w:hAnsi="Times New Roman" w:cs="Times New Roman" w:eastAsiaTheme="minorEastAsia"/>
                <w:b w:val="0"/>
                <w:bCs/>
                <w:szCs w:val="21"/>
              </w:rPr>
            </w:pPr>
            <w:r>
              <w:rPr>
                <w:rFonts w:ascii="Times New Roman" w:hAnsi="Times New Roman" w:cs="Times New Roman" w:eastAsiaTheme="minorEastAsia"/>
                <w:b w:val="0"/>
                <w:bCs/>
                <w:szCs w:val="21"/>
              </w:rPr>
              <w:t>90°</w:t>
            </w:r>
          </w:p>
        </w:tc>
      </w:tr>
    </w:tbl>
    <w:p>
      <w:pPr>
        <w:pStyle w:val="5"/>
        <w:spacing w:before="360" w:beforeLines="150"/>
        <w:rPr>
          <w:rFonts w:eastAsiaTheme="minorEastAsia"/>
          <w:color w:val="000000"/>
        </w:rPr>
      </w:pPr>
      <w:bookmarkStart w:id="131" w:name="_Toc410288701"/>
      <w:bookmarkEnd w:id="131"/>
      <w:bookmarkStart w:id="132" w:name="_Toc469042402"/>
      <w:bookmarkStart w:id="133" w:name="_Toc448238955"/>
      <w:bookmarkStart w:id="134" w:name="_Toc448820795"/>
      <w:bookmarkStart w:id="135" w:name="_Toc87280438"/>
      <w:bookmarkStart w:id="136" w:name="_Toc514836829"/>
      <w:bookmarkStart w:id="137" w:name="_Toc468284536"/>
      <w:bookmarkStart w:id="138" w:name="_Toc82161470"/>
      <w:r>
        <w:rPr>
          <w:rFonts w:eastAsiaTheme="minorEastAsia"/>
          <w:color w:val="000000"/>
        </w:rPr>
        <w:t>2.6.2  举升工程方案</w:t>
      </w:r>
      <w:bookmarkEnd w:id="132"/>
      <w:bookmarkEnd w:id="133"/>
      <w:bookmarkEnd w:id="134"/>
      <w:bookmarkEnd w:id="135"/>
      <w:bookmarkEnd w:id="136"/>
      <w:bookmarkEnd w:id="137"/>
      <w:bookmarkEnd w:id="138"/>
    </w:p>
    <w:p>
      <w:pPr>
        <w:ind w:firstLine="560"/>
        <w:rPr>
          <w:rFonts w:eastAsiaTheme="minorEastAsia"/>
        </w:rPr>
      </w:pPr>
      <w:r>
        <w:rPr>
          <w:rFonts w:eastAsiaTheme="minorEastAsia"/>
        </w:rPr>
        <w:t>1）举升工艺</w:t>
      </w:r>
    </w:p>
    <w:p>
      <w:pPr>
        <w:ind w:firstLine="560"/>
        <w:rPr>
          <w:rFonts w:eastAsiaTheme="minorEastAsia"/>
        </w:rPr>
      </w:pPr>
      <w:r>
        <w:rPr>
          <w:rFonts w:eastAsiaTheme="minorEastAsia"/>
        </w:rPr>
        <w:t>新井推荐采用潜油螺杆泵举升工艺。</w:t>
      </w:r>
    </w:p>
    <w:p>
      <w:pPr>
        <w:ind w:firstLine="560"/>
        <w:rPr>
          <w:rFonts w:eastAsiaTheme="minorEastAsia"/>
        </w:rPr>
      </w:pPr>
      <w:r>
        <w:rPr>
          <w:rFonts w:eastAsiaTheme="minorEastAsia"/>
        </w:rPr>
        <w:t>2）螺杆泵设计</w:t>
      </w:r>
    </w:p>
    <w:p>
      <w:pPr>
        <w:pStyle w:val="44"/>
        <w:ind w:firstLine="560"/>
        <w:rPr>
          <w:rFonts w:ascii="Times New Roman" w:hAnsi="Times New Roman" w:eastAsiaTheme="minorEastAsia"/>
        </w:rPr>
      </w:pPr>
      <w:r>
        <w:rPr>
          <w:rFonts w:ascii="Times New Roman" w:hAnsi="Times New Roman" w:eastAsiaTheme="minorEastAsia"/>
        </w:rPr>
        <w:t>营1斜118块的6口新井采用潜油螺杆泵生产。</w:t>
      </w:r>
    </w:p>
    <w:p>
      <w:pPr>
        <w:pStyle w:val="44"/>
        <w:ind w:left="560" w:leftChars="200" w:firstLine="0" w:firstLineChars="0"/>
        <w:rPr>
          <w:rFonts w:ascii="Times New Roman" w:hAnsi="Times New Roman" w:eastAsiaTheme="minorEastAsia"/>
        </w:rPr>
      </w:pPr>
      <w:r>
        <w:rPr>
          <w:rFonts w:ascii="Times New Roman" w:hAnsi="Times New Roman" w:eastAsiaTheme="minorEastAsia"/>
        </w:rPr>
        <w:t>油管采用2-7/8in内衬油管</w:t>
      </w:r>
      <w:r>
        <w:rPr>
          <w:rFonts w:hint="eastAsia" w:ascii="Times New Roman" w:hAnsi="Times New Roman" w:eastAsiaTheme="minorEastAsia"/>
        </w:rPr>
        <w:t>。</w:t>
      </w:r>
    </w:p>
    <w:p>
      <w:pPr>
        <w:pStyle w:val="44"/>
        <w:ind w:left="560" w:leftChars="200" w:firstLine="0" w:firstLineChars="0"/>
        <w:rPr>
          <w:rFonts w:ascii="Times New Roman" w:hAnsi="Times New Roman" w:eastAsiaTheme="minorEastAsia"/>
        </w:rPr>
      </w:pPr>
      <w:r>
        <w:rPr>
          <w:rFonts w:ascii="Times New Roman" w:hAnsi="Times New Roman" w:eastAsiaTheme="minorEastAsia"/>
        </w:rPr>
        <w:t>3）配套工艺</w:t>
      </w:r>
    </w:p>
    <w:p>
      <w:pPr>
        <w:pStyle w:val="44"/>
        <w:ind w:left="560" w:leftChars="200" w:firstLine="0" w:firstLineChars="0"/>
        <w:rPr>
          <w:rFonts w:ascii="Times New Roman" w:hAnsi="Times New Roman" w:eastAsiaTheme="minorEastAsia"/>
        </w:rPr>
      </w:pPr>
      <w:r>
        <w:rPr>
          <w:rFonts w:ascii="Times New Roman" w:hAnsi="Times New Roman" w:eastAsiaTheme="minorEastAsia"/>
        </w:rPr>
        <w:t>（1）防砂工艺方案</w:t>
      </w:r>
    </w:p>
    <w:p>
      <w:pPr>
        <w:pStyle w:val="44"/>
        <w:ind w:firstLine="560"/>
        <w:rPr>
          <w:rFonts w:ascii="Times New Roman" w:hAnsi="Times New Roman" w:eastAsiaTheme="minorEastAsia"/>
        </w:rPr>
      </w:pPr>
      <w:r>
        <w:rPr>
          <w:rFonts w:ascii="Times New Roman" w:hAnsi="Times New Roman" w:eastAsiaTheme="minorEastAsia"/>
        </w:rPr>
        <w:t>该块采用地层挤压充填+全井循环充填的两步法防砂工艺，通过挤压消除近井地层污染堵塞，充填在地层、炮眼、环空建立三道密实的挡砂屏障。</w:t>
      </w:r>
    </w:p>
    <w:p>
      <w:pPr>
        <w:pStyle w:val="44"/>
        <w:ind w:firstLine="560"/>
        <w:rPr>
          <w:rFonts w:ascii="Times New Roman" w:hAnsi="Times New Roman" w:eastAsiaTheme="minorEastAsia"/>
        </w:rPr>
      </w:pPr>
      <w:r>
        <w:rPr>
          <w:rFonts w:ascii="Times New Roman" w:hAnsi="Times New Roman" w:eastAsiaTheme="minorEastAsia"/>
        </w:rPr>
        <w:t>①地层预处理工艺</w:t>
      </w:r>
    </w:p>
    <w:p>
      <w:pPr>
        <w:pStyle w:val="44"/>
        <w:ind w:firstLine="560"/>
        <w:rPr>
          <w:rFonts w:ascii="Times New Roman" w:hAnsi="Times New Roman" w:eastAsiaTheme="minorEastAsia"/>
        </w:rPr>
      </w:pPr>
      <w:r>
        <w:rPr>
          <w:rFonts w:ascii="Times New Roman" w:hAnsi="Times New Roman" w:eastAsiaTheme="minorEastAsia"/>
        </w:rPr>
        <w:t>a酸化解堵：营1斜118块馆陶组泥质含量11.5~18.3%，对于泥质含量高于10%的出砂层位，采用复合酸溶解粘土矿物颗粒以及部分细粉砂消除地层堵塞因素，疏通液流通道。</w:t>
      </w:r>
    </w:p>
    <w:p>
      <w:pPr>
        <w:pStyle w:val="44"/>
        <w:ind w:firstLine="560"/>
        <w:rPr>
          <w:rFonts w:ascii="Times New Roman" w:hAnsi="Times New Roman" w:eastAsiaTheme="minorEastAsia"/>
        </w:rPr>
      </w:pPr>
      <w:r>
        <w:rPr>
          <w:rFonts w:ascii="Times New Roman" w:hAnsi="Times New Roman" w:eastAsiaTheme="minorEastAsia"/>
        </w:rPr>
        <w:t>b地层排砂：清除地层中流动性强的原生游离砂、粘土颗粒及细粉砂，清洁地层，降低后期生产过程中可运移、流动的砂粒量。</w:t>
      </w:r>
    </w:p>
    <w:p>
      <w:pPr>
        <w:pStyle w:val="44"/>
        <w:ind w:firstLine="560"/>
        <w:rPr>
          <w:rFonts w:ascii="Times New Roman" w:hAnsi="Times New Roman" w:eastAsiaTheme="minorEastAsia"/>
        </w:rPr>
      </w:pPr>
      <w:r>
        <w:rPr>
          <w:rFonts w:ascii="Times New Roman" w:hAnsi="Times New Roman" w:eastAsiaTheme="minorEastAsia"/>
        </w:rPr>
        <w:t>c清洗降粘：分散、溶解地层及炮眼中的有机垢，清洁地层环境改善原油流动性。</w:t>
      </w:r>
    </w:p>
    <w:p>
      <w:pPr>
        <w:pStyle w:val="44"/>
        <w:ind w:firstLine="560"/>
        <w:rPr>
          <w:rFonts w:ascii="Times New Roman" w:hAnsi="Times New Roman" w:eastAsiaTheme="minorEastAsia"/>
        </w:rPr>
      </w:pPr>
      <w:r>
        <w:rPr>
          <w:rFonts w:ascii="Times New Roman" w:hAnsi="Times New Roman" w:eastAsiaTheme="minorEastAsia"/>
        </w:rPr>
        <w:t>d防膨稳砂：利用高分子聚合物，提高对砂粒、粘土颗粒的原位稳定能力，使其在后期生产条件下不易运移，达到稳砂效果。</w:t>
      </w:r>
    </w:p>
    <w:p>
      <w:pPr>
        <w:pStyle w:val="44"/>
        <w:ind w:firstLine="560"/>
        <w:rPr>
          <w:rFonts w:ascii="Times New Roman" w:hAnsi="Times New Roman" w:eastAsiaTheme="minorEastAsia"/>
        </w:rPr>
      </w:pPr>
      <w:r>
        <w:rPr>
          <w:rFonts w:ascii="Times New Roman" w:hAnsi="Times New Roman" w:eastAsiaTheme="minorEastAsia"/>
        </w:rPr>
        <w:t>②工艺参数优化</w:t>
      </w:r>
    </w:p>
    <w:p>
      <w:pPr>
        <w:pStyle w:val="44"/>
        <w:ind w:firstLine="560"/>
        <w:rPr>
          <w:rFonts w:ascii="Times New Roman" w:hAnsi="Times New Roman" w:eastAsiaTheme="minorEastAsia"/>
        </w:rPr>
      </w:pPr>
      <w:r>
        <w:rPr>
          <w:rFonts w:ascii="Times New Roman" w:hAnsi="Times New Roman" w:eastAsiaTheme="minorEastAsia"/>
        </w:rPr>
        <w:t>优化施工参数，提高充填密实度。对挤压充填参数进行优化提升，提高排量，大排量（1.2m</w:t>
      </w:r>
      <w:r>
        <w:rPr>
          <w:rFonts w:ascii="Times New Roman" w:hAnsi="Times New Roman" w:eastAsiaTheme="minorEastAsia"/>
          <w:vertAlign w:val="superscript"/>
        </w:rPr>
        <w:t>3</w:t>
      </w:r>
      <w:r>
        <w:rPr>
          <w:rFonts w:ascii="Times New Roman" w:hAnsi="Times New Roman" w:eastAsiaTheme="minorEastAsia"/>
        </w:rPr>
        <w:t>/min提到3.0m</w:t>
      </w:r>
      <w:r>
        <w:rPr>
          <w:rFonts w:ascii="Times New Roman" w:hAnsi="Times New Roman" w:eastAsiaTheme="minorEastAsia"/>
          <w:vertAlign w:val="superscript"/>
        </w:rPr>
        <w:t>3</w:t>
      </w:r>
      <w:r>
        <w:rPr>
          <w:rFonts w:ascii="Times New Roman" w:hAnsi="Times New Roman" w:eastAsiaTheme="minorEastAsia"/>
        </w:rPr>
        <w:t>/min）、高砂比（平均砂比由20%提到35%、最高砂比由50%提到60%）、高强度（1.5m</w:t>
      </w:r>
      <w:r>
        <w:rPr>
          <w:rFonts w:ascii="Times New Roman" w:hAnsi="Times New Roman" w:eastAsiaTheme="minorEastAsia"/>
          <w:vertAlign w:val="superscript"/>
        </w:rPr>
        <w:t>3</w:t>
      </w:r>
      <w:r>
        <w:rPr>
          <w:rFonts w:ascii="Times New Roman" w:hAnsi="Times New Roman" w:eastAsiaTheme="minorEastAsia"/>
        </w:rPr>
        <w:t>/m提到3.5m</w:t>
      </w:r>
      <w:r>
        <w:rPr>
          <w:rFonts w:ascii="Times New Roman" w:hAnsi="Times New Roman" w:eastAsiaTheme="minorEastAsia"/>
          <w:vertAlign w:val="superscript"/>
        </w:rPr>
        <w:t>3</w:t>
      </w:r>
      <w:r>
        <w:rPr>
          <w:rFonts w:ascii="Times New Roman" w:hAnsi="Times New Roman" w:eastAsiaTheme="minorEastAsia"/>
        </w:rPr>
        <w:t>/m）施工，提高了地层改造和预充填密实程度。同时，设计采用10%降粘剂做为携砂液，减少携砂液对地层伤害的同时，起到降粘的作用。</w:t>
      </w:r>
    </w:p>
    <w:p>
      <w:pPr>
        <w:pStyle w:val="44"/>
        <w:ind w:firstLine="560"/>
        <w:rPr>
          <w:rFonts w:ascii="Times New Roman" w:hAnsi="Times New Roman" w:eastAsiaTheme="minorEastAsia"/>
        </w:rPr>
      </w:pPr>
      <w:r>
        <w:rPr>
          <w:rFonts w:ascii="Times New Roman" w:hAnsi="Times New Roman" w:eastAsiaTheme="minorEastAsia"/>
        </w:rPr>
        <w:t>③防砂管柱</w:t>
      </w:r>
    </w:p>
    <w:p>
      <w:pPr>
        <w:ind w:firstLine="560"/>
        <w:textAlignment w:val="baseline"/>
        <w:rPr>
          <w:szCs w:val="28"/>
        </w:rPr>
      </w:pPr>
      <w:r>
        <w:rPr>
          <w:bCs/>
          <w:szCs w:val="28"/>
        </w:rPr>
        <w:t>砂样筛析:地层砂平均粒度中值为330um</w:t>
      </w:r>
    </w:p>
    <w:p>
      <w:pPr>
        <w:ind w:firstLine="560"/>
        <w:textAlignment w:val="baseline"/>
        <w:rPr>
          <w:szCs w:val="28"/>
        </w:rPr>
      </w:pPr>
      <w:r>
        <w:rPr>
          <w:bCs/>
          <w:szCs w:val="28"/>
        </w:rPr>
        <w:t>充填方式：高速水循环充填方式</w:t>
      </w:r>
    </w:p>
    <w:p>
      <w:pPr>
        <w:ind w:firstLine="560"/>
        <w:textAlignment w:val="baseline"/>
        <w:rPr>
          <w:szCs w:val="28"/>
        </w:rPr>
      </w:pPr>
      <w:r>
        <w:rPr>
          <w:bCs/>
          <w:szCs w:val="28"/>
        </w:rPr>
        <w:t>筛　　管：108mm</w:t>
      </w:r>
    </w:p>
    <w:p>
      <w:pPr>
        <w:ind w:firstLine="560"/>
        <w:textAlignment w:val="baseline"/>
        <w:rPr>
          <w:szCs w:val="28"/>
        </w:rPr>
      </w:pPr>
      <w:r>
        <w:rPr>
          <w:bCs/>
          <w:szCs w:val="28"/>
        </w:rPr>
        <w:t>筛    缝：0.25mm</w:t>
      </w:r>
    </w:p>
    <w:p>
      <w:pPr>
        <w:ind w:firstLine="560"/>
        <w:textAlignment w:val="baseline"/>
        <w:rPr>
          <w:szCs w:val="28"/>
        </w:rPr>
      </w:pPr>
      <w:r>
        <w:rPr>
          <w:bCs/>
          <w:szCs w:val="28"/>
        </w:rPr>
        <w:t>砾石尺寸：0.6~1.2mm</w:t>
      </w:r>
    </w:p>
    <w:p>
      <w:pPr>
        <w:ind w:firstLine="560"/>
        <w:textAlignment w:val="baseline"/>
        <w:rPr>
          <w:szCs w:val="28"/>
        </w:rPr>
      </w:pPr>
      <w:r>
        <w:rPr>
          <w:bCs/>
          <w:szCs w:val="28"/>
        </w:rPr>
        <w:t>携 砂 液：10%降粘剂</w:t>
      </w:r>
    </w:p>
    <w:p>
      <w:pPr>
        <w:ind w:firstLine="560"/>
        <w:textAlignment w:val="baseline"/>
        <w:rPr>
          <w:szCs w:val="28"/>
        </w:rPr>
      </w:pPr>
      <w:r>
        <w:rPr>
          <w:bCs/>
          <w:szCs w:val="28"/>
        </w:rPr>
        <w:t>施工排量：3m³/min</w:t>
      </w:r>
    </w:p>
    <w:p>
      <w:pPr>
        <w:ind w:firstLine="560"/>
        <w:textAlignment w:val="baseline"/>
        <w:rPr>
          <w:szCs w:val="28"/>
        </w:rPr>
      </w:pPr>
      <w:r>
        <w:rPr>
          <w:bCs/>
          <w:szCs w:val="28"/>
        </w:rPr>
        <w:t>加砂强度：3.5m³/m</w:t>
      </w:r>
    </w:p>
    <w:p>
      <w:pPr>
        <w:pStyle w:val="44"/>
        <w:ind w:firstLine="560"/>
        <w:rPr>
          <w:rFonts w:ascii="Times New Roman" w:hAnsi="Times New Roman"/>
          <w:bCs/>
          <w:szCs w:val="28"/>
        </w:rPr>
      </w:pPr>
      <w:r>
        <w:rPr>
          <w:rFonts w:ascii="Times New Roman" w:hAnsi="Times New Roman"/>
          <w:bCs/>
          <w:szCs w:val="28"/>
        </w:rPr>
        <w:t xml:space="preserve">平均砂比：35% </w:t>
      </w:r>
    </w:p>
    <w:p>
      <w:pPr>
        <w:pStyle w:val="44"/>
        <w:ind w:firstLine="0" w:firstLineChars="0"/>
        <w:jc w:val="center"/>
        <w:rPr>
          <w:rFonts w:ascii="Times New Roman" w:hAnsi="Times New Roman"/>
          <w:bCs/>
          <w:szCs w:val="28"/>
        </w:rPr>
      </w:pPr>
      <w:r>
        <w:drawing>
          <wp:inline distT="0" distB="0" distL="114300" distR="114300">
            <wp:extent cx="3375660" cy="2651760"/>
            <wp:effectExtent l="0" t="0" r="7620"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26"/>
                    <a:stretch>
                      <a:fillRect/>
                    </a:stretch>
                  </pic:blipFill>
                  <pic:spPr>
                    <a:xfrm>
                      <a:off x="0" y="0"/>
                      <a:ext cx="3375660" cy="2651760"/>
                    </a:xfrm>
                    <a:prstGeom prst="rect">
                      <a:avLst/>
                    </a:prstGeom>
                    <a:noFill/>
                    <a:ln>
                      <a:noFill/>
                    </a:ln>
                  </pic:spPr>
                </pic:pic>
              </a:graphicData>
            </a:graphic>
          </wp:inline>
        </w:drawing>
      </w:r>
    </w:p>
    <w:p>
      <w:pPr>
        <w:pStyle w:val="44"/>
        <w:ind w:firstLine="0" w:firstLineChars="0"/>
        <w:jc w:val="center"/>
        <w:rPr>
          <w:rFonts w:ascii="Times New Roman" w:hAnsi="Times New Roman"/>
          <w:b/>
          <w:sz w:val="24"/>
          <w:szCs w:val="24"/>
        </w:rPr>
      </w:pPr>
      <w:r>
        <w:rPr>
          <w:rFonts w:ascii="Times New Roman" w:hAnsi="Times New Roman"/>
          <w:b/>
          <w:sz w:val="24"/>
          <w:szCs w:val="24"/>
        </w:rPr>
        <w:t xml:space="preserve">图2.6-1  </w:t>
      </w:r>
      <w:r>
        <w:rPr>
          <w:rFonts w:ascii="Times New Roman" w:hAnsi="Times New Roman"/>
          <w:b/>
          <w:sz w:val="24"/>
        </w:rPr>
        <w:t>高速水循环充填防砂管柱示意图</w:t>
      </w:r>
    </w:p>
    <w:p>
      <w:pPr>
        <w:ind w:firstLine="560"/>
        <w:rPr>
          <w:rFonts w:eastAsiaTheme="minorEastAsia"/>
        </w:rPr>
      </w:pPr>
      <w:r>
        <w:rPr>
          <w:rFonts w:eastAsiaTheme="minorEastAsia"/>
        </w:rPr>
        <w:t>（2）复合降粘工艺</w:t>
      </w:r>
    </w:p>
    <w:p>
      <w:pPr>
        <w:pStyle w:val="254"/>
        <w:snapToGrid w:val="0"/>
        <w:spacing w:line="360" w:lineRule="auto"/>
        <w:ind w:firstLine="640" w:firstLineChars="200"/>
        <w:jc w:val="both"/>
        <w:rPr>
          <w:rFonts w:ascii="Times New Roman" w:hAnsi="Times New Roman" w:eastAsiaTheme="minorEastAsia"/>
          <w:sz w:val="28"/>
          <w:szCs w:val="21"/>
        </w:rPr>
      </w:pPr>
      <w:r>
        <w:rPr>
          <w:rFonts w:ascii="Times New Roman" w:hAnsi="Times New Roman" w:eastAsiaTheme="minorEastAsia"/>
          <w:sz w:val="28"/>
          <w:szCs w:val="21"/>
        </w:rPr>
        <w:t>水溶性降粘技术：降粘剂在井下与原油相混合后产生乳化或分散作用，原油以小油珠的形式分散在水溶液中，形成比较稳定的水包油型乳状液体系。在流动过程中变原油之间内摩擦力为水之间的内摩擦力，因而流动阻力大大降低，达到了降粘开采的目的。</w:t>
      </w:r>
    </w:p>
    <w:p>
      <w:pPr>
        <w:pStyle w:val="254"/>
        <w:snapToGrid w:val="0"/>
        <w:spacing w:line="360" w:lineRule="auto"/>
        <w:ind w:firstLine="640" w:firstLineChars="200"/>
        <w:jc w:val="both"/>
        <w:rPr>
          <w:rFonts w:ascii="Times New Roman" w:hAnsi="Times New Roman" w:eastAsiaTheme="minorEastAsia"/>
          <w:sz w:val="28"/>
          <w:szCs w:val="21"/>
        </w:rPr>
      </w:pPr>
      <w:r>
        <w:rPr>
          <w:rFonts w:ascii="Times New Roman" w:hAnsi="Times New Roman" w:eastAsiaTheme="minorEastAsia"/>
          <w:sz w:val="28"/>
          <w:szCs w:val="21"/>
        </w:rPr>
        <w:t>油溶性降粘技术：油溶性降粘剂是利用相似相溶的原理以芳香质缩合物和渗透剂组成降粘体系。该体系在油层温度下对胶质、沥青质团状结构分解分散，形成以胶质沥青质为分散相、原油轻质组分为连续相的分散体系，可大幅度降低稠油启动压力。既能用于常规稠油井可解除近井地带的有机堵塞，又可用于蒸汽吞吐前地层的预处理。</w:t>
      </w:r>
    </w:p>
    <w:p>
      <w:pPr>
        <w:pStyle w:val="254"/>
        <w:snapToGrid w:val="0"/>
        <w:spacing w:line="360" w:lineRule="auto"/>
        <w:ind w:firstLine="640" w:firstLineChars="200"/>
        <w:jc w:val="both"/>
        <w:rPr>
          <w:rFonts w:ascii="Times New Roman" w:hAnsi="Times New Roman" w:eastAsiaTheme="minorEastAsia"/>
          <w:sz w:val="28"/>
          <w:szCs w:val="21"/>
        </w:rPr>
      </w:pPr>
      <w:r>
        <w:rPr>
          <w:rFonts w:ascii="Times New Roman" w:hAnsi="Times New Roman" w:eastAsiaTheme="minorEastAsia"/>
          <w:sz w:val="28"/>
          <w:szCs w:val="21"/>
        </w:rPr>
        <w:t>注入降粘剂使原油分散，降低原油粘度，溶解重质组分，提高渗流能力。CO</w:t>
      </w:r>
      <w:r>
        <w:rPr>
          <w:rFonts w:ascii="Times New Roman" w:hAnsi="Times New Roman" w:eastAsiaTheme="minorEastAsia"/>
          <w:sz w:val="28"/>
          <w:szCs w:val="21"/>
          <w:vertAlign w:val="subscript"/>
        </w:rPr>
        <w:t>2</w:t>
      </w:r>
      <w:r>
        <w:rPr>
          <w:rFonts w:ascii="Times New Roman" w:hAnsi="Times New Roman" w:eastAsiaTheme="minorEastAsia"/>
          <w:sz w:val="28"/>
          <w:szCs w:val="21"/>
        </w:rPr>
        <w:t>吸热气化后穿透作用强，扩大降粘剂降粘半径，改变分子间作用力。</w:t>
      </w:r>
    </w:p>
    <w:p>
      <w:pPr>
        <w:pStyle w:val="254"/>
        <w:ind w:firstLine="0"/>
        <w:rPr>
          <w:rFonts w:ascii="Times New Roman" w:hAnsi="Times New Roman" w:eastAsiaTheme="minorEastAsia"/>
        </w:rPr>
      </w:pPr>
      <w:r>
        <w:rPr>
          <w:rFonts w:ascii="Times New Roman" w:hAnsi="Times New Roman" w:eastAsiaTheme="minorEastAsia"/>
        </w:rPr>
        <mc:AlternateContent>
          <mc:Choice Requires="wpg">
            <w:drawing>
              <wp:inline distT="0" distB="0" distL="114300" distR="114300">
                <wp:extent cx="5855335" cy="2355850"/>
                <wp:effectExtent l="0" t="0" r="0" b="0"/>
                <wp:docPr id="12" name="组合 12"/>
                <wp:cNvGraphicFramePr/>
                <a:graphic xmlns:a="http://schemas.openxmlformats.org/drawingml/2006/main">
                  <a:graphicData uri="http://schemas.microsoft.com/office/word/2010/wordprocessingGroup">
                    <wpg:wgp>
                      <wpg:cNvGrpSpPr/>
                      <wpg:grpSpPr>
                        <a:xfrm>
                          <a:off x="0" y="0"/>
                          <a:ext cx="5855220" cy="2356016"/>
                          <a:chOff x="-218" y="4813"/>
                          <a:chExt cx="14549" cy="5518"/>
                        </a:xfrm>
                      </wpg:grpSpPr>
                      <wps:wsp>
                        <wps:cNvPr id="425" name="文本框 425"/>
                        <wps:cNvSpPr txBox="1"/>
                        <wps:spPr>
                          <a:xfrm>
                            <a:off x="4852" y="9172"/>
                            <a:ext cx="4183" cy="943"/>
                          </a:xfrm>
                          <a:prstGeom prst="rect">
                            <a:avLst/>
                          </a:prstGeom>
                          <a:noFill/>
                          <a:ln>
                            <a:noFill/>
                          </a:ln>
                        </wps:spPr>
                        <wps:txbx>
                          <w:txbxContent>
                            <w:p>
                              <w:pPr>
                                <w:pStyle w:val="39"/>
                                <w:jc w:val="both"/>
                                <w:rPr>
                                  <w:sz w:val="21"/>
                                  <w:szCs w:val="15"/>
                                </w:rPr>
                              </w:pPr>
                              <w:r>
                                <w:rPr>
                                  <w:rFonts w:ascii="微软雅黑" w:eastAsia="微软雅黑"/>
                                  <w:b/>
                                  <w:color w:val="C00000"/>
                                  <w:kern w:val="24"/>
                                  <w:sz w:val="21"/>
                                  <w:szCs w:val="21"/>
                                </w:rPr>
                                <w:t>注入750tCPE的粘度场</w:t>
                              </w:r>
                            </w:p>
                          </w:txbxContent>
                        </wps:txbx>
                        <wps:bodyPr upright="1"/>
                      </wps:wsp>
                      <wps:wsp>
                        <wps:cNvPr id="426" name="文本框 426"/>
                        <wps:cNvSpPr txBox="1"/>
                        <wps:spPr>
                          <a:xfrm>
                            <a:off x="8862" y="9152"/>
                            <a:ext cx="5469" cy="840"/>
                          </a:xfrm>
                          <a:prstGeom prst="rect">
                            <a:avLst/>
                          </a:prstGeom>
                          <a:noFill/>
                          <a:ln>
                            <a:noFill/>
                          </a:ln>
                        </wps:spPr>
                        <wps:txbx>
                          <w:txbxContent>
                            <w:p>
                              <w:pPr>
                                <w:pStyle w:val="39"/>
                                <w:jc w:val="both"/>
                                <w:rPr>
                                  <w:sz w:val="20"/>
                                  <w:szCs w:val="13"/>
                                </w:rPr>
                              </w:pPr>
                              <w:r>
                                <w:rPr>
                                  <w:rFonts w:ascii="微软雅黑" w:eastAsia="微软雅黑"/>
                                  <w:b/>
                                  <w:color w:val="C00000"/>
                                  <w:kern w:val="24"/>
                                  <w:sz w:val="20"/>
                                </w:rPr>
                                <w:t>注入600tCPE+150tCO</w:t>
                              </w:r>
                              <w:r>
                                <w:rPr>
                                  <w:rFonts w:ascii="微软雅黑" w:eastAsia="微软雅黑"/>
                                  <w:b/>
                                  <w:color w:val="C00000"/>
                                  <w:kern w:val="24"/>
                                  <w:sz w:val="20"/>
                                  <w:vertAlign w:val="subscript"/>
                                </w:rPr>
                                <w:t>2</w:t>
                              </w:r>
                              <w:r>
                                <w:rPr>
                                  <w:rFonts w:ascii="微软雅黑" w:eastAsia="微软雅黑"/>
                                  <w:b/>
                                  <w:color w:val="C00000"/>
                                  <w:kern w:val="24"/>
                                  <w:sz w:val="20"/>
                                </w:rPr>
                                <w:t>的粘度场</w:t>
                              </w:r>
                            </w:p>
                          </w:txbxContent>
                        </wps:txbx>
                        <wps:bodyPr upright="1"/>
                      </wps:wsp>
                      <pic:pic xmlns:pic="http://schemas.openxmlformats.org/drawingml/2006/picture">
                        <pic:nvPicPr>
                          <pic:cNvPr id="427" name="图片 3"/>
                          <pic:cNvPicPr>
                            <a:picLocks noChangeAspect="1"/>
                          </pic:cNvPicPr>
                        </pic:nvPicPr>
                        <pic:blipFill>
                          <a:blip r:embed="rId27"/>
                          <a:stretch>
                            <a:fillRect/>
                          </a:stretch>
                        </pic:blipFill>
                        <pic:spPr>
                          <a:xfrm>
                            <a:off x="4620" y="4844"/>
                            <a:ext cx="4793" cy="4266"/>
                          </a:xfrm>
                          <a:prstGeom prst="rect">
                            <a:avLst/>
                          </a:prstGeom>
                          <a:noFill/>
                          <a:ln>
                            <a:noFill/>
                          </a:ln>
                        </pic:spPr>
                      </pic:pic>
                      <pic:pic xmlns:pic="http://schemas.openxmlformats.org/drawingml/2006/picture">
                        <pic:nvPicPr>
                          <pic:cNvPr id="428" name="图片 4"/>
                          <pic:cNvPicPr>
                            <a:picLocks noChangeAspect="1"/>
                          </pic:cNvPicPr>
                        </pic:nvPicPr>
                        <pic:blipFill>
                          <a:blip r:embed="rId28"/>
                          <a:stretch>
                            <a:fillRect/>
                          </a:stretch>
                        </pic:blipFill>
                        <pic:spPr>
                          <a:xfrm>
                            <a:off x="9457" y="4907"/>
                            <a:ext cx="4246" cy="4266"/>
                          </a:xfrm>
                          <a:prstGeom prst="rect">
                            <a:avLst/>
                          </a:prstGeom>
                          <a:noFill/>
                          <a:ln>
                            <a:noFill/>
                          </a:ln>
                        </pic:spPr>
                      </pic:pic>
                      <pic:pic xmlns:pic="http://schemas.openxmlformats.org/drawingml/2006/picture">
                        <pic:nvPicPr>
                          <pic:cNvPr id="429" name="Picture 12"/>
                          <pic:cNvPicPr>
                            <a:picLocks noChangeAspect="1"/>
                          </pic:cNvPicPr>
                        </pic:nvPicPr>
                        <pic:blipFill>
                          <a:blip r:embed="rId29"/>
                          <a:stretch>
                            <a:fillRect/>
                          </a:stretch>
                        </pic:blipFill>
                        <pic:spPr>
                          <a:xfrm>
                            <a:off x="-218" y="4813"/>
                            <a:ext cx="4569" cy="4458"/>
                          </a:xfrm>
                          <a:prstGeom prst="rect">
                            <a:avLst/>
                          </a:prstGeom>
                          <a:noFill/>
                          <a:ln>
                            <a:noFill/>
                          </a:ln>
                        </pic:spPr>
                      </pic:pic>
                      <wps:wsp>
                        <wps:cNvPr id="430" name="矩形 430"/>
                        <wps:cNvSpPr/>
                        <wps:spPr>
                          <a:xfrm>
                            <a:off x="118" y="9164"/>
                            <a:ext cx="3825" cy="1167"/>
                          </a:xfrm>
                          <a:prstGeom prst="rect">
                            <a:avLst/>
                          </a:prstGeom>
                          <a:noFill/>
                          <a:ln>
                            <a:noFill/>
                          </a:ln>
                        </wps:spPr>
                        <wps:txbx>
                          <w:txbxContent>
                            <w:p>
                              <w:pPr>
                                <w:pStyle w:val="39"/>
                                <w:rPr>
                                  <w:sz w:val="20"/>
                                  <w:szCs w:val="13"/>
                                </w:rPr>
                              </w:pPr>
                              <w:r>
                                <w:rPr>
                                  <w:rFonts w:ascii="微软雅黑" w:eastAsia="微软雅黑"/>
                                  <w:b/>
                                  <w:color w:val="C00000"/>
                                  <w:kern w:val="24"/>
                                  <w:sz w:val="20"/>
                                </w:rPr>
                                <w:t>CO</w:t>
                              </w:r>
                              <w:r>
                                <w:rPr>
                                  <w:rFonts w:ascii="微软雅黑" w:eastAsia="微软雅黑"/>
                                  <w:b/>
                                  <w:color w:val="C00000"/>
                                  <w:kern w:val="24"/>
                                  <w:sz w:val="20"/>
                                  <w:vertAlign w:val="subscript"/>
                                </w:rPr>
                                <w:t>2</w:t>
                              </w:r>
                              <w:r>
                                <w:rPr>
                                  <w:rFonts w:ascii="微软雅黑" w:eastAsia="微软雅黑"/>
                                  <w:b/>
                                  <w:color w:val="C00000"/>
                                  <w:kern w:val="24"/>
                                  <w:sz w:val="20"/>
                                </w:rPr>
                                <w:t xml:space="preserve">的相态特征及相图 </w:t>
                              </w:r>
                            </w:p>
                          </w:txbxContent>
                        </wps:txbx>
                        <wps:bodyPr upright="1"/>
                      </wps:wsp>
                    </wpg:wgp>
                  </a:graphicData>
                </a:graphic>
              </wp:inline>
            </w:drawing>
          </mc:Choice>
          <mc:Fallback>
            <w:pict>
              <v:group id="_x0000_s1026" o:spid="_x0000_s1026" o:spt="203" style="height:185.5pt;width:461.05pt;" coordorigin="-218,4813" coordsize="14549,5518" o:gfxdata="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">
                <o:lock v:ext="edit" aspectratio="f"/>
                <v:shape id="_x0000_s1026" o:spid="_x0000_s1026" o:spt="202" type="#_x0000_t202" style="position:absolute;left:4852;top:9172;height:943;width:4183;" filled="f" stroked="f" coordsize="21600,21600" o:gfxdata="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okQR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39"/>
                          <w:jc w:val="both"/>
                          <w:rPr>
                            <w:sz w:val="21"/>
                            <w:szCs w:val="15"/>
                          </w:rPr>
                        </w:pPr>
                        <w:r>
                          <w:rPr>
                            <w:rFonts w:ascii="微软雅黑" w:eastAsia="微软雅黑"/>
                            <w:b/>
                            <w:color w:val="C00000"/>
                            <w:kern w:val="24"/>
                            <w:sz w:val="21"/>
                            <w:szCs w:val="21"/>
                          </w:rPr>
                          <w:t>注入750tCPE的粘度场</w:t>
                        </w:r>
                      </w:p>
                    </w:txbxContent>
                  </v:textbox>
                </v:shape>
                <v:shape id="_x0000_s1026" o:spid="_x0000_s1026" o:spt="202" type="#_x0000_t202" style="position:absolute;left:8862;top:9152;height:840;width:5469;" filled="f" stroked="f" coordsize="21600,21600" o:gfxdata="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cNpm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39"/>
                          <w:jc w:val="both"/>
                          <w:rPr>
                            <w:sz w:val="20"/>
                            <w:szCs w:val="13"/>
                          </w:rPr>
                        </w:pPr>
                        <w:r>
                          <w:rPr>
                            <w:rFonts w:ascii="微软雅黑" w:eastAsia="微软雅黑"/>
                            <w:b/>
                            <w:color w:val="C00000"/>
                            <w:kern w:val="24"/>
                            <w:sz w:val="20"/>
                          </w:rPr>
                          <w:t>注入600tCPE+150tCO</w:t>
                        </w:r>
                        <w:r>
                          <w:rPr>
                            <w:rFonts w:ascii="微软雅黑" w:eastAsia="微软雅黑"/>
                            <w:b/>
                            <w:color w:val="C00000"/>
                            <w:kern w:val="24"/>
                            <w:sz w:val="20"/>
                            <w:vertAlign w:val="subscript"/>
                          </w:rPr>
                          <w:t>2</w:t>
                        </w:r>
                        <w:r>
                          <w:rPr>
                            <w:rFonts w:ascii="微软雅黑" w:eastAsia="微软雅黑"/>
                            <w:b/>
                            <w:color w:val="C00000"/>
                            <w:kern w:val="24"/>
                            <w:sz w:val="20"/>
                          </w:rPr>
                          <w:t>的粘度场</w:t>
                        </w:r>
                      </w:p>
                    </w:txbxContent>
                  </v:textbox>
                </v:shape>
                <v:shape id="图片 3" o:spid="_x0000_s1026" o:spt="75" type="#_x0000_t75" style="position:absolute;left:4620;top:4844;height:4266;width:4793;" filled="f" o:preferrelative="t" stroked="f" coordsize="21600,21600" o:gfxdata="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1Fkau8AAAA&#10;3AAAAA8AAAAAAAAAAQAgAAAAIgAAAGRycy9kb3ducmV2LnhtbFBLAQIUABQAAAAIAIdO4kAzLwWe&#10;OwAAADkAAAAQAAAAAAAAAAEAIAAAAAsBAABkcnMvc2hhcGV4bWwueG1sUEsFBgAAAAAGAAYAWwEA&#10;ALUDAAAAAA==&#10;">
                  <v:fill on="f" focussize="0,0"/>
                  <v:stroke on="f"/>
                  <v:imagedata r:id="rId27" o:title=""/>
                  <o:lock v:ext="edit" aspectratio="t"/>
                </v:shape>
                <v:shape id="图片 4" o:spid="_x0000_s1026" o:spt="75" type="#_x0000_t75" style="position:absolute;left:9457;top:4907;height:4266;width:4246;" filled="f" o:preferrelative="t" stroked="f" coordsize="21600,21600" o:gfxdata="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GhVLO8AAAA&#10;3AAAAA8AAAAAAAAAAQAgAAAAIgAAAGRycy9kb3ducmV2LnhtbFBLAQIUABQAAAAIAIdO4kAzLwWe&#10;OwAAADkAAAAQAAAAAAAAAAEAIAAAAAsBAABkcnMvc2hhcGV4bWwueG1sUEsFBgAAAAAGAAYAWwEA&#10;ALUDAAAAAA==&#10;">
                  <v:fill on="f" focussize="0,0"/>
                  <v:stroke on="f"/>
                  <v:imagedata r:id="rId28" o:title=""/>
                  <o:lock v:ext="edit" aspectratio="t"/>
                </v:shape>
                <v:shape id="Picture 12" o:spid="_x0000_s1026" o:spt="75" type="#_x0000_t75" style="position:absolute;left:-218;top:4813;height:4458;width:4569;" filled="f" o:preferrelative="t" stroked="f" coordsize="21600,21600" o:gfxdata="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5i1P&#10;I8EAAADcAAAADwAAAAAAAAABACAAAAAiAAAAZHJzL2Rvd25yZXYueG1sUEsBAhQAFAAAAAgAh07i&#10;QDMvBZ47AAAAOQAAABAAAAAAAAAAAQAgAAAAEAEAAGRycy9zaGFwZXhtbC54bWxQSwUGAAAAAAYA&#10;BgBbAQAAugMAAAAA&#10;">
                  <v:fill on="f" focussize="0,0"/>
                  <v:stroke on="f"/>
                  <v:imagedata r:id="rId29" o:title=""/>
                  <o:lock v:ext="edit" aspectratio="t"/>
                </v:shape>
                <v:rect id="_x0000_s1026" o:spid="_x0000_s1026" o:spt="1" style="position:absolute;left:118;top:9164;height:1167;width:3825;" filled="f" stroked="f" coordsize="21600,21600" o:gfxdata="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su9aa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pStyle w:val="39"/>
                          <w:rPr>
                            <w:sz w:val="20"/>
                            <w:szCs w:val="13"/>
                          </w:rPr>
                        </w:pPr>
                        <w:r>
                          <w:rPr>
                            <w:rFonts w:ascii="微软雅黑" w:eastAsia="微软雅黑"/>
                            <w:b/>
                            <w:color w:val="C00000"/>
                            <w:kern w:val="24"/>
                            <w:sz w:val="20"/>
                          </w:rPr>
                          <w:t>CO</w:t>
                        </w:r>
                        <w:r>
                          <w:rPr>
                            <w:rFonts w:ascii="微软雅黑" w:eastAsia="微软雅黑"/>
                            <w:b/>
                            <w:color w:val="C00000"/>
                            <w:kern w:val="24"/>
                            <w:sz w:val="20"/>
                            <w:vertAlign w:val="subscript"/>
                          </w:rPr>
                          <w:t>2</w:t>
                        </w:r>
                        <w:r>
                          <w:rPr>
                            <w:rFonts w:ascii="微软雅黑" w:eastAsia="微软雅黑"/>
                            <w:b/>
                            <w:color w:val="C00000"/>
                            <w:kern w:val="24"/>
                            <w:sz w:val="20"/>
                          </w:rPr>
                          <w:t xml:space="preserve">的相态特征及相图 </w:t>
                        </w:r>
                      </w:p>
                    </w:txbxContent>
                  </v:textbox>
                </v:rect>
                <w10:wrap type="none"/>
                <w10:anchorlock/>
              </v:group>
            </w:pict>
          </mc:Fallback>
        </mc:AlternateContent>
      </w:r>
    </w:p>
    <w:p>
      <w:pPr>
        <w:pStyle w:val="254"/>
        <w:snapToGrid w:val="0"/>
        <w:spacing w:line="360" w:lineRule="auto"/>
        <w:ind w:firstLine="0"/>
        <w:jc w:val="center"/>
        <w:rPr>
          <w:rFonts w:ascii="Times New Roman" w:hAnsi="Times New Roman" w:eastAsiaTheme="minorEastAsia"/>
          <w:b/>
          <w:bCs/>
        </w:rPr>
      </w:pPr>
      <w:r>
        <w:rPr>
          <w:rFonts w:ascii="Times New Roman" w:hAnsi="Times New Roman" w:eastAsiaTheme="minorEastAsia"/>
          <w:b/>
          <w:bCs/>
        </w:rPr>
        <w:t>图2.6-2  复合降粘的实验模拟效果图</w:t>
      </w:r>
    </w:p>
    <w:p>
      <w:pPr>
        <w:pStyle w:val="254"/>
        <w:snapToGrid w:val="0"/>
        <w:spacing w:line="360" w:lineRule="auto"/>
        <w:ind w:firstLine="640" w:firstLineChars="200"/>
        <w:jc w:val="both"/>
        <w:rPr>
          <w:rFonts w:ascii="Times New Roman" w:hAnsi="Times New Roman"/>
          <w:sz w:val="28"/>
          <w:szCs w:val="21"/>
        </w:rPr>
      </w:pPr>
      <w:r>
        <w:rPr>
          <w:rFonts w:ascii="Times New Roman" w:hAnsi="Times New Roman"/>
          <w:sz w:val="28"/>
          <w:szCs w:val="21"/>
        </w:rPr>
        <w:t>该块后续每年转周降粘时，可直接从油套环空不动管柱注入油溶性降粘剂+水溶性降粘剂（不注CO</w:t>
      </w:r>
      <w:r>
        <w:rPr>
          <w:rFonts w:ascii="Times New Roman" w:hAnsi="Times New Roman"/>
          <w:sz w:val="28"/>
          <w:szCs w:val="21"/>
          <w:vertAlign w:val="subscript"/>
        </w:rPr>
        <w:t>2</w:t>
      </w:r>
      <w:r>
        <w:rPr>
          <w:rFonts w:ascii="Times New Roman" w:hAnsi="Times New Roman"/>
          <w:sz w:val="28"/>
          <w:szCs w:val="21"/>
        </w:rPr>
        <w:t>），如果当年未注降粘剂前，需要检泵作业，可实施复合降粘（油溶降粘剂+CO</w:t>
      </w:r>
      <w:r>
        <w:rPr>
          <w:rFonts w:ascii="Times New Roman" w:hAnsi="Times New Roman"/>
          <w:sz w:val="28"/>
          <w:szCs w:val="21"/>
          <w:vertAlign w:val="subscript"/>
        </w:rPr>
        <w:t>2</w:t>
      </w:r>
      <w:r>
        <w:rPr>
          <w:rFonts w:ascii="Times New Roman" w:hAnsi="Times New Roman"/>
          <w:sz w:val="28"/>
          <w:szCs w:val="21"/>
        </w:rPr>
        <w:t>+水溶性降粘剂）措施。</w:t>
      </w:r>
    </w:p>
    <w:p>
      <w:pPr>
        <w:pStyle w:val="3"/>
        <w:rPr>
          <w:rFonts w:eastAsiaTheme="minorEastAsia"/>
        </w:rPr>
      </w:pPr>
      <w:bookmarkStart w:id="139" w:name="_Toc23295"/>
      <w:r>
        <w:rPr>
          <w:rFonts w:eastAsiaTheme="minorEastAsia"/>
        </w:rPr>
        <w:t>2.7  地面工程</w:t>
      </w:r>
      <w:bookmarkEnd w:id="139"/>
    </w:p>
    <w:p>
      <w:pPr>
        <w:ind w:right="11" w:firstLine="0" w:firstLineChars="0"/>
        <w:outlineLvl w:val="2"/>
        <w:rPr>
          <w:rFonts w:eastAsiaTheme="minorEastAsia"/>
          <w:b/>
          <w:bCs/>
          <w:color w:val="000000"/>
          <w:szCs w:val="28"/>
        </w:rPr>
      </w:pPr>
      <w:bookmarkStart w:id="140" w:name="_Toc623"/>
      <w:bookmarkStart w:id="141" w:name="_Toc87280464"/>
      <w:r>
        <w:rPr>
          <w:rFonts w:eastAsiaTheme="minorEastAsia"/>
          <w:b/>
          <w:bCs/>
          <w:color w:val="000000"/>
          <w:szCs w:val="28"/>
        </w:rPr>
        <w:t>2.7.1  建设规模和总体布局</w:t>
      </w:r>
      <w:bookmarkEnd w:id="140"/>
      <w:bookmarkEnd w:id="141"/>
    </w:p>
    <w:p>
      <w:pPr>
        <w:pStyle w:val="6"/>
        <w:rPr>
          <w:rFonts w:eastAsiaTheme="minorEastAsia"/>
          <w:bCs w:val="0"/>
          <w:color w:val="000000"/>
        </w:rPr>
      </w:pPr>
      <w:r>
        <w:rPr>
          <w:rFonts w:eastAsiaTheme="minorEastAsia"/>
          <w:bCs w:val="0"/>
          <w:color w:val="000000"/>
        </w:rPr>
        <w:t>2.7.1.1  现状及依托条件</w:t>
      </w:r>
    </w:p>
    <w:p>
      <w:pPr>
        <w:ind w:firstLine="560"/>
        <w:rPr>
          <w:rFonts w:eastAsiaTheme="minorEastAsia"/>
        </w:rPr>
      </w:pPr>
      <w:r>
        <w:rPr>
          <w:rFonts w:eastAsiaTheme="minorEastAsia"/>
        </w:rPr>
        <w:t>新井井位部署于营-斜118井场，井场位于北二路与西三路口东北侧，紧邻原油田党校南侧，属营二管理区管辖。井场南侧为营1井组，正常生产油井17口、水井4口。</w:t>
      </w:r>
    </w:p>
    <w:p>
      <w:pPr>
        <w:ind w:firstLine="560"/>
        <w:rPr>
          <w:rFonts w:eastAsiaTheme="minorEastAsia"/>
          <w:color w:val="000000"/>
          <w:szCs w:val="28"/>
        </w:rPr>
      </w:pPr>
      <w:r>
        <w:rPr>
          <w:rFonts w:eastAsiaTheme="minorEastAsia"/>
          <w:color w:val="000000"/>
          <w:szCs w:val="28"/>
        </w:rPr>
        <w:t>1）</w:t>
      </w:r>
      <w:r>
        <w:rPr>
          <w:rFonts w:eastAsiaTheme="minorEastAsia"/>
          <w:color w:val="000000"/>
        </w:rPr>
        <w:t>老区地面集输系统</w:t>
      </w:r>
    </w:p>
    <w:p>
      <w:pPr>
        <w:ind w:firstLine="560"/>
        <w:rPr>
          <w:rFonts w:eastAsiaTheme="minorEastAsia"/>
          <w:color w:val="000000"/>
          <w:szCs w:val="28"/>
        </w:rPr>
      </w:pPr>
      <w:r>
        <w:rPr>
          <w:rFonts w:eastAsiaTheme="minorEastAsia"/>
          <w:color w:val="000000"/>
          <w:szCs w:val="28"/>
        </w:rPr>
        <w:t>井区周边油气集输系统完善，油井采用功图计量模式，单元集输方式采用单井-计量站（集油阀组）-联合站的布站模式。</w:t>
      </w:r>
    </w:p>
    <w:p>
      <w:pPr>
        <w:ind w:firstLine="560"/>
      </w:pPr>
      <w:r>
        <w:rPr>
          <w:rFonts w:eastAsiaTheme="minorEastAsia"/>
          <w:color w:val="000000"/>
          <w:szCs w:val="28"/>
        </w:rPr>
        <w:t>营二管理区油井采出液依托已建管网集中管输至102联合站集中处理。102联合站位于东营市东营区西四路274号，始建于1964年4月，担负着东辛西油田原油处理任务。最新技术改造于2011年5月，</w:t>
      </w:r>
      <w:r>
        <w:t>目前采用</w:t>
      </w:r>
      <w:r>
        <w:rPr>
          <w:rFonts w:hint="eastAsia"/>
        </w:rPr>
        <w:t>“</w:t>
      </w:r>
      <w:r>
        <w:t>热化学+电脱+原油稳定</w:t>
      </w:r>
      <w:r>
        <w:rPr>
          <w:rFonts w:hint="eastAsia"/>
        </w:rPr>
        <w:t>”</w:t>
      </w:r>
      <w:r>
        <w:t>原油脱水工艺，具有原油脱水、原油稳定、油田水处理等功能。</w:t>
      </w:r>
    </w:p>
    <w:p>
      <w:pPr>
        <w:ind w:firstLine="560"/>
      </w:pPr>
      <w:r>
        <w:t>2）老区注水系统</w:t>
      </w:r>
    </w:p>
    <w:p>
      <w:pPr>
        <w:ind w:firstLine="560"/>
      </w:pPr>
      <w:r>
        <w:t>井区周边注水系统完善。目前水井由辛七注水站供水，注水压力等级16MPa，实际运行压力12.5MPa，3级水质。</w:t>
      </w:r>
    </w:p>
    <w:p>
      <w:pPr>
        <w:ind w:firstLine="560"/>
      </w:pPr>
      <w:r>
        <w:t>3）老区供配电系统</w:t>
      </w:r>
    </w:p>
    <w:p>
      <w:pPr>
        <w:ind w:firstLine="560"/>
      </w:pPr>
      <w:r>
        <w:t>井区周边电力系统为胜华变电站供电系统，井场可搭接营48乙线、中医线供电，高压线路配套完善。</w:t>
      </w:r>
    </w:p>
    <w:p>
      <w:pPr>
        <w:ind w:firstLine="560"/>
      </w:pPr>
      <w:r>
        <w:t>4）老区道路系统</w:t>
      </w:r>
    </w:p>
    <w:p>
      <w:pPr>
        <w:ind w:firstLine="560"/>
      </w:pPr>
      <w:r>
        <w:t>井区处于东营市东营区，路况良好，交通便利。</w:t>
      </w:r>
    </w:p>
    <w:p>
      <w:pPr>
        <w:pStyle w:val="6"/>
        <w:ind w:left="825" w:hanging="720"/>
        <w:rPr>
          <w:rFonts w:eastAsiaTheme="minorEastAsia"/>
          <w:bCs w:val="0"/>
          <w:color w:val="000000"/>
        </w:rPr>
      </w:pPr>
      <w:r>
        <w:rPr>
          <w:rFonts w:eastAsiaTheme="minorEastAsia"/>
          <w:bCs w:val="0"/>
          <w:color w:val="000000"/>
        </w:rPr>
        <w:t>2.7.1.2  总体布局</w:t>
      </w:r>
    </w:p>
    <w:p>
      <w:pPr>
        <w:keepNext w:val="0"/>
        <w:keepLines w:val="0"/>
        <w:pageBreakBefore w:val="0"/>
        <w:widowControl w:val="0"/>
        <w:kinsoku/>
        <w:wordWrap/>
        <w:overflowPunct/>
        <w:topLinePunct w:val="0"/>
        <w:autoSpaceDE/>
        <w:autoSpaceDN/>
        <w:bidi w:val="0"/>
        <w:adjustRightInd w:val="0"/>
        <w:snapToGrid w:val="0"/>
        <w:ind w:right="0" w:firstLine="560"/>
        <w:textAlignment w:val="auto"/>
      </w:pPr>
      <w:r>
        <w:t>东辛油田营1-斜118地区Ng3产能建设方案部署斜井6口，利用老井1口，前三年平均建产能0.78×10</w:t>
      </w:r>
      <w:r>
        <w:rPr>
          <w:vertAlign w:val="superscript"/>
        </w:rPr>
        <w:t>4</w:t>
      </w:r>
      <w:r>
        <w:t>t，生产15年，累积产油6.79×10</w:t>
      </w:r>
      <w:r>
        <w:rPr>
          <w:vertAlign w:val="superscript"/>
        </w:rPr>
        <w:t>4</w:t>
      </w:r>
      <w:r>
        <w:t>t，采出程度17.90%。</w:t>
      </w:r>
    </w:p>
    <w:p>
      <w:pPr>
        <w:keepNext w:val="0"/>
        <w:keepLines w:val="0"/>
        <w:pageBreakBefore w:val="0"/>
        <w:widowControl w:val="0"/>
        <w:kinsoku/>
        <w:wordWrap/>
        <w:overflowPunct/>
        <w:topLinePunct w:val="0"/>
        <w:autoSpaceDE/>
        <w:autoSpaceDN/>
        <w:bidi w:val="0"/>
        <w:adjustRightInd w:val="0"/>
        <w:snapToGrid w:val="0"/>
        <w:ind w:right="0" w:firstLine="560"/>
        <w:textAlignment w:val="auto"/>
        <w:rPr>
          <w:rFonts w:eastAsiaTheme="minorEastAsia"/>
          <w:color w:val="000000"/>
          <w:szCs w:val="28"/>
        </w:rPr>
      </w:pPr>
      <w:r>
        <w:rPr>
          <w:rFonts w:eastAsiaTheme="minorEastAsia"/>
          <w:color w:val="000000"/>
          <w:szCs w:val="28"/>
        </w:rPr>
        <w:t>根据井位分布和井区地面工程设施现状，新钻油井就近接入已建集油系统，新钻水井就近接入已建注水系统。</w:t>
      </w:r>
    </w:p>
    <w:p>
      <w:pPr>
        <w:ind w:right="11" w:firstLine="0" w:firstLineChars="0"/>
        <w:outlineLvl w:val="2"/>
        <w:rPr>
          <w:rFonts w:eastAsiaTheme="minorEastAsia"/>
          <w:b/>
          <w:bCs/>
          <w:color w:val="000000"/>
          <w:szCs w:val="28"/>
        </w:rPr>
      </w:pPr>
      <w:bookmarkStart w:id="142" w:name="_Toc20681"/>
      <w:bookmarkStart w:id="143" w:name="_Toc87280465"/>
      <w:r>
        <w:rPr>
          <w:rFonts w:eastAsiaTheme="minorEastAsia"/>
          <w:b/>
          <w:bCs/>
          <w:color w:val="000000"/>
          <w:szCs w:val="28"/>
        </w:rPr>
        <w:t>2.7.2  油气集输工程</w:t>
      </w:r>
      <w:bookmarkEnd w:id="142"/>
      <w:bookmarkEnd w:id="143"/>
    </w:p>
    <w:p>
      <w:pPr>
        <w:ind w:firstLine="0" w:firstLineChars="0"/>
        <w:outlineLvl w:val="3"/>
        <w:rPr>
          <w:rFonts w:eastAsiaTheme="minorEastAsia"/>
          <w:bCs/>
          <w:color w:val="000000"/>
          <w:szCs w:val="28"/>
        </w:rPr>
      </w:pPr>
      <w:r>
        <w:rPr>
          <w:rFonts w:eastAsiaTheme="minorEastAsia"/>
          <w:bCs/>
          <w:color w:val="000000"/>
          <w:szCs w:val="28"/>
        </w:rPr>
        <w:t>2.7.2.1  基础数据</w:t>
      </w:r>
    </w:p>
    <w:p>
      <w:pPr>
        <w:ind w:firstLine="560"/>
        <w:rPr>
          <w:rFonts w:eastAsiaTheme="minorEastAsia"/>
          <w:bCs/>
          <w:color w:val="000000"/>
          <w:szCs w:val="28"/>
        </w:rPr>
      </w:pPr>
      <w:r>
        <w:rPr>
          <w:rFonts w:eastAsiaTheme="minorEastAsia"/>
          <w:bCs/>
          <w:color w:val="000000"/>
          <w:szCs w:val="28"/>
        </w:rPr>
        <w:t>1）设计参数</w:t>
      </w:r>
    </w:p>
    <w:p>
      <w:pPr>
        <w:ind w:firstLine="560"/>
        <w:rPr>
          <w:rFonts w:eastAsiaTheme="minorEastAsia"/>
        </w:rPr>
      </w:pPr>
      <w:r>
        <w:rPr>
          <w:rFonts w:eastAsiaTheme="minorEastAsia"/>
        </w:rPr>
        <w:t>部署油井                 6口</w:t>
      </w:r>
    </w:p>
    <w:p>
      <w:pPr>
        <w:ind w:firstLine="560"/>
        <w:rPr>
          <w:rFonts w:eastAsiaTheme="minorEastAsia"/>
        </w:rPr>
      </w:pPr>
      <w:r>
        <w:rPr>
          <w:rFonts w:eastAsiaTheme="minorEastAsia"/>
        </w:rPr>
        <w:t>单井产油量               3.7t/d（第2年）</w:t>
      </w:r>
    </w:p>
    <w:p>
      <w:pPr>
        <w:ind w:firstLine="560"/>
        <w:rPr>
          <w:rFonts w:eastAsiaTheme="minorEastAsia"/>
        </w:rPr>
      </w:pPr>
      <w:r>
        <w:rPr>
          <w:rFonts w:eastAsiaTheme="minorEastAsia"/>
        </w:rPr>
        <w:t>单井产液量               26.3t/d（第2年）</w:t>
      </w:r>
    </w:p>
    <w:p>
      <w:pPr>
        <w:ind w:firstLine="560"/>
        <w:rPr>
          <w:rFonts w:eastAsiaTheme="minorEastAsia"/>
        </w:rPr>
      </w:pPr>
      <w:r>
        <w:rPr>
          <w:rFonts w:eastAsiaTheme="minorEastAsia"/>
        </w:rPr>
        <w:t>单井产油量               1.2t/d（第14年）</w:t>
      </w:r>
    </w:p>
    <w:p>
      <w:pPr>
        <w:ind w:firstLine="560"/>
        <w:rPr>
          <w:rFonts w:eastAsiaTheme="minorEastAsia"/>
        </w:rPr>
      </w:pPr>
      <w:r>
        <w:rPr>
          <w:rFonts w:eastAsiaTheme="minorEastAsia"/>
        </w:rPr>
        <w:t>单井产液量               42.0t/d（第14年）</w:t>
      </w:r>
    </w:p>
    <w:p>
      <w:pPr>
        <w:ind w:firstLine="560"/>
        <w:rPr>
          <w:rFonts w:eastAsiaTheme="minorEastAsia"/>
        </w:rPr>
      </w:pPr>
      <w:r>
        <w:rPr>
          <w:rFonts w:eastAsiaTheme="minorEastAsia"/>
        </w:rPr>
        <w:t>区块最大日产油量         27.6t/d</w:t>
      </w:r>
    </w:p>
    <w:p>
      <w:pPr>
        <w:ind w:firstLine="560"/>
        <w:rPr>
          <w:rFonts w:eastAsiaTheme="minorEastAsia"/>
        </w:rPr>
      </w:pPr>
      <w:r>
        <w:rPr>
          <w:rFonts w:eastAsiaTheme="minorEastAsia"/>
        </w:rPr>
        <w:t>区块最大日产液量         254.4t/d</w:t>
      </w:r>
    </w:p>
    <w:p>
      <w:pPr>
        <w:ind w:firstLine="560"/>
        <w:rPr>
          <w:rFonts w:eastAsiaTheme="minorEastAsia"/>
        </w:rPr>
      </w:pPr>
      <w:r>
        <w:rPr>
          <w:rFonts w:eastAsiaTheme="minorEastAsia"/>
        </w:rPr>
        <w:t>综合含水                 81.6～97.3%</w:t>
      </w:r>
    </w:p>
    <w:p>
      <w:pPr>
        <w:ind w:firstLine="560"/>
        <w:rPr>
          <w:rFonts w:eastAsiaTheme="minorEastAsia"/>
        </w:rPr>
      </w:pPr>
      <w:r>
        <w:rPr>
          <w:rFonts w:eastAsiaTheme="minorEastAsia"/>
        </w:rPr>
        <w:t>井口出油温度             30℃～35℃</w:t>
      </w:r>
    </w:p>
    <w:p>
      <w:pPr>
        <w:ind w:firstLine="560"/>
        <w:rPr>
          <w:rFonts w:eastAsiaTheme="minorEastAsia"/>
        </w:rPr>
      </w:pPr>
      <w:r>
        <w:rPr>
          <w:rFonts w:eastAsiaTheme="minorEastAsia"/>
        </w:rPr>
        <w:t>井口回压                 ≤1.0 MPa</w:t>
      </w:r>
    </w:p>
    <w:p>
      <w:pPr>
        <w:ind w:firstLine="560"/>
        <w:rPr>
          <w:rFonts w:eastAsiaTheme="minorEastAsia"/>
        </w:rPr>
      </w:pPr>
      <w:r>
        <w:rPr>
          <w:rFonts w:eastAsiaTheme="minorEastAsia"/>
        </w:rPr>
        <w:t>联合站进站压力           ≥0.22MPa</w:t>
      </w:r>
    </w:p>
    <w:p>
      <w:pPr>
        <w:ind w:firstLine="560"/>
        <w:rPr>
          <w:rFonts w:eastAsiaTheme="minorEastAsia"/>
        </w:rPr>
      </w:pPr>
      <w:r>
        <w:rPr>
          <w:rFonts w:eastAsiaTheme="minorEastAsia"/>
        </w:rPr>
        <w:t>2）原油及地层水物性</w:t>
      </w:r>
    </w:p>
    <w:p>
      <w:pPr>
        <w:ind w:firstLine="560"/>
        <w:rPr>
          <w:rFonts w:eastAsiaTheme="minorEastAsia"/>
          <w:szCs w:val="28"/>
        </w:rPr>
      </w:pPr>
      <w:r>
        <w:rPr>
          <w:rFonts w:eastAsiaTheme="minorEastAsia"/>
          <w:szCs w:val="28"/>
        </w:rPr>
        <w:t>地面原油平均密度         0.9621～0.9881g/cm</w:t>
      </w:r>
      <w:r>
        <w:rPr>
          <w:rFonts w:eastAsiaTheme="minorEastAsia"/>
          <w:szCs w:val="28"/>
          <w:vertAlign w:val="superscript"/>
        </w:rPr>
        <w:t>3</w:t>
      </w:r>
    </w:p>
    <w:p>
      <w:pPr>
        <w:ind w:firstLine="560"/>
        <w:rPr>
          <w:rFonts w:eastAsiaTheme="minorEastAsia"/>
          <w:szCs w:val="28"/>
        </w:rPr>
      </w:pPr>
      <w:r>
        <w:rPr>
          <w:rFonts w:eastAsiaTheme="minorEastAsia"/>
          <w:szCs w:val="28"/>
        </w:rPr>
        <w:t>地面原油粘度             1267～15677mPa·s</w:t>
      </w:r>
    </w:p>
    <w:p>
      <w:pPr>
        <w:ind w:firstLine="560"/>
        <w:rPr>
          <w:rFonts w:eastAsiaTheme="minorEastAsia"/>
          <w:szCs w:val="28"/>
        </w:rPr>
      </w:pPr>
      <w:r>
        <w:rPr>
          <w:rFonts w:eastAsiaTheme="minorEastAsia"/>
          <w:szCs w:val="28"/>
        </w:rPr>
        <w:t>凝固点                   28℃</w:t>
      </w:r>
    </w:p>
    <w:p>
      <w:pPr>
        <w:ind w:firstLine="560"/>
        <w:rPr>
          <w:rFonts w:eastAsiaTheme="minorEastAsia"/>
          <w:szCs w:val="28"/>
        </w:rPr>
      </w:pPr>
      <w:r>
        <w:rPr>
          <w:rFonts w:eastAsiaTheme="minorEastAsia"/>
          <w:szCs w:val="28"/>
        </w:rPr>
        <w:t>地层水总矿化度           1.7153×104mg/l</w:t>
      </w:r>
    </w:p>
    <w:p>
      <w:pPr>
        <w:ind w:firstLine="560"/>
        <w:rPr>
          <w:rFonts w:eastAsiaTheme="minorEastAsia"/>
          <w:szCs w:val="28"/>
        </w:rPr>
      </w:pPr>
      <w:r>
        <w:rPr>
          <w:rFonts w:eastAsiaTheme="minorEastAsia"/>
          <w:szCs w:val="28"/>
        </w:rPr>
        <w:t>水型                     CaCl</w:t>
      </w:r>
      <w:r>
        <w:rPr>
          <w:rFonts w:eastAsiaTheme="minorEastAsia"/>
          <w:szCs w:val="28"/>
          <w:vertAlign w:val="subscript"/>
        </w:rPr>
        <w:t>2</w:t>
      </w:r>
      <w:r>
        <w:rPr>
          <w:rFonts w:eastAsiaTheme="minorEastAsia"/>
          <w:szCs w:val="28"/>
        </w:rPr>
        <w:t>。</w:t>
      </w:r>
    </w:p>
    <w:p>
      <w:pPr>
        <w:ind w:firstLine="0" w:firstLineChars="0"/>
        <w:outlineLvl w:val="3"/>
        <w:rPr>
          <w:rFonts w:eastAsiaTheme="minorEastAsia"/>
          <w:bCs/>
          <w:color w:val="000000"/>
          <w:szCs w:val="28"/>
        </w:rPr>
      </w:pPr>
      <w:r>
        <w:rPr>
          <w:rFonts w:eastAsiaTheme="minorEastAsia"/>
          <w:bCs/>
          <w:color w:val="000000"/>
          <w:szCs w:val="28"/>
        </w:rPr>
        <w:t>2.7.2.2  油气集输方案设计</w:t>
      </w:r>
    </w:p>
    <w:p>
      <w:pPr>
        <w:ind w:firstLine="560"/>
        <w:rPr>
          <w:rFonts w:eastAsiaTheme="minorEastAsia"/>
          <w:bCs/>
          <w:color w:val="000000"/>
          <w:szCs w:val="28"/>
        </w:rPr>
      </w:pPr>
      <w:r>
        <w:rPr>
          <w:rFonts w:eastAsiaTheme="minorEastAsia"/>
          <w:bCs/>
          <w:color w:val="000000"/>
          <w:szCs w:val="28"/>
        </w:rPr>
        <w:t>1）概述</w:t>
      </w:r>
    </w:p>
    <w:p>
      <w:pPr>
        <w:ind w:firstLine="560"/>
        <w:rPr>
          <w:rFonts w:eastAsiaTheme="minorEastAsia"/>
          <w:bCs/>
          <w:color w:val="000000"/>
          <w:szCs w:val="28"/>
        </w:rPr>
      </w:pPr>
      <w:r>
        <w:rPr>
          <w:rFonts w:eastAsiaTheme="minorEastAsia"/>
          <w:bCs/>
          <w:color w:val="000000"/>
          <w:szCs w:val="28"/>
        </w:rPr>
        <w:t>目前，有杆泵井采用示功图不间断计量，电潜螺杆泵及电泵井采用非抽流量计不间断计量，为后续油藏开发提供详细的数据。采集的液量数据通过井场已建RTU上传至管理区。</w:t>
      </w:r>
    </w:p>
    <w:p>
      <w:pPr>
        <w:ind w:firstLine="560"/>
        <w:rPr>
          <w:rFonts w:eastAsiaTheme="minorEastAsia"/>
          <w:bCs/>
          <w:color w:val="000000"/>
          <w:szCs w:val="28"/>
        </w:rPr>
      </w:pPr>
      <w:r>
        <w:rPr>
          <w:rFonts w:eastAsiaTheme="minorEastAsia"/>
          <w:bCs/>
          <w:color w:val="000000"/>
          <w:szCs w:val="28"/>
        </w:rPr>
        <w:t>井区周边已建有完善的集输系统，因此本次方案设计油气集输依托已建的集输管网，单井产液井口计量后就近输入已建集输管网，产液输至联合站。</w:t>
      </w:r>
    </w:p>
    <w:p>
      <w:pPr>
        <w:ind w:firstLine="584"/>
        <w:rPr>
          <w:rFonts w:eastAsiaTheme="minorEastAsia"/>
          <w:bCs/>
          <w:color w:val="000000"/>
          <w:spacing w:val="6"/>
          <w:kern w:val="21"/>
          <w:szCs w:val="21"/>
        </w:rPr>
      </w:pPr>
      <w:r>
        <w:rPr>
          <w:rFonts w:eastAsiaTheme="minorEastAsia"/>
          <w:bCs/>
          <w:color w:val="000000"/>
          <w:spacing w:val="6"/>
          <w:kern w:val="21"/>
          <w:szCs w:val="21"/>
        </w:rPr>
        <w:t>2）标准化井场</w:t>
      </w:r>
    </w:p>
    <w:p>
      <w:pPr>
        <w:pStyle w:val="44"/>
        <w:ind w:firstLine="600"/>
        <w:rPr>
          <w:rFonts w:ascii="Times New Roman" w:hAnsi="Times New Roman" w:eastAsiaTheme="minorEastAsia"/>
          <w:bCs/>
          <w:color w:val="000000" w:themeColor="text1"/>
          <w:spacing w:val="10"/>
          <w:szCs w:val="28"/>
          <w14:textFill>
            <w14:solidFill>
              <w14:schemeClr w14:val="tx1"/>
            </w14:solidFill>
          </w14:textFill>
        </w:rPr>
      </w:pPr>
      <w:r>
        <w:rPr>
          <w:rFonts w:ascii="Times New Roman" w:hAnsi="Times New Roman" w:eastAsiaTheme="minorEastAsia"/>
          <w:bCs/>
          <w:color w:val="000000" w:themeColor="text1"/>
          <w:spacing w:val="10"/>
          <w:szCs w:val="28"/>
          <w14:textFill>
            <w14:solidFill>
              <w14:schemeClr w14:val="tx1"/>
            </w14:solidFill>
          </w14:textFill>
        </w:rPr>
        <w:t>（1）单元设备</w:t>
      </w:r>
    </w:p>
    <w:p>
      <w:pPr>
        <w:pStyle w:val="44"/>
        <w:ind w:firstLine="600"/>
        <w:rPr>
          <w:rFonts w:ascii="Times New Roman" w:hAnsi="Times New Roman" w:eastAsiaTheme="minorEastAsia"/>
          <w:bCs/>
          <w:color w:val="000000" w:themeColor="text1"/>
          <w:spacing w:val="10"/>
          <w:szCs w:val="28"/>
          <w14:textFill>
            <w14:solidFill>
              <w14:schemeClr w14:val="tx1"/>
            </w14:solidFill>
          </w14:textFill>
        </w:rPr>
      </w:pPr>
      <w:r>
        <w:rPr>
          <w:rFonts w:ascii="Times New Roman" w:hAnsi="Times New Roman" w:eastAsiaTheme="minorEastAsia"/>
          <w:bCs/>
          <w:color w:val="000000" w:themeColor="text1"/>
          <w:spacing w:val="10"/>
          <w:szCs w:val="28"/>
          <w14:textFill>
            <w14:solidFill>
              <w14:schemeClr w14:val="tx1"/>
            </w14:solidFill>
          </w14:textFill>
        </w:rPr>
        <w:t>①单井远传在线计量（非抽在线计量）</w:t>
      </w:r>
    </w:p>
    <w:p>
      <w:pPr>
        <w:pStyle w:val="44"/>
        <w:ind w:firstLine="600"/>
        <w:rPr>
          <w:rFonts w:ascii="Times New Roman" w:hAnsi="Times New Roman" w:eastAsiaTheme="minorEastAsia"/>
          <w:bCs/>
          <w:color w:val="000000" w:themeColor="text1"/>
          <w:spacing w:val="10"/>
          <w:szCs w:val="28"/>
          <w14:textFill>
            <w14:solidFill>
              <w14:schemeClr w14:val="tx1"/>
            </w14:solidFill>
          </w14:textFill>
        </w:rPr>
      </w:pPr>
      <w:r>
        <w:rPr>
          <w:rFonts w:ascii="Times New Roman" w:hAnsi="Times New Roman" w:eastAsiaTheme="minorEastAsia"/>
          <w:bCs/>
          <w:color w:val="000000" w:themeColor="text1"/>
          <w:spacing w:val="10"/>
          <w:szCs w:val="28"/>
          <w14:textFill>
            <w14:solidFill>
              <w14:schemeClr w14:val="tx1"/>
            </w14:solidFill>
          </w14:textFill>
        </w:rPr>
        <w:t>单井计量采用单井远传在线计量技术，单井远程在线计量与分析系统是以采油工程技术、通信技术和计算机技术相结合的系统，具有油井自动监测和控制、实时数据采集、油井工况诊断优化设计、油井液量计量等功能。</w:t>
      </w:r>
    </w:p>
    <w:p>
      <w:pPr>
        <w:pStyle w:val="44"/>
        <w:ind w:firstLine="600"/>
        <w:rPr>
          <w:rFonts w:ascii="Times New Roman" w:hAnsi="Times New Roman" w:eastAsiaTheme="minorEastAsia"/>
          <w:bCs/>
          <w:color w:val="000000" w:themeColor="text1"/>
          <w:spacing w:val="10"/>
          <w:szCs w:val="28"/>
          <w14:textFill>
            <w14:solidFill>
              <w14:schemeClr w14:val="tx1"/>
            </w14:solidFill>
          </w14:textFill>
        </w:rPr>
      </w:pPr>
      <w:r>
        <w:rPr>
          <w:rFonts w:ascii="Times New Roman" w:hAnsi="Times New Roman" w:eastAsiaTheme="minorEastAsia"/>
          <w:bCs/>
          <w:color w:val="000000" w:themeColor="text1"/>
          <w:spacing w:val="10"/>
          <w:szCs w:val="28"/>
          <w14:textFill>
            <w14:solidFill>
              <w14:schemeClr w14:val="tx1"/>
            </w14:solidFill>
          </w14:textFill>
        </w:rPr>
        <w:t>②井口安装温度、压力变送器</w:t>
      </w:r>
    </w:p>
    <w:p>
      <w:pPr>
        <w:pStyle w:val="44"/>
        <w:ind w:firstLine="600"/>
        <w:rPr>
          <w:rFonts w:ascii="Times New Roman" w:hAnsi="Times New Roman" w:eastAsiaTheme="minorEastAsia"/>
          <w:bCs/>
          <w:color w:val="000000" w:themeColor="text1"/>
          <w:spacing w:val="10"/>
          <w:szCs w:val="28"/>
          <w14:textFill>
            <w14:solidFill>
              <w14:schemeClr w14:val="tx1"/>
            </w14:solidFill>
          </w14:textFill>
        </w:rPr>
      </w:pPr>
      <w:r>
        <w:rPr>
          <w:rFonts w:ascii="Times New Roman" w:hAnsi="Times New Roman" w:eastAsiaTheme="minorEastAsia"/>
          <w:bCs/>
          <w:color w:val="000000" w:themeColor="text1"/>
          <w:spacing w:val="10"/>
          <w:szCs w:val="28"/>
          <w14:textFill>
            <w14:solidFill>
              <w14:schemeClr w14:val="tx1"/>
            </w14:solidFill>
          </w14:textFill>
        </w:rPr>
        <w:t>本工程井口安装温度和压力变送器（带就地指示功能），实现井口回压、套压、出油温度实时监测，消除安全隐患，保证生产。考虑油井经常检修作业，因此温变和压变采用无线传输，每口油井配套RTU一套，通过RTU采集上传至生产指挥中心，实现温度、压力远程在线监控。温变、压变工程量详见自控部分工程量。</w:t>
      </w:r>
    </w:p>
    <w:p>
      <w:pPr>
        <w:pStyle w:val="44"/>
        <w:ind w:firstLine="600"/>
        <w:rPr>
          <w:rFonts w:ascii="Times New Roman" w:hAnsi="Times New Roman" w:eastAsiaTheme="minorEastAsia"/>
          <w:bCs/>
          <w:color w:val="000000" w:themeColor="text1"/>
          <w:spacing w:val="10"/>
          <w:szCs w:val="28"/>
          <w14:textFill>
            <w14:solidFill>
              <w14:schemeClr w14:val="tx1"/>
            </w14:solidFill>
          </w14:textFill>
        </w:rPr>
      </w:pPr>
      <w:r>
        <w:rPr>
          <w:rFonts w:ascii="Times New Roman" w:hAnsi="Times New Roman" w:eastAsiaTheme="minorEastAsia"/>
          <w:bCs/>
          <w:color w:val="000000" w:themeColor="text1"/>
          <w:spacing w:val="10"/>
          <w:szCs w:val="28"/>
          <w14:textFill>
            <w14:solidFill>
              <w14:schemeClr w14:val="tx1"/>
            </w14:solidFill>
          </w14:textFill>
        </w:rPr>
        <w:t>③油井安装用电计量监控远传装置</w:t>
      </w:r>
    </w:p>
    <w:p>
      <w:pPr>
        <w:pStyle w:val="44"/>
        <w:ind w:firstLine="600"/>
        <w:rPr>
          <w:rFonts w:ascii="Times New Roman" w:hAnsi="Times New Roman" w:eastAsiaTheme="minorEastAsia"/>
          <w:bCs/>
          <w:color w:val="000000" w:themeColor="text1"/>
          <w:spacing w:val="10"/>
          <w:szCs w:val="28"/>
          <w14:textFill>
            <w14:solidFill>
              <w14:schemeClr w14:val="tx1"/>
            </w14:solidFill>
          </w14:textFill>
        </w:rPr>
      </w:pPr>
      <w:r>
        <w:rPr>
          <w:rFonts w:ascii="Times New Roman" w:hAnsi="Times New Roman" w:eastAsiaTheme="minorEastAsia"/>
          <w:bCs/>
          <w:color w:val="000000" w:themeColor="text1"/>
          <w:spacing w:val="10"/>
          <w:szCs w:val="28"/>
          <w14:textFill>
            <w14:solidFill>
              <w14:schemeClr w14:val="tx1"/>
            </w14:solidFill>
          </w14:textFill>
        </w:rPr>
        <w:t>电流电压是反映油井综合生产情况的重要数据，每口油井控制柜配套安装用电计量监控远传装置，通过油井RTU，数据上传至生产指挥中心。实现电量实时查询、分析、预警功能，摸清节能降耗潜力，对油井电量波动进行预警、分析治理。达到基层单位准确掌握本单位的电能消耗状况、分析能耗变化原因、监控生产设备运行的目的，实现考核有依据，管理有重点，措施有方向，达到精细化用电管理的目标。</w:t>
      </w:r>
    </w:p>
    <w:p>
      <w:pPr>
        <w:pStyle w:val="44"/>
        <w:ind w:firstLine="600"/>
        <w:rPr>
          <w:rFonts w:ascii="Times New Roman" w:hAnsi="Times New Roman" w:eastAsiaTheme="minorEastAsia"/>
          <w:bCs/>
          <w:color w:val="000000" w:themeColor="text1"/>
          <w:spacing w:val="10"/>
          <w:szCs w:val="28"/>
          <w14:textFill>
            <w14:solidFill>
              <w14:schemeClr w14:val="tx1"/>
            </w14:solidFill>
          </w14:textFill>
        </w:rPr>
      </w:pPr>
      <w:r>
        <w:rPr>
          <w:rFonts w:ascii="Times New Roman" w:hAnsi="Times New Roman" w:eastAsiaTheme="minorEastAsia"/>
          <w:bCs/>
          <w:color w:val="000000" w:themeColor="text1"/>
          <w:spacing w:val="10"/>
          <w:szCs w:val="28"/>
          <w14:textFill>
            <w14:solidFill>
              <w14:schemeClr w14:val="tx1"/>
            </w14:solidFill>
          </w14:textFill>
        </w:rPr>
        <w:t>（2）平面布置</w:t>
      </w:r>
    </w:p>
    <w:p>
      <w:pPr>
        <w:pStyle w:val="44"/>
        <w:ind w:firstLine="600"/>
        <w:rPr>
          <w:rFonts w:ascii="Times New Roman" w:hAnsi="Times New Roman" w:eastAsiaTheme="minorEastAsia"/>
          <w:bCs/>
          <w:color w:val="000000" w:themeColor="text1"/>
          <w:spacing w:val="10"/>
          <w:szCs w:val="28"/>
          <w14:textFill>
            <w14:solidFill>
              <w14:schemeClr w14:val="tx1"/>
            </w14:solidFill>
          </w14:textFill>
        </w:rPr>
      </w:pPr>
      <w:r>
        <w:rPr>
          <w:rFonts w:ascii="Times New Roman" w:hAnsi="Times New Roman" w:eastAsiaTheme="minorEastAsia"/>
          <w:bCs/>
          <w:color w:val="000000" w:themeColor="text1"/>
          <w:spacing w:val="10"/>
          <w:szCs w:val="28"/>
          <w14:textFill>
            <w14:solidFill>
              <w14:schemeClr w14:val="tx1"/>
            </w14:solidFill>
          </w14:textFill>
        </w:rPr>
        <w:t>营1-斜118井场采用井口槽设计，油水井井口位于井口槽内，平面布置严格执行国家、行业有关规范和规定，做到了土地空间利用最省，工艺流程走向合理，平面布置美观，充分提高土地利用率。</w:t>
      </w:r>
    </w:p>
    <w:p>
      <w:pPr>
        <w:pStyle w:val="44"/>
        <w:ind w:firstLine="0" w:firstLineChars="0"/>
        <w:jc w:val="center"/>
        <w:rPr>
          <w:rFonts w:ascii="Times New Roman" w:hAnsi="Times New Roman" w:eastAsiaTheme="minorEastAsia"/>
          <w:bCs/>
          <w:color w:val="000000" w:themeColor="text1"/>
          <w:spacing w:val="10"/>
          <w:szCs w:val="28"/>
          <w14:textFill>
            <w14:solidFill>
              <w14:schemeClr w14:val="tx1"/>
            </w14:solidFill>
          </w14:textFill>
        </w:rPr>
      </w:pPr>
    </w:p>
    <w:p>
      <w:pPr>
        <w:pStyle w:val="44"/>
        <w:ind w:firstLine="0" w:firstLineChars="0"/>
        <w:jc w:val="center"/>
        <w:rPr>
          <w:rFonts w:ascii="Times New Roman" w:hAnsi="Times New Roman" w:eastAsiaTheme="minorEastAsia"/>
          <w:b/>
          <w:color w:val="000000" w:themeColor="text1"/>
          <w:spacing w:val="10"/>
          <w:sz w:val="24"/>
          <w:szCs w:val="24"/>
          <w14:textFill>
            <w14:solidFill>
              <w14:schemeClr w14:val="tx1"/>
            </w14:solidFill>
          </w14:textFill>
        </w:rPr>
      </w:pPr>
      <w:r>
        <w:rPr>
          <w:rFonts w:ascii="Times New Roman" w:hAnsi="Times New Roman" w:eastAsiaTheme="minorEastAsia"/>
          <w:b/>
          <w:color w:val="000000" w:themeColor="text1"/>
          <w:spacing w:val="10"/>
          <w:sz w:val="24"/>
          <w:szCs w:val="24"/>
          <w14:textFill>
            <w14:solidFill>
              <w14:schemeClr w14:val="tx1"/>
            </w14:solidFill>
          </w14:textFill>
        </w:rPr>
        <w:t xml:space="preserve">图2.7-1  </w:t>
      </w:r>
      <w:r>
        <w:rPr>
          <w:rFonts w:ascii="Times New Roman" w:hAnsi="Times New Roman" w:eastAsiaTheme="minorEastAsia"/>
          <w:b/>
          <w:color w:val="000000" w:themeColor="text1"/>
          <w:spacing w:val="10"/>
          <w:sz w:val="24"/>
          <w:szCs w:val="24"/>
          <w:lang w:val="en-GB"/>
          <w14:textFill>
            <w14:solidFill>
              <w14:schemeClr w14:val="tx1"/>
            </w14:solidFill>
          </w14:textFill>
        </w:rPr>
        <w:t>井区地面</w:t>
      </w:r>
      <w:r>
        <w:rPr>
          <w:rFonts w:ascii="Times New Roman" w:hAnsi="Times New Roman" w:eastAsiaTheme="minorEastAsia"/>
          <w:b/>
          <w:color w:val="000000" w:themeColor="text1"/>
          <w:spacing w:val="10"/>
          <w:sz w:val="24"/>
          <w:szCs w:val="24"/>
          <w14:textFill>
            <w14:solidFill>
              <w14:schemeClr w14:val="tx1"/>
            </w14:solidFill>
          </w14:textFill>
        </w:rPr>
        <w:t>集输流程示意图</w:t>
      </w:r>
    </w:p>
    <w:p>
      <w:pPr>
        <w:pStyle w:val="44"/>
        <w:ind w:firstLine="600"/>
        <w:rPr>
          <w:rFonts w:ascii="Times New Roman" w:hAnsi="Times New Roman" w:eastAsiaTheme="minorEastAsia"/>
          <w:bCs/>
          <w:color w:val="000000" w:themeColor="text1"/>
          <w:spacing w:val="10"/>
          <w:szCs w:val="28"/>
          <w14:textFill>
            <w14:solidFill>
              <w14:schemeClr w14:val="tx1"/>
            </w14:solidFill>
          </w14:textFill>
        </w:rPr>
      </w:pPr>
      <w:r>
        <w:rPr>
          <w:rFonts w:ascii="Times New Roman" w:hAnsi="Times New Roman" w:eastAsiaTheme="minorEastAsia"/>
          <w:bCs/>
          <w:color w:val="000000" w:themeColor="text1"/>
          <w:spacing w:val="10"/>
          <w:szCs w:val="28"/>
          <w14:textFill>
            <w14:solidFill>
              <w14:schemeClr w14:val="tx1"/>
            </w14:solidFill>
          </w14:textFill>
        </w:rPr>
        <w:t>4）联合站能力校核</w:t>
      </w:r>
    </w:p>
    <w:p>
      <w:pPr>
        <w:pStyle w:val="44"/>
        <w:ind w:firstLine="600"/>
        <w:rPr>
          <w:rFonts w:ascii="Times New Roman" w:hAnsi="Times New Roman" w:eastAsiaTheme="minorEastAsia"/>
          <w:bCs/>
          <w:color w:val="000000" w:themeColor="text1"/>
          <w:spacing w:val="10"/>
          <w:szCs w:val="28"/>
          <w14:textFill>
            <w14:solidFill>
              <w14:schemeClr w14:val="tx1"/>
            </w14:solidFill>
          </w14:textFill>
        </w:rPr>
      </w:pPr>
      <w:r>
        <w:rPr>
          <w:rFonts w:ascii="Times New Roman" w:hAnsi="Times New Roman" w:eastAsiaTheme="minorEastAsia"/>
          <w:bCs/>
          <w:color w:val="000000" w:themeColor="text1"/>
          <w:spacing w:val="10"/>
          <w:szCs w:val="28"/>
          <w14:textFill>
            <w14:solidFill>
              <w14:schemeClr w14:val="tx1"/>
            </w14:solidFill>
          </w14:textFill>
        </w:rPr>
        <w:t>对102联合站进行能力校核，能够满足井区新井生产需求。</w:t>
      </w:r>
    </w:p>
    <w:p>
      <w:pPr>
        <w:pStyle w:val="44"/>
        <w:ind w:firstLine="0" w:firstLineChars="0"/>
        <w:jc w:val="center"/>
        <w:rPr>
          <w:rFonts w:ascii="Times New Roman" w:hAnsi="Times New Roman" w:eastAsiaTheme="minorEastAsia"/>
          <w:b/>
          <w:color w:val="000000" w:themeColor="text1"/>
          <w:spacing w:val="10"/>
          <w:sz w:val="24"/>
          <w:szCs w:val="24"/>
          <w14:textFill>
            <w14:solidFill>
              <w14:schemeClr w14:val="tx1"/>
            </w14:solidFill>
          </w14:textFill>
        </w:rPr>
      </w:pPr>
      <w:r>
        <w:rPr>
          <w:rFonts w:ascii="Times New Roman" w:hAnsi="Times New Roman" w:eastAsiaTheme="minorEastAsia"/>
          <w:b/>
          <w:color w:val="000000" w:themeColor="text1"/>
          <w:spacing w:val="10"/>
          <w:sz w:val="24"/>
          <w:szCs w:val="24"/>
          <w14:textFill>
            <w14:solidFill>
              <w14:schemeClr w14:val="tx1"/>
            </w14:solidFill>
          </w14:textFill>
        </w:rPr>
        <w:t>表2.7-1  联合站运行能力校核表</w:t>
      </w:r>
    </w:p>
    <w:tbl>
      <w:tblPr>
        <w:tblStyle w:val="4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700"/>
        <w:gridCol w:w="1709"/>
        <w:gridCol w:w="1737"/>
        <w:gridCol w:w="1737"/>
        <w:gridCol w:w="1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98" w:type="pct"/>
            <w:tcBorders>
              <w:top w:val="single" w:color="000000" w:sz="12" w:space="0"/>
              <w:left w:val="single" w:color="000000" w:sz="12" w:space="0"/>
            </w:tcBorders>
            <w:vAlign w:val="center"/>
          </w:tcPr>
          <w:p>
            <w:pPr>
              <w:widowControl/>
              <w:spacing w:line="240" w:lineRule="auto"/>
              <w:ind w:firstLine="0" w:firstLineChars="0"/>
              <w:jc w:val="center"/>
              <w:rPr>
                <w:rFonts w:eastAsiaTheme="minorEastAsia"/>
                <w:b/>
                <w:snapToGrid/>
                <w:sz w:val="21"/>
                <w:szCs w:val="21"/>
              </w:rPr>
            </w:pPr>
            <w:r>
              <w:rPr>
                <w:rFonts w:eastAsiaTheme="minorEastAsia"/>
                <w:b/>
                <w:snapToGrid/>
                <w:sz w:val="21"/>
                <w:szCs w:val="21"/>
              </w:rPr>
              <w:t>联合站名称</w:t>
            </w:r>
          </w:p>
        </w:tc>
        <w:tc>
          <w:tcPr>
            <w:tcW w:w="412" w:type="pct"/>
            <w:tcBorders>
              <w:top w:val="single" w:color="000000" w:sz="12" w:space="0"/>
            </w:tcBorders>
            <w:vAlign w:val="center"/>
          </w:tcPr>
          <w:p>
            <w:pPr>
              <w:widowControl/>
              <w:spacing w:line="240" w:lineRule="auto"/>
              <w:ind w:firstLine="0" w:firstLineChars="0"/>
              <w:jc w:val="center"/>
              <w:rPr>
                <w:rFonts w:eastAsiaTheme="minorEastAsia"/>
                <w:b/>
                <w:snapToGrid/>
                <w:sz w:val="21"/>
                <w:szCs w:val="21"/>
              </w:rPr>
            </w:pPr>
          </w:p>
        </w:tc>
        <w:tc>
          <w:tcPr>
            <w:tcW w:w="1006" w:type="pct"/>
            <w:tcBorders>
              <w:top w:val="single" w:color="000000" w:sz="12" w:space="0"/>
            </w:tcBorders>
            <w:vAlign w:val="center"/>
          </w:tcPr>
          <w:p>
            <w:pPr>
              <w:widowControl/>
              <w:spacing w:line="240" w:lineRule="auto"/>
              <w:ind w:firstLine="0" w:firstLineChars="0"/>
              <w:jc w:val="center"/>
              <w:rPr>
                <w:rFonts w:eastAsiaTheme="minorEastAsia"/>
                <w:b/>
                <w:snapToGrid/>
                <w:sz w:val="21"/>
                <w:szCs w:val="21"/>
              </w:rPr>
            </w:pPr>
            <w:r>
              <w:rPr>
                <w:rFonts w:eastAsiaTheme="minorEastAsia"/>
                <w:b/>
                <w:snapToGrid/>
                <w:sz w:val="21"/>
                <w:szCs w:val="21"/>
              </w:rPr>
              <w:t>设计能力</w:t>
            </w:r>
          </w:p>
          <w:p>
            <w:pPr>
              <w:widowControl/>
              <w:spacing w:line="240" w:lineRule="auto"/>
              <w:ind w:firstLine="0" w:firstLineChars="0"/>
              <w:jc w:val="center"/>
              <w:rPr>
                <w:rFonts w:eastAsiaTheme="minorEastAsia"/>
                <w:b/>
                <w:snapToGrid/>
                <w:sz w:val="21"/>
                <w:szCs w:val="21"/>
              </w:rPr>
            </w:pPr>
            <w:r>
              <w:rPr>
                <w:rFonts w:eastAsiaTheme="minorEastAsia"/>
                <w:b/>
                <w:snapToGrid/>
                <w:sz w:val="21"/>
                <w:szCs w:val="21"/>
              </w:rPr>
              <w:t>（×10</w:t>
            </w:r>
            <w:r>
              <w:rPr>
                <w:rFonts w:eastAsiaTheme="minorEastAsia"/>
                <w:b/>
                <w:snapToGrid/>
                <w:sz w:val="21"/>
                <w:szCs w:val="21"/>
                <w:vertAlign w:val="superscript"/>
              </w:rPr>
              <w:t>4</w:t>
            </w:r>
            <w:r>
              <w:rPr>
                <w:rFonts w:eastAsiaTheme="minorEastAsia"/>
                <w:b/>
                <w:snapToGrid/>
                <w:sz w:val="21"/>
                <w:szCs w:val="21"/>
              </w:rPr>
              <w:t>m</w:t>
            </w:r>
            <w:r>
              <w:rPr>
                <w:rFonts w:eastAsiaTheme="minorEastAsia"/>
                <w:b/>
                <w:snapToGrid/>
                <w:sz w:val="21"/>
                <w:szCs w:val="21"/>
                <w:vertAlign w:val="superscript"/>
              </w:rPr>
              <w:t>3</w:t>
            </w:r>
            <w:r>
              <w:rPr>
                <w:rFonts w:eastAsiaTheme="minorEastAsia"/>
                <w:b/>
                <w:snapToGrid/>
                <w:sz w:val="21"/>
                <w:szCs w:val="21"/>
              </w:rPr>
              <w:t>/d）</w:t>
            </w:r>
          </w:p>
        </w:tc>
        <w:tc>
          <w:tcPr>
            <w:tcW w:w="1022" w:type="pct"/>
            <w:tcBorders>
              <w:top w:val="single" w:color="000000" w:sz="12" w:space="0"/>
            </w:tcBorders>
            <w:vAlign w:val="center"/>
          </w:tcPr>
          <w:p>
            <w:pPr>
              <w:widowControl/>
              <w:spacing w:line="240" w:lineRule="auto"/>
              <w:ind w:firstLine="0" w:firstLineChars="0"/>
              <w:jc w:val="center"/>
              <w:rPr>
                <w:rFonts w:eastAsiaTheme="minorEastAsia"/>
                <w:b/>
                <w:snapToGrid/>
                <w:sz w:val="21"/>
                <w:szCs w:val="21"/>
              </w:rPr>
            </w:pPr>
            <w:r>
              <w:rPr>
                <w:rFonts w:eastAsiaTheme="minorEastAsia"/>
                <w:b/>
                <w:snapToGrid/>
                <w:sz w:val="21"/>
                <w:szCs w:val="21"/>
              </w:rPr>
              <w:t>实际处理</w:t>
            </w:r>
          </w:p>
          <w:p>
            <w:pPr>
              <w:widowControl/>
              <w:spacing w:line="240" w:lineRule="auto"/>
              <w:ind w:firstLine="0" w:firstLineChars="0"/>
              <w:jc w:val="center"/>
              <w:rPr>
                <w:rFonts w:eastAsiaTheme="minorEastAsia"/>
                <w:b/>
                <w:snapToGrid/>
                <w:sz w:val="21"/>
                <w:szCs w:val="21"/>
              </w:rPr>
            </w:pPr>
            <w:r>
              <w:rPr>
                <w:rFonts w:eastAsiaTheme="minorEastAsia"/>
                <w:b/>
                <w:snapToGrid/>
                <w:sz w:val="21"/>
                <w:szCs w:val="21"/>
              </w:rPr>
              <w:t>（×10</w:t>
            </w:r>
            <w:r>
              <w:rPr>
                <w:rFonts w:eastAsiaTheme="minorEastAsia"/>
                <w:b/>
                <w:snapToGrid/>
                <w:sz w:val="21"/>
                <w:szCs w:val="21"/>
                <w:vertAlign w:val="superscript"/>
              </w:rPr>
              <w:t>4</w:t>
            </w:r>
            <w:r>
              <w:rPr>
                <w:rFonts w:eastAsiaTheme="minorEastAsia"/>
                <w:b/>
                <w:snapToGrid/>
                <w:sz w:val="21"/>
                <w:szCs w:val="21"/>
              </w:rPr>
              <w:t>m</w:t>
            </w:r>
            <w:r>
              <w:rPr>
                <w:rFonts w:eastAsiaTheme="minorEastAsia"/>
                <w:b/>
                <w:snapToGrid/>
                <w:sz w:val="21"/>
                <w:szCs w:val="21"/>
                <w:vertAlign w:val="superscript"/>
              </w:rPr>
              <w:t>3</w:t>
            </w:r>
            <w:r>
              <w:rPr>
                <w:rFonts w:eastAsiaTheme="minorEastAsia"/>
                <w:b/>
                <w:snapToGrid/>
                <w:sz w:val="21"/>
                <w:szCs w:val="21"/>
              </w:rPr>
              <w:t>/d）</w:t>
            </w:r>
          </w:p>
        </w:tc>
        <w:tc>
          <w:tcPr>
            <w:tcW w:w="1022" w:type="pct"/>
            <w:tcBorders>
              <w:top w:val="single" w:color="000000" w:sz="12" w:space="0"/>
            </w:tcBorders>
            <w:vAlign w:val="center"/>
          </w:tcPr>
          <w:p>
            <w:pPr>
              <w:widowControl/>
              <w:spacing w:line="240" w:lineRule="auto"/>
              <w:ind w:firstLine="0" w:firstLineChars="0"/>
              <w:jc w:val="center"/>
              <w:rPr>
                <w:rFonts w:eastAsiaTheme="minorEastAsia"/>
                <w:b/>
                <w:snapToGrid/>
                <w:sz w:val="21"/>
                <w:szCs w:val="21"/>
              </w:rPr>
            </w:pPr>
            <w:r>
              <w:rPr>
                <w:rFonts w:eastAsiaTheme="minorEastAsia"/>
                <w:b/>
                <w:snapToGrid/>
                <w:sz w:val="21"/>
                <w:szCs w:val="21"/>
              </w:rPr>
              <w:t>剩余能力</w:t>
            </w:r>
          </w:p>
          <w:p>
            <w:pPr>
              <w:widowControl/>
              <w:spacing w:line="240" w:lineRule="auto"/>
              <w:ind w:firstLine="0" w:firstLineChars="0"/>
              <w:jc w:val="center"/>
              <w:rPr>
                <w:rFonts w:eastAsiaTheme="minorEastAsia"/>
                <w:b/>
                <w:snapToGrid/>
                <w:sz w:val="21"/>
                <w:szCs w:val="21"/>
              </w:rPr>
            </w:pPr>
            <w:r>
              <w:rPr>
                <w:rFonts w:eastAsiaTheme="minorEastAsia"/>
                <w:b/>
                <w:snapToGrid/>
                <w:sz w:val="21"/>
                <w:szCs w:val="21"/>
              </w:rPr>
              <w:t>（×10</w:t>
            </w:r>
            <w:r>
              <w:rPr>
                <w:rFonts w:eastAsiaTheme="minorEastAsia"/>
                <w:b/>
                <w:snapToGrid/>
                <w:sz w:val="21"/>
                <w:szCs w:val="21"/>
                <w:vertAlign w:val="superscript"/>
              </w:rPr>
              <w:t>4</w:t>
            </w:r>
            <w:r>
              <w:rPr>
                <w:rFonts w:eastAsiaTheme="minorEastAsia"/>
                <w:b/>
                <w:snapToGrid/>
                <w:sz w:val="21"/>
                <w:szCs w:val="21"/>
              </w:rPr>
              <w:t>m</w:t>
            </w:r>
            <w:r>
              <w:rPr>
                <w:rFonts w:eastAsiaTheme="minorEastAsia"/>
                <w:b/>
                <w:snapToGrid/>
                <w:sz w:val="21"/>
                <w:szCs w:val="21"/>
                <w:vertAlign w:val="superscript"/>
              </w:rPr>
              <w:t>3</w:t>
            </w:r>
            <w:r>
              <w:rPr>
                <w:rFonts w:eastAsiaTheme="minorEastAsia"/>
                <w:b/>
                <w:snapToGrid/>
                <w:sz w:val="21"/>
                <w:szCs w:val="21"/>
              </w:rPr>
              <w:t>/d）</w:t>
            </w:r>
          </w:p>
        </w:tc>
        <w:tc>
          <w:tcPr>
            <w:tcW w:w="737" w:type="pct"/>
            <w:tcBorders>
              <w:top w:val="single" w:color="000000" w:sz="12" w:space="0"/>
              <w:right w:val="single" w:color="000000" w:sz="12" w:space="0"/>
            </w:tcBorders>
            <w:vAlign w:val="center"/>
          </w:tcPr>
          <w:p>
            <w:pPr>
              <w:widowControl/>
              <w:spacing w:line="240" w:lineRule="auto"/>
              <w:ind w:firstLine="0" w:firstLineChars="0"/>
              <w:jc w:val="center"/>
              <w:rPr>
                <w:rFonts w:eastAsiaTheme="minorEastAsia"/>
                <w:b/>
                <w:snapToGrid/>
                <w:sz w:val="21"/>
                <w:szCs w:val="21"/>
              </w:rPr>
            </w:pPr>
            <w:r>
              <w:rPr>
                <w:rFonts w:eastAsiaTheme="minorEastAsia"/>
                <w:b/>
                <w:snapToGrid/>
                <w:sz w:val="21"/>
                <w:szCs w:val="21"/>
              </w:rPr>
              <w:t>产能新增</w:t>
            </w:r>
          </w:p>
          <w:p>
            <w:pPr>
              <w:widowControl/>
              <w:spacing w:line="240" w:lineRule="auto"/>
              <w:ind w:firstLine="0" w:firstLineChars="0"/>
              <w:jc w:val="center"/>
              <w:rPr>
                <w:rFonts w:eastAsiaTheme="minorEastAsia"/>
                <w:b/>
                <w:snapToGrid/>
                <w:sz w:val="21"/>
                <w:szCs w:val="21"/>
              </w:rPr>
            </w:pPr>
            <w:r>
              <w:rPr>
                <w:rFonts w:eastAsiaTheme="minorEastAsia"/>
                <w:b/>
                <w:snapToGrid/>
                <w:sz w:val="21"/>
                <w:szCs w:val="21"/>
              </w:rPr>
              <w:t>（m</w:t>
            </w:r>
            <w:r>
              <w:rPr>
                <w:rFonts w:eastAsiaTheme="minorEastAsia"/>
                <w:b/>
                <w:snapToGrid/>
                <w:sz w:val="21"/>
                <w:szCs w:val="21"/>
                <w:vertAlign w:val="superscript"/>
              </w:rPr>
              <w:t>3</w:t>
            </w:r>
            <w:r>
              <w:rPr>
                <w:rFonts w:eastAsiaTheme="minorEastAsia"/>
                <w:b/>
                <w:snapToGrid/>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8" w:type="pct"/>
            <w:vMerge w:val="restart"/>
            <w:tcBorders>
              <w:left w:val="single" w:color="000000" w:sz="12" w:space="0"/>
            </w:tcBorders>
            <w:vAlign w:val="center"/>
          </w:tcPr>
          <w:p>
            <w:pPr>
              <w:widowControl/>
              <w:spacing w:line="240" w:lineRule="auto"/>
              <w:ind w:firstLine="0" w:firstLineChars="0"/>
              <w:jc w:val="center"/>
              <w:rPr>
                <w:rFonts w:eastAsiaTheme="minorEastAsia"/>
                <w:bCs/>
                <w:snapToGrid/>
                <w:sz w:val="21"/>
                <w:szCs w:val="21"/>
              </w:rPr>
            </w:pPr>
            <w:r>
              <w:rPr>
                <w:rFonts w:eastAsiaTheme="minorEastAsia"/>
                <w:bCs/>
                <w:snapToGrid/>
                <w:sz w:val="21"/>
                <w:szCs w:val="21"/>
              </w:rPr>
              <w:t>102联合站</w:t>
            </w:r>
          </w:p>
        </w:tc>
        <w:tc>
          <w:tcPr>
            <w:tcW w:w="412" w:type="pct"/>
            <w:vAlign w:val="center"/>
          </w:tcPr>
          <w:p>
            <w:pPr>
              <w:widowControl/>
              <w:spacing w:line="240" w:lineRule="auto"/>
              <w:ind w:firstLine="0" w:firstLineChars="0"/>
              <w:jc w:val="center"/>
              <w:rPr>
                <w:rFonts w:eastAsiaTheme="minorEastAsia"/>
                <w:bCs/>
                <w:snapToGrid/>
                <w:sz w:val="21"/>
                <w:szCs w:val="21"/>
              </w:rPr>
            </w:pPr>
            <w:r>
              <w:rPr>
                <w:rFonts w:eastAsiaTheme="minorEastAsia"/>
                <w:bCs/>
                <w:snapToGrid/>
                <w:sz w:val="21"/>
                <w:szCs w:val="21"/>
              </w:rPr>
              <w:t>液量</w:t>
            </w:r>
          </w:p>
        </w:tc>
        <w:tc>
          <w:tcPr>
            <w:tcW w:w="1006" w:type="pct"/>
            <w:vAlign w:val="center"/>
          </w:tcPr>
          <w:p>
            <w:pPr>
              <w:widowControl/>
              <w:spacing w:line="240" w:lineRule="auto"/>
              <w:ind w:firstLine="0" w:firstLineChars="0"/>
              <w:jc w:val="center"/>
              <w:rPr>
                <w:rFonts w:eastAsiaTheme="minorEastAsia"/>
                <w:bCs/>
                <w:snapToGrid/>
                <w:sz w:val="21"/>
                <w:szCs w:val="21"/>
              </w:rPr>
            </w:pPr>
            <w:r>
              <w:rPr>
                <w:rFonts w:eastAsiaTheme="minorEastAsia"/>
                <w:bCs/>
                <w:snapToGrid/>
                <w:sz w:val="21"/>
                <w:szCs w:val="21"/>
              </w:rPr>
              <w:t>2.4</w:t>
            </w:r>
          </w:p>
        </w:tc>
        <w:tc>
          <w:tcPr>
            <w:tcW w:w="1022" w:type="pct"/>
            <w:vAlign w:val="center"/>
          </w:tcPr>
          <w:p>
            <w:pPr>
              <w:widowControl/>
              <w:spacing w:line="240" w:lineRule="auto"/>
              <w:ind w:firstLine="0" w:firstLineChars="0"/>
              <w:jc w:val="center"/>
              <w:rPr>
                <w:rFonts w:eastAsiaTheme="minorEastAsia"/>
                <w:bCs/>
                <w:snapToGrid/>
                <w:sz w:val="21"/>
                <w:szCs w:val="21"/>
              </w:rPr>
            </w:pPr>
            <w:r>
              <w:rPr>
                <w:rFonts w:eastAsiaTheme="minorEastAsia"/>
                <w:bCs/>
                <w:snapToGrid/>
                <w:sz w:val="21"/>
                <w:szCs w:val="21"/>
              </w:rPr>
              <w:t>2.1</w:t>
            </w:r>
          </w:p>
        </w:tc>
        <w:tc>
          <w:tcPr>
            <w:tcW w:w="1022" w:type="pct"/>
            <w:vAlign w:val="center"/>
          </w:tcPr>
          <w:p>
            <w:pPr>
              <w:widowControl/>
              <w:spacing w:line="240" w:lineRule="auto"/>
              <w:ind w:firstLine="0" w:firstLineChars="0"/>
              <w:jc w:val="center"/>
              <w:rPr>
                <w:rFonts w:eastAsiaTheme="minorEastAsia"/>
                <w:bCs/>
                <w:snapToGrid/>
                <w:sz w:val="21"/>
                <w:szCs w:val="21"/>
              </w:rPr>
            </w:pPr>
            <w:r>
              <w:rPr>
                <w:rFonts w:eastAsiaTheme="minorEastAsia"/>
                <w:bCs/>
                <w:snapToGrid/>
                <w:sz w:val="21"/>
                <w:szCs w:val="21"/>
              </w:rPr>
              <w:t>0.3</w:t>
            </w:r>
          </w:p>
        </w:tc>
        <w:tc>
          <w:tcPr>
            <w:tcW w:w="737" w:type="pct"/>
            <w:tcBorders>
              <w:right w:val="single" w:color="000000" w:sz="12" w:space="0"/>
            </w:tcBorders>
            <w:vAlign w:val="center"/>
          </w:tcPr>
          <w:p>
            <w:pPr>
              <w:widowControl/>
              <w:spacing w:line="240" w:lineRule="auto"/>
              <w:ind w:firstLine="0" w:firstLineChars="0"/>
              <w:jc w:val="center"/>
              <w:rPr>
                <w:rFonts w:eastAsiaTheme="minorEastAsia"/>
                <w:bCs/>
                <w:snapToGrid/>
                <w:sz w:val="21"/>
                <w:szCs w:val="21"/>
              </w:rPr>
            </w:pPr>
            <w:r>
              <w:rPr>
                <w:rFonts w:eastAsiaTheme="minorEastAsia"/>
                <w:bCs/>
                <w:snapToGrid/>
                <w:sz w:val="21"/>
                <w:szCs w:val="21"/>
              </w:rPr>
              <w:t>254.4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8" w:type="pct"/>
            <w:vMerge w:val="continue"/>
            <w:tcBorders>
              <w:left w:val="single" w:color="000000" w:sz="12" w:space="0"/>
              <w:bottom w:val="single" w:color="000000" w:sz="12" w:space="0"/>
            </w:tcBorders>
            <w:vAlign w:val="center"/>
          </w:tcPr>
          <w:p>
            <w:pPr>
              <w:widowControl/>
              <w:spacing w:line="240" w:lineRule="auto"/>
              <w:ind w:firstLine="0" w:firstLineChars="0"/>
              <w:jc w:val="center"/>
              <w:rPr>
                <w:rFonts w:eastAsiaTheme="minorEastAsia"/>
                <w:bCs/>
                <w:snapToGrid/>
                <w:sz w:val="21"/>
                <w:szCs w:val="21"/>
              </w:rPr>
            </w:pPr>
          </w:p>
        </w:tc>
        <w:tc>
          <w:tcPr>
            <w:tcW w:w="412" w:type="pct"/>
            <w:tcBorders>
              <w:bottom w:val="single" w:color="000000" w:sz="12" w:space="0"/>
            </w:tcBorders>
            <w:vAlign w:val="center"/>
          </w:tcPr>
          <w:p>
            <w:pPr>
              <w:widowControl/>
              <w:spacing w:line="240" w:lineRule="auto"/>
              <w:ind w:firstLine="0" w:firstLineChars="0"/>
              <w:jc w:val="center"/>
              <w:rPr>
                <w:rFonts w:eastAsiaTheme="minorEastAsia"/>
                <w:bCs/>
                <w:snapToGrid/>
                <w:sz w:val="21"/>
                <w:szCs w:val="21"/>
              </w:rPr>
            </w:pPr>
            <w:r>
              <w:rPr>
                <w:rFonts w:eastAsiaTheme="minorEastAsia"/>
                <w:bCs/>
                <w:snapToGrid/>
                <w:sz w:val="21"/>
                <w:szCs w:val="21"/>
              </w:rPr>
              <w:t>油量</w:t>
            </w:r>
          </w:p>
        </w:tc>
        <w:tc>
          <w:tcPr>
            <w:tcW w:w="1006" w:type="pct"/>
            <w:tcBorders>
              <w:bottom w:val="single" w:color="000000" w:sz="12" w:space="0"/>
            </w:tcBorders>
            <w:vAlign w:val="center"/>
          </w:tcPr>
          <w:p>
            <w:pPr>
              <w:widowControl/>
              <w:spacing w:line="240" w:lineRule="auto"/>
              <w:ind w:firstLine="0" w:firstLineChars="0"/>
              <w:jc w:val="center"/>
              <w:rPr>
                <w:rFonts w:eastAsiaTheme="minorEastAsia"/>
                <w:bCs/>
                <w:snapToGrid/>
                <w:sz w:val="21"/>
                <w:szCs w:val="21"/>
              </w:rPr>
            </w:pPr>
            <w:r>
              <w:rPr>
                <w:rFonts w:eastAsiaTheme="minorEastAsia"/>
                <w:bCs/>
                <w:snapToGrid/>
                <w:sz w:val="21"/>
                <w:szCs w:val="21"/>
              </w:rPr>
              <w:t>0.25</w:t>
            </w:r>
          </w:p>
        </w:tc>
        <w:tc>
          <w:tcPr>
            <w:tcW w:w="1022" w:type="pct"/>
            <w:tcBorders>
              <w:bottom w:val="single" w:color="000000" w:sz="12" w:space="0"/>
            </w:tcBorders>
            <w:vAlign w:val="center"/>
          </w:tcPr>
          <w:p>
            <w:pPr>
              <w:widowControl/>
              <w:spacing w:line="240" w:lineRule="auto"/>
              <w:ind w:firstLine="0" w:firstLineChars="0"/>
              <w:jc w:val="center"/>
              <w:rPr>
                <w:rFonts w:eastAsiaTheme="minorEastAsia"/>
                <w:bCs/>
                <w:snapToGrid/>
                <w:sz w:val="21"/>
                <w:szCs w:val="21"/>
              </w:rPr>
            </w:pPr>
            <w:r>
              <w:rPr>
                <w:rFonts w:eastAsiaTheme="minorEastAsia"/>
                <w:bCs/>
                <w:snapToGrid/>
                <w:sz w:val="21"/>
                <w:szCs w:val="21"/>
              </w:rPr>
              <w:t>0.1</w:t>
            </w:r>
          </w:p>
        </w:tc>
        <w:tc>
          <w:tcPr>
            <w:tcW w:w="1022" w:type="pct"/>
            <w:tcBorders>
              <w:bottom w:val="single" w:color="000000" w:sz="12" w:space="0"/>
            </w:tcBorders>
            <w:vAlign w:val="center"/>
          </w:tcPr>
          <w:p>
            <w:pPr>
              <w:widowControl/>
              <w:spacing w:line="240" w:lineRule="auto"/>
              <w:ind w:firstLine="0" w:firstLineChars="0"/>
              <w:jc w:val="center"/>
              <w:rPr>
                <w:rFonts w:eastAsiaTheme="minorEastAsia"/>
                <w:bCs/>
                <w:snapToGrid/>
                <w:sz w:val="21"/>
                <w:szCs w:val="21"/>
              </w:rPr>
            </w:pPr>
            <w:r>
              <w:rPr>
                <w:rFonts w:eastAsiaTheme="minorEastAsia"/>
                <w:bCs/>
                <w:snapToGrid/>
                <w:sz w:val="21"/>
                <w:szCs w:val="21"/>
              </w:rPr>
              <w:t>0.15</w:t>
            </w:r>
          </w:p>
        </w:tc>
        <w:tc>
          <w:tcPr>
            <w:tcW w:w="737" w:type="pct"/>
            <w:tcBorders>
              <w:bottom w:val="single" w:color="000000" w:sz="12" w:space="0"/>
              <w:right w:val="single" w:color="000000" w:sz="12" w:space="0"/>
            </w:tcBorders>
            <w:vAlign w:val="center"/>
          </w:tcPr>
          <w:p>
            <w:pPr>
              <w:widowControl/>
              <w:spacing w:line="240" w:lineRule="auto"/>
              <w:ind w:firstLine="0" w:firstLineChars="0"/>
              <w:jc w:val="center"/>
              <w:rPr>
                <w:rFonts w:eastAsiaTheme="minorEastAsia"/>
                <w:bCs/>
                <w:snapToGrid/>
                <w:sz w:val="21"/>
                <w:szCs w:val="21"/>
              </w:rPr>
            </w:pPr>
            <w:r>
              <w:rPr>
                <w:rFonts w:eastAsiaTheme="minorEastAsia"/>
                <w:bCs/>
                <w:snapToGrid/>
                <w:sz w:val="21"/>
                <w:szCs w:val="21"/>
              </w:rPr>
              <w:t>27.6</w:t>
            </w:r>
          </w:p>
        </w:tc>
      </w:tr>
    </w:tbl>
    <w:p>
      <w:pPr>
        <w:spacing w:before="360" w:beforeLines="150"/>
        <w:ind w:right="11" w:firstLine="0" w:firstLineChars="0"/>
        <w:outlineLvl w:val="2"/>
        <w:rPr>
          <w:rFonts w:eastAsiaTheme="minorEastAsia"/>
          <w:b/>
          <w:bCs/>
          <w:color w:val="000000"/>
          <w:szCs w:val="28"/>
        </w:rPr>
      </w:pPr>
      <w:bookmarkStart w:id="144" w:name="_Toc12518"/>
      <w:bookmarkStart w:id="145" w:name="_Toc87280467"/>
      <w:r>
        <w:rPr>
          <w:rFonts w:eastAsiaTheme="minorEastAsia"/>
          <w:b/>
          <w:bCs/>
          <w:color w:val="000000"/>
          <w:szCs w:val="28"/>
        </w:rPr>
        <w:t>2.7.3  配套工程</w:t>
      </w:r>
      <w:bookmarkEnd w:id="144"/>
      <w:bookmarkEnd w:id="145"/>
    </w:p>
    <w:p>
      <w:pPr>
        <w:pStyle w:val="55"/>
        <w:ind w:firstLine="560"/>
      </w:pPr>
      <w:r>
        <w:t>本方案新井地面配套依托营一断块群地面方案进行配套，电力、自控、通信、结构等主体设计已经完成。本方案仅对6口新井配套相应单井设备。</w:t>
      </w:r>
    </w:p>
    <w:p>
      <w:pPr>
        <w:ind w:firstLine="0" w:firstLineChars="0"/>
        <w:outlineLvl w:val="3"/>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2.7.3.1  自控</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方案新井所在管理区已经完成四化建设，可充分依托待建四化工程配套进行配套。</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井区设计新钻油井6口，配套单井计量装置（PN6 DN50 316 隔爆RS485  1.0）6套，通过无线通信设备上传至管理区生产管理中心。</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1）油井测控内容</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（1）电潜螺杆泵、电泵采出液量采集上传；</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（2）温度、压力采集上传；</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2）自控方案</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（1）控制系统设计原则</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控制系统按照功能齐备，工作可靠，检测准确，操作简便，自动化程度较高，具有良好的开放性，节省资金，留有继续开发余地的原则设计。</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（2）控制系统功能</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①数据采集和存储；</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②工艺参数及设备的控制；</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③动态显示生产流程、主要工艺参数及设备运行状态；</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④对异常工况、系统本身故障进行声光报警；</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⑤实现打印记录，包括生产运行记录、报警记录和时间记录。</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3）仪表选型</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自控仪表均选用相应油田</w:t>
      </w:r>
      <w:r>
        <w:rPr>
          <w:rFonts w:hint="eastAsia" w:eastAsiaTheme="minorEastAsia"/>
          <w:color w:val="000000" w:themeColor="text1"/>
          <w:szCs w:val="28"/>
          <w14:textFill>
            <w14:solidFill>
              <w14:schemeClr w14:val="tx1"/>
            </w14:solidFill>
          </w14:textFill>
        </w:rPr>
        <w:t>“</w:t>
      </w:r>
      <w:r>
        <w:rPr>
          <w:rFonts w:eastAsiaTheme="minorEastAsia"/>
          <w:color w:val="000000" w:themeColor="text1"/>
          <w:szCs w:val="28"/>
          <w14:textFill>
            <w14:solidFill>
              <w14:schemeClr w14:val="tx1"/>
            </w14:solidFill>
          </w14:textFill>
        </w:rPr>
        <w:t>四化</w:t>
      </w:r>
      <w:r>
        <w:rPr>
          <w:rFonts w:hint="eastAsia" w:eastAsiaTheme="minorEastAsia"/>
          <w:color w:val="000000" w:themeColor="text1"/>
          <w:szCs w:val="28"/>
          <w14:textFill>
            <w14:solidFill>
              <w14:schemeClr w14:val="tx1"/>
            </w14:solidFill>
          </w14:textFill>
        </w:rPr>
        <w:t>”</w:t>
      </w:r>
      <w:r>
        <w:rPr>
          <w:rFonts w:eastAsiaTheme="minorEastAsia"/>
          <w:color w:val="000000" w:themeColor="text1"/>
          <w:szCs w:val="28"/>
          <w14:textFill>
            <w14:solidFill>
              <w14:schemeClr w14:val="tx1"/>
            </w14:solidFill>
          </w14:textFill>
        </w:rPr>
        <w:t>建设定型产品。</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（1）温度远传检测选用一体化温度变送器；</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（2）压力检测选用智能压力变送器</w:t>
      </w:r>
      <w:r>
        <w:rPr>
          <w:rFonts w:hint="eastAsia" w:eastAsiaTheme="minorEastAsia"/>
          <w:color w:val="000000" w:themeColor="text1"/>
          <w:szCs w:val="28"/>
          <w14:textFill>
            <w14:solidFill>
              <w14:schemeClr w14:val="tx1"/>
            </w14:solidFill>
          </w14:textFill>
        </w:rPr>
        <w:t>。</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4）其他</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（1）仪表伴热方式</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仪表采用电伴热保温方式。</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（2）电缆敷设方式</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电缆过路应穿保护管。电缆伸出地面套镀锌钢管保护，在危险区域电缆与仪表电气接口通过防爆挠性连接管连接。</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（3）接地</w:t>
      </w:r>
    </w:p>
    <w:p>
      <w:pPr>
        <w:ind w:firstLine="560"/>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仪表及控制系统的接地连接电阻不大于1Ω，接地电阻不大于4Ω。</w:t>
      </w:r>
    </w:p>
    <w:p>
      <w:pPr>
        <w:spacing w:before="240" w:beforeLines="100"/>
        <w:ind w:firstLine="0" w:firstLineChars="0"/>
        <w:outlineLvl w:val="3"/>
        <w:rPr>
          <w:rFonts w:eastAsiaTheme="minorEastAsia"/>
          <w:color w:val="000000" w:themeColor="text1"/>
          <w:szCs w:val="28"/>
          <w14:textFill>
            <w14:solidFill>
              <w14:schemeClr w14:val="tx1"/>
            </w14:solidFill>
          </w14:textFill>
        </w:rPr>
      </w:pPr>
      <w:r>
        <w:rPr>
          <w:rFonts w:eastAsiaTheme="minorEastAsia"/>
          <w:color w:val="000000" w:themeColor="text1"/>
          <w:szCs w:val="28"/>
          <w14:textFill>
            <w14:solidFill>
              <w14:schemeClr w14:val="tx1"/>
            </w14:solidFill>
          </w14:textFill>
        </w:rPr>
        <w:t>2.7.</w:t>
      </w:r>
      <w:r>
        <w:rPr>
          <w:rFonts w:hint="eastAsia" w:eastAsiaTheme="minorEastAsia"/>
          <w:color w:val="000000" w:themeColor="text1"/>
          <w:szCs w:val="28"/>
          <w14:textFill>
            <w14:solidFill>
              <w14:schemeClr w14:val="tx1"/>
            </w14:solidFill>
          </w14:textFill>
        </w:rPr>
        <w:t>3</w:t>
      </w:r>
      <w:r>
        <w:rPr>
          <w:rFonts w:eastAsiaTheme="minorEastAsia"/>
          <w:color w:val="000000" w:themeColor="text1"/>
          <w:szCs w:val="28"/>
          <w14:textFill>
            <w14:solidFill>
              <w14:schemeClr w14:val="tx1"/>
            </w14:solidFill>
          </w14:textFill>
        </w:rPr>
        <w:t>.2  电力</w:t>
      </w:r>
    </w:p>
    <w:p>
      <w:pPr>
        <w:pStyle w:val="44"/>
        <w:ind w:firstLine="560"/>
        <w:rPr>
          <w:rFonts w:ascii="Times New Roman" w:hAnsi="Times New Roman" w:eastAsiaTheme="minorEastAsia"/>
        </w:rPr>
      </w:pPr>
      <w:r>
        <w:rPr>
          <w:rFonts w:ascii="Times New Roman" w:hAnsi="Times New Roman" w:eastAsiaTheme="minorEastAsia"/>
        </w:rPr>
        <w:t>设方案设计新钻油井6口，采用电潜螺杆泵工艺。油井供电主要考虑油井群控变频逆变器（22kW 380V）、潜油泵防爆现场操作柱、控制电缆（kYIV22-750  8X2.5）。</w:t>
      </w:r>
    </w:p>
    <w:p>
      <w:pPr>
        <w:pStyle w:val="44"/>
        <w:ind w:firstLine="560"/>
        <w:rPr>
          <w:rFonts w:ascii="Times New Roman" w:hAnsi="Times New Roman" w:eastAsiaTheme="minorEastAsia"/>
        </w:rPr>
      </w:pPr>
      <w:r>
        <w:rPr>
          <w:rFonts w:ascii="Times New Roman" w:hAnsi="Times New Roman" w:eastAsiaTheme="minorEastAsia"/>
        </w:rPr>
        <w:t>（1）全部动力负荷电压等级为380V 50Hz，照明用电为单相220V 50Hz。</w:t>
      </w:r>
    </w:p>
    <w:p>
      <w:pPr>
        <w:pStyle w:val="44"/>
        <w:ind w:firstLine="560"/>
        <w:rPr>
          <w:rFonts w:ascii="Times New Roman" w:hAnsi="Times New Roman" w:eastAsiaTheme="minorEastAsia"/>
        </w:rPr>
      </w:pPr>
      <w:r>
        <w:rPr>
          <w:rFonts w:ascii="Times New Roman" w:hAnsi="Times New Roman" w:eastAsiaTheme="minorEastAsia"/>
        </w:rPr>
        <w:t>（2）利用已建电网线路，并保证电压质量及供电可靠性，新建10kV供电线路及变压器基础。</w:t>
      </w:r>
    </w:p>
    <w:p>
      <w:pPr>
        <w:pStyle w:val="44"/>
        <w:ind w:firstLine="560"/>
        <w:rPr>
          <w:rFonts w:ascii="Times New Roman" w:hAnsi="Times New Roman" w:eastAsiaTheme="minorEastAsia"/>
        </w:rPr>
      </w:pPr>
      <w:r>
        <w:rPr>
          <w:rFonts w:ascii="Times New Roman" w:hAnsi="Times New Roman" w:eastAsiaTheme="minorEastAsia"/>
        </w:rPr>
        <w:t>（3）井场由箱变集中供电。</w:t>
      </w:r>
    </w:p>
    <w:p>
      <w:pPr>
        <w:pStyle w:val="3"/>
        <w:rPr>
          <w:rFonts w:hint="eastAsia" w:eastAsiaTheme="minorEastAsia"/>
          <w:lang w:eastAsia="zh-CN"/>
        </w:rPr>
      </w:pPr>
      <w:r>
        <w:rPr>
          <w:rFonts w:eastAsiaTheme="minorEastAsia"/>
        </w:rPr>
        <w:t>2.</w:t>
      </w:r>
      <w:r>
        <w:rPr>
          <w:rFonts w:hint="eastAsia" w:eastAsiaTheme="minorEastAsia"/>
          <w:lang w:val="en-US" w:eastAsia="zh-CN"/>
        </w:rPr>
        <w:t>8</w:t>
      </w:r>
      <w:r>
        <w:rPr>
          <w:rFonts w:eastAsiaTheme="minorEastAsia"/>
        </w:rPr>
        <w:t xml:space="preserve">  </w:t>
      </w:r>
      <w:r>
        <w:rPr>
          <w:rFonts w:hint="eastAsia" w:eastAsiaTheme="minorEastAsia"/>
          <w:lang w:eastAsia="zh-CN"/>
        </w:rPr>
        <w:t>安全管理</w:t>
      </w:r>
    </w:p>
    <w:p/>
    <w:p>
      <w:pPr>
        <w:pStyle w:val="2"/>
        <w:rPr>
          <w:rFonts w:eastAsiaTheme="minorEastAsia"/>
        </w:rPr>
      </w:pPr>
      <w:bookmarkStart w:id="146" w:name="_Toc522018257"/>
      <w:bookmarkStart w:id="147" w:name="_Toc5310"/>
      <w:bookmarkStart w:id="148" w:name="_Toc41742624"/>
      <w:r>
        <w:rPr>
          <w:rFonts w:eastAsiaTheme="minorEastAsia"/>
        </w:rPr>
        <w:t>3  主要危险、有害因素分析</w:t>
      </w:r>
      <w:bookmarkEnd w:id="146"/>
      <w:bookmarkEnd w:id="147"/>
      <w:bookmarkEnd w:id="148"/>
    </w:p>
    <w:p>
      <w:pPr>
        <w:pStyle w:val="3"/>
        <w:rPr>
          <w:rFonts w:eastAsiaTheme="minorEastAsia"/>
        </w:rPr>
      </w:pPr>
      <w:bookmarkStart w:id="149" w:name="_Toc291144364"/>
      <w:bookmarkStart w:id="150" w:name="_Toc276394620"/>
      <w:bookmarkStart w:id="151" w:name="_Toc248650008"/>
      <w:bookmarkStart w:id="152" w:name="_Toc522018258"/>
      <w:bookmarkStart w:id="153" w:name="_Toc15947"/>
      <w:bookmarkStart w:id="154" w:name="_Toc41742625"/>
      <w:r>
        <w:rPr>
          <w:rFonts w:eastAsiaTheme="minorEastAsia"/>
        </w:rPr>
        <w:t xml:space="preserve">3.1 </w:t>
      </w:r>
      <w:bookmarkEnd w:id="149"/>
      <w:bookmarkEnd w:id="150"/>
      <w:bookmarkEnd w:id="151"/>
      <w:r>
        <w:rPr>
          <w:rFonts w:eastAsiaTheme="minorEastAsia"/>
        </w:rPr>
        <w:t xml:space="preserve"> </w:t>
      </w:r>
      <w:bookmarkEnd w:id="152"/>
      <w:r>
        <w:rPr>
          <w:rFonts w:eastAsiaTheme="minorEastAsia"/>
        </w:rPr>
        <w:t>主要物质危险、有害特性分析</w:t>
      </w:r>
      <w:bookmarkEnd w:id="153"/>
      <w:bookmarkEnd w:id="154"/>
    </w:p>
    <w:p>
      <w:pPr>
        <w:ind w:firstLine="560"/>
      </w:pPr>
      <w:r>
        <w:rPr>
          <w:rFonts w:eastAsiaTheme="minorEastAsia"/>
        </w:rPr>
        <w:t>本项目目的层位为馆三段，目前本区块（馆陶组）无生产井</w:t>
      </w:r>
      <w:r>
        <w:rPr>
          <w:rFonts w:hint="eastAsia" w:eastAsiaTheme="minorEastAsia"/>
        </w:rPr>
        <w:t>（利旧老井未投产）</w:t>
      </w:r>
      <w:r>
        <w:rPr>
          <w:rFonts w:eastAsiaTheme="minorEastAsia"/>
        </w:rPr>
        <w:t>，营二采油管理区无原油物性及天然气组分相关数据。根据东辛采油厂及可研提供的信息，本工程区块内不含硫化氢。</w:t>
      </w:r>
    </w:p>
    <w:p>
      <w:pPr>
        <w:pStyle w:val="55"/>
        <w:ind w:firstLine="560"/>
      </w:pPr>
      <w:r>
        <w:t>本项目的开发方式采用降粘复合吞吐（降粘剂+CO</w:t>
      </w:r>
      <w:r>
        <w:rPr>
          <w:vertAlign w:val="subscript"/>
        </w:rPr>
        <w:t>2</w:t>
      </w:r>
      <w:r>
        <w:t>）。</w:t>
      </w:r>
    </w:p>
    <w:p>
      <w:pPr>
        <w:ind w:firstLine="560"/>
        <w:rPr>
          <w:rFonts w:eastAsiaTheme="minorEastAsia"/>
        </w:rPr>
      </w:pPr>
      <w:r>
        <w:rPr>
          <w:rFonts w:eastAsiaTheme="minorEastAsia"/>
        </w:rPr>
        <w:t>本工程运行过程中涉及的主要物质有原油、天然气、二氧化碳等，其危险、有害因素分析如下：</w:t>
      </w:r>
    </w:p>
    <w:p>
      <w:pPr>
        <w:pStyle w:val="5"/>
        <w:rPr>
          <w:rFonts w:eastAsiaTheme="minorEastAsia"/>
        </w:rPr>
      </w:pPr>
      <w:r>
        <w:rPr>
          <w:rFonts w:eastAsiaTheme="minorEastAsia"/>
        </w:rPr>
        <w:t>3.1.1  原油</w:t>
      </w:r>
    </w:p>
    <w:p>
      <w:pPr>
        <w:ind w:firstLine="560"/>
        <w:rPr>
          <w:rFonts w:eastAsiaTheme="minorEastAsia"/>
          <w:szCs w:val="28"/>
        </w:rPr>
      </w:pPr>
      <w:r>
        <w:rPr>
          <w:rFonts w:eastAsiaTheme="minorEastAsia"/>
          <w:szCs w:val="28"/>
        </w:rPr>
        <w:t>原油是由各种烃类组成的一种复杂混合物，含有少量硫、氮、氧有机物及微量金属。外观是一种流动和半流动的粘稠液体，颜色大部分是暗色的（从褐色至深黑色）。</w:t>
      </w:r>
    </w:p>
    <w:p>
      <w:pPr>
        <w:ind w:firstLine="560"/>
        <w:rPr>
          <w:rFonts w:eastAsiaTheme="minorEastAsia"/>
          <w:szCs w:val="28"/>
        </w:rPr>
      </w:pPr>
      <w:r>
        <w:rPr>
          <w:rFonts w:eastAsiaTheme="minorEastAsia"/>
          <w:szCs w:val="28"/>
        </w:rPr>
        <w:t>原油的主要危险性分析：</w:t>
      </w:r>
    </w:p>
    <w:p>
      <w:pPr>
        <w:ind w:firstLine="560"/>
        <w:rPr>
          <w:rFonts w:eastAsiaTheme="minorEastAsia"/>
          <w:szCs w:val="28"/>
        </w:rPr>
      </w:pPr>
      <w:r>
        <w:rPr>
          <w:rFonts w:eastAsiaTheme="minorEastAsia"/>
          <w:szCs w:val="28"/>
        </w:rPr>
        <w:t>①易燃、易爆性</w:t>
      </w:r>
    </w:p>
    <w:p>
      <w:pPr>
        <w:ind w:firstLine="560"/>
        <w:rPr>
          <w:rFonts w:eastAsiaTheme="minorEastAsia"/>
          <w:szCs w:val="28"/>
        </w:rPr>
      </w:pPr>
      <w:r>
        <w:rPr>
          <w:rFonts w:eastAsiaTheme="minorEastAsia"/>
          <w:szCs w:val="28"/>
        </w:rPr>
        <w:t>原油的闪点低，挥发性强，在空气中只要有很小的点燃能量，就会闪燃。原油蒸气和空气混合后，可形成爆炸性混合气体，遇火即发生爆炸。原油的爆炸范围较宽，爆炸下限浓度值较低，爆炸危险性较大。因此，应十分重视原油的泄漏和爆炸性蒸气的产生与积聚，以防止爆炸事故的发生。</w:t>
      </w:r>
    </w:p>
    <w:p>
      <w:pPr>
        <w:ind w:firstLine="560"/>
        <w:rPr>
          <w:rFonts w:eastAsiaTheme="minorEastAsia"/>
          <w:szCs w:val="28"/>
        </w:rPr>
      </w:pPr>
      <w:r>
        <w:rPr>
          <w:rFonts w:eastAsiaTheme="minorEastAsia"/>
          <w:szCs w:val="28"/>
        </w:rPr>
        <w:t>原油蒸气比空气重，能在较低处扩散到相当远的地方，遇火源会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p>
    <w:p>
      <w:pPr>
        <w:ind w:firstLine="560"/>
        <w:rPr>
          <w:rFonts w:eastAsiaTheme="minorEastAsia"/>
          <w:szCs w:val="28"/>
        </w:rPr>
      </w:pPr>
      <w:r>
        <w:rPr>
          <w:rFonts w:eastAsiaTheme="minorEastAsia"/>
          <w:szCs w:val="28"/>
        </w:rPr>
        <w:t>②毒性</w:t>
      </w:r>
    </w:p>
    <w:p>
      <w:pPr>
        <w:ind w:firstLine="560"/>
        <w:rPr>
          <w:rFonts w:eastAsiaTheme="minorEastAsia"/>
          <w:szCs w:val="28"/>
        </w:rPr>
      </w:pPr>
      <w:r>
        <w:rPr>
          <w:rFonts w:eastAsiaTheme="minorEastAsia"/>
          <w:szCs w:val="28"/>
        </w:rPr>
        <w:t>原油及其蒸气具有一定的毒性，特别是含硫原油的毒性更大。油气若经口、鼻进入呼吸系统，能使人体器官受害而产生急性和慢性中毒。</w:t>
      </w:r>
    </w:p>
    <w:p>
      <w:pPr>
        <w:ind w:firstLine="560"/>
        <w:rPr>
          <w:rFonts w:eastAsiaTheme="minorEastAsia"/>
          <w:szCs w:val="28"/>
        </w:rPr>
      </w:pPr>
      <w:r>
        <w:rPr>
          <w:rFonts w:eastAsiaTheme="minorEastAsia"/>
          <w:szCs w:val="28"/>
        </w:rPr>
        <w:t>如空气油气含量达到0.28%时，经过12～14min，人便会感到头晕；如含量达1.13～2.22%时，便会发生急性中毒，使人难于支持；当油气含量更高时，会使人立即昏倒，丧失知觉。</w:t>
      </w:r>
    </w:p>
    <w:p>
      <w:pPr>
        <w:ind w:firstLine="560"/>
        <w:rPr>
          <w:rFonts w:eastAsiaTheme="minorEastAsia"/>
          <w:szCs w:val="28"/>
        </w:rPr>
      </w:pPr>
      <w:r>
        <w:rPr>
          <w:rFonts w:eastAsiaTheme="minorEastAsia"/>
          <w:szCs w:val="28"/>
        </w:rPr>
        <w:t>油气慢性中毒的结果会使人患慢性病，产生头昏、疲倦、想睡等症状。若皮肤经常与原油接触，会产生脱脂、干燥、裂口、皮炎和局部神经麻木。原油落入口腔、眼睛时，会使粘膜枯萎，有时会出血。</w:t>
      </w:r>
    </w:p>
    <w:p>
      <w:pPr>
        <w:ind w:firstLine="560"/>
        <w:rPr>
          <w:rFonts w:eastAsiaTheme="minorEastAsia"/>
          <w:szCs w:val="28"/>
        </w:rPr>
      </w:pPr>
      <w:r>
        <w:rPr>
          <w:rFonts w:eastAsiaTheme="minorEastAsia"/>
          <w:szCs w:val="28"/>
        </w:rPr>
        <w:t>③静电荷积聚性</w:t>
      </w:r>
    </w:p>
    <w:p>
      <w:pPr>
        <w:ind w:firstLine="560"/>
        <w:rPr>
          <w:rFonts w:eastAsiaTheme="minorEastAsia"/>
          <w:szCs w:val="28"/>
        </w:rPr>
      </w:pPr>
      <w:r>
        <w:rPr>
          <w:rFonts w:eastAsiaTheme="minorEastAsia"/>
          <w:szCs w:val="28"/>
        </w:rPr>
        <w:t>原油的电阻率较高，在输转、储运过程中，当沿管道流动与管壁摩擦，在运输过程中与罐壁的冲击，或泵送时，都会产生静电，且不易消除。</w:t>
      </w:r>
    </w:p>
    <w:p>
      <w:pPr>
        <w:ind w:firstLine="560"/>
        <w:rPr>
          <w:rFonts w:eastAsiaTheme="minorEastAsia"/>
          <w:szCs w:val="28"/>
        </w:rPr>
      </w:pPr>
      <w:r>
        <w:rPr>
          <w:rFonts w:eastAsiaTheme="minorEastAsia"/>
          <w:szCs w:val="28"/>
        </w:rPr>
        <w:t>静电的危害主要是静电放电。如果静电放电产生的电火花能量达到或大于油气的最小点火能且油气浓度处在燃烧、爆炸极限范围内时，就会立即引起火灾、爆炸事故的发生。</w:t>
      </w:r>
    </w:p>
    <w:p>
      <w:pPr>
        <w:ind w:firstLine="560"/>
        <w:rPr>
          <w:rFonts w:eastAsiaTheme="minorEastAsia"/>
          <w:szCs w:val="28"/>
        </w:rPr>
      </w:pPr>
      <w:r>
        <w:rPr>
          <w:rFonts w:eastAsiaTheme="minorEastAsia"/>
          <w:szCs w:val="28"/>
        </w:rPr>
        <w:t>④原油的热膨胀性</w:t>
      </w:r>
    </w:p>
    <w:p>
      <w:pPr>
        <w:ind w:firstLine="560"/>
        <w:rPr>
          <w:rFonts w:eastAsiaTheme="minorEastAsia"/>
          <w:szCs w:val="28"/>
        </w:rPr>
      </w:pPr>
      <w:r>
        <w:rPr>
          <w:rFonts w:eastAsiaTheme="minorEastAsia"/>
          <w:szCs w:val="28"/>
        </w:rPr>
        <w:t>原油受热后，温度升高，体积膨胀，如果储存容器遭受暴晒或靠近高温热源，容器内的原油受热膨胀会造成容器内压增大而膨胀。当储油容器内灌入热油进行冷却或排油速度太快而超过呼吸阀的能力时，又会造成容器承受大气压的外压作用（负压）。这种热胀冷缩作用往往损坏容器，造成原油泄漏。</w:t>
      </w:r>
    </w:p>
    <w:p>
      <w:pPr>
        <w:ind w:firstLine="560"/>
        <w:rPr>
          <w:rFonts w:eastAsiaTheme="minorEastAsia"/>
          <w:szCs w:val="28"/>
        </w:rPr>
      </w:pPr>
      <w:r>
        <w:rPr>
          <w:rFonts w:eastAsiaTheme="minorEastAsia"/>
          <w:szCs w:val="28"/>
        </w:rPr>
        <w:t>另外，在着火现场附近，容器内原油受到火焰辐射高热时，如不及时冷却，可能因膨胀爆裂增加火势，扩大灾害范围。</w:t>
      </w:r>
    </w:p>
    <w:p>
      <w:pPr>
        <w:ind w:firstLine="560"/>
        <w:rPr>
          <w:rFonts w:eastAsiaTheme="minorEastAsia"/>
          <w:szCs w:val="28"/>
        </w:rPr>
      </w:pPr>
      <w:r>
        <w:rPr>
          <w:rFonts w:eastAsiaTheme="minorEastAsia"/>
          <w:szCs w:val="28"/>
        </w:rPr>
        <w:t>⑤低温凝结性</w:t>
      </w:r>
    </w:p>
    <w:p>
      <w:pPr>
        <w:ind w:firstLine="560"/>
        <w:rPr>
          <w:rFonts w:eastAsiaTheme="minorEastAsia"/>
          <w:szCs w:val="28"/>
        </w:rPr>
      </w:pPr>
      <w:r>
        <w:rPr>
          <w:rFonts w:eastAsiaTheme="minorEastAsia"/>
          <w:szCs w:val="28"/>
        </w:rPr>
        <w:t>本项目原油凝固点28℃，若在事故状态下抢修不及时，就有可能造成原油集输管道内部的原油凝固而造成管道凝管。</w:t>
      </w:r>
    </w:p>
    <w:p>
      <w:pPr>
        <w:ind w:firstLine="560"/>
        <w:rPr>
          <w:rFonts w:eastAsiaTheme="minorEastAsia"/>
          <w:szCs w:val="28"/>
        </w:rPr>
      </w:pPr>
      <w:r>
        <w:rPr>
          <w:rFonts w:eastAsiaTheme="minorEastAsia"/>
          <w:szCs w:val="28"/>
        </w:rPr>
        <w:t>⑥易沸溢性</w:t>
      </w:r>
    </w:p>
    <w:p>
      <w:pPr>
        <w:ind w:firstLine="560"/>
        <w:rPr>
          <w:rFonts w:eastAsiaTheme="minorEastAsia"/>
          <w:szCs w:val="28"/>
        </w:rPr>
      </w:pPr>
      <w:r>
        <w:rPr>
          <w:rFonts w:eastAsiaTheme="minorEastAsia"/>
          <w:szCs w:val="28"/>
        </w:rPr>
        <w:t>含有水分的原油着火燃烧时，可能产生沸腾突溢，向容器外喷溅，在空中形成火柱，扩大灾情。形成沸腾突溢的原因，一是热辐射作用，二是热液的作用，三是水蒸汽的影响。因此，严格控制储运油品的含水量十分重要。</w:t>
      </w:r>
    </w:p>
    <w:p>
      <w:pPr>
        <w:ind w:firstLine="560"/>
        <w:rPr>
          <w:rFonts w:eastAsiaTheme="minorEastAsia"/>
          <w:szCs w:val="28"/>
        </w:rPr>
      </w:pPr>
      <w:r>
        <w:rPr>
          <w:rFonts w:eastAsiaTheme="minorEastAsia"/>
          <w:szCs w:val="28"/>
        </w:rPr>
        <w:t>⑦易扩散、流淌性</w:t>
      </w:r>
    </w:p>
    <w:p>
      <w:pPr>
        <w:ind w:firstLine="560"/>
        <w:rPr>
          <w:rFonts w:eastAsiaTheme="minorEastAsia"/>
          <w:szCs w:val="28"/>
        </w:rPr>
      </w:pPr>
      <w:r>
        <w:rPr>
          <w:rFonts w:eastAsiaTheme="minorEastAsia"/>
          <w:szCs w:val="28"/>
        </w:rPr>
        <w:t>除高粘、高腊、高凝原油外，原油的粘度一般较小，泄漏后易流淌扩散。随着流淌面积的扩大，油品蒸发速度加快，油蒸汽与空气混合后，遇点火源，极易发生火灾、爆炸事故。</w:t>
      </w:r>
    </w:p>
    <w:p>
      <w:pPr>
        <w:ind w:firstLine="560"/>
        <w:rPr>
          <w:rFonts w:eastAsiaTheme="minorEastAsia"/>
          <w:szCs w:val="28"/>
        </w:rPr>
      </w:pPr>
      <w:r>
        <w:rPr>
          <w:rFonts w:eastAsiaTheme="minorEastAsia"/>
          <w:szCs w:val="28"/>
        </w:rPr>
        <w:t>原油危险特性表见附表1。</w:t>
      </w:r>
    </w:p>
    <w:p>
      <w:pPr>
        <w:pStyle w:val="5"/>
        <w:rPr>
          <w:rFonts w:eastAsiaTheme="minorEastAsia"/>
        </w:rPr>
      </w:pPr>
      <w:r>
        <w:rPr>
          <w:rFonts w:eastAsiaTheme="minorEastAsia"/>
        </w:rPr>
        <w:t>3.1.2  天然气</w:t>
      </w:r>
    </w:p>
    <w:p>
      <w:pPr>
        <w:ind w:firstLine="560"/>
        <w:rPr>
          <w:rFonts w:eastAsiaTheme="minorEastAsia"/>
          <w:szCs w:val="28"/>
        </w:rPr>
      </w:pPr>
      <w:r>
        <w:rPr>
          <w:rFonts w:eastAsiaTheme="minorEastAsia"/>
          <w:szCs w:val="28"/>
        </w:rPr>
        <w:t>天然气是一种混合气体，本项目天然气指伴生气，根据《石油天然气工程设计防火规范》（GB50183-2004）中可燃物质火灾危险性分类，天然气火灾危险等级为甲</w:t>
      </w:r>
      <w:r>
        <w:rPr>
          <w:rFonts w:eastAsiaTheme="minorEastAsia"/>
          <w:szCs w:val="28"/>
          <w:vertAlign w:val="subscript"/>
        </w:rPr>
        <w:t>B</w:t>
      </w:r>
      <w:r>
        <w:rPr>
          <w:rFonts w:eastAsiaTheme="minorEastAsia"/>
          <w:szCs w:val="28"/>
        </w:rPr>
        <w:t>类，其火灾、爆炸特性参数如下：爆炸极限：5～15V%；自燃温度：482～632℃。</w:t>
      </w:r>
    </w:p>
    <w:p>
      <w:pPr>
        <w:ind w:firstLine="560"/>
        <w:rPr>
          <w:rFonts w:eastAsiaTheme="minorEastAsia"/>
          <w:szCs w:val="28"/>
        </w:rPr>
      </w:pPr>
      <w:r>
        <w:rPr>
          <w:rFonts w:eastAsiaTheme="minorEastAsia"/>
          <w:szCs w:val="28"/>
        </w:rPr>
        <w:t>天然气与空气混合可形成爆炸性混合物，遇明火极易燃烧爆炸。天然气如果出现泄漏，能无限制地扩散，易与空气形成爆炸性混合物，而且能顺风飘动，形成着火爆炸和蔓延扩散的重要条件，遇明火能够回燃。其危险性主要表现在以下几方面：</w:t>
      </w:r>
    </w:p>
    <w:p>
      <w:pPr>
        <w:ind w:firstLine="560"/>
        <w:rPr>
          <w:rFonts w:eastAsiaTheme="minorEastAsia"/>
          <w:szCs w:val="28"/>
        </w:rPr>
      </w:pPr>
      <w:r>
        <w:rPr>
          <w:rFonts w:eastAsiaTheme="minorEastAsia"/>
          <w:szCs w:val="28"/>
        </w:rPr>
        <w:t>①易燃</w:t>
      </w:r>
    </w:p>
    <w:p>
      <w:pPr>
        <w:ind w:firstLine="560"/>
        <w:rPr>
          <w:rFonts w:eastAsiaTheme="minorEastAsia"/>
          <w:szCs w:val="28"/>
        </w:rPr>
      </w:pPr>
      <w:r>
        <w:rPr>
          <w:rFonts w:eastAsiaTheme="minorEastAsia"/>
          <w:szCs w:val="28"/>
        </w:rPr>
        <w:t>天然气的主要成份是甲烷，极易燃烧。</w:t>
      </w:r>
    </w:p>
    <w:p>
      <w:pPr>
        <w:ind w:firstLine="560"/>
        <w:rPr>
          <w:rFonts w:eastAsiaTheme="minorEastAsia"/>
          <w:szCs w:val="28"/>
        </w:rPr>
      </w:pPr>
      <w:r>
        <w:rPr>
          <w:rFonts w:eastAsiaTheme="minorEastAsia"/>
          <w:szCs w:val="28"/>
        </w:rPr>
        <w:t>②易爆</w:t>
      </w:r>
    </w:p>
    <w:p>
      <w:pPr>
        <w:ind w:firstLine="560"/>
        <w:rPr>
          <w:rFonts w:eastAsiaTheme="minorEastAsia"/>
          <w:szCs w:val="28"/>
        </w:rPr>
      </w:pPr>
      <w:r>
        <w:rPr>
          <w:rFonts w:eastAsiaTheme="minorEastAsia"/>
          <w:szCs w:val="28"/>
        </w:rPr>
        <w:t>天然气的爆炸极限较宽，爆炸下限较低，泄漏到空气中能形成爆炸性混合物，遇明火、高热极易燃烧爆炸，燃烧分解产物为CO、CO</w:t>
      </w:r>
      <w:r>
        <w:rPr>
          <w:rFonts w:eastAsiaTheme="minorEastAsia"/>
          <w:szCs w:val="28"/>
          <w:vertAlign w:val="subscript"/>
        </w:rPr>
        <w:t>2</w:t>
      </w:r>
      <w:r>
        <w:rPr>
          <w:rFonts w:eastAsiaTheme="minorEastAsia"/>
          <w:szCs w:val="28"/>
        </w:rPr>
        <w:t>。在储运过程中若遇高热，容器内压增大，有开裂和爆炸的危险。</w:t>
      </w:r>
    </w:p>
    <w:p>
      <w:pPr>
        <w:ind w:firstLine="560"/>
        <w:rPr>
          <w:rFonts w:eastAsiaTheme="minorEastAsia"/>
          <w:szCs w:val="28"/>
        </w:rPr>
      </w:pPr>
      <w:r>
        <w:rPr>
          <w:rFonts w:eastAsiaTheme="minorEastAsia"/>
          <w:szCs w:val="28"/>
        </w:rPr>
        <w:t>天然气与空气混合时其体积占总体积的15%以上时着火正常燃烧，若占5%～15%时点火即燃爆。天然气的燃烧与爆炸是同一个序列的化学过程，但是在反应强度上爆炸比燃烧更为剧烈。天然气的爆炸是在一瞬间（数千分之一秒）产生高压、高温）2000℃～3000℃）的燃烧过程，爆炸波速可达3000m/s，造成很大破坏力。</w:t>
      </w:r>
    </w:p>
    <w:p>
      <w:pPr>
        <w:ind w:firstLine="560"/>
        <w:rPr>
          <w:rFonts w:eastAsiaTheme="minorEastAsia"/>
          <w:szCs w:val="28"/>
        </w:rPr>
      </w:pPr>
      <w:r>
        <w:rPr>
          <w:rFonts w:eastAsiaTheme="minorEastAsia"/>
          <w:szCs w:val="28"/>
        </w:rPr>
        <w:t>③易扩散</w:t>
      </w:r>
    </w:p>
    <w:p>
      <w:pPr>
        <w:ind w:firstLine="560"/>
        <w:rPr>
          <w:rFonts w:eastAsiaTheme="minorEastAsia"/>
          <w:szCs w:val="28"/>
        </w:rPr>
      </w:pPr>
      <w:r>
        <w:rPr>
          <w:rFonts w:eastAsiaTheme="minorEastAsia"/>
          <w:szCs w:val="28"/>
        </w:rPr>
        <w:t>天然气的密度比空气小，泄漏后不易留在低洼处，有较好的扩散性。</w:t>
      </w:r>
    </w:p>
    <w:p>
      <w:pPr>
        <w:ind w:firstLine="560"/>
        <w:rPr>
          <w:rFonts w:eastAsiaTheme="minorEastAsia"/>
          <w:szCs w:val="28"/>
        </w:rPr>
      </w:pPr>
      <w:r>
        <w:rPr>
          <w:rFonts w:eastAsiaTheme="minorEastAsia"/>
          <w:szCs w:val="28"/>
        </w:rPr>
        <w:t>④毒性</w:t>
      </w:r>
    </w:p>
    <w:p>
      <w:pPr>
        <w:ind w:firstLine="560"/>
        <w:rPr>
          <w:rFonts w:eastAsiaTheme="minorEastAsia"/>
          <w:szCs w:val="28"/>
        </w:rPr>
      </w:pPr>
      <w:r>
        <w:rPr>
          <w:rFonts w:eastAsiaTheme="minorEastAsia"/>
          <w:szCs w:val="28"/>
        </w:rPr>
        <w:t>天然气侵入人体途径主要是吸入，大量泄漏或雾天积聚等原因导致浓度过高时，使空气中氧含量明显降低，可致人窒息。当空气中甲烷含量达25%～30%时，可引起头痛、头晕、乏力、注意力不集中、呼吸和心跳加速。若不及时脱离，可致窒息死亡。</w:t>
      </w:r>
    </w:p>
    <w:p>
      <w:pPr>
        <w:ind w:firstLine="560"/>
        <w:rPr>
          <w:rFonts w:eastAsiaTheme="minorEastAsia"/>
          <w:szCs w:val="28"/>
        </w:rPr>
      </w:pPr>
      <w:r>
        <w:rPr>
          <w:rFonts w:hint="eastAsia" w:eastAsiaTheme="minorEastAsia"/>
          <w:szCs w:val="28"/>
        </w:rPr>
        <w:t>天然气</w:t>
      </w:r>
      <w:r>
        <w:rPr>
          <w:rFonts w:eastAsiaTheme="minorEastAsia"/>
          <w:szCs w:val="28"/>
        </w:rPr>
        <w:t>危险特性表见附表2。</w:t>
      </w:r>
    </w:p>
    <w:p>
      <w:pPr>
        <w:pStyle w:val="5"/>
        <w:rPr>
          <w:rFonts w:eastAsiaTheme="minorEastAsia"/>
        </w:rPr>
      </w:pPr>
      <w:r>
        <w:rPr>
          <w:rFonts w:eastAsiaTheme="minorEastAsia"/>
        </w:rPr>
        <w:t>3.1.3  二氧化碳</w:t>
      </w:r>
    </w:p>
    <w:p>
      <w:pPr>
        <w:ind w:firstLine="560"/>
        <w:jc w:val="left"/>
        <w:rPr>
          <w:color w:val="000000"/>
          <w:szCs w:val="28"/>
        </w:rPr>
      </w:pPr>
      <w:r>
        <w:rPr>
          <w:color w:val="000000"/>
          <w:szCs w:val="28"/>
        </w:rPr>
        <w:t>本工程</w:t>
      </w:r>
      <w:r>
        <w:t>开发方式采用降粘复合吞吐（降粘剂+CO</w:t>
      </w:r>
      <w:r>
        <w:rPr>
          <w:vertAlign w:val="subscript"/>
        </w:rPr>
        <w:t>2</w:t>
      </w:r>
      <w:r>
        <w:t>），自井口注入</w:t>
      </w:r>
      <w:r>
        <w:rPr>
          <w:color w:val="000000"/>
          <w:szCs w:val="28"/>
        </w:rPr>
        <w:t>高含CO</w:t>
      </w:r>
      <w:r>
        <w:rPr>
          <w:color w:val="000000"/>
          <w:szCs w:val="28"/>
          <w:vertAlign w:val="subscript"/>
        </w:rPr>
        <w:t>2</w:t>
      </w:r>
      <w:r>
        <w:rPr>
          <w:color w:val="000000"/>
          <w:szCs w:val="28"/>
        </w:rPr>
        <w:t>液体，CO</w:t>
      </w:r>
      <w:r>
        <w:rPr>
          <w:color w:val="000000"/>
          <w:szCs w:val="28"/>
          <w:vertAlign w:val="subscript"/>
        </w:rPr>
        <w:t>2</w:t>
      </w:r>
      <w:r>
        <w:rPr>
          <w:color w:val="000000"/>
          <w:szCs w:val="28"/>
        </w:rPr>
        <w:t>摩尔含量高达99%。液态二氧化碳指的是高压低温下将二氧化碳气体液化为液体形态。</w:t>
      </w:r>
    </w:p>
    <w:p>
      <w:pPr>
        <w:pStyle w:val="55"/>
        <w:ind w:firstLine="560"/>
      </w:pPr>
      <w:r>
        <w:rPr>
          <w:color w:val="000000"/>
          <w:szCs w:val="28"/>
        </w:rPr>
        <w:t>二氧化碳在通常状态下是一种无色、无味的气体，能溶于水，二氧化碳比空气重，在标准状况下密度为1.977g/L，约是空气的1.5倍。二氧化碳无毒，但不能供给呼吸，是一种窒息性气体。二氧化碳对人体的危害最主要的是刺激人的呼吸中枢，导致呼吸急促，烟气吸入量增加，并且会引起头痛、神智不清等症状。CO₂的正常含量是0.04%，当CO₂的浓度达1%会使人感到气闷、头昏、心悸，达到4%~5%时人会感到气喘、头痛、眩晕，而达到10%的时候，会使人体机能严重混乱，使人丧失知觉、神志不清、呼吸停止而死亡。故吸入浓度不宜超过10%。</w:t>
      </w:r>
    </w:p>
    <w:p>
      <w:pPr>
        <w:pStyle w:val="3"/>
        <w:rPr>
          <w:rFonts w:eastAsiaTheme="minorEastAsia"/>
        </w:rPr>
      </w:pPr>
      <w:bookmarkStart w:id="155" w:name="_Toc41742626"/>
      <w:bookmarkStart w:id="156" w:name="_Toc28970"/>
      <w:bookmarkStart w:id="157" w:name="_Toc522018259"/>
      <w:r>
        <w:rPr>
          <w:rFonts w:eastAsiaTheme="minorEastAsia"/>
        </w:rPr>
        <w:t>3.2  钻井工程危险有害因素分析</w:t>
      </w:r>
      <w:bookmarkEnd w:id="155"/>
      <w:bookmarkEnd w:id="156"/>
      <w:bookmarkEnd w:id="157"/>
      <w:bookmarkStart w:id="158" w:name="_Toc153102493"/>
      <w:bookmarkStart w:id="159" w:name="_Toc153103097"/>
    </w:p>
    <w:p>
      <w:pPr>
        <w:pStyle w:val="5"/>
        <w:rPr>
          <w:rFonts w:eastAsiaTheme="minorEastAsia"/>
        </w:rPr>
      </w:pPr>
      <w:r>
        <w:rPr>
          <w:rFonts w:eastAsiaTheme="minorEastAsia"/>
        </w:rPr>
        <w:t>3.2.1  钻前工程</w:t>
      </w:r>
    </w:p>
    <w:p>
      <w:pPr>
        <w:ind w:firstLine="560"/>
        <w:rPr>
          <w:rFonts w:eastAsiaTheme="minorEastAsia"/>
        </w:rPr>
      </w:pPr>
      <w:r>
        <w:rPr>
          <w:rFonts w:eastAsiaTheme="minorEastAsia"/>
        </w:rPr>
        <w:t>钻前工程施工中需要用到推土机、卡车、挖掘机、起重机等设备来进行道路、井场土方施工和基础的摆放等作业。土方施工过程中存在的危害主要包括：用推土机平井场或推打简易公路时破坏地下的管线和电缆；地面不平可能导致推土机倾倒；机械施工设备和人员在同一井场作业，配合不当发生车辆伤害、物体打击和机械伤害事故。基础施工过程中存在的危害有起重伤害、车辆伤害、机械伤害和触电，具体包括：车辆行走或基础备料卸车时，观察不清，人员站位不当导致挤伤、碾伤事故；吊装作业时，千斤顶不稳或重物重心失衡导致吊车失稳倾倒，吊臂旋转范围内有人员活动，吊物时钢丝绳索断裂，造成人员伤亡事故；井场临近高压线，吊装作业时，吊臂不注意会碰到高压线，引起触电事故。</w:t>
      </w:r>
    </w:p>
    <w:p>
      <w:pPr>
        <w:pStyle w:val="5"/>
        <w:rPr>
          <w:rFonts w:eastAsiaTheme="minorEastAsia"/>
        </w:rPr>
      </w:pPr>
      <w:r>
        <w:rPr>
          <w:rFonts w:eastAsiaTheme="minorEastAsia"/>
        </w:rPr>
        <w:t>3.2.2  设备拆搬和安装</w:t>
      </w:r>
    </w:p>
    <w:p>
      <w:pPr>
        <w:ind w:firstLine="560"/>
        <w:rPr>
          <w:rFonts w:eastAsiaTheme="minorEastAsia"/>
        </w:rPr>
      </w:pPr>
      <w:r>
        <w:rPr>
          <w:rFonts w:eastAsiaTheme="minorEastAsia"/>
        </w:rPr>
        <w:t>设备拆搬和安装作业使用车辆和设备多、作业周期长、流动作业、交叉作业频繁，较易发生车辆伤害、起重伤害、高处坠落、触电、机械伤害、物体打击等事故。施工现场存在的主要危害有高处坠落、物体打击、车辆伤害、机械伤害、起重伤害、触电等。设备运输过程中存在的主要危害是：井场未被充分压实，吊车千斤基础不稳容易造成车辆倾覆；运输过程中货物未捆绑牢固，导致滑脱或坠落；吊装过程井场人员、车辆众多，容易发生车辆伤害和起重伤害事故；井场电路安装时易发生触电事故；井场动火作业时，易发生火灾爆炸事故；进入柴油罐、钻井液罐或石粉罐等受限空间进行清罐作业时，易发生窒息事故；井架起放时，操作不平稳有可能导致摔井架事故，若距离高压线太近，可能造成触电事故。</w:t>
      </w:r>
    </w:p>
    <w:p>
      <w:pPr>
        <w:pStyle w:val="5"/>
        <w:rPr>
          <w:rFonts w:eastAsiaTheme="minorEastAsia"/>
        </w:rPr>
      </w:pPr>
      <w:r>
        <w:rPr>
          <w:rFonts w:eastAsiaTheme="minorEastAsia"/>
        </w:rPr>
        <w:t>3.2.3  钻进阶段</w:t>
      </w:r>
    </w:p>
    <w:p>
      <w:pPr>
        <w:ind w:firstLine="560"/>
        <w:rPr>
          <w:rFonts w:eastAsiaTheme="minorEastAsia"/>
        </w:rPr>
      </w:pPr>
      <w:r>
        <w:rPr>
          <w:rFonts w:eastAsiaTheme="minorEastAsia"/>
        </w:rPr>
        <w:t>钻进阶段涉及的作业过程比较复杂，不能超越程序进行作业，包括冲鼠洞、接钻头、下钻铤、下钻杆、接方钻杆、开泵操作、钻进、吊单根、接单根、卸方钻杆、起钻杆、起钻铤、卸钻头、井控设备安装调试作业等。</w:t>
      </w:r>
    </w:p>
    <w:p>
      <w:pPr>
        <w:ind w:firstLine="560"/>
        <w:rPr>
          <w:rFonts w:eastAsiaTheme="minorEastAsia"/>
        </w:rPr>
      </w:pPr>
      <w:r>
        <w:rPr>
          <w:rFonts w:eastAsiaTheme="minorEastAsia"/>
        </w:rPr>
        <w:t>首次开钻时设备运行状态是否正常，各气、电路控制系统是否存在漏气、漏电或接错等现象等，可能造成物体打击、机械伤害、触电、设备损害等事故；钻头、钻具、套管、工具等体积和重量都比较大，劳动强度大，在接方钻杆、起吊钻杆、装卸钻头、操作大钳、吊卡、推摆钻杆等过程中时，如钻台工作人员配合不好，容易发生物体打击、机械伤害等人身伤害事故；二层台操作人员操作不慎，也容易造成高处坠落、物体打击事故。下表层套管时，在钻台大门前扣好吊卡后，人员如不及时躲避，容易造成碰、砸、撞、挤、扭、擦伤事故。</w:t>
      </w:r>
    </w:p>
    <w:p>
      <w:pPr>
        <w:ind w:firstLine="560"/>
        <w:rPr>
          <w:rFonts w:eastAsiaTheme="minorEastAsia"/>
        </w:rPr>
      </w:pPr>
      <w:r>
        <w:rPr>
          <w:rFonts w:eastAsiaTheme="minorEastAsia"/>
        </w:rPr>
        <w:t>第二次开钻的工作内容主要包括：高压试运转、下钻、钻进和起钻等。在一口井的施工中，高压试运转易造成设备损坏和人身伤亡。下钻过程可能会遇到的井下复杂情况很多，如井眼垮塌、缩径、沉砂、油气上窜、井涌等，如果司钻在操作过程中注意不够或判断失误，有可能将钻具贸然下入复杂井眼，造成卡钻、顿钻等事故；如果下钻速度快，会产生很大的激动压力，容易憋漏地层。另外，在下钻过程中，钻井大绳卡进指梁会挂坏井架或二层台，容易造成物体打击和高处坠落事故；下钻过程中，如果绞车高、低速离合器不放气，刹车失灵，可能导致顿钻重大事故；用大钳紧扣操作猫头时失误，有可能造成物体打击、机械伤害事故；在二层台工作时，有可能导致高处坠落或高处落物等人身伤害事故。</w:t>
      </w:r>
    </w:p>
    <w:p>
      <w:pPr>
        <w:ind w:firstLine="560"/>
        <w:rPr>
          <w:rFonts w:eastAsiaTheme="minorEastAsia"/>
        </w:rPr>
      </w:pPr>
      <w:r>
        <w:rPr>
          <w:rFonts w:eastAsiaTheme="minorEastAsia"/>
        </w:rPr>
        <w:t>钻进过程中，在井浅时，因快速钻进，钻井液性能不完善，造壁性和悬浮性能差。可能造成井眼垮塌或沉砂埋钻具。井深时，可能会遇到地层压力异常，造成井漏、井涌、井喷以及井喷失控着火等严重事故。</w:t>
      </w:r>
    </w:p>
    <w:p>
      <w:pPr>
        <w:ind w:firstLine="560"/>
        <w:rPr>
          <w:rFonts w:eastAsiaTheme="minorEastAsia"/>
        </w:rPr>
      </w:pPr>
      <w:r>
        <w:rPr>
          <w:rFonts w:eastAsiaTheme="minorEastAsia"/>
        </w:rPr>
        <w:t>起钻过程中，由于井下情况复杂，处理不当，可能引起上提遇卡、转盘憋劲大、打倒车、灌不进钻井液等情况。起钻速度快或钻头泥包，导致拔活塞，容易诱发井塌、井漏、油气水侵、井涌以及井喷和井喷失控事故；起钻过程中，如果绞车高、低速离合器不放气，防碰天车失灵，处理不当可能导致顶天车的恶性事故；在起钻过程中，如果司钻失误或与井口工作人员配合不当，可能造成单吊环起钻、崩砸井口工具、顶天车等事故的发生，可能导致一人或多人死亡的重大事故；井架工二层台操作时，容易发生高处坠落或高处落物伤人事故。</w:t>
      </w:r>
    </w:p>
    <w:p>
      <w:pPr>
        <w:ind w:firstLine="560"/>
        <w:rPr>
          <w:rFonts w:eastAsiaTheme="minorEastAsia"/>
        </w:rPr>
      </w:pPr>
      <w:r>
        <w:rPr>
          <w:rFonts w:eastAsiaTheme="minorEastAsia"/>
        </w:rPr>
        <w:t>钻进过程中由于各种原因造成的复杂情况和事故还有很多，这些复杂情况多数是由于操作失误造成的，另外由于井下情况复杂，发生如井涌、井漏、卡钻、缩径、钻头泥包、井下落物等事故时，地面需要采取压井、划眼、倒划眼、解卡、扩眼、打捞等作业来处理井下事故，这些非正常作业又容易导致井喷失控、井喷、顶天车、顿钻、单吊环起钻等地面事故的发生。</w:t>
      </w:r>
    </w:p>
    <w:p>
      <w:pPr>
        <w:pStyle w:val="5"/>
        <w:rPr>
          <w:rFonts w:eastAsiaTheme="minorEastAsia"/>
        </w:rPr>
      </w:pPr>
      <w:r>
        <w:rPr>
          <w:rFonts w:eastAsiaTheme="minorEastAsia"/>
        </w:rPr>
        <w:t>3.2.4  固井、完井阶段</w:t>
      </w:r>
    </w:p>
    <w:p>
      <w:pPr>
        <w:ind w:firstLine="560"/>
        <w:rPr>
          <w:rFonts w:eastAsiaTheme="minorEastAsia"/>
        </w:rPr>
      </w:pPr>
      <w:r>
        <w:rPr>
          <w:rFonts w:eastAsiaTheme="minorEastAsia"/>
        </w:rPr>
        <w:t>下技术套管或油层套管持续时间长，涉及工作人员多，劳动强度大，因此容易发生物体打击、高处坠落、机械伤害等事故。在固技术套管或油层套管施工过程中，固井车辆摆放时可能危害供电线路，容易造成触电、火灾或中毒和窒息事故同时泵压会越来越高，井口、泵房、高压管汇、安全阀附近的流体伤人的危险性。摆放车辆未注意周围人员容易导致车辆伤害事故；管线连接及试压时容易发生物体打击事故；连接电路过程中容易发生触电事故；下灰管线连接不牢，人员站位不当，可能导致眼部伤害；替水泥浆过程中，井口、泵房、高压管汇、安全阀附近存在一定的流体伤人的危险性。完井后拆卸设备需要多工种配合作业，人员高处作业容易发生高处坠落事故，拆卸带压管线容易造成高压液体打击伤人事故；甩钻具过程中，容易发生物体打击事故。另外，电测及完井过程中存在着溢流、井涌、井喷、放射性伤害、高空坠落等危害。</w:t>
      </w:r>
    </w:p>
    <w:p>
      <w:pPr>
        <w:pStyle w:val="5"/>
        <w:rPr>
          <w:rFonts w:eastAsiaTheme="minorEastAsia"/>
        </w:rPr>
      </w:pPr>
      <w:r>
        <w:rPr>
          <w:rFonts w:eastAsiaTheme="minorEastAsia"/>
        </w:rPr>
        <w:t>3.2.5  测井过程</w:t>
      </w:r>
    </w:p>
    <w:p>
      <w:pPr>
        <w:ind w:firstLine="560"/>
        <w:rPr>
          <w:rFonts w:eastAsiaTheme="minorEastAsia"/>
        </w:rPr>
      </w:pPr>
      <w:r>
        <w:rPr>
          <w:rFonts w:eastAsiaTheme="minorEastAsia"/>
        </w:rPr>
        <w:t>在测井过程中工作人员若不穿专用个体防护用具，有发生辐射伤害的危险，另外放射源若管理不善，或在运输过程管理不到位，极易丢失，一旦丢失将带来更大的危害。</w:t>
      </w:r>
    </w:p>
    <w:p>
      <w:pPr>
        <w:ind w:firstLine="560"/>
        <w:rPr>
          <w:rFonts w:eastAsiaTheme="minorEastAsia"/>
        </w:rPr>
      </w:pPr>
      <w:r>
        <w:rPr>
          <w:rFonts w:eastAsiaTheme="minorEastAsia"/>
        </w:rPr>
        <w:t>测井过程中易发生落井事故，也可能发生溢流以及卡仪器、拔断电缆、仪器落井等事故。</w:t>
      </w:r>
    </w:p>
    <w:p>
      <w:pPr>
        <w:pStyle w:val="5"/>
        <w:rPr>
          <w:rFonts w:eastAsiaTheme="minorEastAsia"/>
        </w:rPr>
      </w:pPr>
      <w:r>
        <w:rPr>
          <w:rFonts w:eastAsiaTheme="minorEastAsia"/>
        </w:rPr>
        <w:t>3.2.6  完井后拆卸设备作业过程</w:t>
      </w:r>
    </w:p>
    <w:p>
      <w:pPr>
        <w:ind w:firstLine="560"/>
        <w:rPr>
          <w:rFonts w:eastAsiaTheme="minorEastAsia"/>
        </w:rPr>
      </w:pPr>
      <w:r>
        <w:rPr>
          <w:rFonts w:eastAsiaTheme="minorEastAsia"/>
        </w:rPr>
        <w:t>完井后拆卸设备需要多工种配合作业，危险因素多，特别是拆卸钻具时，易发生吊钳伤人的事故。另外，在钻具下钻台时，也容易发生砸伤人员的事故。</w:t>
      </w:r>
    </w:p>
    <w:p>
      <w:pPr>
        <w:pStyle w:val="5"/>
        <w:rPr>
          <w:rFonts w:eastAsiaTheme="minorEastAsia"/>
        </w:rPr>
      </w:pPr>
      <w:r>
        <w:rPr>
          <w:rFonts w:eastAsiaTheme="minorEastAsia"/>
        </w:rPr>
        <w:t>3.2.7  检修与保养过程</w:t>
      </w:r>
    </w:p>
    <w:p>
      <w:pPr>
        <w:ind w:firstLine="560"/>
        <w:rPr>
          <w:rFonts w:eastAsiaTheme="minorEastAsia"/>
        </w:rPr>
      </w:pPr>
      <w:r>
        <w:rPr>
          <w:rFonts w:eastAsiaTheme="minorEastAsia"/>
        </w:rPr>
        <w:t>在设备保养或检修时，存在机械伤害、电气伤害、高处坠落等危险，甚至因此造成卡钻事故，处理卡钻事故是发生人身伤害最多的过程。</w:t>
      </w:r>
    </w:p>
    <w:p>
      <w:pPr>
        <w:pStyle w:val="5"/>
        <w:rPr>
          <w:rFonts w:eastAsiaTheme="minorEastAsia"/>
        </w:rPr>
      </w:pPr>
      <w:r>
        <w:rPr>
          <w:rFonts w:eastAsiaTheme="minorEastAsia"/>
        </w:rPr>
        <w:t>3.2.8  井下复杂情况及井下事故处理过程</w:t>
      </w:r>
    </w:p>
    <w:p>
      <w:pPr>
        <w:ind w:firstLine="560"/>
        <w:rPr>
          <w:rFonts w:eastAsiaTheme="minorEastAsia"/>
        </w:rPr>
      </w:pPr>
      <w:r>
        <w:rPr>
          <w:rFonts w:eastAsiaTheme="minorEastAsia"/>
        </w:rPr>
        <w:t>井下复杂情况和井下事故包括：井涌、井漏、井塌、砂桥、泥包、缩径、键槽、卡钻、井喷、钻具或套管断落、井下落物等等。井喷失控是钻井、井下作业过程中可能发生的比较严重的事故，引起井喷的原因有：地层压力掌握不准；泥浆密度偏低；井内泥浆液柱高度降低；起钻抽吸；其他不当操作等。井喷事故发生后往往有大量易燃易爆、有毒气体和原油喷出，可能会发生火灾、爆炸或中毒事故，对环境和人员造成较大的危害。</w:t>
      </w:r>
    </w:p>
    <w:p>
      <w:pPr>
        <w:pStyle w:val="5"/>
        <w:rPr>
          <w:rFonts w:eastAsiaTheme="minorEastAsia"/>
        </w:rPr>
      </w:pPr>
      <w:r>
        <w:rPr>
          <w:rFonts w:eastAsiaTheme="minorEastAsia"/>
        </w:rPr>
        <w:t>3.2.9  井控</w:t>
      </w:r>
    </w:p>
    <w:p>
      <w:pPr>
        <w:ind w:firstLine="560"/>
        <w:rPr>
          <w:rFonts w:eastAsiaTheme="minorEastAsia"/>
        </w:rPr>
      </w:pPr>
      <w:r>
        <w:rPr>
          <w:rFonts w:eastAsiaTheme="minorEastAsia"/>
        </w:rPr>
        <w:t>井控的特殊性在于其本身就是一种防止井喷的安全技术手段，但同时井控作业中存在着较大的危险性，处理不当反而会使井喷失控，带来更加严重的后果。</w:t>
      </w:r>
    </w:p>
    <w:p>
      <w:pPr>
        <w:ind w:firstLine="560"/>
        <w:rPr>
          <w:rFonts w:eastAsiaTheme="minorEastAsia"/>
        </w:rPr>
      </w:pPr>
      <w:r>
        <w:rPr>
          <w:rFonts w:eastAsiaTheme="minorEastAsia"/>
        </w:rPr>
        <w:t>在井控作业中若存在没提上钻具，影响压井；上提钻具过高，钻头碰坏防喷器或钻具断落，影响压井；钻井液密度过低，造成严重欠平衡；钻井液密度过高，井口井底压力过高或井漏；没泵入泥浆，导致井口井底压力增高，发生卡钻；泥浆泵入过程中气体侵入，泵入泥浆速度总小于溢出速度；单泵运行，或泵发生故障，泥浆不足，导致压井困难或防喷器损坏等情况，均有可能发生井喷失控，带来更加严重的后果。</w:t>
      </w:r>
    </w:p>
    <w:p>
      <w:pPr>
        <w:ind w:firstLine="560"/>
        <w:rPr>
          <w:rFonts w:eastAsiaTheme="minorEastAsia"/>
        </w:rPr>
      </w:pPr>
      <w:r>
        <w:rPr>
          <w:rFonts w:eastAsiaTheme="minorEastAsia"/>
        </w:rPr>
        <w:t>一般情况下发生井控风险的原因如下：</w:t>
      </w:r>
    </w:p>
    <w:p>
      <w:pPr>
        <w:ind w:firstLine="560"/>
        <w:rPr>
          <w:rFonts w:eastAsiaTheme="minorEastAsia"/>
        </w:rPr>
      </w:pPr>
      <w:r>
        <w:rPr>
          <w:rFonts w:eastAsiaTheme="minorEastAsia"/>
        </w:rPr>
        <w:t>1）起钻抽吸，造成诱喷。</w:t>
      </w:r>
    </w:p>
    <w:p>
      <w:pPr>
        <w:ind w:firstLine="560"/>
        <w:rPr>
          <w:rFonts w:eastAsiaTheme="minorEastAsia"/>
        </w:rPr>
      </w:pPr>
      <w:r>
        <w:rPr>
          <w:rFonts w:eastAsiaTheme="minorEastAsia"/>
        </w:rPr>
        <w:t>2）发现溢流后处理措施不当。比如，发现溢流后不及时正确关井，继续循环观察，致使气侵段钻井液或气柱迅速上移。</w:t>
      </w:r>
    </w:p>
    <w:p>
      <w:pPr>
        <w:ind w:firstLine="560"/>
        <w:rPr>
          <w:rFonts w:eastAsiaTheme="minorEastAsia"/>
        </w:rPr>
      </w:pPr>
      <w:r>
        <w:rPr>
          <w:rFonts w:eastAsiaTheme="minorEastAsia"/>
        </w:rPr>
        <w:t>3）井口不安装防喷器。井口不安装防器主要是认识上的片面性：其一，片面追求节省成本，想尽量少地投入设备折旧；其二，认为地层压力系数低，不会发生井喷，不需要安装防喷器。</w:t>
      </w:r>
    </w:p>
    <w:p>
      <w:pPr>
        <w:ind w:firstLine="560"/>
        <w:rPr>
          <w:rFonts w:eastAsiaTheme="minorEastAsia"/>
        </w:rPr>
      </w:pPr>
      <w:r>
        <w:rPr>
          <w:rFonts w:eastAsiaTheme="minorEastAsia"/>
        </w:rPr>
        <w:t>4）井控设备的安装及试压不合格。</w:t>
      </w:r>
    </w:p>
    <w:p>
      <w:pPr>
        <w:ind w:firstLine="560"/>
        <w:rPr>
          <w:rFonts w:eastAsiaTheme="minorEastAsia"/>
        </w:rPr>
      </w:pPr>
      <w:r>
        <w:rPr>
          <w:rFonts w:eastAsiaTheme="minorEastAsia"/>
        </w:rPr>
        <w:t>5）井身结构设计不合理。表层套管下的深度不够，技术套管下的深度靠上，当钻到下地层遇有异常压力而关井时，在表层套管外憋漏，钻井液窜至井场地表，无法实施关井。</w:t>
      </w:r>
    </w:p>
    <w:p>
      <w:pPr>
        <w:ind w:firstLine="560"/>
        <w:rPr>
          <w:rFonts w:eastAsiaTheme="minorEastAsia"/>
        </w:rPr>
      </w:pPr>
      <w:r>
        <w:rPr>
          <w:rFonts w:eastAsiaTheme="minorEastAsia"/>
        </w:rPr>
        <w:t>6）钻遇漏失层段发生井漏未能及时处理或处理措施不当。发生井漏以后，井内钻井液柱压力降低，当液柱压力低于地层压力时就会发生井侵，井涌乃至井喷。</w:t>
      </w:r>
    </w:p>
    <w:p>
      <w:pPr>
        <w:ind w:firstLine="560"/>
        <w:rPr>
          <w:rFonts w:eastAsiaTheme="minorEastAsia"/>
        </w:rPr>
      </w:pPr>
      <w:r>
        <w:rPr>
          <w:rFonts w:eastAsiaTheme="minorEastAsia"/>
        </w:rPr>
        <w:t>7）思想麻痹，违章操作。由于思想麻痹，违章操作而导致的井喷失控。</w:t>
      </w:r>
    </w:p>
    <w:p>
      <w:pPr>
        <w:pStyle w:val="3"/>
        <w:rPr>
          <w:rFonts w:eastAsiaTheme="minorEastAsia"/>
          <w:bCs w:val="0"/>
        </w:rPr>
      </w:pPr>
      <w:bookmarkStart w:id="160" w:name="_Toc522018261"/>
      <w:bookmarkStart w:id="161" w:name="_Toc27111"/>
      <w:bookmarkStart w:id="162" w:name="_Toc41742627"/>
      <w:r>
        <w:rPr>
          <w:rFonts w:eastAsiaTheme="minorEastAsia"/>
        </w:rPr>
        <w:t>3.3  井下作业危险有害因素分析</w:t>
      </w:r>
      <w:bookmarkEnd w:id="160"/>
      <w:bookmarkEnd w:id="161"/>
      <w:bookmarkEnd w:id="162"/>
    </w:p>
    <w:p>
      <w:pPr>
        <w:ind w:firstLine="560"/>
        <w:rPr>
          <w:rFonts w:eastAsiaTheme="minorEastAsia"/>
        </w:rPr>
      </w:pPr>
      <w:r>
        <w:rPr>
          <w:rFonts w:eastAsiaTheme="minorEastAsia"/>
        </w:rPr>
        <w:t>井下作业是采油过程中保证油水井正常生产的技术手段，井下作业内容主要有油水井维修、油水井大修、油层改造等。井下作业是在野外进行，流动性大，环境艰苦，并且多工种协作施工，生产过程中事故隐患较多，危险性较大。</w:t>
      </w:r>
    </w:p>
    <w:p>
      <w:pPr>
        <w:pStyle w:val="5"/>
        <w:rPr>
          <w:rFonts w:eastAsiaTheme="minorEastAsia"/>
        </w:rPr>
      </w:pPr>
      <w:r>
        <w:rPr>
          <w:rFonts w:eastAsiaTheme="minorEastAsia"/>
        </w:rPr>
        <w:t>3.3.1  维护及常规井作业</w:t>
      </w:r>
    </w:p>
    <w:p>
      <w:pPr>
        <w:ind w:firstLine="560"/>
        <w:rPr>
          <w:rFonts w:eastAsiaTheme="minorEastAsia"/>
        </w:rPr>
      </w:pPr>
      <w:r>
        <w:rPr>
          <w:rFonts w:eastAsiaTheme="minorEastAsia"/>
        </w:rPr>
        <w:t>易出现因作业前没有检查刹车系统，刹车失控造成严重事故；游动系统没有经常检查维护和保养、作业井架、大钩、吊环吊卡等设施没有经过检验，在解卡或重负荷作业时，发生大绳断落、井架倾斜折断或承重设施断裂等事故；井口操作不熟练、配合不当或防脱钩失效造成单吊环伤人；无证操作或通井机操作不熟练、防碰天车失效等会发生顶天车或砸井口事件。</w:t>
      </w:r>
    </w:p>
    <w:p>
      <w:pPr>
        <w:pStyle w:val="5"/>
        <w:rPr>
          <w:rFonts w:eastAsiaTheme="minorEastAsia"/>
        </w:rPr>
      </w:pPr>
      <w:r>
        <w:rPr>
          <w:rFonts w:eastAsiaTheme="minorEastAsia"/>
        </w:rPr>
        <w:t>3.3.2  射孔作业</w:t>
      </w:r>
    </w:p>
    <w:p>
      <w:pPr>
        <w:ind w:firstLine="560"/>
        <w:rPr>
          <w:rFonts w:eastAsiaTheme="minorEastAsia"/>
        </w:rPr>
      </w:pPr>
      <w:r>
        <w:rPr>
          <w:rFonts w:eastAsiaTheme="minorEastAsia"/>
        </w:rPr>
        <w:t>施工前没有合理选配压井液或没有合理选择射孔方式引发井喷事故；防喷装置没有检查、试压，或不按照井控要求进行操作可能导致井喷事故。</w:t>
      </w:r>
    </w:p>
    <w:p>
      <w:pPr>
        <w:pStyle w:val="5"/>
        <w:rPr>
          <w:rFonts w:eastAsiaTheme="minorEastAsia"/>
        </w:rPr>
      </w:pPr>
      <w:r>
        <w:rPr>
          <w:rFonts w:eastAsiaTheme="minorEastAsia"/>
        </w:rPr>
        <w:t>3.3.3  高压作业</w:t>
      </w:r>
    </w:p>
    <w:p>
      <w:pPr>
        <w:ind w:firstLine="560"/>
        <w:rPr>
          <w:rFonts w:eastAsiaTheme="minorEastAsia"/>
        </w:rPr>
      </w:pPr>
      <w:r>
        <w:rPr>
          <w:rFonts w:eastAsiaTheme="minorEastAsia"/>
        </w:rPr>
        <w:t>包括封堵、酸化等高压作业时，易出现井口闸门及连接管汇的刺漏，连接管线固定不牢固，压力瞬间升高时，造成管线摆动，易造成物体打击伤人事故。</w:t>
      </w:r>
    </w:p>
    <w:p>
      <w:pPr>
        <w:pStyle w:val="5"/>
        <w:rPr>
          <w:rFonts w:eastAsiaTheme="minorEastAsia"/>
        </w:rPr>
      </w:pPr>
      <w:r>
        <w:rPr>
          <w:rFonts w:eastAsiaTheme="minorEastAsia"/>
        </w:rPr>
        <w:t>3.3.4  压井作业</w:t>
      </w:r>
    </w:p>
    <w:p>
      <w:pPr>
        <w:ind w:firstLine="560"/>
        <w:rPr>
          <w:rFonts w:eastAsiaTheme="minorEastAsia"/>
        </w:rPr>
      </w:pPr>
      <w:r>
        <w:rPr>
          <w:rFonts w:eastAsiaTheme="minorEastAsia"/>
        </w:rPr>
        <w:t>由于压井等井下作业过程中使用的压井液在配伍等方面不符合地层要求，容易造成井喷事故（特别是新区块的前期开采）。</w:t>
      </w:r>
    </w:p>
    <w:p>
      <w:pPr>
        <w:pStyle w:val="5"/>
        <w:rPr>
          <w:rFonts w:eastAsiaTheme="minorEastAsia"/>
        </w:rPr>
      </w:pPr>
      <w:r>
        <w:rPr>
          <w:rFonts w:eastAsiaTheme="minorEastAsia"/>
        </w:rPr>
        <w:t xml:space="preserve">3.3.5  </w:t>
      </w:r>
      <w:r>
        <w:rPr>
          <w:rFonts w:hint="eastAsia" w:eastAsiaTheme="minorEastAsia"/>
        </w:rPr>
        <w:t>酸化解堵</w:t>
      </w:r>
    </w:p>
    <w:p>
      <w:pPr>
        <w:pStyle w:val="44"/>
        <w:ind w:firstLine="560"/>
      </w:pPr>
      <w:r>
        <w:t>本项目</w:t>
      </w:r>
      <w:r>
        <w:rPr>
          <w:rFonts w:ascii="Times New Roman" w:hAnsi="Times New Roman" w:eastAsiaTheme="minorEastAsia"/>
        </w:rPr>
        <w:t>采用复合酸溶解粘土矿物颗粒以及部分细粉砂消除地层堵塞因素</w:t>
      </w:r>
      <w:r>
        <w:t>。</w:t>
      </w:r>
    </w:p>
    <w:p>
      <w:pPr>
        <w:pStyle w:val="44"/>
        <w:ind w:firstLine="560"/>
      </w:pPr>
      <w:r>
        <w:t>酸化过程中，人员劳保穿戴不全，易收到酸液腐蚀伤害。向地层内挤注酸液过程中，压力较高，若管线连接不牢或闸门开关不正确，易造成管线或阀门处刺漏，造成伤人事故。</w:t>
      </w:r>
    </w:p>
    <w:p>
      <w:pPr>
        <w:pStyle w:val="5"/>
        <w:rPr>
          <w:rFonts w:eastAsiaTheme="minorEastAsia"/>
        </w:rPr>
      </w:pPr>
      <w:r>
        <w:rPr>
          <w:rFonts w:eastAsiaTheme="minorEastAsia"/>
        </w:rPr>
        <w:t>3.3.</w:t>
      </w:r>
      <w:r>
        <w:rPr>
          <w:rFonts w:hint="eastAsia" w:eastAsiaTheme="minorEastAsia"/>
        </w:rPr>
        <w:t>6</w:t>
      </w:r>
      <w:r>
        <w:rPr>
          <w:rFonts w:eastAsiaTheme="minorEastAsia"/>
        </w:rPr>
        <w:t xml:space="preserve">  </w:t>
      </w:r>
      <w:r>
        <w:rPr>
          <w:rFonts w:hint="eastAsia" w:eastAsiaTheme="minorEastAsia"/>
        </w:rPr>
        <w:t>复合降粘</w:t>
      </w:r>
    </w:p>
    <w:p>
      <w:pPr>
        <w:rPr>
          <w:rFonts w:hint="eastAsia"/>
          <w:lang w:eastAsia="zh-CN"/>
        </w:rPr>
      </w:pPr>
      <w:r>
        <w:rPr>
          <w:rFonts w:hint="eastAsia"/>
          <w:lang w:eastAsia="zh-CN"/>
        </w:rPr>
        <w:t>本项目该块后续每年转周降粘时，可直接从油套环空不动管柱注入油溶性降粘剂+水溶性降粘剂（不注CO</w:t>
      </w:r>
      <w:r>
        <w:rPr>
          <w:rFonts w:hint="eastAsia"/>
          <w:vertAlign w:val="subscript"/>
          <w:lang w:eastAsia="zh-CN"/>
        </w:rPr>
        <w:t>2</w:t>
      </w:r>
      <w:r>
        <w:rPr>
          <w:rFonts w:hint="eastAsia"/>
          <w:lang w:eastAsia="zh-CN"/>
        </w:rPr>
        <w:t>），如果当年未注降粘剂前，需要检泵作业，可实施复合降粘（油溶降粘剂+CO</w:t>
      </w:r>
      <w:r>
        <w:rPr>
          <w:rFonts w:hint="eastAsia"/>
          <w:vertAlign w:val="subscript"/>
          <w:lang w:eastAsia="zh-CN"/>
        </w:rPr>
        <w:t>2</w:t>
      </w:r>
      <w:r>
        <w:rPr>
          <w:rFonts w:hint="eastAsia"/>
          <w:lang w:eastAsia="zh-CN"/>
        </w:rPr>
        <w:t>+水溶性降粘剂）措施。</w:t>
      </w:r>
    </w:p>
    <w:p>
      <w:pPr>
        <w:rPr>
          <w:rFonts w:hint="eastAsia"/>
          <w:lang w:eastAsia="zh-CN"/>
        </w:rPr>
      </w:pPr>
      <w:r>
        <w:rPr>
          <w:rFonts w:hint="eastAsia"/>
          <w:lang w:eastAsia="zh-CN"/>
        </w:rPr>
        <w:t>在作业过程中违规操作、未配备劳动防护用品、操作人员对降粘剂有过敏等不良反应，都可能发生人身伤害事故。</w:t>
      </w:r>
      <w:bookmarkStart w:id="295" w:name="_GoBack"/>
      <w:bookmarkEnd w:id="295"/>
    </w:p>
    <w:p>
      <w:pPr>
        <w:pStyle w:val="5"/>
        <w:rPr>
          <w:rFonts w:eastAsiaTheme="minorEastAsia"/>
        </w:rPr>
      </w:pPr>
      <w:r>
        <w:rPr>
          <w:rFonts w:eastAsiaTheme="minorEastAsia"/>
        </w:rPr>
        <w:t>3.3.</w:t>
      </w:r>
      <w:r>
        <w:rPr>
          <w:rFonts w:hint="eastAsia" w:eastAsiaTheme="minorEastAsia"/>
          <w:lang w:val="en-US" w:eastAsia="zh-CN"/>
        </w:rPr>
        <w:t>7</w:t>
      </w:r>
      <w:r>
        <w:rPr>
          <w:rFonts w:eastAsiaTheme="minorEastAsia"/>
        </w:rPr>
        <w:t xml:space="preserve">  其他作业</w:t>
      </w:r>
    </w:p>
    <w:p>
      <w:pPr>
        <w:ind w:firstLine="560"/>
        <w:rPr>
          <w:rFonts w:eastAsiaTheme="minorEastAsia"/>
        </w:rPr>
      </w:pPr>
      <w:r>
        <w:rPr>
          <w:rFonts w:eastAsiaTheme="minorEastAsia"/>
        </w:rPr>
        <w:t>本项目在井下作业过程中，若井场周边存在其他作业活动，可能会对本项目的作业产生影响，容易引起伤害事故的发生。如周边作业活动的人员操作失误，车辆、机械设备损坏等，可能影响到本项目，造成事故。</w:t>
      </w:r>
    </w:p>
    <w:p>
      <w:pPr>
        <w:pStyle w:val="269"/>
        <w:ind w:firstLine="560"/>
        <w:rPr>
          <w:rFonts w:cs="Times New Roman" w:eastAsiaTheme="minorEastAsia"/>
          <w:bCs/>
          <w:color w:val="000000"/>
          <w:szCs w:val="28"/>
          <w:lang w:val="zh-CN"/>
        </w:rPr>
      </w:pPr>
      <w:r>
        <w:rPr>
          <w:rFonts w:cs="Times New Roman" w:eastAsiaTheme="minorEastAsia"/>
          <w:bCs/>
          <w:color w:val="000000"/>
          <w:szCs w:val="28"/>
          <w:lang w:val="zh-CN"/>
        </w:rPr>
        <w:t>换装井口、起下管柱、循环施工作业、安装井下安全阀等作业时，造成井内压力失衡，防喷器失效；抢喷工具不全；压井、排液等措施不当都可能发生井喷事故，造成设备损坏甚至人员伤亡。</w:t>
      </w:r>
    </w:p>
    <w:p>
      <w:pPr>
        <w:ind w:firstLine="560"/>
        <w:rPr>
          <w:rFonts w:eastAsiaTheme="minorEastAsia"/>
        </w:rPr>
      </w:pPr>
      <w:r>
        <w:rPr>
          <w:rFonts w:eastAsiaTheme="minorEastAsia"/>
          <w:bCs/>
          <w:color w:val="000000"/>
          <w:szCs w:val="28"/>
          <w:lang w:val="zh-CN"/>
        </w:rPr>
        <w:t>发生井喷时，井控设备失效，遇到点火源可能发生火灾爆炸事故</w:t>
      </w:r>
      <w:r>
        <w:rPr>
          <w:rFonts w:hint="eastAsia" w:eastAsiaTheme="minorEastAsia"/>
          <w:bCs/>
          <w:color w:val="000000"/>
          <w:szCs w:val="28"/>
          <w:lang w:val="zh-CN"/>
        </w:rPr>
        <w:t>。</w:t>
      </w:r>
    </w:p>
    <w:p>
      <w:pPr>
        <w:pStyle w:val="5"/>
        <w:rPr>
          <w:rFonts w:eastAsiaTheme="minorEastAsia"/>
        </w:rPr>
      </w:pPr>
      <w:r>
        <w:rPr>
          <w:rFonts w:eastAsiaTheme="minorEastAsia"/>
        </w:rPr>
        <w:t>3.3.</w:t>
      </w:r>
      <w:r>
        <w:rPr>
          <w:rFonts w:hint="eastAsia" w:eastAsiaTheme="minorEastAsia"/>
          <w:lang w:val="en-US" w:eastAsia="zh-CN"/>
        </w:rPr>
        <w:t>8</w:t>
      </w:r>
      <w:r>
        <w:rPr>
          <w:rFonts w:eastAsiaTheme="minorEastAsia"/>
        </w:rPr>
        <w:t xml:space="preserve">  井控风险分析</w:t>
      </w:r>
    </w:p>
    <w:p>
      <w:pPr>
        <w:ind w:firstLine="560"/>
        <w:rPr>
          <w:rFonts w:eastAsiaTheme="minorEastAsia"/>
        </w:rPr>
      </w:pPr>
      <w:r>
        <w:rPr>
          <w:rFonts w:eastAsiaTheme="minorEastAsia"/>
        </w:rPr>
        <w:t>井下作业过程中，由于复杂的地下压力容易造成井涌和井喷，一般情况下发生井控风险的原因如下：</w:t>
      </w:r>
    </w:p>
    <w:p>
      <w:pPr>
        <w:ind w:firstLine="560"/>
        <w:rPr>
          <w:rFonts w:eastAsiaTheme="minorEastAsia"/>
        </w:rPr>
      </w:pPr>
      <w:r>
        <w:rPr>
          <w:rFonts w:eastAsiaTheme="minorEastAsia"/>
        </w:rPr>
        <w:t>1）起油管时，如果没有将合适的压井液注入到井筒内，或没有安装防喷器，都有可能造成井喷事故。</w:t>
      </w:r>
    </w:p>
    <w:p>
      <w:pPr>
        <w:ind w:firstLine="560"/>
        <w:rPr>
          <w:rFonts w:eastAsiaTheme="minorEastAsia"/>
        </w:rPr>
      </w:pPr>
      <w:r>
        <w:rPr>
          <w:rFonts w:eastAsiaTheme="minorEastAsia"/>
        </w:rPr>
        <w:t>2）井控的配套设施缺乏或者达不到要求，如压井管线和配套节流管线等，可能导致井控事故。</w:t>
      </w:r>
    </w:p>
    <w:p>
      <w:pPr>
        <w:ind w:firstLine="560"/>
        <w:rPr>
          <w:rFonts w:eastAsiaTheme="minorEastAsia"/>
        </w:rPr>
      </w:pPr>
      <w:r>
        <w:rPr>
          <w:rFonts w:eastAsiaTheme="minorEastAsia"/>
        </w:rPr>
        <w:t>3）在设计时，没有将相应的数据提供出来，包括本井的油气比、原始地层压力等。</w:t>
      </w:r>
    </w:p>
    <w:p>
      <w:pPr>
        <w:ind w:firstLine="560"/>
        <w:rPr>
          <w:rFonts w:eastAsiaTheme="minorEastAsia"/>
        </w:rPr>
      </w:pPr>
      <w:r>
        <w:rPr>
          <w:rFonts w:eastAsiaTheme="minorEastAsia"/>
        </w:rPr>
        <w:t>4）</w:t>
      </w:r>
      <w:r>
        <w:rPr>
          <w:rFonts w:hint="eastAsia" w:eastAsiaTheme="minorEastAsia"/>
        </w:rPr>
        <w:t>油气井下</w:t>
      </w:r>
      <w:r>
        <w:rPr>
          <w:rFonts w:eastAsiaTheme="minorEastAsia"/>
        </w:rPr>
        <w:t>作业</w:t>
      </w:r>
      <w:r>
        <w:rPr>
          <w:rFonts w:hint="eastAsia" w:eastAsiaTheme="minorEastAsia"/>
        </w:rPr>
        <w:t>管理中心</w:t>
      </w:r>
      <w:r>
        <w:rPr>
          <w:rFonts w:eastAsiaTheme="minorEastAsia"/>
        </w:rPr>
        <w:t>没有进行严格的开工验收，没有制定具有较强的预见性和针对性的应急预案，也没有纠正一些违规行为。</w:t>
      </w:r>
    </w:p>
    <w:p>
      <w:pPr>
        <w:ind w:firstLine="560"/>
        <w:rPr>
          <w:rFonts w:eastAsiaTheme="minorEastAsia"/>
        </w:rPr>
      </w:pPr>
      <w:r>
        <w:rPr>
          <w:rFonts w:eastAsiaTheme="minorEastAsia"/>
        </w:rPr>
        <w:t>5）实际作业过程中，井控管理责任划分不明确，一线操作职工井控意识淡薄，井控演练浮于形式，遇到突发事故不能有效处理，也会导致井喷事故。</w:t>
      </w:r>
    </w:p>
    <w:p>
      <w:pPr>
        <w:pStyle w:val="3"/>
        <w:rPr>
          <w:rFonts w:eastAsiaTheme="minorEastAsia"/>
        </w:rPr>
      </w:pPr>
      <w:bookmarkStart w:id="163" w:name="_Toc41742629"/>
      <w:bookmarkStart w:id="164" w:name="_Toc11217"/>
      <w:bookmarkStart w:id="165" w:name="_Toc522018263"/>
      <w:r>
        <w:rPr>
          <w:rFonts w:eastAsiaTheme="minorEastAsia"/>
        </w:rPr>
        <w:t>3.4  地面施工过程危险有害因素分析</w:t>
      </w:r>
      <w:bookmarkEnd w:id="163"/>
      <w:bookmarkEnd w:id="164"/>
      <w:bookmarkEnd w:id="165"/>
    </w:p>
    <w:bookmarkEnd w:id="158"/>
    <w:bookmarkEnd w:id="159"/>
    <w:p>
      <w:pPr>
        <w:ind w:firstLine="560"/>
        <w:rPr>
          <w:rFonts w:eastAsiaTheme="minorEastAsia"/>
        </w:rPr>
      </w:pPr>
      <w:r>
        <w:rPr>
          <w:rFonts w:eastAsiaTheme="minorEastAsia"/>
        </w:rPr>
        <w:t>本工程地面工程主要建设内容包括：新建采油井口、集油管线以及供配电、自控等生产配套设施等。在施工过程中主要涉及到临时用电、高处作业、吊装作业及、管线对接等危险性较大的作业，施工过程中的危险有害因素辨识如下：</w:t>
      </w:r>
    </w:p>
    <w:p>
      <w:pPr>
        <w:pStyle w:val="5"/>
        <w:rPr>
          <w:rFonts w:eastAsiaTheme="minorEastAsia"/>
        </w:rPr>
      </w:pPr>
      <w:r>
        <w:rPr>
          <w:rFonts w:eastAsiaTheme="minorEastAsia"/>
        </w:rPr>
        <w:t>3.4.1  临时用电</w:t>
      </w:r>
    </w:p>
    <w:p>
      <w:pPr>
        <w:ind w:firstLine="560"/>
        <w:rPr>
          <w:rFonts w:eastAsiaTheme="minorEastAsia"/>
        </w:rPr>
      </w:pPr>
      <w:r>
        <w:rPr>
          <w:rFonts w:eastAsiaTheme="minorEastAsia"/>
        </w:rPr>
        <w:t>（1）施工过程中的电气设备使用不合理、缺少保护装置，操作人员违章操作等原因，极易造成触电事故。</w:t>
      </w:r>
    </w:p>
    <w:p>
      <w:pPr>
        <w:ind w:firstLine="560"/>
        <w:rPr>
          <w:rFonts w:eastAsiaTheme="minorEastAsia"/>
        </w:rPr>
      </w:pPr>
      <w:r>
        <w:rPr>
          <w:rFonts w:eastAsiaTheme="minorEastAsia"/>
        </w:rPr>
        <w:t>（2）跨越安全围栏或超越安全警戒线，工作人员误碰带电设备，以及在带电设备附近使用钢卷尺等进行测量或携带金属超高物体在带电设备下行走可能造成触电事故。</w:t>
      </w:r>
    </w:p>
    <w:p>
      <w:pPr>
        <w:ind w:firstLine="560"/>
        <w:rPr>
          <w:rFonts w:eastAsiaTheme="minorEastAsia"/>
        </w:rPr>
      </w:pPr>
      <w:r>
        <w:rPr>
          <w:rFonts w:eastAsiaTheme="minorEastAsia"/>
        </w:rPr>
        <w:t>（3）施工现场混乱，造成电气设备安全设施不健全或损坏漏电，绝缘保护层破损或保护接地失效等，如未能及时发现并整改，可能造成触电或电气火灾事故。</w:t>
      </w:r>
    </w:p>
    <w:p>
      <w:pPr>
        <w:ind w:firstLine="560"/>
        <w:rPr>
          <w:rFonts w:eastAsiaTheme="minorEastAsia"/>
        </w:rPr>
      </w:pPr>
      <w:r>
        <w:rPr>
          <w:rFonts w:eastAsiaTheme="minorEastAsia"/>
        </w:rPr>
        <w:t>（4）手持电动工具是在人的紧握之下运行的，人与工具之间的接触电阻小，一旦工具带电，将有较大的电流通过人体，造成触电事故。</w:t>
      </w:r>
    </w:p>
    <w:p>
      <w:pPr>
        <w:ind w:firstLine="560"/>
        <w:rPr>
          <w:rFonts w:eastAsiaTheme="minorEastAsia"/>
        </w:rPr>
      </w:pPr>
      <w:r>
        <w:rPr>
          <w:rFonts w:eastAsiaTheme="minorEastAsia"/>
        </w:rPr>
        <w:t>（5）电线裸露、乱拉、乱扯电线、湿手触动电器开关设备、绝缘鞋破损透水或用湿物去接触电器设备，有引发触电事故的可能性。</w:t>
      </w:r>
    </w:p>
    <w:p>
      <w:pPr>
        <w:ind w:firstLine="560"/>
        <w:rPr>
          <w:rFonts w:eastAsiaTheme="minorEastAsia"/>
        </w:rPr>
      </w:pPr>
      <w:r>
        <w:rPr>
          <w:rFonts w:eastAsiaTheme="minorEastAsia"/>
        </w:rPr>
        <w:t>（6）在带电设备附近进行作业，不符合安全距离或无监护措施，缺少安全标志或标志不明显等可能引发触电事故的发生。</w:t>
      </w:r>
    </w:p>
    <w:p>
      <w:pPr>
        <w:pStyle w:val="5"/>
        <w:rPr>
          <w:rFonts w:eastAsiaTheme="minorEastAsia"/>
        </w:rPr>
      </w:pPr>
      <w:r>
        <w:rPr>
          <w:rFonts w:eastAsiaTheme="minorEastAsia"/>
        </w:rPr>
        <w:t>3.4.2  高处作业</w:t>
      </w:r>
    </w:p>
    <w:p>
      <w:pPr>
        <w:ind w:firstLine="560"/>
        <w:rPr>
          <w:rFonts w:eastAsiaTheme="minorEastAsia"/>
        </w:rPr>
      </w:pPr>
      <w:r>
        <w:rPr>
          <w:rFonts w:eastAsiaTheme="minorEastAsia"/>
        </w:rPr>
        <w:t>本项目采用井口槽设计，油水井井口位于井口槽内。</w:t>
      </w:r>
    </w:p>
    <w:p>
      <w:pPr>
        <w:ind w:firstLine="560"/>
        <w:rPr>
          <w:rFonts w:eastAsiaTheme="minorEastAsia"/>
        </w:rPr>
      </w:pPr>
      <w:r>
        <w:rPr>
          <w:rFonts w:eastAsiaTheme="minorEastAsia"/>
        </w:rPr>
        <w:t>地面与井口槽相对高度在2m以上，容易造成高处坠落、物体打击等事故，主要因素有：井口盖板缺失、未设施防护栏杆，作业中存在违章作业、违章指挥、违反劳动纪律的现象，都可能造成高处坠落事故。</w:t>
      </w:r>
    </w:p>
    <w:p>
      <w:pPr>
        <w:pStyle w:val="5"/>
        <w:rPr>
          <w:rFonts w:eastAsiaTheme="minorEastAsia"/>
        </w:rPr>
      </w:pPr>
      <w:r>
        <w:rPr>
          <w:rFonts w:eastAsiaTheme="minorEastAsia"/>
        </w:rPr>
        <w:t>3.4.3  吊装作业</w:t>
      </w:r>
    </w:p>
    <w:p>
      <w:pPr>
        <w:ind w:firstLine="560"/>
        <w:rPr>
          <w:rFonts w:eastAsiaTheme="minorEastAsia"/>
        </w:rPr>
      </w:pPr>
      <w:r>
        <w:rPr>
          <w:rFonts w:eastAsiaTheme="minorEastAsia"/>
        </w:rPr>
        <w:t>在新建井口等设备时，需要对井口装置进行吊运，在吊运过程中，因违章作业、起重设备的安全装置及保护措施失灵、吊车吊钩、钢丝绳、吊索具超载断裂，吊运时钢丝绳从吊钩中脱出，吊货物捆扎不牢固或作业时吊物下有人等情况，易发生起重伤害事故。</w:t>
      </w:r>
    </w:p>
    <w:p>
      <w:pPr>
        <w:pStyle w:val="5"/>
        <w:rPr>
          <w:rFonts w:eastAsiaTheme="minorEastAsia"/>
        </w:rPr>
      </w:pPr>
      <w:r>
        <w:rPr>
          <w:rFonts w:eastAsiaTheme="minorEastAsia"/>
        </w:rPr>
        <w:t>3.4.4  管线对接</w:t>
      </w:r>
    </w:p>
    <w:p>
      <w:pPr>
        <w:ind w:firstLine="560"/>
        <w:rPr>
          <w:rFonts w:eastAsiaTheme="minorEastAsia"/>
        </w:rPr>
      </w:pPr>
      <w:r>
        <w:rPr>
          <w:rFonts w:eastAsiaTheme="minorEastAsia"/>
        </w:rPr>
        <w:t>新建单井集油管线T接至</w:t>
      </w:r>
      <w:r>
        <w:rPr>
          <w:rFonts w:eastAsiaTheme="minorEastAsia"/>
          <w:bCs/>
          <w:color w:val="000000" w:themeColor="text1"/>
          <w:spacing w:val="10"/>
          <w:szCs w:val="28"/>
          <w14:textFill>
            <w14:solidFill>
              <w14:schemeClr w14:val="tx1"/>
            </w14:solidFill>
          </w14:textFill>
        </w:rPr>
        <w:t>井口槽内集油汇管</w:t>
      </w:r>
      <w:r>
        <w:rPr>
          <w:rFonts w:eastAsiaTheme="minorEastAsia"/>
        </w:rPr>
        <w:t>时，</w:t>
      </w:r>
      <w:r>
        <w:rPr>
          <w:rFonts w:eastAsiaTheme="minorEastAsia"/>
          <w:bCs/>
          <w:color w:val="000000" w:themeColor="text1"/>
          <w:spacing w:val="10"/>
          <w:szCs w:val="28"/>
          <w14:textFill>
            <w14:solidFill>
              <w14:schemeClr w14:val="tx1"/>
            </w14:solidFill>
          </w14:textFill>
        </w:rPr>
        <w:t>井口槽内集油汇管</w:t>
      </w:r>
      <w:r>
        <w:rPr>
          <w:rFonts w:eastAsiaTheme="minorEastAsia"/>
        </w:rPr>
        <w:t>内部介质处理不当、进行新旧集油管线对接时，管线没有按操作规程进行封堵、吹扫或吹扫不彻底，又没有采取一定的防护措施，进行对接时就可能发生火灾、爆炸事故。</w:t>
      </w:r>
    </w:p>
    <w:p>
      <w:pPr>
        <w:ind w:firstLine="560"/>
        <w:rPr>
          <w:rFonts w:eastAsiaTheme="minorEastAsia"/>
        </w:rPr>
      </w:pPr>
      <w:r>
        <w:rPr>
          <w:rFonts w:eastAsiaTheme="minorEastAsia"/>
        </w:rPr>
        <w:t>新旧管线对接施工过程中需要动火，未按照规定制定相应的动火方案及相应的防范措施；动火前未按要求隔离等，有发生火灾、爆炸的危险。如：未切断物料来源、未彻底吹扫、清洗、置换等。</w:t>
      </w:r>
    </w:p>
    <w:p>
      <w:pPr>
        <w:ind w:firstLine="560"/>
        <w:rPr>
          <w:rFonts w:eastAsiaTheme="minorEastAsia"/>
        </w:rPr>
      </w:pPr>
      <w:r>
        <w:rPr>
          <w:rFonts w:eastAsiaTheme="minorEastAsia"/>
        </w:rPr>
        <w:t>本项目施工主要位于井口槽内，井口槽上部设置有混凝土盖板，井口槽属于受限空间，在井口槽内进行电焊作业时，内部通风不良、作业人员防护设施不全，可能发生中毒和窒息事故。</w:t>
      </w:r>
    </w:p>
    <w:p>
      <w:pPr>
        <w:pStyle w:val="5"/>
        <w:rPr>
          <w:rFonts w:eastAsiaTheme="minorEastAsia"/>
        </w:rPr>
      </w:pPr>
      <w:r>
        <w:rPr>
          <w:rFonts w:eastAsiaTheme="minorEastAsia"/>
        </w:rPr>
        <w:t>3.4.5  其他作业</w:t>
      </w:r>
    </w:p>
    <w:p>
      <w:pPr>
        <w:ind w:firstLine="560"/>
        <w:rPr>
          <w:rFonts w:eastAsiaTheme="minorEastAsia"/>
        </w:rPr>
      </w:pPr>
      <w:r>
        <w:rPr>
          <w:rFonts w:eastAsiaTheme="minorEastAsia"/>
        </w:rPr>
        <w:t>由于施工现场混乱，施工人员多而杂，在施工过程中，来往各种运输车辆可能对工作人员造成人身伤害。各种施工机械的运动部件都可以构成对人体的机械伤害，如运动中的皮带轮、飞轮、开式齿轮等。管线碰头、试压过程中，若人员操作不当，或防护设施失灵，可能发生物体打击、机械伤害事故，造成人员伤亡。</w:t>
      </w:r>
    </w:p>
    <w:p>
      <w:pPr>
        <w:pStyle w:val="3"/>
        <w:rPr>
          <w:rFonts w:eastAsiaTheme="minorEastAsia"/>
          <w:bCs w:val="0"/>
        </w:rPr>
      </w:pPr>
      <w:bookmarkStart w:id="166" w:name="_Toc522018264"/>
      <w:bookmarkStart w:id="167" w:name="_Toc288"/>
      <w:bookmarkStart w:id="168" w:name="_Toc341963422"/>
      <w:bookmarkStart w:id="169" w:name="_Toc41742630"/>
      <w:r>
        <w:rPr>
          <w:rFonts w:eastAsiaTheme="minorEastAsia"/>
        </w:rPr>
        <w:t>3.5  生产运行过程中的危险有害因素分析</w:t>
      </w:r>
      <w:bookmarkEnd w:id="166"/>
      <w:bookmarkEnd w:id="167"/>
      <w:bookmarkEnd w:id="168"/>
      <w:bookmarkEnd w:id="169"/>
    </w:p>
    <w:p>
      <w:pPr>
        <w:pStyle w:val="269"/>
        <w:ind w:firstLine="560"/>
        <w:rPr>
          <w:rStyle w:val="270"/>
          <w:rFonts w:cs="Times New Roman" w:eastAsiaTheme="minorEastAsia"/>
        </w:rPr>
      </w:pPr>
      <w:bookmarkStart w:id="170" w:name="_Toc522018265"/>
      <w:bookmarkStart w:id="171" w:name="_Toc341963423"/>
      <w:r>
        <w:rPr>
          <w:rFonts w:cs="Times New Roman" w:eastAsiaTheme="minorEastAsia"/>
          <w:color w:val="000000"/>
          <w:szCs w:val="28"/>
        </w:rPr>
        <w:t>油井</w:t>
      </w:r>
      <w:r>
        <w:rPr>
          <w:rFonts w:hint="eastAsia" w:cs="Times New Roman" w:eastAsiaTheme="minorEastAsia"/>
          <w:color w:val="000000"/>
          <w:szCs w:val="28"/>
        </w:rPr>
        <w:t>采</w:t>
      </w:r>
      <w:r>
        <w:rPr>
          <w:rFonts w:cs="Times New Roman" w:eastAsiaTheme="minorEastAsia"/>
          <w:color w:val="000000"/>
          <w:szCs w:val="28"/>
        </w:rPr>
        <w:t>出液为易燃、易爆的石油和</w:t>
      </w:r>
      <w:r>
        <w:rPr>
          <w:rStyle w:val="270"/>
          <w:rFonts w:cs="Times New Roman" w:eastAsiaTheme="minorEastAsia"/>
        </w:rPr>
        <w:t>天然气，有可能发生火灾爆炸、机械伤害、触电等事故，存在一定的危险性。</w:t>
      </w:r>
    </w:p>
    <w:p>
      <w:pPr>
        <w:pStyle w:val="274"/>
        <w:rPr>
          <w:rFonts w:eastAsiaTheme="minorEastAsia"/>
        </w:rPr>
      </w:pPr>
      <w:r>
        <w:rPr>
          <w:rFonts w:eastAsiaTheme="minorEastAsia"/>
        </w:rPr>
        <w:t>3.5.1  火灾、爆炸</w:t>
      </w:r>
    </w:p>
    <w:p>
      <w:pPr>
        <w:pStyle w:val="269"/>
        <w:ind w:firstLine="560"/>
        <w:rPr>
          <w:rFonts w:cs="Times New Roman" w:eastAsiaTheme="minorEastAsia"/>
        </w:rPr>
      </w:pPr>
      <w:r>
        <w:rPr>
          <w:rFonts w:cs="Times New Roman" w:eastAsiaTheme="minorEastAsia"/>
        </w:rPr>
        <w:t>本工程新建井口装置、单井集油管线</w:t>
      </w:r>
      <w:r>
        <w:rPr>
          <w:rStyle w:val="270"/>
          <w:rFonts w:hint="eastAsia" w:cs="Times New Roman" w:eastAsiaTheme="minorEastAsia"/>
        </w:rPr>
        <w:t>，</w:t>
      </w:r>
      <w:r>
        <w:rPr>
          <w:rStyle w:val="270"/>
          <w:rFonts w:cs="Times New Roman" w:eastAsiaTheme="minorEastAsia"/>
        </w:rPr>
        <w:t>输送的介质主要是原油和伴生气。其在输送</w:t>
      </w:r>
      <w:r>
        <w:rPr>
          <w:rFonts w:cs="Times New Roman" w:eastAsiaTheme="minorEastAsia"/>
        </w:rPr>
        <w:t>过程中存在一定的压力和温度，正常情况下是在密闭的管线输送，一旦发生阀门泄漏、接头泄漏、管线穿孔等遇静电火花、雷电、撞击火花、电气火花、机械火花、检修动火或其他明火，会发生火灾事故。</w:t>
      </w:r>
    </w:p>
    <w:p>
      <w:pPr>
        <w:pStyle w:val="274"/>
        <w:rPr>
          <w:rFonts w:eastAsiaTheme="minorEastAsia"/>
        </w:rPr>
      </w:pPr>
      <w:r>
        <w:rPr>
          <w:rFonts w:eastAsiaTheme="minorEastAsia"/>
        </w:rPr>
        <w:t>3.5.2  物体打击</w:t>
      </w:r>
    </w:p>
    <w:p>
      <w:pPr>
        <w:pStyle w:val="269"/>
        <w:ind w:firstLine="560"/>
        <w:rPr>
          <w:rFonts w:cs="Times New Roman" w:eastAsiaTheme="minorEastAsia"/>
        </w:rPr>
      </w:pPr>
      <w:r>
        <w:rPr>
          <w:rFonts w:cs="Times New Roman" w:eastAsiaTheme="minorEastAsia"/>
        </w:rPr>
        <w:t>工作人员若操作不当或发生意外，易发生物体打击事故。管线等属于带压设备，当对高压闸阀等进行正对操作时，一旦介质刺出冲击到操作人员，将造成物体打击事故。</w:t>
      </w:r>
    </w:p>
    <w:p>
      <w:pPr>
        <w:pStyle w:val="269"/>
        <w:ind w:firstLine="560"/>
        <w:rPr>
          <w:rFonts w:cs="Times New Roman" w:eastAsiaTheme="minorEastAsia"/>
          <w:color w:val="000000"/>
          <w:szCs w:val="28"/>
        </w:rPr>
      </w:pPr>
      <w:r>
        <w:rPr>
          <w:rFonts w:cs="Times New Roman" w:eastAsiaTheme="minorEastAsia"/>
          <w:color w:val="000000"/>
          <w:szCs w:val="28"/>
        </w:rPr>
        <w:t>本项目采用井口槽工艺，井口距离地面2m以上，作业过程中，人员违章抛掷工具，可能会对下</w:t>
      </w:r>
      <w:r>
        <w:rPr>
          <w:rFonts w:hint="eastAsia" w:cs="Times New Roman" w:eastAsiaTheme="minorEastAsia"/>
          <w:color w:val="000000"/>
          <w:szCs w:val="28"/>
        </w:rPr>
        <w:t>方</w:t>
      </w:r>
      <w:r>
        <w:rPr>
          <w:rFonts w:cs="Times New Roman" w:eastAsiaTheme="minorEastAsia"/>
          <w:color w:val="000000"/>
          <w:szCs w:val="28"/>
        </w:rPr>
        <w:t>作业人员造成物体打击事故。</w:t>
      </w:r>
    </w:p>
    <w:p>
      <w:pPr>
        <w:pStyle w:val="269"/>
        <w:ind w:firstLine="560"/>
        <w:rPr>
          <w:rFonts w:cs="Times New Roman" w:eastAsiaTheme="minorEastAsia"/>
          <w:color w:val="000000"/>
          <w:szCs w:val="28"/>
        </w:rPr>
      </w:pPr>
      <w:r>
        <w:rPr>
          <w:rFonts w:cs="Times New Roman" w:eastAsiaTheme="minorEastAsia"/>
          <w:color w:val="000000"/>
          <w:szCs w:val="28"/>
        </w:rPr>
        <w:t>注入CO</w:t>
      </w:r>
      <w:r>
        <w:rPr>
          <w:rFonts w:cs="Times New Roman" w:eastAsiaTheme="minorEastAsia"/>
          <w:color w:val="000000"/>
          <w:szCs w:val="28"/>
          <w:vertAlign w:val="subscript"/>
        </w:rPr>
        <w:t>2</w:t>
      </w:r>
      <w:r>
        <w:rPr>
          <w:rFonts w:cs="Times New Roman" w:eastAsiaTheme="minorEastAsia"/>
          <w:color w:val="000000"/>
          <w:szCs w:val="28"/>
        </w:rPr>
        <w:t>作业时，注入管线超期使用、管线有裂痕、管线未固定等原因，可能使管线突然刺漏，刺漏的管线会对周边人员造成物体打击事故。</w:t>
      </w:r>
    </w:p>
    <w:p>
      <w:pPr>
        <w:pStyle w:val="274"/>
        <w:rPr>
          <w:rFonts w:eastAsiaTheme="minorEastAsia"/>
        </w:rPr>
      </w:pPr>
      <w:r>
        <w:rPr>
          <w:rFonts w:eastAsiaTheme="minorEastAsia"/>
        </w:rPr>
        <w:t>3.5.3  机械伤害</w:t>
      </w:r>
    </w:p>
    <w:p>
      <w:pPr>
        <w:pStyle w:val="269"/>
        <w:ind w:firstLine="560"/>
        <w:rPr>
          <w:rFonts w:cs="Times New Roman" w:eastAsiaTheme="minorEastAsia"/>
          <w:color w:val="000000"/>
          <w:szCs w:val="28"/>
          <w:lang w:val="zh-CN"/>
        </w:rPr>
      </w:pPr>
      <w:r>
        <w:rPr>
          <w:rFonts w:cs="Times New Roman" w:eastAsiaTheme="minorEastAsia"/>
          <w:color w:val="000000"/>
          <w:szCs w:val="28"/>
          <w:lang w:val="zh-CN"/>
        </w:rPr>
        <w:t>井口槽内设置</w:t>
      </w:r>
      <w:r>
        <w:rPr>
          <w:rFonts w:hint="eastAsia" w:cs="Times New Roman" w:eastAsiaTheme="minorEastAsia"/>
          <w:color w:val="000000"/>
          <w:szCs w:val="28"/>
          <w:lang w:val="zh-CN"/>
        </w:rPr>
        <w:t>有</w:t>
      </w:r>
      <w:r>
        <w:rPr>
          <w:rFonts w:cs="Times New Roman" w:eastAsiaTheme="minorEastAsia"/>
          <w:color w:val="000000"/>
          <w:szCs w:val="28"/>
          <w:lang w:val="zh-CN"/>
        </w:rPr>
        <w:t>污水提升泵，用于排泄井口槽内的雨水及污水。在检维修提升泵时，断电不彻底或被人误送电，可能发生机械伤害事故。</w:t>
      </w:r>
    </w:p>
    <w:p>
      <w:pPr>
        <w:pStyle w:val="274"/>
        <w:rPr>
          <w:rFonts w:eastAsiaTheme="minorEastAsia"/>
        </w:rPr>
      </w:pPr>
      <w:bookmarkStart w:id="172" w:name="_Hlk4400037"/>
      <w:r>
        <w:rPr>
          <w:rFonts w:eastAsiaTheme="minorEastAsia"/>
        </w:rPr>
        <w:t>3.5.4  触电</w:t>
      </w:r>
    </w:p>
    <w:bookmarkEnd w:id="172"/>
    <w:p>
      <w:pPr>
        <w:pStyle w:val="269"/>
        <w:ind w:firstLine="560"/>
        <w:rPr>
          <w:rFonts w:cs="Times New Roman" w:eastAsiaTheme="minorEastAsia"/>
          <w:color w:val="000000"/>
          <w:szCs w:val="28"/>
        </w:rPr>
      </w:pPr>
      <w:r>
        <w:rPr>
          <w:rFonts w:cs="Times New Roman" w:eastAsiaTheme="minorEastAsia"/>
          <w:color w:val="000000"/>
          <w:szCs w:val="28"/>
          <w:lang w:val="zh-CN"/>
        </w:rPr>
        <w:t>电潜螺杆泵的电缆接自已建的箱式变，</w:t>
      </w:r>
      <w:r>
        <w:rPr>
          <w:rFonts w:cs="Times New Roman" w:eastAsiaTheme="minorEastAsia"/>
          <w:color w:val="000000"/>
          <w:szCs w:val="28"/>
        </w:rPr>
        <w:t>操作箱式变及控制柜时，如果导线绝缘损坏或老化，保护接地、漏电保护等措施失效，带电作业不按规定穿戴防护用品，或缺乏电气安全知识违章作业，人触及带电体，有可能发生触电伤害事故。</w:t>
      </w:r>
    </w:p>
    <w:p>
      <w:pPr>
        <w:pStyle w:val="274"/>
        <w:rPr>
          <w:rFonts w:eastAsiaTheme="minorEastAsia"/>
        </w:rPr>
      </w:pPr>
      <w:r>
        <w:rPr>
          <w:rFonts w:eastAsiaTheme="minorEastAsia"/>
        </w:rPr>
        <w:t>3.5.5  高处坠落</w:t>
      </w:r>
    </w:p>
    <w:p>
      <w:pPr>
        <w:pStyle w:val="269"/>
        <w:ind w:firstLine="560"/>
        <w:rPr>
          <w:rFonts w:cs="Times New Roman" w:eastAsiaTheme="minorEastAsia"/>
          <w:color w:val="000000"/>
          <w:szCs w:val="28"/>
        </w:rPr>
      </w:pPr>
      <w:r>
        <w:rPr>
          <w:rFonts w:cs="Times New Roman" w:eastAsiaTheme="minorEastAsia"/>
        </w:rPr>
        <w:t>地面与井口槽相对高度在2m以上，</w:t>
      </w:r>
      <w:r>
        <w:rPr>
          <w:rFonts w:cs="Times New Roman" w:eastAsiaTheme="minorEastAsia"/>
          <w:color w:val="000000"/>
          <w:szCs w:val="28"/>
        </w:rPr>
        <w:t>在地面进行作业时，如果没有防护设施、防护设施安装不规定或防护设施出现严重损坏、脱焊等，操作人员有高处坠落的危险。</w:t>
      </w:r>
    </w:p>
    <w:p>
      <w:pPr>
        <w:pStyle w:val="274"/>
        <w:rPr>
          <w:rFonts w:eastAsiaTheme="minorEastAsia"/>
        </w:rPr>
      </w:pPr>
      <w:r>
        <w:rPr>
          <w:rFonts w:eastAsiaTheme="minorEastAsia"/>
        </w:rPr>
        <w:t>3.5.</w:t>
      </w:r>
      <w:r>
        <w:rPr>
          <w:rFonts w:eastAsiaTheme="minorEastAsia"/>
          <w:lang w:val="en-US"/>
        </w:rPr>
        <w:t>6</w:t>
      </w:r>
      <w:r>
        <w:rPr>
          <w:rFonts w:eastAsiaTheme="minorEastAsia"/>
        </w:rPr>
        <w:t xml:space="preserve">  中毒和窒息</w:t>
      </w:r>
    </w:p>
    <w:p>
      <w:pPr>
        <w:pStyle w:val="269"/>
        <w:ind w:firstLine="560"/>
        <w:rPr>
          <w:rFonts w:cs="Times New Roman" w:eastAsiaTheme="minorEastAsia"/>
        </w:rPr>
      </w:pPr>
      <w:r>
        <w:rPr>
          <w:rFonts w:cs="Times New Roman" w:eastAsiaTheme="minorEastAsia"/>
        </w:rPr>
        <w:t>本工程的毒性危害主要来源于原油、天然气等。</w:t>
      </w:r>
    </w:p>
    <w:p>
      <w:pPr>
        <w:pStyle w:val="269"/>
        <w:ind w:firstLine="560"/>
        <w:rPr>
          <w:rFonts w:cs="Times New Roman" w:eastAsiaTheme="minorEastAsia"/>
          <w:bCs/>
          <w:color w:val="000000"/>
          <w:szCs w:val="28"/>
        </w:rPr>
      </w:pPr>
      <w:r>
        <w:rPr>
          <w:rFonts w:cs="Times New Roman" w:eastAsiaTheme="minorEastAsia"/>
          <w:bCs/>
          <w:color w:val="000000"/>
          <w:szCs w:val="28"/>
        </w:rPr>
        <w:t>原油对人体的危害作用主要取决于原油的组成，原油中的烃大体分为烷烃、环烷烃和芳香烃为主，我国石油多属于石蜡基原油，以烷烃作用为主。原油及其蒸气具有一定的毒性，经口、鼻进入人体，超过一定量时，可导致急性或慢性中毒，人接触较高浓度的原油蒸气后有头痛、精神迟钝、呼吸急促等症状。当原油粘附在皮肤上，会刺激皮肤或引起不同程度的中毒症状。原油蒸气比空气重，易在低洼、封闭或通风不良的作业场所聚集，中毒与窒息危害多易发生在设备检修、巡检作业的过程中。</w:t>
      </w:r>
    </w:p>
    <w:p>
      <w:pPr>
        <w:pStyle w:val="269"/>
        <w:ind w:firstLine="560"/>
        <w:rPr>
          <w:rFonts w:cs="Times New Roman" w:eastAsiaTheme="minorEastAsia"/>
          <w:bCs/>
          <w:color w:val="000000"/>
          <w:szCs w:val="28"/>
          <w:lang w:val="zh-CN"/>
        </w:rPr>
      </w:pPr>
      <w:r>
        <w:rPr>
          <w:rFonts w:cs="Times New Roman" w:eastAsiaTheme="minorEastAsia"/>
          <w:bCs/>
          <w:color w:val="000000"/>
          <w:szCs w:val="28"/>
          <w:lang w:val="zh-CN"/>
        </w:rPr>
        <w:t>天然气的基本组成是低分子烷烃，为低等毒性物质。接触高浓度天然气时，早期常有头昏、头痛、恶心、呕吐、无力、注意力不集中、呼吸和心率加速、不能做精细动作等症状，严重时可出现缺氧窒息、昏迷、呼吸困难，以至脑水肿、肺水肿等，醒后可有运动性失语及偏瘫。长期接触一定浓度的天然气，可有头昏、头痛、失眠、记忆力减退、恶心、食欲不振、疲劳无力等症状。</w:t>
      </w:r>
    </w:p>
    <w:p>
      <w:pPr>
        <w:pStyle w:val="269"/>
        <w:ind w:firstLine="560"/>
        <w:rPr>
          <w:rFonts w:cs="Times New Roman" w:eastAsiaTheme="minorEastAsia"/>
          <w:bCs/>
          <w:color w:val="000000"/>
          <w:szCs w:val="28"/>
          <w:lang w:val="zh-CN"/>
        </w:rPr>
      </w:pPr>
      <w:r>
        <w:rPr>
          <w:rFonts w:cs="Times New Roman" w:eastAsiaTheme="minorEastAsia"/>
          <w:bCs/>
          <w:color w:val="000000"/>
          <w:szCs w:val="28"/>
          <w:lang w:val="zh-CN"/>
        </w:rPr>
        <w:t>泄漏的油气在井口槽内聚集，可能会使井口槽内的人员发生中毒和窒息事故。</w:t>
      </w:r>
    </w:p>
    <w:p>
      <w:pPr>
        <w:pStyle w:val="269"/>
        <w:ind w:firstLine="560"/>
        <w:rPr>
          <w:rFonts w:cs="Times New Roman"/>
          <w:bCs/>
          <w:color w:val="000000"/>
          <w:szCs w:val="28"/>
          <w:lang w:val="zh-CN"/>
        </w:rPr>
      </w:pPr>
      <w:r>
        <w:rPr>
          <w:rFonts w:cs="Times New Roman"/>
          <w:color w:val="000000"/>
          <w:szCs w:val="28"/>
        </w:rPr>
        <w:t>本工程</w:t>
      </w:r>
      <w:r>
        <w:rPr>
          <w:rFonts w:cs="Times New Roman"/>
        </w:rPr>
        <w:t>开发方式采用降粘复合吞吐（降粘剂+CO</w:t>
      </w:r>
      <w:r>
        <w:rPr>
          <w:rFonts w:cs="Times New Roman"/>
          <w:vertAlign w:val="subscript"/>
        </w:rPr>
        <w:t>2</w:t>
      </w:r>
      <w:r>
        <w:rPr>
          <w:rFonts w:cs="Times New Roman"/>
        </w:rPr>
        <w:t>），CO</w:t>
      </w:r>
      <w:r>
        <w:rPr>
          <w:rFonts w:cs="Times New Roman"/>
          <w:vertAlign w:val="subscript"/>
        </w:rPr>
        <w:t>2</w:t>
      </w:r>
      <w:r>
        <w:rPr>
          <w:rFonts w:cs="Times New Roman"/>
        </w:rPr>
        <w:t>密度比空气重，易在井口槽内聚集。注入CO</w:t>
      </w:r>
      <w:r>
        <w:rPr>
          <w:rFonts w:cs="Times New Roman"/>
          <w:vertAlign w:val="subscript"/>
        </w:rPr>
        <w:t>2</w:t>
      </w:r>
      <w:r>
        <w:rPr>
          <w:rFonts w:cs="Times New Roman"/>
        </w:rPr>
        <w:t>时，操作人员进入井口槽内，如果通风不良、操作人员未佩戴报警器，可能发窒息事故。</w:t>
      </w:r>
    </w:p>
    <w:p>
      <w:pPr>
        <w:pStyle w:val="274"/>
        <w:rPr>
          <w:rFonts w:eastAsiaTheme="minorEastAsia"/>
        </w:rPr>
      </w:pPr>
      <w:r>
        <w:rPr>
          <w:rFonts w:eastAsiaTheme="minorEastAsia"/>
        </w:rPr>
        <w:t>3.5.</w:t>
      </w:r>
      <w:r>
        <w:rPr>
          <w:rFonts w:eastAsiaTheme="minorEastAsia"/>
          <w:lang w:val="en-US"/>
        </w:rPr>
        <w:t>7</w:t>
      </w:r>
      <w:r>
        <w:rPr>
          <w:rFonts w:eastAsiaTheme="minorEastAsia"/>
        </w:rPr>
        <w:t xml:space="preserve">  其他</w:t>
      </w:r>
    </w:p>
    <w:p>
      <w:pPr>
        <w:pStyle w:val="269"/>
        <w:ind w:firstLine="560"/>
        <w:rPr>
          <w:rFonts w:cs="Times New Roman" w:eastAsiaTheme="minorEastAsia"/>
          <w:bCs/>
          <w:color w:val="000000"/>
          <w:szCs w:val="28"/>
          <w:lang w:val="zh-CN"/>
        </w:rPr>
      </w:pPr>
      <w:r>
        <w:rPr>
          <w:rFonts w:cs="Times New Roman" w:eastAsiaTheme="minorEastAsia"/>
          <w:color w:val="000000"/>
          <w:szCs w:val="28"/>
        </w:rPr>
        <w:t>注入CO</w:t>
      </w:r>
      <w:r>
        <w:rPr>
          <w:rFonts w:cs="Times New Roman" w:eastAsiaTheme="minorEastAsia"/>
          <w:color w:val="000000"/>
          <w:szCs w:val="28"/>
          <w:vertAlign w:val="subscript"/>
        </w:rPr>
        <w:t>2</w:t>
      </w:r>
      <w:r>
        <w:rPr>
          <w:rFonts w:cs="Times New Roman" w:eastAsiaTheme="minorEastAsia"/>
          <w:color w:val="000000"/>
          <w:szCs w:val="28"/>
        </w:rPr>
        <w:t>作业时，注入管线超期使用、管线有裂痕、管线未固定等原因，可能使管线突然刺漏，刺漏的气体会对周边人员造成冻伤事故。</w:t>
      </w:r>
    </w:p>
    <w:p>
      <w:pPr>
        <w:pStyle w:val="3"/>
        <w:rPr>
          <w:rFonts w:eastAsiaTheme="minorEastAsia"/>
        </w:rPr>
      </w:pPr>
      <w:bookmarkStart w:id="173" w:name="_Toc41742632"/>
      <w:bookmarkStart w:id="174" w:name="_Toc4543"/>
      <w:r>
        <w:rPr>
          <w:rFonts w:eastAsiaTheme="minorEastAsia"/>
        </w:rPr>
        <w:t>3.6  自然和社会危险因素分析</w:t>
      </w:r>
      <w:bookmarkEnd w:id="170"/>
      <w:bookmarkEnd w:id="171"/>
      <w:bookmarkEnd w:id="173"/>
      <w:bookmarkEnd w:id="174"/>
    </w:p>
    <w:p>
      <w:pPr>
        <w:pStyle w:val="5"/>
        <w:rPr>
          <w:rFonts w:eastAsiaTheme="minorEastAsia"/>
        </w:rPr>
      </w:pPr>
      <w:r>
        <w:rPr>
          <w:rFonts w:eastAsiaTheme="minorEastAsia"/>
        </w:rPr>
        <w:t>3.6.1  气温</w:t>
      </w:r>
    </w:p>
    <w:p>
      <w:pPr>
        <w:ind w:firstLine="560"/>
        <w:rPr>
          <w:rFonts w:eastAsiaTheme="minorEastAsia"/>
          <w:bCs/>
          <w:position w:val="2"/>
          <w:szCs w:val="28"/>
        </w:rPr>
      </w:pPr>
      <w:r>
        <w:rPr>
          <w:rFonts w:eastAsiaTheme="minorEastAsia"/>
          <w:bCs/>
          <w:position w:val="2"/>
          <w:szCs w:val="28"/>
        </w:rPr>
        <w:t>本工程所在地冬季寒冷，气温过低、保温或伴热失效、管道埋深过浅，易发生管线凝管、冻堵甚至冻裂事故。</w:t>
      </w:r>
    </w:p>
    <w:p>
      <w:pPr>
        <w:pStyle w:val="262"/>
        <w:adjustRightInd w:val="0"/>
        <w:snapToGrid w:val="0"/>
        <w:spacing w:line="360" w:lineRule="auto"/>
        <w:ind w:firstLine="560"/>
        <w:rPr>
          <w:rFonts w:eastAsiaTheme="minorEastAsia"/>
          <w:sz w:val="28"/>
          <w:szCs w:val="28"/>
        </w:rPr>
      </w:pPr>
      <w:r>
        <w:rPr>
          <w:rFonts w:eastAsiaTheme="minorEastAsia"/>
          <w:bCs/>
          <w:position w:val="2"/>
          <w:sz w:val="28"/>
          <w:szCs w:val="28"/>
        </w:rPr>
        <w:t>外界的温差变化引起的热胀冷缩作用，会产生巨大的温度应力，导致设备、管线等损坏，这些损坏容易发生在管线与设备的连接部位、转弯处、焊缝等处。</w:t>
      </w:r>
    </w:p>
    <w:p>
      <w:pPr>
        <w:pStyle w:val="5"/>
        <w:rPr>
          <w:rFonts w:eastAsiaTheme="minorEastAsia"/>
        </w:rPr>
      </w:pPr>
      <w:r>
        <w:rPr>
          <w:rFonts w:eastAsiaTheme="minorEastAsia"/>
        </w:rPr>
        <w:t>3.6.2  地震</w:t>
      </w:r>
    </w:p>
    <w:p>
      <w:pPr>
        <w:pStyle w:val="262"/>
        <w:adjustRightInd w:val="0"/>
        <w:snapToGrid w:val="0"/>
        <w:spacing w:line="360" w:lineRule="auto"/>
        <w:ind w:firstLine="560"/>
        <w:rPr>
          <w:rFonts w:eastAsiaTheme="minorEastAsia"/>
          <w:sz w:val="28"/>
          <w:szCs w:val="28"/>
        </w:rPr>
      </w:pPr>
      <w:r>
        <w:rPr>
          <w:rFonts w:eastAsiaTheme="minorEastAsia"/>
          <w:sz w:val="28"/>
          <w:szCs w:val="28"/>
        </w:rPr>
        <w:t>地震具有破坏性巨大且难以预报的特点，一旦发生地震，根据地震强度的不同，不可避免的会造成破坏，甚至对油田设施带来灾难性的影响，并引发一系列的次生灾害事故。由于目前还不具备成熟的地震预报技术，因此根据工程所在区域的地震烈度（本区基本地震烈度为7度），严格按照规范要求进行地震设防、做好地震灾害的应急救援是目前防范地震灾害的有效措施。</w:t>
      </w:r>
    </w:p>
    <w:p>
      <w:pPr>
        <w:pStyle w:val="5"/>
        <w:rPr>
          <w:rFonts w:eastAsiaTheme="minorEastAsia"/>
        </w:rPr>
      </w:pPr>
      <w:r>
        <w:rPr>
          <w:rFonts w:eastAsiaTheme="minorEastAsia"/>
        </w:rPr>
        <w:t>3.6.3  腐蚀</w:t>
      </w:r>
    </w:p>
    <w:p>
      <w:pPr>
        <w:ind w:firstLine="560"/>
        <w:rPr>
          <w:rFonts w:eastAsiaTheme="minorEastAsia"/>
          <w:szCs w:val="28"/>
        </w:rPr>
      </w:pPr>
      <w:r>
        <w:rPr>
          <w:rFonts w:eastAsiaTheme="minorEastAsia"/>
          <w:szCs w:val="28"/>
        </w:rPr>
        <w:t>本项目集油管线在井口槽内敷设，井口槽内空气不流通，空气潮湿会对管线造成一定的腐蚀。腐蚀导致设备、设施、管道的构件变薄、凹陷，导致强度降低、承压能力降低，一旦发生穿孔，对于密闭工艺流程来说，可能引起流程的中断或破坏。接地装置过度腐蚀容易引起接地电阻不达标，地下杂散电流的影响也是造成外腐蚀的重要因素。土壤电阻率的大小对工程的防雷接地有重要的影响，若土壤电阻率过大，容易造成接地电阻加大。</w:t>
      </w:r>
    </w:p>
    <w:p>
      <w:pPr>
        <w:adjustRightInd/>
        <w:snapToGrid/>
        <w:ind w:firstLine="0" w:firstLineChars="0"/>
        <w:outlineLvl w:val="2"/>
        <w:rPr>
          <w:rFonts w:eastAsiaTheme="minorEastAsia"/>
          <w:b/>
          <w:bCs/>
          <w:snapToGrid/>
          <w:kern w:val="2"/>
          <w:szCs w:val="32"/>
          <w:lang w:val="zh-CN"/>
        </w:rPr>
      </w:pPr>
      <w:r>
        <w:rPr>
          <w:rFonts w:eastAsiaTheme="minorEastAsia"/>
          <w:b/>
          <w:bCs/>
          <w:snapToGrid/>
          <w:kern w:val="2"/>
          <w:szCs w:val="32"/>
          <w:lang w:val="zh-CN"/>
        </w:rPr>
        <w:t>3.6.</w:t>
      </w:r>
      <w:r>
        <w:rPr>
          <w:rFonts w:eastAsiaTheme="minorEastAsia"/>
          <w:b/>
          <w:bCs/>
          <w:snapToGrid/>
          <w:kern w:val="2"/>
          <w:szCs w:val="32"/>
        </w:rPr>
        <w:t>4</w:t>
      </w:r>
      <w:r>
        <w:rPr>
          <w:rFonts w:eastAsiaTheme="minorEastAsia"/>
          <w:b/>
          <w:bCs/>
          <w:snapToGrid/>
          <w:kern w:val="2"/>
          <w:szCs w:val="32"/>
          <w:lang w:val="zh-CN"/>
        </w:rPr>
        <w:t xml:space="preserve">  周边环境对本工程的影响分析</w:t>
      </w:r>
    </w:p>
    <w:p>
      <w:pPr>
        <w:tabs>
          <w:tab w:val="left" w:pos="377"/>
          <w:tab w:val="left" w:pos="960"/>
          <w:tab w:val="left" w:pos="1036"/>
        </w:tabs>
        <w:adjustRightInd/>
        <w:snapToGrid/>
        <w:ind w:firstLine="560"/>
        <w:rPr>
          <w:rFonts w:eastAsiaTheme="minorEastAsia"/>
          <w:snapToGrid/>
        </w:rPr>
      </w:pPr>
      <w:r>
        <w:rPr>
          <w:rFonts w:eastAsiaTheme="minorEastAsia"/>
          <w:snapToGrid/>
        </w:rPr>
        <w:t>根据周边环境的调查分析：本项目中的设备设施位于井口槽内，</w:t>
      </w:r>
      <w:r>
        <w:rPr>
          <w:rFonts w:hint="eastAsia" w:eastAsiaTheme="minorEastAsia"/>
          <w:snapToGrid/>
        </w:rPr>
        <w:t>井场周边设置有围栏，</w:t>
      </w:r>
      <w:r>
        <w:rPr>
          <w:rFonts w:eastAsiaTheme="minorEastAsia"/>
          <w:snapToGrid/>
        </w:rPr>
        <w:t>井口槽设置有混凝土盖板，</w:t>
      </w:r>
      <w:r>
        <w:rPr>
          <w:rFonts w:hint="eastAsia" w:eastAsiaTheme="minorEastAsia"/>
          <w:snapToGrid/>
        </w:rPr>
        <w:t>周边环境</w:t>
      </w:r>
      <w:r>
        <w:rPr>
          <w:rFonts w:eastAsiaTheme="minorEastAsia"/>
          <w:snapToGrid/>
        </w:rPr>
        <w:t>一般不会对本项目设备设施造成影响。</w:t>
      </w:r>
    </w:p>
    <w:p>
      <w:pPr>
        <w:adjustRightInd/>
        <w:snapToGrid/>
        <w:ind w:firstLine="0" w:firstLineChars="0"/>
        <w:outlineLvl w:val="2"/>
        <w:rPr>
          <w:rFonts w:eastAsiaTheme="minorEastAsia"/>
          <w:b/>
          <w:bCs/>
          <w:snapToGrid/>
          <w:kern w:val="2"/>
          <w:szCs w:val="32"/>
          <w:lang w:val="zh-CN"/>
        </w:rPr>
      </w:pPr>
      <w:r>
        <w:rPr>
          <w:rFonts w:eastAsiaTheme="minorEastAsia"/>
          <w:b/>
          <w:bCs/>
          <w:snapToGrid/>
          <w:kern w:val="2"/>
          <w:szCs w:val="32"/>
          <w:lang w:val="zh-CN"/>
        </w:rPr>
        <w:t>3.6.6  本工程对周边环境的影响分析</w:t>
      </w:r>
    </w:p>
    <w:p>
      <w:pPr>
        <w:tabs>
          <w:tab w:val="left" w:pos="377"/>
          <w:tab w:val="left" w:pos="960"/>
          <w:tab w:val="left" w:pos="1036"/>
        </w:tabs>
        <w:adjustRightInd/>
        <w:snapToGrid/>
        <w:ind w:firstLine="560"/>
        <w:rPr>
          <w:rFonts w:eastAsiaTheme="minorEastAsia"/>
          <w:snapToGrid/>
        </w:rPr>
      </w:pPr>
      <w:r>
        <w:rPr>
          <w:rFonts w:eastAsiaTheme="minorEastAsia"/>
          <w:snapToGrid/>
        </w:rPr>
        <w:t>1）该工程中存在的原油及伴生气具有易燃、易爆（原油蒸发的蒸气）的特性，采油设施一旦发生事故，不仅使原油生产受到破坏，还会对周围的环境、人员造成危害。</w:t>
      </w:r>
    </w:p>
    <w:p>
      <w:pPr>
        <w:tabs>
          <w:tab w:val="left" w:pos="377"/>
          <w:tab w:val="left" w:pos="960"/>
          <w:tab w:val="left" w:pos="1036"/>
        </w:tabs>
        <w:adjustRightInd/>
        <w:snapToGrid/>
        <w:ind w:firstLine="560"/>
        <w:rPr>
          <w:rFonts w:eastAsiaTheme="minorEastAsia"/>
          <w:snapToGrid/>
        </w:rPr>
      </w:pPr>
      <w:r>
        <w:rPr>
          <w:rFonts w:eastAsiaTheme="minorEastAsia"/>
          <w:snapToGrid/>
        </w:rPr>
        <w:t>2）本项目井口装置、电缆、集油管线布置</w:t>
      </w:r>
      <w:r>
        <w:rPr>
          <w:rFonts w:hint="eastAsia" w:eastAsiaTheme="minorEastAsia"/>
          <w:snapToGrid/>
        </w:rPr>
        <w:t>在</w:t>
      </w:r>
      <w:r>
        <w:rPr>
          <w:rFonts w:eastAsiaTheme="minorEastAsia"/>
          <w:snapToGrid/>
        </w:rPr>
        <w:t>井口槽内，一般不会对周边人员造成影响。</w:t>
      </w:r>
    </w:p>
    <w:p>
      <w:pPr>
        <w:pStyle w:val="3"/>
        <w:rPr>
          <w:rFonts w:eastAsiaTheme="minorEastAsia"/>
          <w:bCs w:val="0"/>
        </w:rPr>
      </w:pPr>
      <w:bookmarkStart w:id="175" w:name="_Toc18739"/>
      <w:bookmarkStart w:id="176" w:name="_Toc341963424"/>
      <w:bookmarkStart w:id="177" w:name="_Toc41742633"/>
      <w:bookmarkStart w:id="178" w:name="_Toc522018266"/>
      <w:r>
        <w:rPr>
          <w:rFonts w:eastAsiaTheme="minorEastAsia"/>
        </w:rPr>
        <w:t>3.7  重大危险源辨识</w:t>
      </w:r>
      <w:bookmarkEnd w:id="175"/>
      <w:bookmarkEnd w:id="176"/>
      <w:bookmarkEnd w:id="177"/>
      <w:bookmarkEnd w:id="178"/>
    </w:p>
    <w:p>
      <w:pPr>
        <w:ind w:firstLine="560"/>
        <w:rPr>
          <w:rFonts w:eastAsiaTheme="minorEastAsia"/>
        </w:rPr>
      </w:pPr>
      <w:bookmarkStart w:id="179" w:name="_Toc341963425"/>
      <w:r>
        <w:rPr>
          <w:rFonts w:eastAsiaTheme="minorEastAsia"/>
        </w:rPr>
        <w:t>本项目涉及的原油、天然气属于危险化学品但是只涉及管道运输，没有储存设施。《危险化学品重大危险源辨识》（GB18218-2018）规定</w:t>
      </w:r>
      <w:r>
        <w:rPr>
          <w:rFonts w:hint="eastAsia" w:eastAsiaTheme="minorEastAsia"/>
        </w:rPr>
        <w:t>“</w:t>
      </w:r>
      <w:r>
        <w:rPr>
          <w:rFonts w:eastAsiaTheme="minorEastAsia"/>
        </w:rPr>
        <w:t>本标准不适用于危险化学品的厂外运输（包括铁路、道路、水路、航空、管道等运输方式）</w:t>
      </w:r>
      <w:r>
        <w:rPr>
          <w:rFonts w:hint="eastAsia" w:eastAsiaTheme="minorEastAsia"/>
        </w:rPr>
        <w:t>”</w:t>
      </w:r>
      <w:r>
        <w:rPr>
          <w:rFonts w:eastAsiaTheme="minorEastAsia"/>
        </w:rPr>
        <w:t>，因此本项目不涉及</w:t>
      </w:r>
      <w:r>
        <w:rPr>
          <w:rFonts w:hint="eastAsia" w:eastAsiaTheme="minorEastAsia"/>
        </w:rPr>
        <w:t>危险化学品</w:t>
      </w:r>
      <w:r>
        <w:rPr>
          <w:rFonts w:eastAsiaTheme="minorEastAsia"/>
        </w:rPr>
        <w:t>重大危险源。</w:t>
      </w:r>
    </w:p>
    <w:p>
      <w:pPr>
        <w:pStyle w:val="3"/>
        <w:rPr>
          <w:rFonts w:eastAsiaTheme="minorEastAsia"/>
          <w:bCs w:val="0"/>
        </w:rPr>
      </w:pPr>
      <w:bookmarkStart w:id="180" w:name="_Toc22032"/>
      <w:bookmarkStart w:id="181" w:name="_Toc522018267"/>
      <w:bookmarkStart w:id="182" w:name="_Toc41742634"/>
      <w:r>
        <w:rPr>
          <w:rFonts w:eastAsiaTheme="minorEastAsia"/>
        </w:rPr>
        <w:t>3.8  主要危险、有害因素分析结论</w:t>
      </w:r>
      <w:bookmarkEnd w:id="179"/>
      <w:bookmarkEnd w:id="180"/>
      <w:bookmarkEnd w:id="181"/>
      <w:bookmarkEnd w:id="182"/>
    </w:p>
    <w:p>
      <w:pPr>
        <w:ind w:firstLine="560"/>
        <w:rPr>
          <w:rFonts w:eastAsiaTheme="minorEastAsia"/>
        </w:rPr>
      </w:pPr>
      <w:r>
        <w:rPr>
          <w:rFonts w:eastAsiaTheme="minorEastAsia"/>
        </w:rPr>
        <w:t>1）本项目涉及的主要物质有原油、天然气、二氧化碳等。</w:t>
      </w:r>
    </w:p>
    <w:p>
      <w:pPr>
        <w:ind w:firstLine="560"/>
        <w:rPr>
          <w:rFonts w:eastAsiaTheme="minorEastAsia"/>
          <w:szCs w:val="28"/>
        </w:rPr>
      </w:pPr>
      <w:r>
        <w:rPr>
          <w:rFonts w:eastAsiaTheme="minorEastAsia"/>
          <w:szCs w:val="28"/>
        </w:rPr>
        <w:t>2）本工程在钻井过程中可能发生井喷失控、车辆伤害、物体打击、机械伤害、触电、起重伤害、高处坠落、中毒和窒息等；</w:t>
      </w:r>
    </w:p>
    <w:p>
      <w:pPr>
        <w:ind w:firstLine="560"/>
        <w:rPr>
          <w:rFonts w:eastAsiaTheme="minorEastAsia"/>
          <w:szCs w:val="28"/>
        </w:rPr>
      </w:pPr>
      <w:r>
        <w:rPr>
          <w:rFonts w:eastAsiaTheme="minorEastAsia"/>
          <w:szCs w:val="28"/>
        </w:rPr>
        <w:t>在井下作业过程中可能发生井喷、火灾、爆炸、机械伤害、物体打击、高处坠落、中毒和窒息、触电、车辆伤害、起重伤害、坍塌等；</w:t>
      </w:r>
    </w:p>
    <w:p>
      <w:pPr>
        <w:ind w:firstLine="560"/>
        <w:rPr>
          <w:rFonts w:eastAsiaTheme="minorEastAsia"/>
          <w:szCs w:val="28"/>
        </w:rPr>
      </w:pPr>
      <w:r>
        <w:rPr>
          <w:rFonts w:eastAsiaTheme="minorEastAsia"/>
          <w:szCs w:val="28"/>
        </w:rPr>
        <w:t>在地面工程施工过程中可能发生火灾、爆炸、物体打击、触电、机械伤害、高处坠落、起重伤害、车辆伤害等；</w:t>
      </w:r>
    </w:p>
    <w:p>
      <w:pPr>
        <w:ind w:firstLine="560"/>
        <w:rPr>
          <w:rFonts w:eastAsiaTheme="minorEastAsia"/>
          <w:szCs w:val="28"/>
        </w:rPr>
      </w:pPr>
      <w:r>
        <w:rPr>
          <w:rFonts w:eastAsiaTheme="minorEastAsia"/>
          <w:szCs w:val="28"/>
        </w:rPr>
        <w:t>在生产过程中可能发生火灾、爆炸、物体打击、机械伤害、触电、高处坠落、中毒和窒息</w:t>
      </w:r>
      <w:r>
        <w:rPr>
          <w:rFonts w:hint="eastAsia" w:eastAsiaTheme="minorEastAsia"/>
          <w:szCs w:val="28"/>
        </w:rPr>
        <w:t>、冻伤</w:t>
      </w:r>
      <w:r>
        <w:rPr>
          <w:rFonts w:eastAsiaTheme="minorEastAsia"/>
          <w:szCs w:val="28"/>
        </w:rPr>
        <w:t>等。</w:t>
      </w:r>
    </w:p>
    <w:p>
      <w:pPr>
        <w:ind w:firstLine="560"/>
        <w:rPr>
          <w:rFonts w:eastAsiaTheme="minorEastAsia"/>
          <w:bCs/>
          <w:szCs w:val="28"/>
        </w:rPr>
      </w:pPr>
      <w:r>
        <w:rPr>
          <w:rFonts w:eastAsiaTheme="minorEastAsia"/>
          <w:szCs w:val="28"/>
        </w:rPr>
        <w:t>3）</w:t>
      </w:r>
      <w:r>
        <w:rPr>
          <w:rFonts w:eastAsiaTheme="minorEastAsia"/>
          <w:bCs/>
          <w:szCs w:val="28"/>
        </w:rPr>
        <w:t>自然环境中存在的主要危险有害因素为气温、地震和腐蚀等，</w:t>
      </w:r>
      <w:r>
        <w:rPr>
          <w:rFonts w:eastAsiaTheme="minorEastAsia"/>
          <w:szCs w:val="28"/>
        </w:rPr>
        <w:t>自然条件中的不利因素在本区无明显突出现象，均可通过一定的技术和管理措施得到有效控制。社会环境中可能存在的第三方破坏会对本项目造成影响，本项目的原油、天然气以及设备设施等也会对周边人员产生影响。</w:t>
      </w:r>
    </w:p>
    <w:p>
      <w:pPr>
        <w:ind w:firstLine="560"/>
        <w:rPr>
          <w:rFonts w:eastAsiaTheme="minorEastAsia"/>
          <w:szCs w:val="28"/>
        </w:rPr>
      </w:pPr>
      <w:r>
        <w:rPr>
          <w:rFonts w:eastAsiaTheme="minorEastAsia"/>
          <w:szCs w:val="28"/>
        </w:rPr>
        <w:t>4）经过重大危险源辨识，本工程不</w:t>
      </w:r>
      <w:r>
        <w:rPr>
          <w:rFonts w:hint="eastAsia" w:eastAsiaTheme="minorEastAsia"/>
          <w:szCs w:val="28"/>
        </w:rPr>
        <w:t>构成危险化学品</w:t>
      </w:r>
      <w:r>
        <w:rPr>
          <w:rFonts w:eastAsiaTheme="minorEastAsia"/>
          <w:szCs w:val="28"/>
        </w:rPr>
        <w:t>重大危险源。</w:t>
      </w:r>
    </w:p>
    <w:p>
      <w:pPr>
        <w:ind w:firstLine="560"/>
        <w:rPr>
          <w:rFonts w:eastAsiaTheme="minorEastAsia"/>
          <w:szCs w:val="28"/>
        </w:rPr>
        <w:sectPr>
          <w:footerReference r:id="rId15" w:type="default"/>
          <w:pgSz w:w="11906" w:h="16838"/>
          <w:pgMar w:top="1985" w:right="1814" w:bottom="1985" w:left="1814" w:header="1389" w:footer="992" w:gutter="0"/>
          <w:pgBorders>
            <w:top w:val="none" w:sz="0" w:space="0"/>
            <w:left w:val="none" w:sz="0" w:space="0"/>
            <w:bottom w:val="none" w:sz="0" w:space="0"/>
            <w:right w:val="none" w:sz="0" w:space="0"/>
          </w:pgBorders>
          <w:cols w:space="720" w:num="1"/>
          <w:docGrid w:linePitch="381" w:charSpace="0"/>
        </w:sectPr>
      </w:pPr>
    </w:p>
    <w:p>
      <w:pPr>
        <w:pStyle w:val="2"/>
        <w:rPr>
          <w:rFonts w:eastAsiaTheme="minorEastAsia"/>
        </w:rPr>
      </w:pPr>
      <w:bookmarkStart w:id="183" w:name="_Toc522018268"/>
      <w:bookmarkStart w:id="184" w:name="_Toc341963426"/>
      <w:bookmarkStart w:id="185" w:name="_Toc41742635"/>
      <w:bookmarkStart w:id="186" w:name="_Toc2108"/>
      <w:r>
        <w:rPr>
          <w:rFonts w:eastAsiaTheme="minorEastAsia"/>
        </w:rPr>
        <w:t>4  评价单元划分及评价方法选择</w:t>
      </w:r>
      <w:bookmarkEnd w:id="183"/>
      <w:bookmarkEnd w:id="184"/>
      <w:bookmarkEnd w:id="185"/>
      <w:bookmarkEnd w:id="186"/>
    </w:p>
    <w:p>
      <w:pPr>
        <w:pStyle w:val="3"/>
        <w:rPr>
          <w:rFonts w:eastAsiaTheme="minorEastAsia"/>
          <w:bCs w:val="0"/>
        </w:rPr>
      </w:pPr>
      <w:bookmarkStart w:id="187" w:name="_Toc41742636"/>
      <w:bookmarkStart w:id="188" w:name="_Toc341963427"/>
      <w:bookmarkStart w:id="189" w:name="_Toc20511"/>
      <w:bookmarkStart w:id="190" w:name="_Toc522018269"/>
      <w:r>
        <w:rPr>
          <w:rFonts w:eastAsiaTheme="minorEastAsia"/>
        </w:rPr>
        <w:t>4.1  评价单元划分</w:t>
      </w:r>
      <w:bookmarkEnd w:id="187"/>
      <w:bookmarkEnd w:id="188"/>
      <w:bookmarkEnd w:id="189"/>
      <w:bookmarkEnd w:id="190"/>
    </w:p>
    <w:p>
      <w:pPr>
        <w:pStyle w:val="5"/>
        <w:rPr>
          <w:rFonts w:eastAsiaTheme="minorEastAsia"/>
        </w:rPr>
      </w:pPr>
      <w:r>
        <w:rPr>
          <w:rFonts w:eastAsiaTheme="minorEastAsia"/>
        </w:rPr>
        <w:t>4.1.1  划分原则</w:t>
      </w:r>
    </w:p>
    <w:p>
      <w:pPr>
        <w:ind w:firstLine="560"/>
        <w:rPr>
          <w:rFonts w:eastAsiaTheme="minorEastAsia"/>
        </w:rPr>
      </w:pPr>
      <w:r>
        <w:rPr>
          <w:rFonts w:eastAsiaTheme="minorEastAsia"/>
        </w:rPr>
        <w:t>评价单元是指在对工程危险、有害因素进行分析的基础上，根据评价目标和评价方法的需要，将整个系统划分成若干个有限的确定范围而分别进行评价的相对独立的装置、设施和场所。</w:t>
      </w:r>
    </w:p>
    <w:p>
      <w:pPr>
        <w:ind w:firstLine="560"/>
        <w:rPr>
          <w:rFonts w:eastAsiaTheme="minorEastAsia"/>
        </w:rPr>
      </w:pPr>
      <w:r>
        <w:rPr>
          <w:rFonts w:eastAsiaTheme="minorEastAsia"/>
        </w:rPr>
        <w:t>划分评价单元的一般性原则是按生产工艺功能、生产设施设备相对独立空间、危险有害因素类别及事故范围划分评价单元，使评价单元相对独立，具有明显特征界限。</w:t>
      </w:r>
    </w:p>
    <w:p>
      <w:pPr>
        <w:ind w:firstLine="560"/>
        <w:rPr>
          <w:rFonts w:eastAsiaTheme="minorEastAsia"/>
        </w:rPr>
      </w:pPr>
      <w:r>
        <w:rPr>
          <w:rFonts w:eastAsiaTheme="minorEastAsia"/>
        </w:rPr>
        <w:t>常用的评价单元的划分原则有：</w:t>
      </w:r>
    </w:p>
    <w:p>
      <w:pPr>
        <w:ind w:firstLine="560"/>
        <w:rPr>
          <w:rFonts w:eastAsiaTheme="minorEastAsia"/>
        </w:rPr>
      </w:pPr>
      <w:r>
        <w:rPr>
          <w:rFonts w:eastAsiaTheme="minorEastAsia"/>
        </w:rPr>
        <w:t>1）以危险、有害因素的类别为主划分；</w:t>
      </w:r>
    </w:p>
    <w:p>
      <w:pPr>
        <w:ind w:firstLine="560"/>
        <w:rPr>
          <w:rFonts w:eastAsiaTheme="minorEastAsia"/>
        </w:rPr>
      </w:pPr>
      <w:r>
        <w:rPr>
          <w:rFonts w:eastAsiaTheme="minorEastAsia"/>
        </w:rPr>
        <w:t>2）以装置和物质的特性划分。</w:t>
      </w:r>
    </w:p>
    <w:p>
      <w:pPr>
        <w:ind w:firstLine="560"/>
        <w:rPr>
          <w:rFonts w:eastAsiaTheme="minorEastAsia"/>
        </w:rPr>
      </w:pPr>
      <w:r>
        <w:rPr>
          <w:rFonts w:eastAsiaTheme="minorEastAsia"/>
        </w:rPr>
        <w:t>通过对本工程生产过程中的危险、有害因素分析，结合本工程的特点和具体情况，本次预评价按工艺流程，兼顾危险、有害因素的相似特性等进行评价单元的划分。</w:t>
      </w:r>
    </w:p>
    <w:p>
      <w:pPr>
        <w:pStyle w:val="5"/>
        <w:rPr>
          <w:rFonts w:eastAsiaTheme="minorEastAsia"/>
        </w:rPr>
      </w:pPr>
      <w:r>
        <w:rPr>
          <w:rFonts w:eastAsiaTheme="minorEastAsia"/>
        </w:rPr>
        <w:t>4.1.2  划分评价单元</w:t>
      </w:r>
    </w:p>
    <w:p>
      <w:pPr>
        <w:ind w:firstLine="560"/>
        <w:rPr>
          <w:rFonts w:eastAsiaTheme="minorEastAsia"/>
        </w:rPr>
      </w:pPr>
      <w:r>
        <w:rPr>
          <w:rFonts w:eastAsiaTheme="minorEastAsia"/>
        </w:rPr>
        <w:t>根据本工程的生产工艺工程、危险有害因素的分布状况、便于实施评价的原则，</w:t>
      </w:r>
      <w:r>
        <w:rPr>
          <w:rFonts w:eastAsiaTheme="minorEastAsia"/>
          <w:szCs w:val="28"/>
        </w:rPr>
        <w:t>本次评价划分为以下七个评价单元进行评价：</w:t>
      </w:r>
    </w:p>
    <w:p>
      <w:pPr>
        <w:numPr>
          <w:ilvl w:val="0"/>
          <w:numId w:val="6"/>
        </w:numPr>
        <w:ind w:firstLine="560"/>
        <w:rPr>
          <w:rFonts w:eastAsiaTheme="minorEastAsia"/>
          <w:szCs w:val="28"/>
        </w:rPr>
      </w:pPr>
      <w:r>
        <w:rPr>
          <w:rFonts w:eastAsiaTheme="minorEastAsia"/>
          <w:szCs w:val="28"/>
        </w:rPr>
        <w:t>钻井工程单元；</w:t>
      </w:r>
    </w:p>
    <w:p>
      <w:pPr>
        <w:numPr>
          <w:ilvl w:val="0"/>
          <w:numId w:val="6"/>
        </w:numPr>
        <w:ind w:firstLine="560"/>
        <w:rPr>
          <w:rFonts w:eastAsiaTheme="minorEastAsia"/>
          <w:szCs w:val="28"/>
        </w:rPr>
      </w:pPr>
      <w:r>
        <w:rPr>
          <w:rFonts w:eastAsiaTheme="minorEastAsia"/>
          <w:szCs w:val="28"/>
        </w:rPr>
        <w:t>井下作业单元；</w:t>
      </w:r>
    </w:p>
    <w:p>
      <w:pPr>
        <w:numPr>
          <w:ilvl w:val="0"/>
          <w:numId w:val="6"/>
        </w:numPr>
        <w:ind w:firstLine="560"/>
        <w:rPr>
          <w:rFonts w:eastAsiaTheme="minorEastAsia"/>
          <w:szCs w:val="28"/>
        </w:rPr>
      </w:pPr>
      <w:r>
        <w:rPr>
          <w:rFonts w:eastAsiaTheme="minorEastAsia"/>
          <w:szCs w:val="28"/>
        </w:rPr>
        <w:t>地面工程施工作业单元；</w:t>
      </w:r>
    </w:p>
    <w:p>
      <w:pPr>
        <w:numPr>
          <w:ilvl w:val="0"/>
          <w:numId w:val="6"/>
        </w:numPr>
        <w:ind w:firstLine="560"/>
        <w:rPr>
          <w:rFonts w:eastAsiaTheme="minorEastAsia"/>
          <w:szCs w:val="28"/>
        </w:rPr>
      </w:pPr>
      <w:r>
        <w:rPr>
          <w:rFonts w:eastAsiaTheme="minorEastAsia"/>
          <w:szCs w:val="28"/>
        </w:rPr>
        <w:t>采油工程单元；</w:t>
      </w:r>
    </w:p>
    <w:p>
      <w:pPr>
        <w:numPr>
          <w:ilvl w:val="0"/>
          <w:numId w:val="6"/>
        </w:numPr>
        <w:ind w:firstLine="560"/>
        <w:rPr>
          <w:rFonts w:eastAsiaTheme="minorEastAsia"/>
          <w:szCs w:val="28"/>
        </w:rPr>
      </w:pPr>
      <w:r>
        <w:rPr>
          <w:rFonts w:eastAsiaTheme="minorEastAsia"/>
          <w:szCs w:val="28"/>
        </w:rPr>
        <w:t>油气集输管道单元；</w:t>
      </w:r>
    </w:p>
    <w:p>
      <w:pPr>
        <w:numPr>
          <w:ilvl w:val="0"/>
          <w:numId w:val="6"/>
        </w:numPr>
        <w:ind w:firstLine="560"/>
        <w:rPr>
          <w:rFonts w:eastAsiaTheme="minorEastAsia"/>
          <w:szCs w:val="28"/>
        </w:rPr>
      </w:pPr>
      <w:r>
        <w:rPr>
          <w:rFonts w:eastAsiaTheme="minorEastAsia"/>
          <w:szCs w:val="28"/>
        </w:rPr>
        <w:t>配套设施单元；</w:t>
      </w:r>
    </w:p>
    <w:p>
      <w:pPr>
        <w:numPr>
          <w:ilvl w:val="0"/>
          <w:numId w:val="6"/>
        </w:numPr>
        <w:ind w:firstLine="560"/>
        <w:rPr>
          <w:rFonts w:eastAsiaTheme="minorEastAsia"/>
        </w:rPr>
      </w:pPr>
      <w:r>
        <w:rPr>
          <w:rFonts w:eastAsiaTheme="minorEastAsia"/>
          <w:szCs w:val="28"/>
        </w:rPr>
        <w:t>安全管理单元。</w:t>
      </w:r>
    </w:p>
    <w:p>
      <w:pPr>
        <w:pStyle w:val="3"/>
        <w:rPr>
          <w:rFonts w:eastAsiaTheme="minorEastAsia"/>
          <w:bCs w:val="0"/>
        </w:rPr>
      </w:pPr>
      <w:bookmarkStart w:id="191" w:name="_Toc341963428"/>
      <w:bookmarkStart w:id="192" w:name="_Toc41742637"/>
      <w:bookmarkStart w:id="193" w:name="_Toc25389"/>
      <w:bookmarkStart w:id="194" w:name="_Toc522018270"/>
      <w:r>
        <w:rPr>
          <w:rFonts w:eastAsiaTheme="minorEastAsia"/>
        </w:rPr>
        <w:t>4.2  评价方法选择</w:t>
      </w:r>
      <w:bookmarkEnd w:id="191"/>
      <w:bookmarkEnd w:id="192"/>
      <w:bookmarkEnd w:id="193"/>
      <w:bookmarkEnd w:id="194"/>
    </w:p>
    <w:p>
      <w:pPr>
        <w:ind w:firstLine="560"/>
        <w:rPr>
          <w:rFonts w:eastAsiaTheme="minorEastAsia"/>
        </w:rPr>
      </w:pPr>
      <w:r>
        <w:rPr>
          <w:rFonts w:eastAsiaTheme="minorEastAsia"/>
        </w:rPr>
        <w:t>为了达到对工程项目进行系统、科学、全面评价的目的，针对本工程主要危险、有害因素的分析，遵循充分性、适应性、系统性、针对性和合理性的原则，定性评价与定量评价相结合，选择安全评价方法。根据本工程特点，本次评价选择以下两种评价方法：预先危险性分析法（PHA）和安全检查表法（SCL）。</w:t>
      </w:r>
    </w:p>
    <w:p>
      <w:pPr>
        <w:ind w:firstLine="560"/>
        <w:rPr>
          <w:rFonts w:eastAsiaTheme="minorEastAsia"/>
        </w:rPr>
      </w:pPr>
      <w:r>
        <w:rPr>
          <w:rFonts w:eastAsiaTheme="minorEastAsia"/>
        </w:rPr>
        <w:t>各评价方法的具体操作程序如下表：</w:t>
      </w:r>
    </w:p>
    <w:p>
      <w:pPr>
        <w:pStyle w:val="251"/>
        <w:spacing w:line="360" w:lineRule="auto"/>
        <w:rPr>
          <w:rFonts w:eastAsiaTheme="minorEastAsia"/>
          <w:sz w:val="24"/>
        </w:rPr>
      </w:pPr>
      <w:r>
        <w:rPr>
          <w:rFonts w:eastAsiaTheme="minorEastAsia"/>
          <w:sz w:val="24"/>
        </w:rPr>
        <w:t>表4.2-1  各单元评价方法表</w:t>
      </w:r>
    </w:p>
    <w:tbl>
      <w:tblPr>
        <w:tblStyle w:val="45"/>
        <w:tblW w:w="8494"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846"/>
        <w:gridCol w:w="3678"/>
        <w:gridCol w:w="3970"/>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46" w:type="dxa"/>
            <w:vAlign w:val="center"/>
          </w:tcPr>
          <w:p>
            <w:pPr>
              <w:widowControl/>
              <w:spacing w:line="240" w:lineRule="auto"/>
              <w:ind w:firstLine="0" w:firstLineChars="0"/>
              <w:jc w:val="center"/>
              <w:rPr>
                <w:rFonts w:eastAsiaTheme="minorEastAsia"/>
                <w:b/>
                <w:sz w:val="21"/>
                <w:szCs w:val="24"/>
              </w:rPr>
            </w:pPr>
            <w:r>
              <w:rPr>
                <w:rFonts w:eastAsiaTheme="minorEastAsia"/>
                <w:b/>
                <w:sz w:val="21"/>
                <w:szCs w:val="24"/>
              </w:rPr>
              <w:t>序号</w:t>
            </w:r>
          </w:p>
        </w:tc>
        <w:tc>
          <w:tcPr>
            <w:tcW w:w="3678" w:type="dxa"/>
            <w:vAlign w:val="center"/>
          </w:tcPr>
          <w:p>
            <w:pPr>
              <w:widowControl/>
              <w:spacing w:line="240" w:lineRule="auto"/>
              <w:ind w:firstLine="0" w:firstLineChars="0"/>
              <w:jc w:val="center"/>
              <w:rPr>
                <w:rFonts w:eastAsiaTheme="minorEastAsia"/>
                <w:b/>
                <w:sz w:val="21"/>
                <w:szCs w:val="24"/>
              </w:rPr>
            </w:pPr>
            <w:r>
              <w:rPr>
                <w:rFonts w:eastAsiaTheme="minorEastAsia"/>
                <w:b/>
                <w:sz w:val="21"/>
                <w:szCs w:val="24"/>
              </w:rPr>
              <w:t>评价单元</w:t>
            </w:r>
          </w:p>
        </w:tc>
        <w:tc>
          <w:tcPr>
            <w:tcW w:w="3970" w:type="dxa"/>
            <w:vAlign w:val="center"/>
          </w:tcPr>
          <w:p>
            <w:pPr>
              <w:widowControl/>
              <w:spacing w:line="240" w:lineRule="auto"/>
              <w:ind w:firstLine="0" w:firstLineChars="0"/>
              <w:jc w:val="center"/>
              <w:rPr>
                <w:rFonts w:eastAsiaTheme="minorEastAsia"/>
                <w:b/>
                <w:sz w:val="21"/>
                <w:szCs w:val="24"/>
              </w:rPr>
            </w:pPr>
            <w:r>
              <w:rPr>
                <w:rFonts w:eastAsiaTheme="minorEastAsia"/>
                <w:b/>
                <w:sz w:val="21"/>
                <w:szCs w:val="24"/>
              </w:rPr>
              <w:t>评价方法</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46"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1</w:t>
            </w:r>
          </w:p>
        </w:tc>
        <w:tc>
          <w:tcPr>
            <w:tcW w:w="3678"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钻井工程单元</w:t>
            </w:r>
          </w:p>
        </w:tc>
        <w:tc>
          <w:tcPr>
            <w:tcW w:w="3970"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预先危险性分析</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46"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2</w:t>
            </w:r>
          </w:p>
        </w:tc>
        <w:tc>
          <w:tcPr>
            <w:tcW w:w="3678"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井下作业单元</w:t>
            </w:r>
          </w:p>
        </w:tc>
        <w:tc>
          <w:tcPr>
            <w:tcW w:w="3970"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预先危险性分析</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6"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3</w:t>
            </w:r>
          </w:p>
        </w:tc>
        <w:tc>
          <w:tcPr>
            <w:tcW w:w="3678"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地面工程施工作业单元</w:t>
            </w:r>
          </w:p>
        </w:tc>
        <w:tc>
          <w:tcPr>
            <w:tcW w:w="3970"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预先危险性分析</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6"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4</w:t>
            </w:r>
          </w:p>
        </w:tc>
        <w:tc>
          <w:tcPr>
            <w:tcW w:w="3678"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采油工程单元</w:t>
            </w:r>
          </w:p>
        </w:tc>
        <w:tc>
          <w:tcPr>
            <w:tcW w:w="3970"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预先危险性分析</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6"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5</w:t>
            </w:r>
          </w:p>
        </w:tc>
        <w:tc>
          <w:tcPr>
            <w:tcW w:w="3678"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油气集输管道单元</w:t>
            </w:r>
          </w:p>
        </w:tc>
        <w:tc>
          <w:tcPr>
            <w:tcW w:w="3970"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安全检查表、预先危险性分析</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6" w:type="dxa"/>
            <w:vAlign w:val="center"/>
          </w:tcPr>
          <w:p>
            <w:pPr>
              <w:widowControl/>
              <w:spacing w:line="240" w:lineRule="auto"/>
              <w:ind w:firstLine="0" w:firstLineChars="0"/>
              <w:jc w:val="center"/>
              <w:rPr>
                <w:rFonts w:eastAsiaTheme="minorEastAsia"/>
                <w:sz w:val="21"/>
                <w:szCs w:val="24"/>
              </w:rPr>
            </w:pPr>
            <w:r>
              <w:rPr>
                <w:rFonts w:hint="eastAsia" w:eastAsiaTheme="minorEastAsia"/>
                <w:sz w:val="21"/>
                <w:szCs w:val="24"/>
              </w:rPr>
              <w:t>6</w:t>
            </w:r>
          </w:p>
        </w:tc>
        <w:tc>
          <w:tcPr>
            <w:tcW w:w="3678"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配套设施单元</w:t>
            </w:r>
          </w:p>
        </w:tc>
        <w:tc>
          <w:tcPr>
            <w:tcW w:w="3970"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安全检查表、预先危险性分析</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6" w:type="dxa"/>
            <w:vAlign w:val="center"/>
          </w:tcPr>
          <w:p>
            <w:pPr>
              <w:widowControl/>
              <w:spacing w:line="240" w:lineRule="auto"/>
              <w:ind w:firstLine="0" w:firstLineChars="0"/>
              <w:jc w:val="center"/>
              <w:rPr>
                <w:rFonts w:eastAsiaTheme="minorEastAsia"/>
                <w:sz w:val="21"/>
                <w:szCs w:val="24"/>
              </w:rPr>
            </w:pPr>
            <w:r>
              <w:rPr>
                <w:rFonts w:hint="eastAsia" w:eastAsiaTheme="minorEastAsia"/>
                <w:sz w:val="21"/>
                <w:szCs w:val="24"/>
              </w:rPr>
              <w:t>7</w:t>
            </w:r>
          </w:p>
        </w:tc>
        <w:tc>
          <w:tcPr>
            <w:tcW w:w="3678"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安全管理单元</w:t>
            </w:r>
          </w:p>
        </w:tc>
        <w:tc>
          <w:tcPr>
            <w:tcW w:w="3970"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安全检查表</w:t>
            </w:r>
          </w:p>
        </w:tc>
      </w:tr>
    </w:tbl>
    <w:p>
      <w:pPr>
        <w:pStyle w:val="5"/>
        <w:spacing w:before="360" w:beforeLines="150"/>
        <w:rPr>
          <w:rFonts w:eastAsiaTheme="minorEastAsia"/>
        </w:rPr>
      </w:pPr>
      <w:bookmarkStart w:id="195" w:name="_Toc522018271"/>
      <w:r>
        <w:rPr>
          <w:rFonts w:eastAsiaTheme="minorEastAsia"/>
        </w:rPr>
        <w:t>4.2.1  安全检查表法（SCL）</w:t>
      </w:r>
    </w:p>
    <w:p>
      <w:pPr>
        <w:ind w:firstLine="560"/>
        <w:rPr>
          <w:rFonts w:eastAsiaTheme="minorEastAsia"/>
        </w:rPr>
      </w:pPr>
      <w:r>
        <w:rPr>
          <w:rFonts w:eastAsiaTheme="minorEastAsia"/>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pPr>
        <w:ind w:firstLine="560"/>
        <w:rPr>
          <w:rFonts w:eastAsiaTheme="minorEastAsia"/>
        </w:rPr>
      </w:pPr>
      <w:r>
        <w:rPr>
          <w:rFonts w:eastAsiaTheme="minorEastAsia"/>
        </w:rPr>
        <w:t>安全检查表以下列格式列出，对于设计方案中已经涉及且符合要求的检查内容，在检查结果栏中标以</w:t>
      </w:r>
      <w:r>
        <w:rPr>
          <w:rFonts w:hint="eastAsia" w:eastAsiaTheme="minorEastAsia"/>
        </w:rPr>
        <w:t>“</w:t>
      </w:r>
      <w:r>
        <w:rPr>
          <w:rFonts w:eastAsiaTheme="minorEastAsia"/>
        </w:rPr>
        <w:t>√</w:t>
      </w:r>
      <w:r>
        <w:rPr>
          <w:rFonts w:hint="eastAsia" w:eastAsiaTheme="minorEastAsia"/>
        </w:rPr>
        <w:t>”</w:t>
      </w:r>
      <w:r>
        <w:rPr>
          <w:rFonts w:eastAsiaTheme="minorEastAsia"/>
        </w:rPr>
        <w:t>，对于可研中未涉及的检查项目在检查结果栏中标以</w:t>
      </w:r>
      <w:r>
        <w:rPr>
          <w:rFonts w:hint="eastAsia" w:eastAsiaTheme="minorEastAsia"/>
        </w:rPr>
        <w:t>“</w:t>
      </w:r>
      <w:r>
        <w:rPr>
          <w:rFonts w:eastAsiaTheme="minorEastAsia"/>
        </w:rPr>
        <w:t>※</w:t>
      </w:r>
      <w:r>
        <w:rPr>
          <w:rFonts w:hint="eastAsia" w:eastAsiaTheme="minorEastAsia"/>
        </w:rPr>
        <w:t>”</w:t>
      </w:r>
      <w:r>
        <w:rPr>
          <w:rFonts w:eastAsiaTheme="minorEastAsia"/>
        </w:rPr>
        <w:t>，对于不符合要求的检查项目在检查结果栏中标以</w:t>
      </w:r>
      <w:r>
        <w:rPr>
          <w:rFonts w:hint="eastAsia" w:eastAsiaTheme="minorEastAsia"/>
        </w:rPr>
        <w:t>“</w:t>
      </w:r>
      <w:r>
        <w:rPr>
          <w:rFonts w:eastAsiaTheme="minorEastAsia"/>
        </w:rPr>
        <w:t>×</w:t>
      </w:r>
      <w:r>
        <w:rPr>
          <w:rFonts w:hint="eastAsia" w:eastAsiaTheme="minorEastAsia"/>
        </w:rPr>
        <w:t>”</w:t>
      </w:r>
      <w:r>
        <w:rPr>
          <w:rFonts w:eastAsiaTheme="minorEastAsia"/>
        </w:rPr>
        <w:t>。见下表4.2-2。</w:t>
      </w:r>
    </w:p>
    <w:p>
      <w:pPr>
        <w:pStyle w:val="251"/>
        <w:spacing w:line="360" w:lineRule="auto"/>
        <w:rPr>
          <w:rFonts w:eastAsiaTheme="minorEastAsia"/>
          <w:sz w:val="24"/>
        </w:rPr>
      </w:pPr>
      <w:r>
        <w:rPr>
          <w:rFonts w:eastAsiaTheme="minorEastAsia"/>
          <w:sz w:val="24"/>
        </w:rPr>
        <w:t>表4.2-2  安全检查表</w:t>
      </w:r>
    </w:p>
    <w:tbl>
      <w:tblPr>
        <w:tblStyle w:val="45"/>
        <w:tblW w:w="8522" w:type="dxa"/>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852"/>
        <w:gridCol w:w="1852"/>
        <w:gridCol w:w="1852"/>
        <w:gridCol w:w="1852"/>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114" w:type="dxa"/>
            <w:vAlign w:val="center"/>
          </w:tcPr>
          <w:p>
            <w:pPr>
              <w:widowControl/>
              <w:spacing w:line="240" w:lineRule="auto"/>
              <w:ind w:firstLine="0" w:firstLineChars="0"/>
              <w:jc w:val="center"/>
              <w:rPr>
                <w:rFonts w:eastAsiaTheme="minorEastAsia"/>
                <w:b/>
                <w:sz w:val="21"/>
                <w:szCs w:val="24"/>
              </w:rPr>
            </w:pPr>
            <w:r>
              <w:rPr>
                <w:rFonts w:eastAsiaTheme="minorEastAsia"/>
                <w:b/>
                <w:sz w:val="21"/>
                <w:szCs w:val="24"/>
              </w:rPr>
              <w:t>序号</w:t>
            </w:r>
          </w:p>
        </w:tc>
        <w:tc>
          <w:tcPr>
            <w:tcW w:w="1852" w:type="dxa"/>
            <w:vAlign w:val="center"/>
          </w:tcPr>
          <w:p>
            <w:pPr>
              <w:widowControl/>
              <w:spacing w:line="240" w:lineRule="auto"/>
              <w:ind w:firstLine="0" w:firstLineChars="0"/>
              <w:jc w:val="center"/>
              <w:rPr>
                <w:rFonts w:eastAsiaTheme="minorEastAsia"/>
                <w:b/>
                <w:sz w:val="21"/>
                <w:szCs w:val="24"/>
              </w:rPr>
            </w:pPr>
            <w:r>
              <w:rPr>
                <w:rFonts w:eastAsiaTheme="minorEastAsia"/>
                <w:b/>
                <w:sz w:val="21"/>
                <w:szCs w:val="24"/>
              </w:rPr>
              <w:t>检查项目</w:t>
            </w:r>
          </w:p>
        </w:tc>
        <w:tc>
          <w:tcPr>
            <w:tcW w:w="1852" w:type="dxa"/>
            <w:vAlign w:val="center"/>
          </w:tcPr>
          <w:p>
            <w:pPr>
              <w:widowControl/>
              <w:spacing w:line="240" w:lineRule="auto"/>
              <w:ind w:firstLine="0" w:firstLineChars="0"/>
              <w:jc w:val="center"/>
              <w:rPr>
                <w:rFonts w:eastAsiaTheme="minorEastAsia"/>
                <w:b/>
                <w:sz w:val="21"/>
                <w:szCs w:val="24"/>
              </w:rPr>
            </w:pPr>
            <w:r>
              <w:rPr>
                <w:rFonts w:eastAsiaTheme="minorEastAsia"/>
                <w:b/>
                <w:sz w:val="21"/>
                <w:szCs w:val="24"/>
              </w:rPr>
              <w:t>检查依据</w:t>
            </w:r>
          </w:p>
        </w:tc>
        <w:tc>
          <w:tcPr>
            <w:tcW w:w="1852" w:type="dxa"/>
            <w:vAlign w:val="center"/>
          </w:tcPr>
          <w:p>
            <w:pPr>
              <w:widowControl/>
              <w:spacing w:line="240" w:lineRule="auto"/>
              <w:ind w:firstLine="0" w:firstLineChars="0"/>
              <w:jc w:val="center"/>
              <w:rPr>
                <w:rFonts w:eastAsiaTheme="minorEastAsia"/>
                <w:b/>
                <w:sz w:val="21"/>
                <w:szCs w:val="24"/>
              </w:rPr>
            </w:pPr>
            <w:r>
              <w:rPr>
                <w:rFonts w:eastAsiaTheme="minorEastAsia"/>
                <w:b/>
                <w:sz w:val="21"/>
                <w:szCs w:val="24"/>
              </w:rPr>
              <w:t>实际情况</w:t>
            </w:r>
          </w:p>
        </w:tc>
        <w:tc>
          <w:tcPr>
            <w:tcW w:w="1852" w:type="dxa"/>
            <w:vAlign w:val="center"/>
          </w:tcPr>
          <w:p>
            <w:pPr>
              <w:widowControl/>
              <w:spacing w:line="240" w:lineRule="auto"/>
              <w:ind w:firstLine="0" w:firstLineChars="0"/>
              <w:jc w:val="center"/>
              <w:rPr>
                <w:rFonts w:eastAsiaTheme="minorEastAsia"/>
                <w:b/>
                <w:sz w:val="21"/>
                <w:szCs w:val="24"/>
              </w:rPr>
            </w:pPr>
            <w:r>
              <w:rPr>
                <w:rFonts w:eastAsiaTheme="minorEastAsia"/>
                <w:b/>
                <w:sz w:val="21"/>
                <w:szCs w:val="24"/>
              </w:rPr>
              <w:t>检查结果</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114" w:type="dxa"/>
            <w:vAlign w:val="center"/>
          </w:tcPr>
          <w:p>
            <w:pPr>
              <w:widowControl/>
              <w:spacing w:line="240" w:lineRule="auto"/>
              <w:ind w:firstLine="0" w:firstLineChars="0"/>
              <w:jc w:val="center"/>
              <w:rPr>
                <w:rFonts w:eastAsiaTheme="minorEastAsia"/>
                <w:sz w:val="21"/>
                <w:szCs w:val="24"/>
              </w:rPr>
            </w:pPr>
          </w:p>
        </w:tc>
        <w:tc>
          <w:tcPr>
            <w:tcW w:w="1852" w:type="dxa"/>
            <w:vAlign w:val="center"/>
          </w:tcPr>
          <w:p>
            <w:pPr>
              <w:widowControl/>
              <w:spacing w:line="240" w:lineRule="auto"/>
              <w:ind w:firstLine="0" w:firstLineChars="0"/>
              <w:jc w:val="center"/>
              <w:rPr>
                <w:rFonts w:eastAsiaTheme="minorEastAsia"/>
                <w:sz w:val="21"/>
                <w:szCs w:val="24"/>
              </w:rPr>
            </w:pPr>
          </w:p>
        </w:tc>
        <w:tc>
          <w:tcPr>
            <w:tcW w:w="1852" w:type="dxa"/>
            <w:vAlign w:val="center"/>
          </w:tcPr>
          <w:p>
            <w:pPr>
              <w:widowControl/>
              <w:spacing w:line="240" w:lineRule="auto"/>
              <w:ind w:firstLine="0" w:firstLineChars="0"/>
              <w:jc w:val="center"/>
              <w:rPr>
                <w:rFonts w:eastAsiaTheme="minorEastAsia"/>
                <w:sz w:val="21"/>
                <w:szCs w:val="24"/>
              </w:rPr>
            </w:pPr>
          </w:p>
        </w:tc>
        <w:tc>
          <w:tcPr>
            <w:tcW w:w="1852" w:type="dxa"/>
            <w:vAlign w:val="center"/>
          </w:tcPr>
          <w:p>
            <w:pPr>
              <w:widowControl/>
              <w:spacing w:line="240" w:lineRule="auto"/>
              <w:ind w:firstLine="0" w:firstLineChars="0"/>
              <w:jc w:val="center"/>
              <w:rPr>
                <w:rFonts w:eastAsiaTheme="minorEastAsia"/>
                <w:sz w:val="21"/>
                <w:szCs w:val="24"/>
              </w:rPr>
            </w:pPr>
          </w:p>
        </w:tc>
        <w:tc>
          <w:tcPr>
            <w:tcW w:w="1852" w:type="dxa"/>
            <w:vAlign w:val="center"/>
          </w:tcPr>
          <w:p>
            <w:pPr>
              <w:widowControl/>
              <w:spacing w:line="240" w:lineRule="auto"/>
              <w:ind w:firstLine="0" w:firstLineChars="0"/>
              <w:jc w:val="center"/>
              <w:rPr>
                <w:rFonts w:eastAsiaTheme="minorEastAsia"/>
                <w:sz w:val="21"/>
                <w:szCs w:val="24"/>
              </w:rPr>
            </w:pPr>
          </w:p>
        </w:tc>
      </w:tr>
    </w:tbl>
    <w:p>
      <w:pPr>
        <w:pStyle w:val="251"/>
        <w:rPr>
          <w:rFonts w:eastAsiaTheme="minorEastAsia"/>
        </w:rPr>
      </w:pPr>
    </w:p>
    <w:p>
      <w:pPr>
        <w:pStyle w:val="5"/>
        <w:rPr>
          <w:rFonts w:eastAsiaTheme="minorEastAsia"/>
        </w:rPr>
      </w:pPr>
      <w:r>
        <w:rPr>
          <w:rFonts w:eastAsiaTheme="minorEastAsia"/>
        </w:rPr>
        <w:t>4.2.2  预先危险性分析法（PHA）</w:t>
      </w:r>
    </w:p>
    <w:p>
      <w:pPr>
        <w:ind w:firstLine="560"/>
        <w:rPr>
          <w:rFonts w:eastAsiaTheme="minorEastAsia"/>
        </w:rPr>
      </w:pPr>
      <w:r>
        <w:rPr>
          <w:rFonts w:eastAsiaTheme="minorEastAsia"/>
        </w:rPr>
        <w:t>预先危险性分析法是一种对系统存在的各种危险因素、出现条件和事故可能造成的后果进行宏观、概略分析的系统安全分析方法。通常是在在进行某项工程活动（包括设计、施工、生产、维修等）之前，对系统存在的各种危险因素（类别、分布）、出现条件和事故可能造成的后果进行宏观、概略分析，其目的是早期发现系统的潜在危险因素，确定系统的危险等级，提出相应的防范措施，防止这些危险因素发展成为事故，避免考虑不周所造成的损失，属定性评价。即：讨论、分析、确定系统存在的危险因素，及其触发条件、现象、形成事故的原因事件、事故类型、事故后果和危险等级，有针对性的提出相应的安全防范措施。</w:t>
      </w:r>
    </w:p>
    <w:p>
      <w:pPr>
        <w:ind w:firstLine="560"/>
        <w:rPr>
          <w:rFonts w:eastAsiaTheme="minorEastAsia"/>
        </w:rPr>
      </w:pPr>
      <w:r>
        <w:rPr>
          <w:rFonts w:eastAsiaTheme="minorEastAsia"/>
        </w:rPr>
        <w:t>1）预先危险性分析法的主要功能有：</w:t>
      </w:r>
    </w:p>
    <w:p>
      <w:pPr>
        <w:ind w:firstLine="560"/>
        <w:rPr>
          <w:rFonts w:eastAsiaTheme="minorEastAsia"/>
        </w:rPr>
      </w:pPr>
      <w:r>
        <w:rPr>
          <w:rFonts w:eastAsiaTheme="minorEastAsia"/>
        </w:rPr>
        <w:t>• 大体识别与系统有关的危险；</w:t>
      </w:r>
    </w:p>
    <w:p>
      <w:pPr>
        <w:ind w:firstLine="560"/>
        <w:rPr>
          <w:rFonts w:eastAsiaTheme="minorEastAsia"/>
        </w:rPr>
      </w:pPr>
      <w:r>
        <w:rPr>
          <w:rFonts w:eastAsiaTheme="minorEastAsia"/>
        </w:rPr>
        <w:t>• 鉴别产生危险的原因；</w:t>
      </w:r>
    </w:p>
    <w:p>
      <w:pPr>
        <w:ind w:firstLine="560"/>
        <w:rPr>
          <w:rFonts w:eastAsiaTheme="minorEastAsia"/>
        </w:rPr>
      </w:pPr>
      <w:r>
        <w:rPr>
          <w:rFonts w:eastAsiaTheme="minorEastAsia"/>
        </w:rPr>
        <w:t>• 估计事故出现对系统的影响；</w:t>
      </w:r>
    </w:p>
    <w:p>
      <w:pPr>
        <w:ind w:firstLine="560"/>
        <w:rPr>
          <w:rFonts w:eastAsiaTheme="minorEastAsia"/>
        </w:rPr>
      </w:pPr>
      <w:r>
        <w:rPr>
          <w:rFonts w:eastAsiaTheme="minorEastAsia"/>
        </w:rPr>
        <w:t>• 对已经识别的危险进行分级，并提出消除或控制危险性的措施。</w:t>
      </w:r>
    </w:p>
    <w:p>
      <w:pPr>
        <w:ind w:firstLine="560"/>
        <w:rPr>
          <w:rFonts w:eastAsiaTheme="minorEastAsia"/>
        </w:rPr>
      </w:pPr>
      <w:r>
        <w:rPr>
          <w:rFonts w:eastAsiaTheme="minorEastAsia"/>
        </w:rPr>
        <w:t>2）预先危险性分析步骤</w:t>
      </w:r>
    </w:p>
    <w:p>
      <w:pPr>
        <w:ind w:firstLine="560"/>
        <w:rPr>
          <w:rFonts w:eastAsiaTheme="minorEastAsia"/>
        </w:rPr>
      </w:pPr>
      <w:r>
        <w:rPr>
          <w:rFonts w:eastAsiaTheme="minorEastAsia"/>
        </w:rPr>
        <w:t>• 对系统的生产目的、工艺过程以及操作条件，对周围环境进行充分的调查了解；</w:t>
      </w:r>
    </w:p>
    <w:p>
      <w:pPr>
        <w:ind w:firstLine="560"/>
        <w:rPr>
          <w:rFonts w:eastAsiaTheme="minorEastAsia"/>
        </w:rPr>
      </w:pPr>
      <w:r>
        <w:rPr>
          <w:rFonts w:eastAsiaTheme="minorEastAsia"/>
        </w:rPr>
        <w:t>• 收集以往的经验和同类生产中发生过的事故情况，判断所要分析对象中是否也会出现类似情况，查找能够造成系统故障、物质损失和人员伤害的危险性；</w:t>
      </w:r>
    </w:p>
    <w:p>
      <w:pPr>
        <w:ind w:firstLine="560"/>
        <w:rPr>
          <w:rFonts w:eastAsiaTheme="minorEastAsia"/>
        </w:rPr>
      </w:pPr>
      <w:r>
        <w:rPr>
          <w:rFonts w:eastAsiaTheme="minorEastAsia"/>
        </w:rPr>
        <w:t>• 根据经验、技术诊断等方法确定危险源；</w:t>
      </w:r>
    </w:p>
    <w:p>
      <w:pPr>
        <w:ind w:firstLine="560"/>
        <w:rPr>
          <w:rFonts w:eastAsiaTheme="minorEastAsia"/>
        </w:rPr>
      </w:pPr>
      <w:r>
        <w:rPr>
          <w:rFonts w:eastAsiaTheme="minorEastAsia"/>
        </w:rPr>
        <w:t>• 识别危险转化条件，研究危险因素转变成事故的触发条件；</w:t>
      </w:r>
    </w:p>
    <w:p>
      <w:pPr>
        <w:ind w:firstLine="560"/>
        <w:rPr>
          <w:rFonts w:eastAsiaTheme="minorEastAsia"/>
        </w:rPr>
      </w:pPr>
      <w:r>
        <w:rPr>
          <w:rFonts w:eastAsiaTheme="minorEastAsia"/>
        </w:rPr>
        <w:t>• 进行危险性分级，确定危险程度，找出应重点控制的危险源；</w:t>
      </w:r>
    </w:p>
    <w:p>
      <w:pPr>
        <w:ind w:firstLine="560"/>
        <w:rPr>
          <w:rFonts w:eastAsiaTheme="minorEastAsia"/>
        </w:rPr>
      </w:pPr>
      <w:r>
        <w:rPr>
          <w:rFonts w:eastAsiaTheme="minorEastAsia"/>
        </w:rPr>
        <w:t>• 制定危险防范措施。</w:t>
      </w:r>
    </w:p>
    <w:p>
      <w:pPr>
        <w:ind w:firstLine="560"/>
        <w:rPr>
          <w:rFonts w:eastAsiaTheme="minorEastAsia"/>
        </w:rPr>
      </w:pPr>
      <w:r>
        <w:rPr>
          <w:rFonts w:eastAsiaTheme="minorEastAsia"/>
        </w:rPr>
        <w:t>预先危险性分析结果最终以表格的形式表示。</w:t>
      </w:r>
    </w:p>
    <w:p>
      <w:pPr>
        <w:ind w:firstLine="560"/>
        <w:rPr>
          <w:rFonts w:eastAsiaTheme="minorEastAsia"/>
        </w:rPr>
      </w:pPr>
      <w:r>
        <w:rPr>
          <w:rFonts w:eastAsiaTheme="minorEastAsia"/>
        </w:rPr>
        <w:t>3）危险、有害因素的危险性等级</w:t>
      </w:r>
    </w:p>
    <w:p>
      <w:pPr>
        <w:ind w:firstLine="560"/>
        <w:rPr>
          <w:rFonts w:eastAsiaTheme="minorEastAsia"/>
        </w:rPr>
      </w:pPr>
      <w:r>
        <w:rPr>
          <w:rFonts w:eastAsiaTheme="minorEastAsia"/>
        </w:rPr>
        <w:t>PHA分析的结果用危险性等级来表示。危险性可划分为四个等级，见下表4.2-3。</w:t>
      </w:r>
    </w:p>
    <w:p>
      <w:pPr>
        <w:pStyle w:val="251"/>
        <w:spacing w:line="360" w:lineRule="auto"/>
        <w:rPr>
          <w:rFonts w:eastAsiaTheme="minorEastAsia"/>
          <w:sz w:val="24"/>
        </w:rPr>
      </w:pPr>
      <w:r>
        <w:rPr>
          <w:rFonts w:eastAsiaTheme="minorEastAsia"/>
          <w:sz w:val="24"/>
        </w:rPr>
        <w:t>表4.2-3  危险性等级划分表</w:t>
      </w:r>
    </w:p>
    <w:tbl>
      <w:tblPr>
        <w:tblStyle w:val="45"/>
        <w:tblW w:w="8522"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831"/>
        <w:gridCol w:w="1418"/>
        <w:gridCol w:w="6273"/>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31" w:type="dxa"/>
            <w:vAlign w:val="center"/>
          </w:tcPr>
          <w:p>
            <w:pPr>
              <w:widowControl/>
              <w:spacing w:line="240" w:lineRule="auto"/>
              <w:ind w:firstLine="0" w:firstLineChars="0"/>
              <w:jc w:val="center"/>
              <w:rPr>
                <w:rFonts w:eastAsiaTheme="minorEastAsia"/>
                <w:b/>
                <w:sz w:val="21"/>
                <w:szCs w:val="24"/>
              </w:rPr>
            </w:pPr>
            <w:r>
              <w:rPr>
                <w:rFonts w:eastAsiaTheme="minorEastAsia"/>
                <w:b/>
                <w:sz w:val="21"/>
                <w:szCs w:val="24"/>
              </w:rPr>
              <w:t>级别</w:t>
            </w:r>
          </w:p>
        </w:tc>
        <w:tc>
          <w:tcPr>
            <w:tcW w:w="1418" w:type="dxa"/>
            <w:vAlign w:val="center"/>
          </w:tcPr>
          <w:p>
            <w:pPr>
              <w:widowControl/>
              <w:spacing w:line="240" w:lineRule="auto"/>
              <w:ind w:firstLine="0" w:firstLineChars="0"/>
              <w:jc w:val="center"/>
              <w:rPr>
                <w:rFonts w:eastAsiaTheme="minorEastAsia"/>
                <w:b/>
                <w:sz w:val="21"/>
                <w:szCs w:val="24"/>
              </w:rPr>
            </w:pPr>
            <w:r>
              <w:rPr>
                <w:rFonts w:eastAsiaTheme="minorEastAsia"/>
                <w:b/>
                <w:sz w:val="21"/>
                <w:szCs w:val="24"/>
              </w:rPr>
              <w:t>危险程度</w:t>
            </w:r>
          </w:p>
        </w:tc>
        <w:tc>
          <w:tcPr>
            <w:tcW w:w="6273" w:type="dxa"/>
            <w:vAlign w:val="center"/>
          </w:tcPr>
          <w:p>
            <w:pPr>
              <w:widowControl/>
              <w:spacing w:line="240" w:lineRule="auto"/>
              <w:ind w:firstLine="0" w:firstLineChars="0"/>
              <w:jc w:val="center"/>
              <w:rPr>
                <w:rFonts w:eastAsiaTheme="minorEastAsia"/>
                <w:b/>
                <w:sz w:val="21"/>
                <w:szCs w:val="24"/>
              </w:rPr>
            </w:pPr>
            <w:r>
              <w:rPr>
                <w:rFonts w:eastAsiaTheme="minorEastAsia"/>
                <w:b/>
                <w:sz w:val="21"/>
                <w:szCs w:val="24"/>
              </w:rPr>
              <w:t>可能导致的后果</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31"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Ⅰ</w:t>
            </w:r>
          </w:p>
        </w:tc>
        <w:tc>
          <w:tcPr>
            <w:tcW w:w="1418"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安全的</w:t>
            </w:r>
          </w:p>
        </w:tc>
        <w:tc>
          <w:tcPr>
            <w:tcW w:w="6273" w:type="dxa"/>
            <w:vAlign w:val="center"/>
          </w:tcPr>
          <w:p>
            <w:pPr>
              <w:widowControl/>
              <w:spacing w:line="240" w:lineRule="auto"/>
              <w:ind w:firstLine="0" w:firstLineChars="0"/>
              <w:jc w:val="left"/>
              <w:rPr>
                <w:rFonts w:eastAsiaTheme="minorEastAsia"/>
                <w:sz w:val="21"/>
                <w:szCs w:val="24"/>
              </w:rPr>
            </w:pPr>
            <w:r>
              <w:rPr>
                <w:rFonts w:eastAsiaTheme="minorEastAsia"/>
                <w:sz w:val="21"/>
                <w:szCs w:val="24"/>
              </w:rPr>
              <w:t>不会造成人员伤亡及系统损失</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31"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Ⅱ</w:t>
            </w:r>
          </w:p>
        </w:tc>
        <w:tc>
          <w:tcPr>
            <w:tcW w:w="1418"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临界的</w:t>
            </w:r>
          </w:p>
        </w:tc>
        <w:tc>
          <w:tcPr>
            <w:tcW w:w="6273" w:type="dxa"/>
            <w:vAlign w:val="center"/>
          </w:tcPr>
          <w:p>
            <w:pPr>
              <w:widowControl/>
              <w:spacing w:line="240" w:lineRule="auto"/>
              <w:ind w:firstLine="0" w:firstLineChars="0"/>
              <w:jc w:val="left"/>
              <w:rPr>
                <w:rFonts w:eastAsiaTheme="minorEastAsia"/>
                <w:sz w:val="21"/>
                <w:szCs w:val="24"/>
              </w:rPr>
            </w:pPr>
            <w:r>
              <w:rPr>
                <w:rFonts w:eastAsiaTheme="minorEastAsia"/>
                <w:sz w:val="21"/>
                <w:szCs w:val="24"/>
              </w:rPr>
              <w:t>处于事故的边缘状态，暂时还不至于造成人员伤亡、系统损失或降低系统性能，但应予以排除或采取控制措施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31"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Ⅲ</w:t>
            </w:r>
          </w:p>
        </w:tc>
        <w:tc>
          <w:tcPr>
            <w:tcW w:w="1418"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危险的</w:t>
            </w:r>
          </w:p>
        </w:tc>
        <w:tc>
          <w:tcPr>
            <w:tcW w:w="6273" w:type="dxa"/>
            <w:vAlign w:val="center"/>
          </w:tcPr>
          <w:p>
            <w:pPr>
              <w:widowControl/>
              <w:spacing w:line="240" w:lineRule="auto"/>
              <w:ind w:firstLine="0" w:firstLineChars="0"/>
              <w:jc w:val="left"/>
              <w:rPr>
                <w:rFonts w:eastAsiaTheme="minorEastAsia"/>
                <w:sz w:val="21"/>
                <w:szCs w:val="24"/>
              </w:rPr>
            </w:pPr>
            <w:r>
              <w:rPr>
                <w:rFonts w:eastAsiaTheme="minorEastAsia"/>
                <w:sz w:val="21"/>
                <w:szCs w:val="24"/>
              </w:rPr>
              <w:t>会造成人员伤亡和系统损失，要立即采取防范对策措施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31"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Ⅳ</w:t>
            </w:r>
          </w:p>
        </w:tc>
        <w:tc>
          <w:tcPr>
            <w:tcW w:w="1418" w:type="dxa"/>
            <w:vAlign w:val="center"/>
          </w:tcPr>
          <w:p>
            <w:pPr>
              <w:widowControl/>
              <w:spacing w:line="240" w:lineRule="auto"/>
              <w:ind w:firstLine="0" w:firstLineChars="0"/>
              <w:jc w:val="center"/>
              <w:rPr>
                <w:rFonts w:eastAsiaTheme="minorEastAsia"/>
                <w:sz w:val="21"/>
                <w:szCs w:val="24"/>
              </w:rPr>
            </w:pPr>
            <w:r>
              <w:rPr>
                <w:rFonts w:eastAsiaTheme="minorEastAsia"/>
                <w:sz w:val="21"/>
                <w:szCs w:val="24"/>
              </w:rPr>
              <w:t>灾难性的</w:t>
            </w:r>
          </w:p>
        </w:tc>
        <w:tc>
          <w:tcPr>
            <w:tcW w:w="6273" w:type="dxa"/>
            <w:vAlign w:val="center"/>
          </w:tcPr>
          <w:p>
            <w:pPr>
              <w:widowControl/>
              <w:spacing w:line="240" w:lineRule="auto"/>
              <w:ind w:firstLine="0" w:firstLineChars="0"/>
              <w:jc w:val="left"/>
              <w:rPr>
                <w:rFonts w:eastAsiaTheme="minorEastAsia"/>
                <w:sz w:val="21"/>
                <w:szCs w:val="24"/>
              </w:rPr>
            </w:pPr>
            <w:r>
              <w:rPr>
                <w:rFonts w:eastAsiaTheme="minorEastAsia"/>
                <w:sz w:val="21"/>
                <w:szCs w:val="24"/>
              </w:rPr>
              <w:t>会造成人员重大伤亡及系统严重破坏的灾难性事故，必须予以果断排除并进行重点防范</w:t>
            </w:r>
          </w:p>
        </w:tc>
      </w:tr>
    </w:tbl>
    <w:p>
      <w:pPr>
        <w:pStyle w:val="2"/>
        <w:rPr>
          <w:rFonts w:eastAsiaTheme="minorEastAsia"/>
        </w:rPr>
      </w:pPr>
      <w:bookmarkStart w:id="196" w:name="_Toc41742638"/>
      <w:bookmarkStart w:id="197" w:name="_Toc6163"/>
      <w:r>
        <w:rPr>
          <w:rFonts w:eastAsiaTheme="minorEastAsia"/>
        </w:rPr>
        <w:t>5  安全评价</w:t>
      </w:r>
      <w:bookmarkEnd w:id="195"/>
      <w:bookmarkEnd w:id="196"/>
      <w:bookmarkEnd w:id="197"/>
    </w:p>
    <w:p>
      <w:pPr>
        <w:pStyle w:val="280"/>
        <w:rPr>
          <w:rFonts w:cs="Times New Roman" w:eastAsiaTheme="minorEastAsia"/>
        </w:rPr>
      </w:pPr>
      <w:bookmarkStart w:id="198" w:name="_Toc25765"/>
      <w:bookmarkStart w:id="199" w:name="_Toc18004"/>
      <w:bookmarkStart w:id="200" w:name="_Toc24151"/>
      <w:bookmarkStart w:id="201" w:name="_Toc10249"/>
      <w:bookmarkStart w:id="202" w:name="_Toc10296"/>
      <w:bookmarkStart w:id="203" w:name="_Toc23743"/>
      <w:bookmarkStart w:id="204" w:name="_Toc436162052"/>
      <w:r>
        <w:rPr>
          <w:rFonts w:cs="Times New Roman" w:eastAsiaTheme="minorEastAsia"/>
        </w:rPr>
        <w:t>5.1  钻井工程单元</w:t>
      </w:r>
      <w:bookmarkEnd w:id="198"/>
      <w:bookmarkEnd w:id="199"/>
      <w:bookmarkEnd w:id="200"/>
      <w:bookmarkEnd w:id="201"/>
      <w:bookmarkEnd w:id="202"/>
      <w:bookmarkEnd w:id="203"/>
      <w:bookmarkEnd w:id="204"/>
    </w:p>
    <w:p>
      <w:pPr>
        <w:pStyle w:val="5"/>
        <w:jc w:val="left"/>
        <w:rPr>
          <w:rFonts w:eastAsiaTheme="minorEastAsia"/>
          <w:color w:val="000000"/>
        </w:rPr>
      </w:pPr>
      <w:r>
        <w:rPr>
          <w:rFonts w:eastAsiaTheme="minorEastAsia"/>
          <w:color w:val="000000"/>
        </w:rPr>
        <w:t>5.1.1  钻井工程区域布置</w:t>
      </w:r>
    </w:p>
    <w:p>
      <w:pPr>
        <w:ind w:firstLine="560"/>
        <w:rPr>
          <w:rFonts w:eastAsiaTheme="minorEastAsia"/>
          <w:bCs/>
          <w:szCs w:val="28"/>
        </w:rPr>
      </w:pPr>
      <w:r>
        <w:rPr>
          <w:rFonts w:eastAsiaTheme="minorEastAsia"/>
          <w:bCs/>
          <w:color w:val="000000"/>
          <w:szCs w:val="28"/>
        </w:rPr>
        <w:t>本项目部署新钻油井6口，位于党校南门井场，北边第一排，大门方向朝东，周边500m</w:t>
      </w:r>
      <w:r>
        <w:rPr>
          <w:bCs/>
          <w:color w:val="000000"/>
          <w:szCs w:val="28"/>
        </w:rPr>
        <w:t>无铁路、高速公路、学校、医院等设施，</w:t>
      </w:r>
      <w:r>
        <w:rPr>
          <w:rFonts w:eastAsiaTheme="minorEastAsia"/>
          <w:bCs/>
          <w:szCs w:val="28"/>
        </w:rPr>
        <w:t>根据《石油天然气钻井、开发、储运防火防爆安全生产技术规程》（SY/T5225-2019）中规定的油气井与周围建（构）筑物、设施防火间距要求，见下表5.1-1。</w:t>
      </w:r>
    </w:p>
    <w:p>
      <w:pPr>
        <w:tabs>
          <w:tab w:val="left" w:pos="3240"/>
        </w:tabs>
        <w:ind w:firstLine="482"/>
        <w:jc w:val="center"/>
        <w:rPr>
          <w:rFonts w:eastAsiaTheme="minorEastAsia"/>
          <w:b/>
          <w:sz w:val="24"/>
        </w:rPr>
      </w:pPr>
      <w:r>
        <w:rPr>
          <w:rFonts w:eastAsiaTheme="minorEastAsia"/>
          <w:b/>
          <w:sz w:val="24"/>
        </w:rPr>
        <w:t>表5.1-1  钻井井口安全距离符合性一览表</w:t>
      </w:r>
    </w:p>
    <w:tbl>
      <w:tblPr>
        <w:tblStyle w:val="46"/>
        <w:tblW w:w="7592"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677"/>
        <w:gridCol w:w="1767"/>
        <w:gridCol w:w="1465"/>
        <w:gridCol w:w="2823"/>
        <w:gridCol w:w="860"/>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77" w:type="dxa"/>
            <w:vAlign w:val="center"/>
          </w:tcPr>
          <w:p>
            <w:pPr>
              <w:tabs>
                <w:tab w:val="left" w:pos="3240"/>
              </w:tabs>
              <w:spacing w:before="60" w:beforeLines="25" w:after="60" w:afterLines="25" w:line="240" w:lineRule="auto"/>
              <w:ind w:firstLine="0" w:firstLineChars="0"/>
              <w:rPr>
                <w:rFonts w:ascii="Calibri" w:hAnsi="Calibri" w:eastAsiaTheme="minorEastAsia"/>
                <w:b/>
                <w:bCs/>
                <w:kern w:val="0"/>
                <w:sz w:val="21"/>
                <w:szCs w:val="21"/>
              </w:rPr>
            </w:pPr>
            <w:r>
              <w:rPr>
                <w:rFonts w:ascii="Calibri" w:hAnsi="Calibri" w:eastAsiaTheme="minorEastAsia"/>
                <w:b/>
                <w:bCs/>
                <w:kern w:val="0"/>
                <w:sz w:val="21"/>
                <w:szCs w:val="21"/>
              </w:rPr>
              <w:t>序号</w:t>
            </w:r>
          </w:p>
        </w:tc>
        <w:tc>
          <w:tcPr>
            <w:tcW w:w="1767" w:type="dxa"/>
            <w:vAlign w:val="center"/>
          </w:tcPr>
          <w:p>
            <w:pPr>
              <w:tabs>
                <w:tab w:val="left" w:pos="3240"/>
              </w:tabs>
              <w:spacing w:before="60" w:beforeLines="25" w:after="60" w:afterLines="25" w:line="240" w:lineRule="auto"/>
              <w:ind w:firstLine="0" w:firstLineChars="0"/>
              <w:rPr>
                <w:rFonts w:ascii="Calibri" w:hAnsi="Calibri" w:eastAsiaTheme="minorEastAsia"/>
                <w:b/>
                <w:bCs/>
                <w:kern w:val="0"/>
                <w:sz w:val="21"/>
                <w:szCs w:val="21"/>
              </w:rPr>
            </w:pPr>
            <w:r>
              <w:rPr>
                <w:rFonts w:ascii="Calibri" w:hAnsi="Calibri" w:eastAsiaTheme="minorEastAsia"/>
                <w:b/>
                <w:bCs/>
                <w:kern w:val="0"/>
                <w:sz w:val="21"/>
                <w:szCs w:val="21"/>
              </w:rPr>
              <w:t>名称</w:t>
            </w:r>
          </w:p>
        </w:tc>
        <w:tc>
          <w:tcPr>
            <w:tcW w:w="1465" w:type="dxa"/>
            <w:vAlign w:val="center"/>
          </w:tcPr>
          <w:p>
            <w:pPr>
              <w:tabs>
                <w:tab w:val="left" w:pos="3240"/>
              </w:tabs>
              <w:spacing w:before="60" w:beforeLines="25" w:after="60" w:afterLines="25" w:line="240" w:lineRule="auto"/>
              <w:ind w:firstLine="0" w:firstLineChars="0"/>
              <w:rPr>
                <w:rFonts w:ascii="Calibri" w:hAnsi="Calibri" w:eastAsiaTheme="minorEastAsia"/>
                <w:b/>
                <w:bCs/>
                <w:kern w:val="0"/>
                <w:sz w:val="21"/>
                <w:szCs w:val="21"/>
              </w:rPr>
            </w:pPr>
            <w:r>
              <w:rPr>
                <w:rFonts w:ascii="Calibri" w:hAnsi="Calibri" w:eastAsiaTheme="minorEastAsia"/>
                <w:b/>
                <w:bCs/>
                <w:kern w:val="0"/>
                <w:sz w:val="21"/>
                <w:szCs w:val="21"/>
              </w:rPr>
              <w:t>标准要求（m）</w:t>
            </w:r>
          </w:p>
        </w:tc>
        <w:tc>
          <w:tcPr>
            <w:tcW w:w="2823" w:type="dxa"/>
            <w:vAlign w:val="center"/>
          </w:tcPr>
          <w:p>
            <w:pPr>
              <w:tabs>
                <w:tab w:val="left" w:pos="3240"/>
              </w:tabs>
              <w:spacing w:before="60" w:beforeLines="25" w:after="60" w:afterLines="25" w:line="240" w:lineRule="auto"/>
              <w:ind w:firstLine="0" w:firstLineChars="0"/>
              <w:rPr>
                <w:rFonts w:ascii="Calibri" w:hAnsi="Calibri" w:eastAsiaTheme="minorEastAsia"/>
                <w:b/>
                <w:bCs/>
                <w:kern w:val="0"/>
                <w:sz w:val="21"/>
                <w:szCs w:val="21"/>
              </w:rPr>
            </w:pPr>
            <w:r>
              <w:rPr>
                <w:rFonts w:ascii="Calibri" w:hAnsi="Calibri" w:eastAsiaTheme="minorEastAsia"/>
                <w:b/>
                <w:bCs/>
                <w:kern w:val="0"/>
                <w:sz w:val="21"/>
                <w:szCs w:val="21"/>
              </w:rPr>
              <w:t>本工程（m）</w:t>
            </w:r>
          </w:p>
        </w:tc>
        <w:tc>
          <w:tcPr>
            <w:tcW w:w="860" w:type="dxa"/>
            <w:vAlign w:val="center"/>
          </w:tcPr>
          <w:p>
            <w:pPr>
              <w:tabs>
                <w:tab w:val="left" w:pos="3240"/>
              </w:tabs>
              <w:spacing w:before="60" w:beforeLines="25" w:after="60" w:afterLines="25" w:line="240" w:lineRule="auto"/>
              <w:ind w:firstLine="0" w:firstLineChars="0"/>
              <w:rPr>
                <w:rFonts w:ascii="Calibri" w:hAnsi="Calibri" w:eastAsiaTheme="minorEastAsia"/>
                <w:b/>
                <w:bCs/>
                <w:kern w:val="0"/>
                <w:sz w:val="21"/>
                <w:szCs w:val="21"/>
              </w:rPr>
            </w:pPr>
            <w:r>
              <w:rPr>
                <w:rFonts w:ascii="Calibri" w:hAnsi="Calibri" w:eastAsiaTheme="minorEastAsia"/>
                <w:b/>
                <w:bCs/>
                <w:kern w:val="0"/>
                <w:sz w:val="21"/>
                <w:szCs w:val="21"/>
              </w:rPr>
              <w:t>是否符 合要求</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677" w:type="dxa"/>
            <w:vAlign w:val="center"/>
          </w:tcPr>
          <w:p>
            <w:pPr>
              <w:tabs>
                <w:tab w:val="left" w:pos="3240"/>
              </w:tabs>
              <w:spacing w:before="60" w:beforeLines="25" w:after="60" w:afterLines="25" w:line="240" w:lineRule="auto"/>
              <w:ind w:firstLine="0" w:firstLineChars="0"/>
              <w:jc w:val="center"/>
              <w:rPr>
                <w:rFonts w:ascii="Calibri" w:hAnsi="Calibri" w:eastAsiaTheme="minorEastAsia"/>
                <w:kern w:val="0"/>
                <w:sz w:val="21"/>
                <w:szCs w:val="21"/>
              </w:rPr>
            </w:pPr>
            <w:r>
              <w:rPr>
                <w:rFonts w:ascii="Calibri" w:hAnsi="Calibri" w:eastAsiaTheme="minorEastAsia"/>
                <w:kern w:val="0"/>
                <w:sz w:val="21"/>
                <w:szCs w:val="21"/>
              </w:rPr>
              <w:t>1</w:t>
            </w:r>
          </w:p>
        </w:tc>
        <w:tc>
          <w:tcPr>
            <w:tcW w:w="1767" w:type="dxa"/>
            <w:vAlign w:val="center"/>
          </w:tcPr>
          <w:p>
            <w:pPr>
              <w:tabs>
                <w:tab w:val="left" w:pos="3240"/>
              </w:tabs>
              <w:spacing w:before="60" w:beforeLines="25" w:after="60" w:afterLines="25" w:line="240" w:lineRule="auto"/>
              <w:ind w:firstLine="0" w:firstLineChars="0"/>
              <w:rPr>
                <w:rFonts w:ascii="Calibri" w:hAnsi="Calibri" w:eastAsiaTheme="minorEastAsia"/>
                <w:kern w:val="0"/>
                <w:sz w:val="21"/>
                <w:szCs w:val="21"/>
              </w:rPr>
            </w:pPr>
            <w:r>
              <w:rPr>
                <w:rFonts w:ascii="Calibri" w:hAnsi="Calibri" w:eastAsiaTheme="minorEastAsia"/>
                <w:kern w:val="0"/>
                <w:sz w:val="21"/>
                <w:szCs w:val="21"/>
              </w:rPr>
              <w:t>高压线及其他永久设施</w:t>
            </w:r>
          </w:p>
        </w:tc>
        <w:tc>
          <w:tcPr>
            <w:tcW w:w="1465" w:type="dxa"/>
            <w:vAlign w:val="center"/>
          </w:tcPr>
          <w:p>
            <w:pPr>
              <w:tabs>
                <w:tab w:val="left" w:pos="3240"/>
              </w:tabs>
              <w:spacing w:before="60" w:beforeLines="25" w:after="60" w:afterLines="25" w:line="240" w:lineRule="auto"/>
              <w:ind w:firstLine="0" w:firstLineChars="0"/>
              <w:jc w:val="center"/>
              <w:rPr>
                <w:rFonts w:ascii="Calibri" w:hAnsi="Calibri" w:eastAsiaTheme="minorEastAsia"/>
                <w:kern w:val="0"/>
                <w:sz w:val="21"/>
                <w:szCs w:val="21"/>
              </w:rPr>
            </w:pPr>
            <w:r>
              <w:rPr>
                <w:rFonts w:ascii="Calibri" w:hAnsi="Calibri" w:eastAsiaTheme="minorEastAsia"/>
                <w:kern w:val="0"/>
                <w:sz w:val="21"/>
                <w:szCs w:val="21"/>
              </w:rPr>
              <w:t>75m</w:t>
            </w:r>
          </w:p>
        </w:tc>
        <w:tc>
          <w:tcPr>
            <w:tcW w:w="2823" w:type="dxa"/>
            <w:vAlign w:val="center"/>
          </w:tcPr>
          <w:p>
            <w:pPr>
              <w:tabs>
                <w:tab w:val="left" w:pos="3240"/>
              </w:tabs>
              <w:spacing w:before="60" w:beforeLines="25" w:after="60" w:afterLines="25" w:line="240" w:lineRule="auto"/>
              <w:ind w:firstLine="0" w:firstLineChars="0"/>
              <w:rPr>
                <w:rFonts w:ascii="Calibri" w:hAnsi="Calibri" w:eastAsiaTheme="minorEastAsia"/>
                <w:b/>
                <w:bCs/>
                <w:kern w:val="0"/>
                <w:sz w:val="21"/>
                <w:szCs w:val="21"/>
              </w:rPr>
            </w:pPr>
            <w:r>
              <w:rPr>
                <w:rFonts w:ascii="Calibri" w:hAnsi="Calibri" w:eastAsiaTheme="minorEastAsia"/>
                <w:b/>
                <w:bCs/>
                <w:kern w:val="0"/>
                <w:sz w:val="21"/>
                <w:szCs w:val="21"/>
              </w:rPr>
              <w:t>距离北侧办公楼42m</w:t>
            </w:r>
          </w:p>
        </w:tc>
        <w:tc>
          <w:tcPr>
            <w:tcW w:w="860" w:type="dxa"/>
            <w:vAlign w:val="center"/>
          </w:tcPr>
          <w:p>
            <w:pPr>
              <w:tabs>
                <w:tab w:val="left" w:pos="3240"/>
              </w:tabs>
              <w:spacing w:before="60" w:beforeLines="25" w:after="60" w:afterLines="25" w:line="240" w:lineRule="auto"/>
              <w:ind w:firstLine="0" w:firstLineChars="0"/>
              <w:rPr>
                <w:rFonts w:ascii="Calibri" w:hAnsi="Calibri" w:eastAsiaTheme="minorEastAsia"/>
                <w:b/>
                <w:bCs/>
                <w:kern w:val="0"/>
                <w:sz w:val="21"/>
                <w:szCs w:val="21"/>
              </w:rPr>
            </w:pPr>
            <w:r>
              <w:rPr>
                <w:rFonts w:ascii="Calibri" w:hAnsi="Calibri" w:eastAsiaTheme="minorEastAsia"/>
                <w:b/>
                <w:bCs/>
                <w:kern w:val="0"/>
                <w:sz w:val="21"/>
                <w:szCs w:val="21"/>
              </w:rPr>
              <w:t>不符合</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677" w:type="dxa"/>
            <w:vAlign w:val="center"/>
          </w:tcPr>
          <w:p>
            <w:pPr>
              <w:tabs>
                <w:tab w:val="left" w:pos="3240"/>
              </w:tabs>
              <w:spacing w:before="60" w:beforeLines="25" w:after="60" w:afterLines="25" w:line="240" w:lineRule="auto"/>
              <w:ind w:firstLine="0" w:firstLineChars="0"/>
              <w:jc w:val="center"/>
              <w:rPr>
                <w:rFonts w:ascii="Calibri" w:hAnsi="Calibri" w:eastAsiaTheme="minorEastAsia"/>
                <w:kern w:val="0"/>
                <w:sz w:val="21"/>
                <w:szCs w:val="21"/>
              </w:rPr>
            </w:pPr>
            <w:r>
              <w:rPr>
                <w:rFonts w:ascii="Calibri" w:hAnsi="Calibri" w:eastAsiaTheme="minorEastAsia"/>
                <w:kern w:val="0"/>
                <w:sz w:val="21"/>
                <w:szCs w:val="21"/>
              </w:rPr>
              <w:t>2</w:t>
            </w:r>
          </w:p>
        </w:tc>
        <w:tc>
          <w:tcPr>
            <w:tcW w:w="1767" w:type="dxa"/>
            <w:vAlign w:val="center"/>
          </w:tcPr>
          <w:p>
            <w:pPr>
              <w:tabs>
                <w:tab w:val="left" w:pos="3240"/>
              </w:tabs>
              <w:spacing w:before="60" w:beforeLines="25" w:after="60" w:afterLines="25" w:line="240" w:lineRule="auto"/>
              <w:ind w:firstLine="0" w:firstLineChars="0"/>
              <w:rPr>
                <w:rFonts w:ascii="Calibri" w:hAnsi="Calibri" w:eastAsiaTheme="minorEastAsia"/>
                <w:kern w:val="0"/>
                <w:sz w:val="21"/>
                <w:szCs w:val="21"/>
              </w:rPr>
            </w:pPr>
            <w:r>
              <w:rPr>
                <w:rFonts w:ascii="Calibri" w:hAnsi="Calibri" w:eastAsiaTheme="minorEastAsia"/>
                <w:kern w:val="0"/>
                <w:sz w:val="21"/>
                <w:szCs w:val="21"/>
              </w:rPr>
              <w:t>民宅</w:t>
            </w:r>
          </w:p>
        </w:tc>
        <w:tc>
          <w:tcPr>
            <w:tcW w:w="1465" w:type="dxa"/>
            <w:vAlign w:val="center"/>
          </w:tcPr>
          <w:p>
            <w:pPr>
              <w:tabs>
                <w:tab w:val="left" w:pos="3240"/>
              </w:tabs>
              <w:spacing w:before="60" w:beforeLines="25" w:after="60" w:afterLines="25" w:line="240" w:lineRule="auto"/>
              <w:ind w:firstLine="0" w:firstLineChars="0"/>
              <w:jc w:val="center"/>
              <w:rPr>
                <w:rFonts w:ascii="Calibri" w:hAnsi="Calibri" w:eastAsiaTheme="minorEastAsia"/>
                <w:kern w:val="0"/>
                <w:sz w:val="21"/>
                <w:szCs w:val="21"/>
              </w:rPr>
            </w:pPr>
            <w:r>
              <w:rPr>
                <w:rFonts w:ascii="Calibri" w:hAnsi="Calibri" w:eastAsiaTheme="minorEastAsia"/>
                <w:kern w:val="0"/>
                <w:sz w:val="21"/>
                <w:szCs w:val="21"/>
              </w:rPr>
              <w:t>100m</w:t>
            </w:r>
          </w:p>
        </w:tc>
        <w:tc>
          <w:tcPr>
            <w:tcW w:w="2823" w:type="dxa"/>
            <w:vAlign w:val="center"/>
          </w:tcPr>
          <w:p>
            <w:pPr>
              <w:tabs>
                <w:tab w:val="left" w:pos="3240"/>
              </w:tabs>
              <w:spacing w:before="60" w:beforeLines="25" w:after="60" w:afterLines="25" w:line="240" w:lineRule="auto"/>
              <w:ind w:firstLine="0" w:firstLineChars="0"/>
              <w:rPr>
                <w:rFonts w:ascii="Calibri" w:hAnsi="Calibri" w:eastAsiaTheme="minorEastAsia"/>
                <w:kern w:val="0"/>
                <w:sz w:val="21"/>
                <w:szCs w:val="21"/>
              </w:rPr>
            </w:pPr>
            <w:r>
              <w:rPr>
                <w:rFonts w:ascii="Calibri" w:hAnsi="Calibri" w:eastAsiaTheme="minorEastAsia"/>
                <w:kern w:val="0"/>
                <w:sz w:val="21"/>
                <w:szCs w:val="21"/>
              </w:rPr>
              <w:t>距离最近的小区229m</w:t>
            </w:r>
          </w:p>
        </w:tc>
        <w:tc>
          <w:tcPr>
            <w:tcW w:w="860" w:type="dxa"/>
            <w:vAlign w:val="center"/>
          </w:tcPr>
          <w:p>
            <w:pPr>
              <w:tabs>
                <w:tab w:val="left" w:pos="3240"/>
              </w:tabs>
              <w:spacing w:before="60" w:beforeLines="25" w:after="60" w:afterLines="25" w:line="240" w:lineRule="auto"/>
              <w:ind w:firstLine="0" w:firstLineChars="0"/>
              <w:rPr>
                <w:rFonts w:ascii="Calibri" w:hAnsi="Calibri" w:eastAsiaTheme="minorEastAsia"/>
                <w:kern w:val="0"/>
                <w:sz w:val="21"/>
                <w:szCs w:val="21"/>
              </w:rPr>
            </w:pPr>
            <w:r>
              <w:rPr>
                <w:rFonts w:ascii="Calibri" w:hAnsi="Calibri" w:eastAsiaTheme="minorEastAsia"/>
                <w:kern w:val="0"/>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677" w:type="dxa"/>
            <w:vAlign w:val="center"/>
          </w:tcPr>
          <w:p>
            <w:pPr>
              <w:tabs>
                <w:tab w:val="left" w:pos="3240"/>
              </w:tabs>
              <w:spacing w:before="60" w:beforeLines="25" w:after="60" w:afterLines="25" w:line="240" w:lineRule="auto"/>
              <w:ind w:firstLine="0" w:firstLineChars="0"/>
              <w:jc w:val="center"/>
              <w:rPr>
                <w:rFonts w:ascii="Calibri" w:hAnsi="Calibri" w:eastAsiaTheme="minorEastAsia"/>
                <w:kern w:val="0"/>
                <w:sz w:val="21"/>
                <w:szCs w:val="21"/>
              </w:rPr>
            </w:pPr>
            <w:r>
              <w:rPr>
                <w:rFonts w:ascii="Calibri" w:hAnsi="Calibri" w:eastAsiaTheme="minorEastAsia"/>
                <w:kern w:val="0"/>
                <w:sz w:val="21"/>
                <w:szCs w:val="21"/>
              </w:rPr>
              <w:t>3</w:t>
            </w:r>
          </w:p>
        </w:tc>
        <w:tc>
          <w:tcPr>
            <w:tcW w:w="1767" w:type="dxa"/>
            <w:vAlign w:val="center"/>
          </w:tcPr>
          <w:p>
            <w:pPr>
              <w:tabs>
                <w:tab w:val="left" w:pos="3240"/>
              </w:tabs>
              <w:spacing w:before="60" w:beforeLines="25" w:after="60" w:afterLines="25" w:line="240" w:lineRule="auto"/>
              <w:ind w:firstLine="0" w:firstLineChars="0"/>
              <w:rPr>
                <w:rFonts w:ascii="Calibri" w:hAnsi="Calibri" w:eastAsiaTheme="minorEastAsia"/>
                <w:kern w:val="0"/>
                <w:sz w:val="21"/>
                <w:szCs w:val="21"/>
              </w:rPr>
            </w:pPr>
            <w:r>
              <w:rPr>
                <w:rFonts w:ascii="Calibri" w:hAnsi="Calibri" w:eastAsiaTheme="minorEastAsia"/>
                <w:kern w:val="0"/>
                <w:sz w:val="21"/>
                <w:szCs w:val="21"/>
              </w:rPr>
              <w:t>铁路、高速公路</w:t>
            </w:r>
          </w:p>
        </w:tc>
        <w:tc>
          <w:tcPr>
            <w:tcW w:w="1465" w:type="dxa"/>
            <w:vAlign w:val="center"/>
          </w:tcPr>
          <w:p>
            <w:pPr>
              <w:tabs>
                <w:tab w:val="left" w:pos="3240"/>
              </w:tabs>
              <w:spacing w:before="60" w:beforeLines="25" w:after="60" w:afterLines="25" w:line="240" w:lineRule="auto"/>
              <w:ind w:firstLine="0" w:firstLineChars="0"/>
              <w:jc w:val="center"/>
              <w:rPr>
                <w:rFonts w:ascii="Calibri" w:hAnsi="Calibri" w:eastAsiaTheme="minorEastAsia"/>
                <w:kern w:val="0"/>
                <w:sz w:val="21"/>
                <w:szCs w:val="21"/>
              </w:rPr>
            </w:pPr>
            <w:r>
              <w:rPr>
                <w:rFonts w:ascii="Calibri" w:hAnsi="Calibri" w:eastAsiaTheme="minorEastAsia"/>
                <w:kern w:val="0"/>
                <w:sz w:val="21"/>
                <w:szCs w:val="21"/>
              </w:rPr>
              <w:t>200m</w:t>
            </w:r>
          </w:p>
        </w:tc>
        <w:tc>
          <w:tcPr>
            <w:tcW w:w="2823" w:type="dxa"/>
            <w:vAlign w:val="center"/>
          </w:tcPr>
          <w:p>
            <w:pPr>
              <w:tabs>
                <w:tab w:val="left" w:pos="3240"/>
              </w:tabs>
              <w:spacing w:before="60" w:beforeLines="25" w:after="60" w:afterLines="25" w:line="240" w:lineRule="auto"/>
              <w:ind w:firstLine="0" w:firstLineChars="0"/>
              <w:rPr>
                <w:rFonts w:ascii="Calibri" w:hAnsi="Calibri" w:eastAsiaTheme="minorEastAsia"/>
                <w:kern w:val="0"/>
                <w:sz w:val="21"/>
                <w:szCs w:val="21"/>
              </w:rPr>
            </w:pPr>
            <w:r>
              <w:rPr>
                <w:rFonts w:ascii="Calibri" w:hAnsi="Calibri" w:eastAsiaTheme="minorEastAsia"/>
                <w:kern w:val="0"/>
                <w:sz w:val="21"/>
                <w:szCs w:val="21"/>
              </w:rPr>
              <w:t>1000m范围内无此类设施</w:t>
            </w:r>
          </w:p>
        </w:tc>
        <w:tc>
          <w:tcPr>
            <w:tcW w:w="860" w:type="dxa"/>
            <w:vAlign w:val="center"/>
          </w:tcPr>
          <w:p>
            <w:pPr>
              <w:tabs>
                <w:tab w:val="left" w:pos="3240"/>
              </w:tabs>
              <w:spacing w:before="60" w:beforeLines="25" w:after="60" w:afterLines="25" w:line="240" w:lineRule="auto"/>
              <w:ind w:firstLine="0" w:firstLineChars="0"/>
              <w:rPr>
                <w:rFonts w:ascii="Calibri" w:hAnsi="Calibri" w:eastAsiaTheme="minorEastAsia"/>
                <w:kern w:val="0"/>
                <w:sz w:val="21"/>
                <w:szCs w:val="21"/>
              </w:rPr>
            </w:pPr>
            <w:r>
              <w:rPr>
                <w:rFonts w:ascii="Calibri" w:hAnsi="Calibri" w:eastAsiaTheme="minorEastAsia"/>
                <w:kern w:val="0"/>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677" w:type="dxa"/>
            <w:vAlign w:val="center"/>
          </w:tcPr>
          <w:p>
            <w:pPr>
              <w:tabs>
                <w:tab w:val="left" w:pos="3240"/>
              </w:tabs>
              <w:spacing w:before="60" w:beforeLines="25" w:after="60" w:afterLines="25" w:line="240" w:lineRule="auto"/>
              <w:ind w:firstLine="0" w:firstLineChars="0"/>
              <w:jc w:val="center"/>
              <w:rPr>
                <w:rFonts w:ascii="Calibri" w:hAnsi="Calibri" w:eastAsiaTheme="minorEastAsia"/>
                <w:kern w:val="0"/>
                <w:sz w:val="21"/>
                <w:szCs w:val="21"/>
              </w:rPr>
            </w:pPr>
            <w:r>
              <w:rPr>
                <w:rFonts w:ascii="Calibri" w:hAnsi="Calibri" w:eastAsiaTheme="minorEastAsia"/>
                <w:kern w:val="0"/>
                <w:sz w:val="21"/>
                <w:szCs w:val="21"/>
              </w:rPr>
              <w:t>4</w:t>
            </w:r>
          </w:p>
        </w:tc>
        <w:tc>
          <w:tcPr>
            <w:tcW w:w="1767" w:type="dxa"/>
            <w:vAlign w:val="center"/>
          </w:tcPr>
          <w:p>
            <w:pPr>
              <w:tabs>
                <w:tab w:val="left" w:pos="3240"/>
              </w:tabs>
              <w:spacing w:before="60" w:beforeLines="25" w:after="60" w:afterLines="25" w:line="240" w:lineRule="auto"/>
              <w:ind w:firstLine="0" w:firstLineChars="0"/>
              <w:rPr>
                <w:rFonts w:ascii="Calibri" w:hAnsi="Calibri" w:eastAsiaTheme="minorEastAsia"/>
                <w:kern w:val="0"/>
                <w:sz w:val="21"/>
                <w:szCs w:val="21"/>
              </w:rPr>
            </w:pPr>
            <w:r>
              <w:rPr>
                <w:rFonts w:ascii="Calibri" w:hAnsi="Calibri" w:eastAsiaTheme="minorEastAsia"/>
                <w:kern w:val="0"/>
                <w:sz w:val="21"/>
                <w:szCs w:val="21"/>
              </w:rPr>
              <w:t>学校、医院和大型油库等人口密集性、高危性场所</w:t>
            </w:r>
          </w:p>
        </w:tc>
        <w:tc>
          <w:tcPr>
            <w:tcW w:w="1465" w:type="dxa"/>
            <w:vAlign w:val="center"/>
          </w:tcPr>
          <w:p>
            <w:pPr>
              <w:tabs>
                <w:tab w:val="left" w:pos="3240"/>
              </w:tabs>
              <w:spacing w:before="60" w:beforeLines="25" w:after="60" w:afterLines="25" w:line="240" w:lineRule="auto"/>
              <w:ind w:firstLine="0" w:firstLineChars="0"/>
              <w:jc w:val="center"/>
              <w:rPr>
                <w:rFonts w:ascii="Calibri" w:hAnsi="Calibri" w:eastAsiaTheme="minorEastAsia"/>
                <w:kern w:val="0"/>
                <w:sz w:val="21"/>
                <w:szCs w:val="21"/>
              </w:rPr>
            </w:pPr>
            <w:r>
              <w:rPr>
                <w:rFonts w:ascii="Calibri" w:hAnsi="Calibri" w:eastAsiaTheme="minorEastAsia"/>
                <w:kern w:val="0"/>
                <w:sz w:val="21"/>
                <w:szCs w:val="21"/>
              </w:rPr>
              <w:t>500m</w:t>
            </w:r>
          </w:p>
        </w:tc>
        <w:tc>
          <w:tcPr>
            <w:tcW w:w="2823" w:type="dxa"/>
            <w:vAlign w:val="center"/>
          </w:tcPr>
          <w:p>
            <w:pPr>
              <w:tabs>
                <w:tab w:val="left" w:pos="3240"/>
              </w:tabs>
              <w:spacing w:before="60" w:beforeLines="25" w:after="60" w:afterLines="25" w:line="240" w:lineRule="auto"/>
              <w:ind w:firstLine="0" w:firstLineChars="0"/>
              <w:rPr>
                <w:rFonts w:ascii="Calibri" w:hAnsi="Calibri" w:eastAsiaTheme="minorEastAsia"/>
                <w:kern w:val="0"/>
                <w:sz w:val="21"/>
                <w:szCs w:val="21"/>
              </w:rPr>
            </w:pPr>
            <w:r>
              <w:rPr>
                <w:rFonts w:ascii="Calibri" w:hAnsi="Calibri" w:eastAsiaTheme="minorEastAsia"/>
                <w:kern w:val="0"/>
                <w:sz w:val="21"/>
                <w:szCs w:val="21"/>
              </w:rPr>
              <w:t>距离最近的学校（区三中）580m。</w:t>
            </w:r>
          </w:p>
        </w:tc>
        <w:tc>
          <w:tcPr>
            <w:tcW w:w="860" w:type="dxa"/>
            <w:vAlign w:val="center"/>
          </w:tcPr>
          <w:p>
            <w:pPr>
              <w:tabs>
                <w:tab w:val="left" w:pos="3240"/>
              </w:tabs>
              <w:spacing w:before="60" w:beforeLines="25" w:after="60" w:afterLines="25" w:line="240" w:lineRule="auto"/>
              <w:ind w:firstLine="0" w:firstLineChars="0"/>
              <w:rPr>
                <w:rFonts w:ascii="Calibri" w:hAnsi="Calibri" w:eastAsiaTheme="minorEastAsia"/>
                <w:kern w:val="0"/>
                <w:sz w:val="21"/>
                <w:szCs w:val="21"/>
              </w:rPr>
            </w:pPr>
            <w:r>
              <w:rPr>
                <w:rFonts w:ascii="Calibri" w:hAnsi="Calibri" w:eastAsiaTheme="minorEastAsia"/>
                <w:kern w:val="0"/>
                <w:sz w:val="21"/>
                <w:szCs w:val="21"/>
              </w:rPr>
              <w:t>符合</w:t>
            </w:r>
          </w:p>
        </w:tc>
      </w:tr>
    </w:tbl>
    <w:p>
      <w:pPr>
        <w:spacing w:before="240" w:beforeLines="100"/>
        <w:ind w:firstLine="560"/>
        <w:rPr>
          <w:rFonts w:eastAsiaTheme="minorEastAsia"/>
          <w:bCs/>
          <w:szCs w:val="28"/>
        </w:rPr>
      </w:pPr>
      <w:r>
        <w:rPr>
          <w:rFonts w:eastAsiaTheme="minorEastAsia"/>
          <w:bCs/>
          <w:szCs w:val="28"/>
        </w:rPr>
        <w:t>经实地勘查，</w:t>
      </w:r>
      <w:r>
        <w:rPr>
          <w:rFonts w:eastAsiaTheme="minorEastAsia"/>
          <w:bCs/>
          <w:szCs w:val="28"/>
          <w:lang w:bidi="en-US"/>
        </w:rPr>
        <w:t>井口槽距离北侧办公楼42m，不满足标准规范</w:t>
      </w:r>
      <w:r>
        <w:rPr>
          <w:rFonts w:hint="eastAsia" w:eastAsiaTheme="minorEastAsia"/>
          <w:bCs/>
          <w:szCs w:val="28"/>
          <w:lang w:bidi="en-US"/>
        </w:rPr>
        <w:t>75m</w:t>
      </w:r>
      <w:r>
        <w:rPr>
          <w:rFonts w:eastAsiaTheme="minorEastAsia"/>
          <w:bCs/>
          <w:szCs w:val="28"/>
          <w:lang w:bidi="en-US"/>
        </w:rPr>
        <w:t>的要求，</w:t>
      </w:r>
      <w:r>
        <w:rPr>
          <w:rFonts w:hint="eastAsia" w:eastAsiaTheme="minorEastAsia"/>
          <w:bCs/>
          <w:szCs w:val="28"/>
          <w:lang w:bidi="en-US"/>
        </w:rPr>
        <w:t>井口</w:t>
      </w:r>
      <w:r>
        <w:rPr>
          <w:rFonts w:eastAsiaTheme="minorEastAsia"/>
          <w:bCs/>
          <w:szCs w:val="28"/>
        </w:rPr>
        <w:t>与周边其他设施间距满足标准规范的要求。</w:t>
      </w:r>
    </w:p>
    <w:p>
      <w:pPr>
        <w:pStyle w:val="5"/>
        <w:jc w:val="left"/>
        <w:rPr>
          <w:rFonts w:eastAsiaTheme="minorEastAsia"/>
          <w:color w:val="000000"/>
        </w:rPr>
      </w:pPr>
      <w:r>
        <w:rPr>
          <w:rFonts w:eastAsiaTheme="minorEastAsia"/>
          <w:color w:val="000000"/>
        </w:rPr>
        <w:t>5.1.2  安全检查表法分析</w:t>
      </w:r>
    </w:p>
    <w:p>
      <w:pPr>
        <w:pStyle w:val="15"/>
        <w:ind w:firstLine="560"/>
        <w:jc w:val="left"/>
        <w:rPr>
          <w:rFonts w:eastAsiaTheme="minorEastAsia"/>
          <w:color w:val="000000"/>
          <w:szCs w:val="28"/>
        </w:rPr>
      </w:pPr>
      <w:r>
        <w:rPr>
          <w:rFonts w:eastAsiaTheme="minorEastAsia"/>
          <w:color w:val="000000"/>
          <w:szCs w:val="28"/>
        </w:rPr>
        <w:t>根据《丛式井平台布置及井眼防碰技术要求》（SY/T6396-2014）、《石油天然气安全规程》（AQ2012-2007）、《套管柱结构与强度设计》（SY/T5724-2008）、《井身结构设计方法》（SY/T5431-2017）、《钻井井控装置组合配套、安装调试与使用规范》（SY/T5964-2019）、</w:t>
      </w:r>
      <w:r>
        <w:rPr>
          <w:rFonts w:eastAsiaTheme="minorEastAsia"/>
          <w:szCs w:val="28"/>
        </w:rPr>
        <w:t>《钻井井场设备作业安全技术规程》（SY/T5974-2020）</w:t>
      </w:r>
      <w:r>
        <w:rPr>
          <w:rFonts w:eastAsiaTheme="minorEastAsia"/>
          <w:color w:val="000000"/>
          <w:szCs w:val="28"/>
        </w:rPr>
        <w:t>等编制安全检查表，对本工程的钻井方案进行评价，给出检查结果，见表5.1-</w:t>
      </w:r>
      <w:r>
        <w:rPr>
          <w:rFonts w:hint="eastAsia" w:eastAsiaTheme="minorEastAsia"/>
          <w:color w:val="000000"/>
          <w:szCs w:val="28"/>
          <w:lang w:val="en-US" w:eastAsia="zh-CN"/>
        </w:rPr>
        <w:t>2</w:t>
      </w:r>
      <w:r>
        <w:rPr>
          <w:rFonts w:eastAsiaTheme="minorEastAsia"/>
          <w:color w:val="000000"/>
          <w:szCs w:val="28"/>
        </w:rPr>
        <w:t>。</w:t>
      </w:r>
    </w:p>
    <w:p>
      <w:pPr>
        <w:autoSpaceDE w:val="0"/>
        <w:autoSpaceDN w:val="0"/>
        <w:ind w:firstLine="482"/>
        <w:jc w:val="center"/>
        <w:rPr>
          <w:rStyle w:val="52"/>
        </w:rPr>
      </w:pPr>
      <w:r>
        <w:rPr>
          <w:rFonts w:eastAsiaTheme="minorEastAsia"/>
          <w:b/>
          <w:sz w:val="24"/>
        </w:rPr>
        <w:t>表5.1-5  钻井单元安全检查表</w:t>
      </w:r>
    </w:p>
    <w:tbl>
      <w:tblPr>
        <w:tblStyle w:val="45"/>
        <w:tblW w:w="85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0"/>
        <w:gridCol w:w="3863"/>
        <w:gridCol w:w="1605"/>
        <w:gridCol w:w="1732"/>
        <w:gridCol w:w="6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640"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序号</w:t>
            </w:r>
          </w:p>
        </w:tc>
        <w:tc>
          <w:tcPr>
            <w:tcW w:w="3863"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检查项目</w:t>
            </w:r>
          </w:p>
        </w:tc>
        <w:tc>
          <w:tcPr>
            <w:tcW w:w="1605"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检查依据</w:t>
            </w:r>
          </w:p>
        </w:tc>
        <w:tc>
          <w:tcPr>
            <w:tcW w:w="1732" w:type="dxa"/>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实际情况</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检查结果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一</w:t>
            </w:r>
          </w:p>
        </w:tc>
        <w:tc>
          <w:tcPr>
            <w:tcW w:w="7882" w:type="dxa"/>
            <w:gridSpan w:val="4"/>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一般要求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w:t>
            </w:r>
          </w:p>
        </w:tc>
        <w:tc>
          <w:tcPr>
            <w:tcW w:w="3863"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应提供邻井的油、气、水显示和复杂情况资料，己钻井的油、气、水电测解释成果，地层测试及试油、气资料。</w:t>
            </w:r>
          </w:p>
        </w:tc>
        <w:tc>
          <w:tcPr>
            <w:tcW w:w="1605"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AQ2012-2007</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5.2.2.2</w:t>
            </w:r>
          </w:p>
        </w:tc>
        <w:tc>
          <w:tcPr>
            <w:tcW w:w="173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可研己</w:t>
            </w:r>
            <w:r>
              <w:rPr>
                <w:rFonts w:hint="eastAsia" w:eastAsiaTheme="minorEastAsia"/>
                <w:sz w:val="21"/>
                <w:szCs w:val="21"/>
              </w:rPr>
              <w:t>明确</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w:t>
            </w:r>
          </w:p>
        </w:tc>
        <w:tc>
          <w:tcPr>
            <w:tcW w:w="3863"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油气井井口距离高压线及永久性设施应不小于75m</w:t>
            </w:r>
            <w:r>
              <w:rPr>
                <w:rFonts w:hint="eastAsia" w:eastAsiaTheme="minorEastAsia"/>
                <w:sz w:val="21"/>
                <w:szCs w:val="21"/>
              </w:rPr>
              <w:t>。</w:t>
            </w:r>
          </w:p>
        </w:tc>
        <w:tc>
          <w:tcPr>
            <w:tcW w:w="1605"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SY/T5225-2019</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3.1.2</w:t>
            </w:r>
          </w:p>
        </w:tc>
        <w:tc>
          <w:tcPr>
            <w:tcW w:w="173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现场勘查，周边100m无高压线</w:t>
            </w:r>
            <w:r>
              <w:rPr>
                <w:rFonts w:hint="eastAsia" w:eastAsiaTheme="minorEastAsia"/>
                <w:sz w:val="21"/>
                <w:szCs w:val="21"/>
              </w:rPr>
              <w:t>；油井距离北侧滨海公安局办公楼42m</w:t>
            </w:r>
            <w:r>
              <w:rPr>
                <w:rFonts w:eastAsiaTheme="minorEastAsia"/>
                <w:sz w:val="21"/>
                <w:szCs w:val="21"/>
              </w:rPr>
              <w:t>。</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hint="eastAsia"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二</w:t>
            </w:r>
          </w:p>
        </w:tc>
        <w:tc>
          <w:tcPr>
            <w:tcW w:w="7882" w:type="dxa"/>
            <w:gridSpan w:val="4"/>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井身结构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w:t>
            </w:r>
          </w:p>
        </w:tc>
        <w:tc>
          <w:tcPr>
            <w:tcW w:w="3863"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套管与井眼（钻头尺寸）间隙设计应保证套管安全下入并满足固井质量的要求。</w:t>
            </w:r>
          </w:p>
        </w:tc>
        <w:tc>
          <w:tcPr>
            <w:tcW w:w="1605"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SY/T5431-2017</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9.2.3</w:t>
            </w:r>
          </w:p>
        </w:tc>
        <w:tc>
          <w:tcPr>
            <w:tcW w:w="173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可研已明确，满足要求。</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w:t>
            </w:r>
          </w:p>
        </w:tc>
        <w:tc>
          <w:tcPr>
            <w:tcW w:w="3863"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下一开次的钻头尺寸应小于上层套管的尺寸。</w:t>
            </w:r>
          </w:p>
        </w:tc>
        <w:tc>
          <w:tcPr>
            <w:tcW w:w="1605"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SY/T5431-2017</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9.2.4</w:t>
            </w:r>
          </w:p>
        </w:tc>
        <w:tc>
          <w:tcPr>
            <w:tcW w:w="173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一开钻头尺寸：钻头Φ346.1套管为Ф273.1mm，二开钻头尺寸：Φ241.3，套管为Φ177.8mm</w:t>
            </w:r>
            <w:r>
              <w:rPr>
                <w:rFonts w:hint="eastAsia" w:eastAsiaTheme="minorEastAsia"/>
                <w:sz w:val="21"/>
                <w:szCs w:val="21"/>
              </w:rPr>
              <w:t>。</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w:t>
            </w:r>
          </w:p>
        </w:tc>
        <w:tc>
          <w:tcPr>
            <w:tcW w:w="3863" w:type="dxa"/>
            <w:vAlign w:val="center"/>
          </w:tcPr>
          <w:p>
            <w:pPr>
              <w:tabs>
                <w:tab w:val="left" w:pos="3240"/>
              </w:tabs>
              <w:spacing w:before="60" w:beforeLines="25" w:after="60" w:afterLines="25" w:line="240" w:lineRule="auto"/>
              <w:ind w:firstLine="0" w:firstLineChars="0"/>
              <w:rPr>
                <w:sz w:val="21"/>
                <w:szCs w:val="21"/>
              </w:rPr>
            </w:pPr>
            <w:r>
              <w:rPr>
                <w:rFonts w:eastAsiaTheme="minorEastAsia"/>
                <w:sz w:val="21"/>
                <w:szCs w:val="21"/>
              </w:rPr>
              <w:t>注气管管柱应采用气密封结构</w:t>
            </w:r>
            <w:r>
              <w:rPr>
                <w:rStyle w:val="52"/>
                <w:rFonts w:hint="eastAsia"/>
              </w:rPr>
              <w:t>。</w:t>
            </w:r>
          </w:p>
        </w:tc>
        <w:tc>
          <w:tcPr>
            <w:tcW w:w="1605"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SY/T6565-2018</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5.10.2</w:t>
            </w:r>
          </w:p>
        </w:tc>
        <w:tc>
          <w:tcPr>
            <w:tcW w:w="173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可研未明确，下一步设计中应加强设计。</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三</w:t>
            </w:r>
          </w:p>
        </w:tc>
        <w:tc>
          <w:tcPr>
            <w:tcW w:w="7882" w:type="dxa"/>
            <w:gridSpan w:val="4"/>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井眼防碰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6</w:t>
            </w:r>
          </w:p>
        </w:tc>
        <w:tc>
          <w:tcPr>
            <w:tcW w:w="3863"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丛式井组中各井的表层套管下深宜交替错开10m以上。</w:t>
            </w:r>
          </w:p>
        </w:tc>
        <w:tc>
          <w:tcPr>
            <w:tcW w:w="1605"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SY/T6396-2014</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4.6</w:t>
            </w:r>
          </w:p>
        </w:tc>
        <w:tc>
          <w:tcPr>
            <w:tcW w:w="173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可研未明确，下一步设计中应加强设计。</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7</w:t>
            </w:r>
          </w:p>
        </w:tc>
        <w:tc>
          <w:tcPr>
            <w:tcW w:w="3863"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丛式井中各井的水平位移应长短结合，交错设计，以便于错开造斜点。</w:t>
            </w:r>
          </w:p>
        </w:tc>
        <w:tc>
          <w:tcPr>
            <w:tcW w:w="1605"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SY/T6396-2014</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6.2.1</w:t>
            </w:r>
          </w:p>
        </w:tc>
        <w:tc>
          <w:tcPr>
            <w:tcW w:w="173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可研已明确，造斜点尽可能在泵挂深度以下。</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8</w:t>
            </w:r>
          </w:p>
        </w:tc>
        <w:tc>
          <w:tcPr>
            <w:tcW w:w="3863"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相邻井的造斜点深度差宜大于30m。</w:t>
            </w:r>
          </w:p>
        </w:tc>
        <w:tc>
          <w:tcPr>
            <w:tcW w:w="1605"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SY/T6396-2014</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5.1.3</w:t>
            </w:r>
          </w:p>
        </w:tc>
        <w:tc>
          <w:tcPr>
            <w:tcW w:w="173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可研已明确造斜点深度错开距离宜不小于30m。</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四</w:t>
            </w:r>
          </w:p>
        </w:tc>
        <w:tc>
          <w:tcPr>
            <w:tcW w:w="7882" w:type="dxa"/>
            <w:gridSpan w:val="4"/>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套管柱结构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9</w:t>
            </w:r>
          </w:p>
        </w:tc>
        <w:tc>
          <w:tcPr>
            <w:tcW w:w="3863"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主要注水泥套管柱结构类型见下表</w:t>
            </w:r>
            <w:r>
              <w:rPr>
                <w:rFonts w:eastAsiaTheme="minorEastAsia"/>
                <w:sz w:val="21"/>
                <w:szCs w:val="21"/>
              </w:rPr>
              <w:drawing>
                <wp:inline distT="0" distB="0" distL="114300" distR="114300">
                  <wp:extent cx="2310765" cy="857885"/>
                  <wp:effectExtent l="0" t="0" r="5715" b="10795"/>
                  <wp:docPr id="20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3"/>
                          <pic:cNvPicPr>
                            <a:picLocks noChangeAspect="1"/>
                          </pic:cNvPicPr>
                        </pic:nvPicPr>
                        <pic:blipFill>
                          <a:blip r:embed="rId30"/>
                          <a:stretch>
                            <a:fillRect/>
                          </a:stretch>
                        </pic:blipFill>
                        <pic:spPr>
                          <a:xfrm>
                            <a:off x="0" y="0"/>
                            <a:ext cx="2310765" cy="857885"/>
                          </a:xfrm>
                          <a:prstGeom prst="rect">
                            <a:avLst/>
                          </a:prstGeom>
                          <a:noFill/>
                          <a:ln>
                            <a:noFill/>
                          </a:ln>
                        </pic:spPr>
                      </pic:pic>
                    </a:graphicData>
                  </a:graphic>
                </wp:inline>
              </w:drawing>
            </w:r>
          </w:p>
        </w:tc>
        <w:tc>
          <w:tcPr>
            <w:tcW w:w="1605"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SY/T5724-2008</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5.4</w:t>
            </w:r>
          </w:p>
        </w:tc>
        <w:tc>
          <w:tcPr>
            <w:tcW w:w="173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可研中明确了套管柱的结构。</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五</w:t>
            </w:r>
          </w:p>
        </w:tc>
        <w:tc>
          <w:tcPr>
            <w:tcW w:w="7882" w:type="dxa"/>
            <w:gridSpan w:val="4"/>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套管柱强度校核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10</w:t>
            </w:r>
          </w:p>
        </w:tc>
        <w:tc>
          <w:tcPr>
            <w:tcW w:w="3863"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套管柱强度设计安全系数：抗挤为1.0～1.125，抗内压为1.05～1.25，抗拉为1.6～2.0。</w:t>
            </w:r>
          </w:p>
        </w:tc>
        <w:tc>
          <w:tcPr>
            <w:tcW w:w="1605"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SY/T5724-20086.5.1</w:t>
            </w:r>
          </w:p>
        </w:tc>
        <w:tc>
          <w:tcPr>
            <w:tcW w:w="173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抗外挤最小为1.9</w:t>
            </w:r>
            <w:r>
              <w:rPr>
                <w:rFonts w:hint="eastAsia" w:eastAsiaTheme="minorEastAsia"/>
                <w:sz w:val="21"/>
                <w:szCs w:val="21"/>
              </w:rPr>
              <w:t>3</w:t>
            </w:r>
            <w:r>
              <w:rPr>
                <w:rFonts w:eastAsiaTheme="minorEastAsia"/>
                <w:sz w:val="21"/>
                <w:szCs w:val="21"/>
              </w:rPr>
              <w:t>，抗内压最小为2.5，抗拉最小为5.94。</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六</w:t>
            </w:r>
          </w:p>
        </w:tc>
        <w:tc>
          <w:tcPr>
            <w:tcW w:w="7882" w:type="dxa"/>
            <w:gridSpan w:val="4"/>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井控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w:t>
            </w:r>
            <w:r>
              <w:rPr>
                <w:rFonts w:hint="eastAsia" w:eastAsiaTheme="minorEastAsia"/>
                <w:sz w:val="21"/>
                <w:szCs w:val="21"/>
              </w:rPr>
              <w:t>1</w:t>
            </w:r>
          </w:p>
        </w:tc>
        <w:tc>
          <w:tcPr>
            <w:tcW w:w="3863"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油气井井口间距不应小于3m。</w:t>
            </w:r>
          </w:p>
        </w:tc>
        <w:tc>
          <w:tcPr>
            <w:tcW w:w="1605"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《中石化井控管理规定》</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3.1.3</w:t>
            </w:r>
          </w:p>
        </w:tc>
        <w:tc>
          <w:tcPr>
            <w:tcW w:w="173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可研已明确，槽口间距为3m。</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七</w:t>
            </w:r>
          </w:p>
        </w:tc>
        <w:tc>
          <w:tcPr>
            <w:tcW w:w="7882" w:type="dxa"/>
            <w:gridSpan w:val="4"/>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钻井液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w:t>
            </w:r>
            <w:r>
              <w:rPr>
                <w:rFonts w:hint="eastAsia" w:eastAsiaTheme="minorEastAsia"/>
                <w:sz w:val="21"/>
                <w:szCs w:val="21"/>
              </w:rPr>
              <w:t>3</w:t>
            </w:r>
          </w:p>
        </w:tc>
        <w:tc>
          <w:tcPr>
            <w:tcW w:w="3863"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根据平衡地层压力、地质资料和钻井要求设计钻井液密度和类型。</w:t>
            </w:r>
          </w:p>
        </w:tc>
        <w:tc>
          <w:tcPr>
            <w:tcW w:w="1605"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AQ2012-2007</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5.2.3.3</w:t>
            </w:r>
          </w:p>
        </w:tc>
        <w:tc>
          <w:tcPr>
            <w:tcW w:w="173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可研明确了钻井液类型。</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八</w:t>
            </w:r>
          </w:p>
        </w:tc>
        <w:tc>
          <w:tcPr>
            <w:tcW w:w="7882" w:type="dxa"/>
            <w:gridSpan w:val="4"/>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固井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w:t>
            </w:r>
            <w:r>
              <w:rPr>
                <w:rFonts w:hint="eastAsia" w:eastAsiaTheme="minorEastAsia"/>
                <w:sz w:val="21"/>
                <w:szCs w:val="21"/>
              </w:rPr>
              <w:t>4</w:t>
            </w:r>
          </w:p>
        </w:tc>
        <w:tc>
          <w:tcPr>
            <w:tcW w:w="3863"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油井生产套管、技术套管的管外水泥返深至少应在最浅一层油层项部150m以上。</w:t>
            </w:r>
          </w:p>
        </w:tc>
        <w:tc>
          <w:tcPr>
            <w:tcW w:w="1605"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SY/T5431-201711.2、11.3</w:t>
            </w:r>
          </w:p>
        </w:tc>
        <w:tc>
          <w:tcPr>
            <w:tcW w:w="173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可研中说明水泥返深至井口。</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0"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w:t>
            </w:r>
            <w:r>
              <w:rPr>
                <w:rFonts w:hint="eastAsia" w:eastAsiaTheme="minorEastAsia"/>
                <w:sz w:val="21"/>
                <w:szCs w:val="21"/>
              </w:rPr>
              <w:t>5</w:t>
            </w:r>
          </w:p>
        </w:tc>
        <w:tc>
          <w:tcPr>
            <w:tcW w:w="3863"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表层套管的管外水泥应返至地面。</w:t>
            </w:r>
          </w:p>
        </w:tc>
        <w:tc>
          <w:tcPr>
            <w:tcW w:w="1605"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SY/T5431-2017</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11.5</w:t>
            </w:r>
          </w:p>
        </w:tc>
        <w:tc>
          <w:tcPr>
            <w:tcW w:w="173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表层套管管外水泥返至地面。</w:t>
            </w:r>
          </w:p>
        </w:tc>
        <w:tc>
          <w:tcPr>
            <w:tcW w:w="682"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bl>
    <w:p>
      <w:pPr>
        <w:pStyle w:val="281"/>
        <w:spacing w:before="360" w:beforeLines="150"/>
        <w:rPr>
          <w:rFonts w:cs="Times New Roman" w:eastAsiaTheme="minorEastAsia"/>
        </w:rPr>
      </w:pPr>
      <w:r>
        <w:rPr>
          <w:rFonts w:cs="Times New Roman" w:eastAsiaTheme="minorEastAsia"/>
        </w:rPr>
        <w:t>5.</w:t>
      </w:r>
      <w:r>
        <w:rPr>
          <w:rFonts w:hint="eastAsia" w:cs="Times New Roman" w:eastAsiaTheme="minorEastAsia"/>
          <w:lang w:val="en-US" w:eastAsia="zh-CN"/>
        </w:rPr>
        <w:t>1</w:t>
      </w:r>
      <w:r>
        <w:rPr>
          <w:rFonts w:cs="Times New Roman" w:eastAsiaTheme="minorEastAsia"/>
        </w:rPr>
        <w:t>.3  预先危险性分析结果</w:t>
      </w:r>
    </w:p>
    <w:p>
      <w:pPr>
        <w:pStyle w:val="15"/>
        <w:ind w:firstLine="560"/>
        <w:rPr>
          <w:rFonts w:eastAsiaTheme="minorEastAsia"/>
          <w:color w:val="000000"/>
          <w:szCs w:val="28"/>
        </w:rPr>
      </w:pPr>
      <w:r>
        <w:rPr>
          <w:rFonts w:eastAsiaTheme="minorEastAsia"/>
          <w:color w:val="000000"/>
          <w:szCs w:val="28"/>
        </w:rPr>
        <w:t>本单元预先危险性分析结果见表5.1-</w:t>
      </w:r>
      <w:r>
        <w:rPr>
          <w:rFonts w:hint="eastAsia" w:eastAsiaTheme="minorEastAsia"/>
          <w:color w:val="000000"/>
          <w:szCs w:val="28"/>
          <w:lang w:val="en-US" w:eastAsia="zh-CN"/>
        </w:rPr>
        <w:t>3</w:t>
      </w:r>
      <w:r>
        <w:rPr>
          <w:rFonts w:eastAsiaTheme="minorEastAsia"/>
          <w:color w:val="000000"/>
          <w:szCs w:val="28"/>
        </w:rPr>
        <w:t>。</w:t>
      </w:r>
    </w:p>
    <w:p>
      <w:pPr>
        <w:ind w:firstLine="482"/>
        <w:jc w:val="center"/>
        <w:rPr>
          <w:rFonts w:eastAsiaTheme="minorEastAsia"/>
          <w:b/>
          <w:color w:val="000000"/>
          <w:sz w:val="24"/>
        </w:rPr>
      </w:pPr>
      <w:r>
        <w:rPr>
          <w:rFonts w:eastAsiaTheme="minorEastAsia"/>
          <w:b/>
          <w:color w:val="000000"/>
          <w:sz w:val="24"/>
        </w:rPr>
        <w:t>表5.1-</w:t>
      </w:r>
      <w:r>
        <w:rPr>
          <w:rFonts w:hint="eastAsia" w:eastAsiaTheme="minorEastAsia"/>
          <w:b/>
          <w:color w:val="000000"/>
          <w:sz w:val="24"/>
          <w:lang w:val="en-US" w:eastAsia="zh-CN"/>
        </w:rPr>
        <w:t>3</w:t>
      </w:r>
      <w:r>
        <w:rPr>
          <w:rFonts w:eastAsiaTheme="minorEastAsia"/>
          <w:b/>
          <w:color w:val="000000"/>
          <w:sz w:val="24"/>
        </w:rPr>
        <w:t xml:space="preserve">  钻井工程单元预先危险性分析结果</w:t>
      </w:r>
    </w:p>
    <w:tbl>
      <w:tblPr>
        <w:tblStyle w:val="45"/>
        <w:tblW w:w="8723"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0" w:type="dxa"/>
          <w:bottom w:w="0" w:type="dxa"/>
          <w:right w:w="0" w:type="dxa"/>
        </w:tblCellMar>
      </w:tblPr>
      <w:tblGrid>
        <w:gridCol w:w="541"/>
        <w:gridCol w:w="633"/>
        <w:gridCol w:w="632"/>
        <w:gridCol w:w="2793"/>
        <w:gridCol w:w="719"/>
        <w:gridCol w:w="497"/>
        <w:gridCol w:w="2908"/>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序</w:t>
            </w:r>
          </w:p>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号</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主要</w:t>
            </w:r>
          </w:p>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危险</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阶段</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起因</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影响</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危险</w:t>
            </w:r>
          </w:p>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等级</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预防措施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10" w:hRule="atLeast"/>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井喷</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在钻进、起下钻等过程中</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承钻井地层压力异常；承钻井周围有可能造成地层异常的施工井位；设计有误；测量有误；没有及时边起钻边灌泥浆；地层漏失严重；误操作；泥浆密度低；地层压力掌握不准；起钻抽吸；停泵时环空压耗消失；起钻过程修理设备；自动灌浆装置损坏且没有发现等。</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处理不当造成井喷</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Ⅲ</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承钻开发井必须地层压力明确，钻井位区域如果有注水井、压裂施工井等可能造成地层异常压力的施工，应对比研究分析；设计合理的钻井液密度；保持钻井液密度测量仪器的有效性；起钻及时灌满钻井液；正确处理地层漏失或油水浸；严格岗位操作规程；严格控制起钻速度；合理钻井设计并严格审核；起钻前，充分循环钻井液，至少循环两周，观察后效反应；严格落实井控管理规定；起钻前必须检查自动灌浆装置的可靠性；起钻时，尽可能不修理设备（钻开油气层后）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2</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井喷失控</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在钻进、起下钻及施工过程中</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井喷后，没有立即关井；压井措施不当；防喷器闸板与钻具外径规范不配套；没有安装合理的防喷器；防喷系统的控制装置没有处于正确状态；储能器没有打足够合理的压力；防喷器的工作压力不足；进行固井时没有换与套管尺寸相应的防喷器芯子；下套管没有按规定灌满钻井液；现场没有配备足够的压井液；没有安装回压阀；井控系统没有按要求进行试压等。</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可能导致火灾爆炸</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Ⅲ</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关井应采取科学措施压井；安装防喷器时其闸板应与钻具尺寸外径相符；防喷器组合应满足设计要求；防喷器的工作压力必须满足控制地层压力要求；防喷系统的控制系统必须处于正常状态；储能器必须打足足够合理的压力；固井作业时应更换与套管尺寸相符的闸板芯子；起钻下套管必须按规定灌满泥浆；现场按设计要求配备足够数量、密度符合要求的钻井液，任何时候都应准备好带回压阀的单根钻杆；整个井控系统有效试压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3</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井喷失控着火</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在钻进、起下钻施工过程中</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井喷或井喷失控后，由于井底喷出物撞击顶驱、井架等金属，钻具撞击顶驱、井架等产生的撞击火花；现场明火；违章吸烟；采取一切措施无效后没有及时停柴油机、发电机；没有及时断电；有效区域内的其他火源；静电火花；柴油机和进入井场的车辆没有配带排气筒阻火器；井场用电气不防爆等。</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人员伤害、钻机钻毁、设备报废、财产损失</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Ⅲ</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井场电器按防爆等级设置防爆电气，所有开关设置防爆开关，井场钻井设备的布局要考虑防火的安全。严格井场安全防火规定。</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4</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高压管汇事故</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在钻井、固井施工作业过程中</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高压管汇安装不合格，管汇质量不合格，管汇超压，管汇振动损坏。</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设备损坏，人员伤害</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Ⅱ</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高压管汇使用前严格检查并试压，高压管汇按标准安装，严禁超压使用，试压时人员远离高压管汇，高压区域设置醒目标志等。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受力物故障事故</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在施工过程中</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钻井钢丝绳、刹车系统等由于质量差、违章操作、超载等。</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设备损坏，人员伤害，井下事故</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Ⅱ</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认真执行井场管理制度，严格进行班前检查，确保刹车及防碰天车良好可靠，严禁超速、超载，钻井提升系统应经常检查其完好可靠性等。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6</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钻具脱扣、断裂</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在施工过程中</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钻具管柱丝扣磨损或上扣扭拒不够，错扣，负荷过载，管柱钢级不够，违章操作。</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管柱落井，管柱损坏，井下事故</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Ⅱ</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管柱钻具质量检验；丝扣检查；严格操作规程；严禁超载；钻具上扣扭拒值达到规范要求等。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7</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卡钻顿钻事故</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在施工过程中</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刹车失灵，违章操作，井下有落物，井身质量差，钻井液性能差等。</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井下复杂事故</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Ⅰ</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控制钻井液密度；严格按钻井技术措施施工；确保刹车系统安全可靠；严禁违章操作。</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8</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高处坠落</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起下钻过程、设备安装过程</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二层台操作不系安全带或安全带质量不合格，发生人员高处坠落事故。</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人身伤亡</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Ⅱ</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及时清理钻台面、梯子缸面等处的积水、积雪、泥浆；采用滑网等材料铺垫平面；清理杂物；注意行走安全；设立警示标志等；仔细检查安全带，严格按操作规程操作。</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9</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触电事故</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钻井全过程</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对电气没有良好接地，电气设备或线路破损，操作不当等。</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人身伤亡</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Ⅱ</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所有用电设备必须良好接地；电气检修要挂牌，并在操作时有人监护；及时更新和检修电气设备和线路；严格操作规程等。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10</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车辆伤害事故</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搬迁、交叉作业过程中</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车辆、设备就位不合理，无专人指挥，不遵守起吊规定，车速过快等。</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人身伤害</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Ⅱ</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进入井场的车辆按规定行驶；交叉作业时有专人指挥；严格执行起吊规定；严禁在起吊范围内行走、站立。</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11</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机械伤害</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施工过程中</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转动设备伤害事故</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人身伤害</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Ⅱ</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所有电机、泵等必须安装固定好护罩；液压大嵌配置防挤手装置；严格按规定操作。</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12</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放射性危险</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测井施工作业过程中</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放射源运输中未按规定配备押运人员；运输中途未按规定路线行驶；未按规定系牢；人员蓄意破坏；未按规定存放管理等。</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人员辐射损伤</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Ⅱ</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放射源运输中途严格按规定执行；运输必须由专用车辆运输；必须持押运证人员押运；必须按规定路线运输；运输中途必须向沿途当地公安局申报；必须存放于井队指定位置；在施工期间必须有专人管理；存放期间必须有专用安全标志：正确穿戴人员防护服；人员培训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13</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测斜失败事故</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在测斜作业过程中</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人员因素、仪器故障、测斜钢丝断裂、测斜仪器卡住等。</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其他伤害</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Ⅰ</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操作人员必须持证；严格按操作规程操作；严格执行各项规章制度；下井仪器检查验收制度；严格检查测斜钢丝；钻井队配合周密；测斜电池检查，确保有效等。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41"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14</w:t>
            </w:r>
          </w:p>
        </w:tc>
        <w:tc>
          <w:tcPr>
            <w:tcW w:w="633"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测井仪器卡或落井</w:t>
            </w:r>
          </w:p>
        </w:tc>
        <w:tc>
          <w:tcPr>
            <w:tcW w:w="632"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测井过程</w:t>
            </w:r>
          </w:p>
        </w:tc>
        <w:tc>
          <w:tcPr>
            <w:tcW w:w="2793"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操作错误；电测钢丝有断股；测井前未通井或短起下；配合不当等。</w:t>
            </w:r>
          </w:p>
        </w:tc>
        <w:tc>
          <w:tcPr>
            <w:tcW w:w="719"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严重者可能造成弃井</w:t>
            </w:r>
          </w:p>
        </w:tc>
        <w:tc>
          <w:tcPr>
            <w:tcW w:w="497" w:type="dxa"/>
            <w:tcMar>
              <w:top w:w="28" w:type="dxa"/>
              <w:bottom w:w="28" w:type="dxa"/>
            </w:tcMar>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Ⅱ</w:t>
            </w:r>
          </w:p>
        </w:tc>
        <w:tc>
          <w:tcPr>
            <w:tcW w:w="2908" w:type="dxa"/>
            <w:tcMar>
              <w:top w:w="28" w:type="dxa"/>
              <w:bottom w:w="28" w:type="dxa"/>
            </w:tcMar>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执行操作规程；人员培训；持证上岗；仪器下井前检查；与钻井方配合密切；施工作业方案审核；测井前通井或短起下等。</w:t>
            </w:r>
          </w:p>
        </w:tc>
      </w:tr>
    </w:tbl>
    <w:p>
      <w:pPr>
        <w:pStyle w:val="281"/>
        <w:spacing w:before="240" w:beforeLines="100"/>
        <w:rPr>
          <w:rFonts w:cs="Times New Roman" w:eastAsiaTheme="minorEastAsia"/>
        </w:rPr>
      </w:pPr>
      <w:r>
        <w:rPr>
          <w:rFonts w:cs="Times New Roman" w:eastAsiaTheme="minorEastAsia"/>
        </w:rPr>
        <w:t>5.</w:t>
      </w:r>
      <w:r>
        <w:rPr>
          <w:rFonts w:hint="eastAsia" w:cs="Times New Roman" w:eastAsiaTheme="minorEastAsia"/>
          <w:lang w:val="en-US" w:eastAsia="zh-CN"/>
        </w:rPr>
        <w:t>1</w:t>
      </w:r>
      <w:r>
        <w:rPr>
          <w:rFonts w:cs="Times New Roman" w:eastAsiaTheme="minorEastAsia"/>
        </w:rPr>
        <w:t>.4  评价小结</w:t>
      </w:r>
    </w:p>
    <w:p>
      <w:pPr>
        <w:pStyle w:val="24"/>
        <w:spacing w:line="360" w:lineRule="auto"/>
        <w:ind w:firstLine="560"/>
        <w:rPr>
          <w:rFonts w:ascii="Times New Roman" w:hAnsi="Times New Roman" w:eastAsiaTheme="minorEastAsia"/>
        </w:rPr>
      </w:pPr>
      <w:r>
        <w:rPr>
          <w:rFonts w:ascii="Times New Roman" w:hAnsi="Times New Roman" w:eastAsiaTheme="minorEastAsia"/>
        </w:rPr>
        <w:t>1）安全检查表小结</w:t>
      </w:r>
    </w:p>
    <w:p>
      <w:pPr>
        <w:ind w:firstLine="560"/>
        <w:rPr>
          <w:rFonts w:eastAsiaTheme="minorEastAsia"/>
        </w:rPr>
      </w:pPr>
      <w:r>
        <w:rPr>
          <w:rFonts w:eastAsiaTheme="minorEastAsia"/>
        </w:rPr>
        <w:t>该单元安全检查表对东辛油田营1-斜118块馆三产能建设工程的钻井工程单元共1</w:t>
      </w:r>
      <w:r>
        <w:rPr>
          <w:rFonts w:hint="eastAsia" w:eastAsiaTheme="minorEastAsia"/>
        </w:rPr>
        <w:t>5</w:t>
      </w:r>
      <w:r>
        <w:rPr>
          <w:rFonts w:eastAsiaTheme="minorEastAsia"/>
        </w:rPr>
        <w:t>项内容进行了检查，其中符合要求的有1</w:t>
      </w:r>
      <w:r>
        <w:rPr>
          <w:rFonts w:hint="eastAsia" w:eastAsiaTheme="minorEastAsia"/>
        </w:rPr>
        <w:t>2</w:t>
      </w:r>
      <w:r>
        <w:rPr>
          <w:rFonts w:eastAsiaTheme="minorEastAsia"/>
        </w:rPr>
        <w:t>项，</w:t>
      </w:r>
      <w:r>
        <w:rPr>
          <w:rFonts w:hint="eastAsia" w:eastAsiaTheme="minorEastAsia"/>
        </w:rPr>
        <w:t>2</w:t>
      </w:r>
      <w:r>
        <w:rPr>
          <w:rFonts w:eastAsiaTheme="minorEastAsia"/>
        </w:rPr>
        <w:t>项内容可研未明确，</w:t>
      </w:r>
      <w:r>
        <w:rPr>
          <w:rFonts w:hint="eastAsia" w:eastAsiaTheme="minorEastAsia"/>
        </w:rPr>
        <w:t>1项为</w:t>
      </w:r>
      <w:r>
        <w:rPr>
          <w:rFonts w:eastAsiaTheme="minorEastAsia"/>
        </w:rPr>
        <w:t>不符合项。</w:t>
      </w:r>
    </w:p>
    <w:p>
      <w:pPr>
        <w:pStyle w:val="44"/>
        <w:ind w:firstLine="560"/>
        <w:rPr>
          <w:rFonts w:ascii="Times New Roman" w:hAnsi="Times New Roman" w:eastAsiaTheme="minorEastAsia"/>
          <w:color w:val="000000"/>
          <w:szCs w:val="28"/>
        </w:rPr>
      </w:pPr>
      <w:r>
        <w:rPr>
          <w:rFonts w:ascii="Times New Roman" w:hAnsi="Times New Roman" w:eastAsiaTheme="minorEastAsia"/>
        </w:rPr>
        <w:t>可研未明确</w:t>
      </w:r>
      <w:r>
        <w:rPr>
          <w:rFonts w:ascii="Times New Roman" w:hAnsi="Times New Roman" w:eastAsiaTheme="minorEastAsia"/>
          <w:color w:val="000000"/>
          <w:szCs w:val="28"/>
        </w:rPr>
        <w:t>项：</w:t>
      </w:r>
      <w:r>
        <w:rPr>
          <w:rFonts w:hint="eastAsia" w:ascii="Times New Roman" w:hAnsi="Times New Roman" w:eastAsiaTheme="minorEastAsia"/>
          <w:color w:val="000000"/>
          <w:szCs w:val="28"/>
        </w:rPr>
        <w:t>（1）</w:t>
      </w:r>
      <w:r>
        <w:rPr>
          <w:rFonts w:ascii="Times New Roman" w:hAnsi="Times New Roman" w:eastAsiaTheme="minorEastAsia"/>
          <w:color w:val="000000"/>
          <w:szCs w:val="28"/>
        </w:rPr>
        <w:t>注气管管柱应采用气密封结构。</w:t>
      </w:r>
    </w:p>
    <w:p>
      <w:pPr>
        <w:pStyle w:val="44"/>
        <w:ind w:firstLine="560"/>
        <w:rPr>
          <w:rFonts w:ascii="Times New Roman" w:hAnsi="Times New Roman" w:eastAsiaTheme="minorEastAsia"/>
          <w:color w:val="000000"/>
          <w:szCs w:val="28"/>
        </w:rPr>
      </w:pPr>
      <w:r>
        <w:rPr>
          <w:rFonts w:hint="eastAsia" w:ascii="Times New Roman" w:hAnsi="Times New Roman" w:eastAsiaTheme="minorEastAsia"/>
          <w:color w:val="000000"/>
          <w:szCs w:val="28"/>
        </w:rPr>
        <w:t>（2）</w:t>
      </w:r>
      <w:r>
        <w:rPr>
          <w:rFonts w:ascii="Times New Roman" w:hAnsi="Times New Roman" w:eastAsiaTheme="minorEastAsia"/>
          <w:color w:val="000000"/>
          <w:szCs w:val="28"/>
        </w:rPr>
        <w:t>丛式井组中各井的表层套管下深宜交替错开10m以上。</w:t>
      </w:r>
    </w:p>
    <w:p>
      <w:pPr>
        <w:ind w:firstLine="560"/>
        <w:rPr>
          <w:rFonts w:eastAsiaTheme="minorEastAsia"/>
          <w:color w:val="000000"/>
          <w:szCs w:val="28"/>
        </w:rPr>
      </w:pPr>
      <w:r>
        <w:rPr>
          <w:rFonts w:hint="eastAsia" w:eastAsiaTheme="minorEastAsia"/>
          <w:color w:val="000000"/>
          <w:szCs w:val="28"/>
        </w:rPr>
        <w:t>不符合项：油气井井口距离高压线及永久性设施应不小于75m。</w:t>
      </w:r>
    </w:p>
    <w:p>
      <w:pPr>
        <w:ind w:firstLine="560"/>
        <w:rPr>
          <w:rFonts w:eastAsiaTheme="minorEastAsia"/>
          <w:color w:val="000000"/>
          <w:szCs w:val="28"/>
        </w:rPr>
      </w:pPr>
      <w:r>
        <w:rPr>
          <w:rFonts w:eastAsiaTheme="minorEastAsia"/>
          <w:color w:val="000000"/>
          <w:szCs w:val="28"/>
        </w:rPr>
        <w:t>2）预先危险性分析小结</w:t>
      </w:r>
    </w:p>
    <w:p>
      <w:pPr>
        <w:ind w:firstLine="560"/>
        <w:rPr>
          <w:rFonts w:eastAsiaTheme="minorEastAsia"/>
          <w:color w:val="000000"/>
          <w:szCs w:val="28"/>
        </w:rPr>
      </w:pPr>
      <w:r>
        <w:rPr>
          <w:rFonts w:eastAsiaTheme="minorEastAsia"/>
          <w:color w:val="000000"/>
          <w:szCs w:val="28"/>
        </w:rPr>
        <w:t>根据以上分析结果，本工程钻井过程中可能发生的事故类别有井喷；井喷失控；井喷失控着火；高压管汇事故；受力物故障事故；钻具脱扣、断裂；卡钻顿钻事故；高处坠落；触电；车辆伤害；机械伤害；放射性危险；测斜失败事故；测井仪器卡或落井等事故。</w:t>
      </w:r>
    </w:p>
    <w:p>
      <w:pPr>
        <w:ind w:firstLine="708" w:firstLineChars="253"/>
        <w:rPr>
          <w:rFonts w:eastAsiaTheme="minorEastAsia"/>
          <w:color w:val="000000"/>
          <w:szCs w:val="28"/>
        </w:rPr>
      </w:pPr>
      <w:r>
        <w:rPr>
          <w:rFonts w:eastAsiaTheme="minorEastAsia"/>
          <w:color w:val="000000"/>
          <w:szCs w:val="28"/>
        </w:rPr>
        <w:t>可能发生的最严重的事故为井喷、井喷失控和井喷失控着火，其危险程度为Ⅲ级，一旦发生，可能会造成个别人员的伤亡和较大的经济损失，应当作为本工程安全防范的重点。高压管汇事故；受力物故障事故；钻具脱扣、断裂；卡钻顿钻事故；高处坠落；触电；车辆伤害；机械伤害；放射性危险；测斜失败事故；测井仪器卡或落井等事故，其危险程度均为Ⅱ级或Ⅰ级，</w:t>
      </w:r>
      <w:r>
        <w:rPr>
          <w:rFonts w:eastAsiaTheme="minorEastAsia"/>
          <w:bCs/>
          <w:color w:val="000000"/>
          <w:szCs w:val="28"/>
        </w:rPr>
        <w:t>应当引起足够的重视，采取针对性的防范与控制措施</w:t>
      </w:r>
      <w:r>
        <w:rPr>
          <w:rFonts w:eastAsiaTheme="minorEastAsia"/>
          <w:color w:val="000000"/>
          <w:szCs w:val="28"/>
        </w:rPr>
        <w:t>。</w:t>
      </w:r>
    </w:p>
    <w:p>
      <w:pPr>
        <w:pStyle w:val="280"/>
        <w:rPr>
          <w:rFonts w:cs="Times New Roman" w:eastAsiaTheme="minorEastAsia"/>
        </w:rPr>
      </w:pPr>
      <w:bookmarkStart w:id="205" w:name="_Toc8960"/>
      <w:bookmarkStart w:id="206" w:name="_Toc4530"/>
      <w:bookmarkStart w:id="207" w:name="_Toc29413"/>
      <w:bookmarkStart w:id="208" w:name="_Toc23760"/>
      <w:bookmarkStart w:id="209" w:name="_Toc6344"/>
      <w:bookmarkStart w:id="210" w:name="_Toc31616"/>
      <w:r>
        <w:rPr>
          <w:rFonts w:cs="Times New Roman" w:eastAsiaTheme="minorEastAsia"/>
        </w:rPr>
        <w:t>5.2  井下作业单元</w:t>
      </w:r>
      <w:bookmarkEnd w:id="205"/>
      <w:bookmarkEnd w:id="206"/>
      <w:bookmarkEnd w:id="207"/>
      <w:bookmarkEnd w:id="208"/>
      <w:bookmarkEnd w:id="209"/>
      <w:bookmarkEnd w:id="210"/>
    </w:p>
    <w:p>
      <w:pPr>
        <w:pStyle w:val="281"/>
        <w:rPr>
          <w:rFonts w:cs="Times New Roman" w:eastAsiaTheme="minorEastAsia"/>
        </w:rPr>
      </w:pPr>
      <w:r>
        <w:rPr>
          <w:rFonts w:cs="Times New Roman" w:eastAsiaTheme="minorEastAsia"/>
        </w:rPr>
        <w:t>5.2.1  预先危险性分析结果</w:t>
      </w:r>
    </w:p>
    <w:p>
      <w:pPr>
        <w:pStyle w:val="15"/>
        <w:ind w:firstLine="560"/>
        <w:rPr>
          <w:rFonts w:eastAsiaTheme="minorEastAsia"/>
          <w:color w:val="000000"/>
          <w:szCs w:val="28"/>
        </w:rPr>
      </w:pPr>
      <w:r>
        <w:rPr>
          <w:rFonts w:eastAsiaTheme="minorEastAsia"/>
          <w:color w:val="000000"/>
          <w:szCs w:val="28"/>
        </w:rPr>
        <w:t>本单元预先危险性分析结果见表5.2-1。</w:t>
      </w:r>
    </w:p>
    <w:p>
      <w:pPr>
        <w:ind w:firstLine="482"/>
        <w:jc w:val="center"/>
        <w:rPr>
          <w:rFonts w:eastAsiaTheme="minorEastAsia"/>
          <w:b/>
          <w:color w:val="000000"/>
          <w:sz w:val="24"/>
        </w:rPr>
      </w:pPr>
      <w:r>
        <w:rPr>
          <w:rFonts w:eastAsiaTheme="minorEastAsia"/>
          <w:b/>
          <w:color w:val="000000"/>
          <w:sz w:val="24"/>
        </w:rPr>
        <w:t>表5.2-1  井下作业单元预先危险性分析结果</w:t>
      </w:r>
    </w:p>
    <w:tbl>
      <w:tblPr>
        <w:tblStyle w:val="45"/>
        <w:tblW w:w="8494"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427"/>
        <w:gridCol w:w="427"/>
        <w:gridCol w:w="3110"/>
        <w:gridCol w:w="771"/>
        <w:gridCol w:w="648"/>
        <w:gridCol w:w="3111"/>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27" w:type="dxa"/>
            <w:shd w:val="clear" w:color="auto" w:fill="auto"/>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序号</w:t>
            </w:r>
          </w:p>
        </w:tc>
        <w:tc>
          <w:tcPr>
            <w:tcW w:w="427" w:type="dxa"/>
            <w:shd w:val="clear" w:color="auto" w:fill="auto"/>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危险</w:t>
            </w:r>
          </w:p>
        </w:tc>
        <w:tc>
          <w:tcPr>
            <w:tcW w:w="3110" w:type="dxa"/>
            <w:shd w:val="clear" w:color="auto" w:fill="auto"/>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可能原因</w:t>
            </w:r>
          </w:p>
        </w:tc>
        <w:tc>
          <w:tcPr>
            <w:tcW w:w="771" w:type="dxa"/>
            <w:shd w:val="clear" w:color="auto" w:fill="auto"/>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可能后果</w:t>
            </w:r>
          </w:p>
        </w:tc>
        <w:tc>
          <w:tcPr>
            <w:tcW w:w="648" w:type="dxa"/>
            <w:shd w:val="clear" w:color="auto" w:fill="auto"/>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危险</w:t>
            </w:r>
          </w:p>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等级</w:t>
            </w:r>
          </w:p>
        </w:tc>
        <w:tc>
          <w:tcPr>
            <w:tcW w:w="3111" w:type="dxa"/>
            <w:shd w:val="clear" w:color="auto" w:fill="auto"/>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预防措施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shd w:val="clear" w:color="auto" w:fill="auto"/>
            <w:vAlign w:val="center"/>
          </w:tcPr>
          <w:p>
            <w:pPr>
              <w:numPr>
                <w:ilvl w:val="0"/>
                <w:numId w:val="7"/>
              </w:numPr>
              <w:tabs>
                <w:tab w:val="left" w:pos="3240"/>
              </w:tabs>
              <w:spacing w:before="60" w:beforeLines="25" w:after="60" w:afterLines="25" w:line="240" w:lineRule="auto"/>
              <w:ind w:firstLineChars="0"/>
              <w:rPr>
                <w:rFonts w:eastAsiaTheme="minorEastAsia"/>
                <w:sz w:val="21"/>
                <w:szCs w:val="21"/>
              </w:rPr>
            </w:pPr>
          </w:p>
        </w:tc>
        <w:tc>
          <w:tcPr>
            <w:tcW w:w="427"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井喷失控</w:t>
            </w:r>
          </w:p>
        </w:tc>
        <w:tc>
          <w:tcPr>
            <w:tcW w:w="3110"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1.作业过程中，出现异常地层。</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2.换装井口、起下管柱作业、射孔、压裂等作业过程中，思想麻痹，违规操作，造成井内压力失衡。</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3.应急措施不足，设备承压不足，防喷器失效等。</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4.抢喷工具不全。</w:t>
            </w:r>
          </w:p>
        </w:tc>
        <w:tc>
          <w:tcPr>
            <w:tcW w:w="77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设备损坏，人员伤亡</w:t>
            </w:r>
          </w:p>
        </w:tc>
        <w:tc>
          <w:tcPr>
            <w:tcW w:w="648"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Ⅲ</w:t>
            </w:r>
          </w:p>
        </w:tc>
        <w:tc>
          <w:tcPr>
            <w:tcW w:w="311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1.对压力进行实时监控，及时发现，及时控制。</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2.严格按照作业规程进行作业。</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3.井口配备相应的应急抢险设备，安装灵活可靠的井口装置和防喷器；及时检查和设备设施的完好。</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4.加强安全教育，预防为主。5.选好相应密度的压井液防止井喷事故的发生。</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6.优化井下作业工艺，制订应急措施，并定期演练。</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shd w:val="clear" w:color="auto" w:fill="auto"/>
            <w:vAlign w:val="center"/>
          </w:tcPr>
          <w:p>
            <w:pPr>
              <w:numPr>
                <w:ilvl w:val="0"/>
                <w:numId w:val="7"/>
              </w:numPr>
              <w:tabs>
                <w:tab w:val="left" w:pos="3240"/>
              </w:tabs>
              <w:spacing w:before="60" w:beforeLines="25" w:after="60" w:afterLines="25" w:line="240" w:lineRule="auto"/>
              <w:ind w:firstLineChars="0"/>
              <w:rPr>
                <w:rFonts w:eastAsiaTheme="minorEastAsia"/>
                <w:sz w:val="21"/>
                <w:szCs w:val="21"/>
              </w:rPr>
            </w:pPr>
          </w:p>
        </w:tc>
        <w:tc>
          <w:tcPr>
            <w:tcW w:w="427"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火灾</w:t>
            </w:r>
          </w:p>
        </w:tc>
        <w:tc>
          <w:tcPr>
            <w:tcW w:w="3110"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1.管线或设备发生油气泄漏。</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2.井下作业发生井喷，油气喷出。</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3.雷电等。</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4.电气设备损害、短路等引起火灾。</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5.放喷出的油品遇明火。</w:t>
            </w:r>
          </w:p>
        </w:tc>
        <w:tc>
          <w:tcPr>
            <w:tcW w:w="77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设备损坏，人员伤亡</w:t>
            </w:r>
          </w:p>
        </w:tc>
        <w:tc>
          <w:tcPr>
            <w:tcW w:w="648"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Ⅲ</w:t>
            </w:r>
          </w:p>
        </w:tc>
        <w:tc>
          <w:tcPr>
            <w:tcW w:w="311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1.定期检查设备、管线，及时发现和预防泄漏。</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2.严格按照井下作业规程作业。</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3.严格动火制度，严禁现场明火。</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4．确保防雷防静电设施的可靠。</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5．严格安全用电和配备足够的电气保护装置。</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shd w:val="clear" w:color="auto" w:fill="auto"/>
            <w:vAlign w:val="center"/>
          </w:tcPr>
          <w:p>
            <w:pPr>
              <w:numPr>
                <w:ilvl w:val="0"/>
                <w:numId w:val="7"/>
              </w:numPr>
              <w:tabs>
                <w:tab w:val="left" w:pos="3240"/>
              </w:tabs>
              <w:spacing w:before="60" w:beforeLines="25" w:after="60" w:afterLines="25" w:line="240" w:lineRule="auto"/>
              <w:ind w:firstLineChars="0"/>
              <w:rPr>
                <w:rFonts w:eastAsiaTheme="minorEastAsia"/>
                <w:sz w:val="21"/>
                <w:szCs w:val="21"/>
              </w:rPr>
            </w:pPr>
          </w:p>
        </w:tc>
        <w:tc>
          <w:tcPr>
            <w:tcW w:w="427"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爆炸</w:t>
            </w:r>
          </w:p>
        </w:tc>
        <w:tc>
          <w:tcPr>
            <w:tcW w:w="3110"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1.设备的实际操作压力超过所能承受的压力。</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2.设备腐蚀等造成承受压力降低，不能承受正常工作压力。</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3.爆炸器材发生爆炸。</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4.压裂过程中，造成异常超压引起爆炸。</w:t>
            </w:r>
          </w:p>
        </w:tc>
        <w:tc>
          <w:tcPr>
            <w:tcW w:w="77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设备损坏，人员伤亡</w:t>
            </w:r>
          </w:p>
        </w:tc>
        <w:tc>
          <w:tcPr>
            <w:tcW w:w="648"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Ⅲ</w:t>
            </w:r>
          </w:p>
        </w:tc>
        <w:tc>
          <w:tcPr>
            <w:tcW w:w="311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1.严禁设备、管线超压工作，定期对设备和管线进行检查。</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2.定期检查、校验安全阀和压力表。</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3.井场严禁烟火。</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4.严格爆炸性物品的管理。</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5.定期进行设备、管线的腐蚀检测，及时检修和更换。</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6.严格按照作业技术规程进行射孔和压裂等。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shd w:val="clear" w:color="auto" w:fill="auto"/>
            <w:vAlign w:val="center"/>
          </w:tcPr>
          <w:p>
            <w:pPr>
              <w:numPr>
                <w:ilvl w:val="0"/>
                <w:numId w:val="7"/>
              </w:numPr>
              <w:tabs>
                <w:tab w:val="left" w:pos="3240"/>
              </w:tabs>
              <w:spacing w:before="60" w:beforeLines="25" w:after="60" w:afterLines="25" w:line="240" w:lineRule="auto"/>
              <w:ind w:firstLineChars="0"/>
              <w:rPr>
                <w:rFonts w:eastAsiaTheme="minorEastAsia"/>
                <w:sz w:val="21"/>
                <w:szCs w:val="21"/>
              </w:rPr>
            </w:pPr>
          </w:p>
        </w:tc>
        <w:tc>
          <w:tcPr>
            <w:tcW w:w="427"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中毒和窒息</w:t>
            </w:r>
          </w:p>
        </w:tc>
        <w:tc>
          <w:tcPr>
            <w:tcW w:w="3110"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1.油气大量泄漏蒸发。</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2.现场人员没有配备相应的防护设备。</w:t>
            </w:r>
          </w:p>
        </w:tc>
        <w:tc>
          <w:tcPr>
            <w:tcW w:w="77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人员伤亡</w:t>
            </w:r>
          </w:p>
        </w:tc>
        <w:tc>
          <w:tcPr>
            <w:tcW w:w="648"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Ⅱ</w:t>
            </w:r>
          </w:p>
        </w:tc>
        <w:tc>
          <w:tcPr>
            <w:tcW w:w="311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1.严格和明确油气泄漏后的应急措施和应急演练。</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2.加强操作人负的安全防护。</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shd w:val="clear" w:color="auto" w:fill="auto"/>
            <w:vAlign w:val="center"/>
          </w:tcPr>
          <w:p>
            <w:pPr>
              <w:numPr>
                <w:ilvl w:val="0"/>
                <w:numId w:val="7"/>
              </w:numPr>
              <w:tabs>
                <w:tab w:val="left" w:pos="3240"/>
              </w:tabs>
              <w:spacing w:before="60" w:beforeLines="25" w:after="60" w:afterLines="25" w:line="240" w:lineRule="auto"/>
              <w:ind w:firstLineChars="0"/>
              <w:rPr>
                <w:rFonts w:eastAsiaTheme="minorEastAsia"/>
                <w:sz w:val="21"/>
                <w:szCs w:val="21"/>
              </w:rPr>
            </w:pPr>
          </w:p>
        </w:tc>
        <w:tc>
          <w:tcPr>
            <w:tcW w:w="427"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机械伤害</w:t>
            </w:r>
          </w:p>
        </w:tc>
        <w:tc>
          <w:tcPr>
            <w:tcW w:w="3110"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1.设备隐患。</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2.违章操作。</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3.精力不集中。</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4.操作技术不规范。</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5.违章指挥。</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6.其他意外原因。</w:t>
            </w:r>
          </w:p>
        </w:tc>
        <w:tc>
          <w:tcPr>
            <w:tcW w:w="77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人员伤亡</w:t>
            </w:r>
          </w:p>
        </w:tc>
        <w:tc>
          <w:tcPr>
            <w:tcW w:w="648"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Ⅱ</w:t>
            </w:r>
          </w:p>
        </w:tc>
        <w:tc>
          <w:tcPr>
            <w:tcW w:w="311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1.加强设备检修。</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2.严格安全操作规程。</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3.加强安全培训教育。</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shd w:val="clear" w:color="auto" w:fill="auto"/>
            <w:vAlign w:val="center"/>
          </w:tcPr>
          <w:p>
            <w:pPr>
              <w:numPr>
                <w:ilvl w:val="0"/>
                <w:numId w:val="7"/>
              </w:numPr>
              <w:tabs>
                <w:tab w:val="left" w:pos="3240"/>
              </w:tabs>
              <w:spacing w:before="60" w:beforeLines="25" w:after="60" w:afterLines="25" w:line="240" w:lineRule="auto"/>
              <w:ind w:firstLineChars="0"/>
              <w:rPr>
                <w:rFonts w:eastAsiaTheme="minorEastAsia"/>
                <w:sz w:val="21"/>
                <w:szCs w:val="21"/>
              </w:rPr>
            </w:pPr>
          </w:p>
        </w:tc>
        <w:tc>
          <w:tcPr>
            <w:tcW w:w="427"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高处坠落</w:t>
            </w:r>
          </w:p>
        </w:tc>
        <w:tc>
          <w:tcPr>
            <w:tcW w:w="3110"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1.高处作业设备、设施存在隐患。</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2.安全防护不合适。</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3.安全措施不到位。</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4.作业人员违规操作。</w:t>
            </w:r>
          </w:p>
        </w:tc>
        <w:tc>
          <w:tcPr>
            <w:tcW w:w="77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人员伤亡</w:t>
            </w:r>
          </w:p>
        </w:tc>
        <w:tc>
          <w:tcPr>
            <w:tcW w:w="648"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Ⅱ</w:t>
            </w:r>
          </w:p>
        </w:tc>
        <w:tc>
          <w:tcPr>
            <w:tcW w:w="311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1.严格高处作业安全操作规程。</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2.穿带好必备的劳动防护用品。</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3.定期检查维修安全措施，查找和改进不安全的因素</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shd w:val="clear" w:color="auto" w:fill="auto"/>
            <w:vAlign w:val="center"/>
          </w:tcPr>
          <w:p>
            <w:pPr>
              <w:numPr>
                <w:ilvl w:val="0"/>
                <w:numId w:val="7"/>
              </w:numPr>
              <w:tabs>
                <w:tab w:val="left" w:pos="3240"/>
              </w:tabs>
              <w:spacing w:before="60" w:beforeLines="25" w:after="60" w:afterLines="25" w:line="240" w:lineRule="auto"/>
              <w:ind w:firstLineChars="0"/>
              <w:rPr>
                <w:rFonts w:eastAsiaTheme="minorEastAsia"/>
                <w:sz w:val="21"/>
                <w:szCs w:val="21"/>
              </w:rPr>
            </w:pPr>
          </w:p>
        </w:tc>
        <w:tc>
          <w:tcPr>
            <w:tcW w:w="427"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物体打击</w:t>
            </w:r>
          </w:p>
        </w:tc>
        <w:tc>
          <w:tcPr>
            <w:tcW w:w="3110"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1.违章带压操作，设备零部件飞出伤人。</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2.操作不规范或不按操作规程进行操作等。</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3.高空落物。</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4.发生管线、设备刺漏等，内部高压介质发生冲击伤人。</w:t>
            </w:r>
          </w:p>
        </w:tc>
        <w:tc>
          <w:tcPr>
            <w:tcW w:w="77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设备损坏，人员伤亡</w:t>
            </w:r>
          </w:p>
        </w:tc>
        <w:tc>
          <w:tcPr>
            <w:tcW w:w="648"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Ⅱ</w:t>
            </w:r>
          </w:p>
        </w:tc>
        <w:tc>
          <w:tcPr>
            <w:tcW w:w="311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1.严格操作规程。</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2.穿带好必备的劳动防护用品。</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3.定期及时检查和维修设备，尤其是承压部件的牢靠性。</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4.严格、明确应急措施。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shd w:val="clear" w:color="auto" w:fill="auto"/>
            <w:vAlign w:val="center"/>
          </w:tcPr>
          <w:p>
            <w:pPr>
              <w:numPr>
                <w:ilvl w:val="0"/>
                <w:numId w:val="7"/>
              </w:numPr>
              <w:tabs>
                <w:tab w:val="left" w:pos="3240"/>
              </w:tabs>
              <w:spacing w:before="60" w:beforeLines="25" w:after="60" w:afterLines="25" w:line="240" w:lineRule="auto"/>
              <w:ind w:firstLineChars="0"/>
              <w:rPr>
                <w:rFonts w:eastAsiaTheme="minorEastAsia"/>
                <w:sz w:val="21"/>
                <w:szCs w:val="21"/>
              </w:rPr>
            </w:pPr>
          </w:p>
        </w:tc>
        <w:tc>
          <w:tcPr>
            <w:tcW w:w="427"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触电及电气火灾</w:t>
            </w:r>
          </w:p>
        </w:tc>
        <w:tc>
          <w:tcPr>
            <w:tcW w:w="3110"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1.井场用电线路架设、布置不合理。</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2.线路绝缘不良。</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3.用电设备接地不良。</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4.作业工操作不当或违章操作。</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5.电气过载运行，接触不良、散热不良等。</w:t>
            </w:r>
          </w:p>
        </w:tc>
        <w:tc>
          <w:tcPr>
            <w:tcW w:w="77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人员伤亡</w:t>
            </w:r>
          </w:p>
        </w:tc>
        <w:tc>
          <w:tcPr>
            <w:tcW w:w="648"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Ⅱ</w:t>
            </w:r>
          </w:p>
        </w:tc>
        <w:tc>
          <w:tcPr>
            <w:tcW w:w="311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1.合理架设布置用电线路。</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2.用线使用正规线。</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3.设立触电保护器等保护装置。</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4.及时检修电气线路，礁保线路的接地、绝缘良好。</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5.电气设备加装过载保护，定期检查电气设备和电气线路，确保接触、散热良好，可能发生电气火灾周围严禁堆放可燃物。</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shd w:val="clear" w:color="auto" w:fill="auto"/>
            <w:vAlign w:val="center"/>
          </w:tcPr>
          <w:p>
            <w:pPr>
              <w:numPr>
                <w:ilvl w:val="0"/>
                <w:numId w:val="7"/>
              </w:numPr>
              <w:tabs>
                <w:tab w:val="left" w:pos="3240"/>
              </w:tabs>
              <w:spacing w:before="60" w:beforeLines="25" w:after="60" w:afterLines="25" w:line="240" w:lineRule="auto"/>
              <w:ind w:firstLineChars="0"/>
              <w:rPr>
                <w:rFonts w:eastAsiaTheme="minorEastAsia"/>
                <w:sz w:val="21"/>
                <w:szCs w:val="21"/>
              </w:rPr>
            </w:pPr>
          </w:p>
        </w:tc>
        <w:tc>
          <w:tcPr>
            <w:tcW w:w="427"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起重伤害</w:t>
            </w:r>
          </w:p>
        </w:tc>
        <w:tc>
          <w:tcPr>
            <w:tcW w:w="3110"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1.违章作业、违章指挥。</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2.设备故障。</w:t>
            </w:r>
          </w:p>
        </w:tc>
        <w:tc>
          <w:tcPr>
            <w:tcW w:w="77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设备损坏，人员伤亡</w:t>
            </w:r>
          </w:p>
        </w:tc>
        <w:tc>
          <w:tcPr>
            <w:tcW w:w="648"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Ⅱ</w:t>
            </w:r>
          </w:p>
        </w:tc>
        <w:tc>
          <w:tcPr>
            <w:tcW w:w="311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1.严格执行起吊规定；严禁在起吊范围内行走、站立和作业；车辆、设备就位、固定要合理等。</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2.严格设备检查，保证设备安全性，不符合要求的部件进行维修或更换。</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shd w:val="clear" w:color="auto" w:fill="auto"/>
            <w:vAlign w:val="center"/>
          </w:tcPr>
          <w:p>
            <w:pPr>
              <w:numPr>
                <w:ilvl w:val="0"/>
                <w:numId w:val="7"/>
              </w:numPr>
              <w:tabs>
                <w:tab w:val="left" w:pos="3240"/>
              </w:tabs>
              <w:spacing w:before="60" w:beforeLines="25" w:after="60" w:afterLines="25" w:line="240" w:lineRule="auto"/>
              <w:ind w:firstLineChars="0"/>
              <w:rPr>
                <w:rFonts w:eastAsiaTheme="minorEastAsia"/>
                <w:sz w:val="21"/>
                <w:szCs w:val="21"/>
              </w:rPr>
            </w:pPr>
          </w:p>
        </w:tc>
        <w:tc>
          <w:tcPr>
            <w:tcW w:w="427"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车辆伤害</w:t>
            </w:r>
          </w:p>
        </w:tc>
        <w:tc>
          <w:tcPr>
            <w:tcW w:w="3110"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1.车辆违规驾驶。</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2.车辆发生故障。</w:t>
            </w:r>
          </w:p>
        </w:tc>
        <w:tc>
          <w:tcPr>
            <w:tcW w:w="77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人员伤亡车辆或设备损坏</w:t>
            </w:r>
          </w:p>
        </w:tc>
        <w:tc>
          <w:tcPr>
            <w:tcW w:w="648"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Ⅱ</w:t>
            </w:r>
          </w:p>
        </w:tc>
        <w:tc>
          <w:tcPr>
            <w:tcW w:w="311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1.严格车辆管理规定。</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2.及时维修、保养车辆。</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shd w:val="clear" w:color="auto" w:fill="auto"/>
            <w:vAlign w:val="center"/>
          </w:tcPr>
          <w:p>
            <w:pPr>
              <w:numPr>
                <w:ilvl w:val="0"/>
                <w:numId w:val="7"/>
              </w:numPr>
              <w:tabs>
                <w:tab w:val="left" w:pos="3240"/>
              </w:tabs>
              <w:spacing w:before="60" w:beforeLines="25" w:after="60" w:afterLines="25" w:line="240" w:lineRule="auto"/>
              <w:ind w:firstLineChars="0"/>
              <w:rPr>
                <w:rFonts w:eastAsiaTheme="minorEastAsia"/>
                <w:sz w:val="21"/>
                <w:szCs w:val="21"/>
              </w:rPr>
            </w:pPr>
          </w:p>
        </w:tc>
        <w:tc>
          <w:tcPr>
            <w:tcW w:w="427"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其他</w:t>
            </w:r>
          </w:p>
        </w:tc>
        <w:tc>
          <w:tcPr>
            <w:tcW w:w="3110"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1.低温天气导致人员冻伤，高温天气引起中暑。</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2.人员不慎落入污水池。</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3.噪声。</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4.人员直接接触酸性物质</w:t>
            </w:r>
          </w:p>
        </w:tc>
        <w:tc>
          <w:tcPr>
            <w:tcW w:w="77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设备损坏，人员伤亡</w:t>
            </w:r>
          </w:p>
        </w:tc>
        <w:tc>
          <w:tcPr>
            <w:tcW w:w="648"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Ⅱ</w:t>
            </w:r>
          </w:p>
        </w:tc>
        <w:tc>
          <w:tcPr>
            <w:tcW w:w="3111" w:type="dxa"/>
            <w:shd w:val="clear" w:color="auto" w:fill="auto"/>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1.加强人员冬季保暖，配备必要 的应急药品，采用必要的防暑措施。</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2.污水池周围设立一定的安全标志和安全防护措施。</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3.噪音区设立降噪措施。</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4.人员佩戴防护用品</w:t>
            </w:r>
          </w:p>
        </w:tc>
      </w:tr>
    </w:tbl>
    <w:p>
      <w:pPr>
        <w:pStyle w:val="281"/>
        <w:spacing w:before="240" w:beforeLines="100"/>
        <w:rPr>
          <w:rFonts w:cs="Times New Roman" w:eastAsiaTheme="minorEastAsia"/>
        </w:rPr>
      </w:pPr>
      <w:r>
        <w:rPr>
          <w:rFonts w:cs="Times New Roman" w:eastAsiaTheme="minorEastAsia"/>
        </w:rPr>
        <w:t>5.3.2  评价小结</w:t>
      </w:r>
    </w:p>
    <w:p>
      <w:pPr>
        <w:ind w:firstLine="560"/>
        <w:rPr>
          <w:rFonts w:eastAsiaTheme="minorEastAsia"/>
          <w:szCs w:val="28"/>
        </w:rPr>
      </w:pPr>
      <w:r>
        <w:rPr>
          <w:rFonts w:eastAsiaTheme="minorEastAsia"/>
          <w:color w:val="000000"/>
          <w:szCs w:val="28"/>
          <w:lang w:val="zh-CN"/>
        </w:rPr>
        <w:t>通过预先危险性分析，井下作业过程中存在的主要危险类型和危险等级有：井喷失控及井喷（</w:t>
      </w:r>
      <w:r>
        <w:rPr>
          <w:rFonts w:eastAsiaTheme="minorEastAsia"/>
          <w:szCs w:val="28"/>
        </w:rPr>
        <w:t>Ⅲ</w:t>
      </w:r>
      <w:r>
        <w:rPr>
          <w:rFonts w:eastAsiaTheme="minorEastAsia"/>
          <w:color w:val="000000"/>
          <w:szCs w:val="28"/>
          <w:lang w:val="zh-CN"/>
        </w:rPr>
        <w:t>级）、火灾（</w:t>
      </w:r>
      <w:r>
        <w:rPr>
          <w:rFonts w:eastAsiaTheme="minorEastAsia"/>
          <w:szCs w:val="28"/>
        </w:rPr>
        <w:t>Ⅲ</w:t>
      </w:r>
      <w:r>
        <w:rPr>
          <w:rFonts w:eastAsiaTheme="minorEastAsia"/>
          <w:color w:val="000000"/>
          <w:szCs w:val="28"/>
          <w:lang w:val="zh-CN"/>
        </w:rPr>
        <w:t>级）、爆炸（</w:t>
      </w:r>
      <w:r>
        <w:rPr>
          <w:rFonts w:eastAsiaTheme="minorEastAsia"/>
          <w:szCs w:val="28"/>
        </w:rPr>
        <w:t>Ⅲ</w:t>
      </w:r>
      <w:r>
        <w:rPr>
          <w:rFonts w:eastAsiaTheme="minorEastAsia"/>
          <w:color w:val="000000"/>
          <w:szCs w:val="28"/>
          <w:lang w:val="zh-CN"/>
        </w:rPr>
        <w:t>级）、中毒和窒息（II级）、机械伤害（II级）、高处坠落（II级）、物体打击（II级）、触电及电气火灾（II级）、起重伤害（II级）、车辆伤害（II级）、其他伤害（II级）。</w:t>
      </w:r>
    </w:p>
    <w:p>
      <w:pPr>
        <w:pStyle w:val="280"/>
        <w:rPr>
          <w:rFonts w:cs="Times New Roman" w:eastAsiaTheme="minorEastAsia"/>
        </w:rPr>
      </w:pPr>
      <w:bookmarkStart w:id="211" w:name="_Toc20916"/>
      <w:bookmarkStart w:id="212" w:name="_Toc341963430"/>
      <w:bookmarkStart w:id="213" w:name="_Toc18935"/>
      <w:bookmarkStart w:id="214" w:name="_Toc19127"/>
      <w:bookmarkStart w:id="215" w:name="_Toc15253"/>
      <w:bookmarkStart w:id="216" w:name="_Toc22166"/>
      <w:bookmarkStart w:id="217" w:name="_Toc15680"/>
      <w:r>
        <w:rPr>
          <w:rFonts w:cs="Times New Roman" w:eastAsiaTheme="minorEastAsia"/>
        </w:rPr>
        <w:t>5.3  地面工程施工作业单元</w:t>
      </w:r>
      <w:bookmarkEnd w:id="211"/>
      <w:bookmarkEnd w:id="212"/>
      <w:bookmarkEnd w:id="213"/>
      <w:bookmarkEnd w:id="214"/>
      <w:bookmarkEnd w:id="215"/>
      <w:bookmarkEnd w:id="216"/>
      <w:bookmarkEnd w:id="217"/>
    </w:p>
    <w:p>
      <w:pPr>
        <w:pStyle w:val="281"/>
        <w:rPr>
          <w:rFonts w:cs="Times New Roman" w:eastAsiaTheme="minorEastAsia"/>
        </w:rPr>
      </w:pPr>
      <w:r>
        <w:rPr>
          <w:rFonts w:cs="Times New Roman" w:eastAsiaTheme="minorEastAsia"/>
        </w:rPr>
        <w:t>5.3.1  预先危险性分析结果</w:t>
      </w:r>
    </w:p>
    <w:p>
      <w:pPr>
        <w:pStyle w:val="15"/>
        <w:ind w:firstLine="560"/>
        <w:rPr>
          <w:rFonts w:eastAsiaTheme="minorEastAsia"/>
          <w:color w:val="000000"/>
          <w:szCs w:val="28"/>
        </w:rPr>
      </w:pPr>
      <w:r>
        <w:rPr>
          <w:rFonts w:eastAsiaTheme="minorEastAsia"/>
          <w:color w:val="000000"/>
          <w:szCs w:val="28"/>
        </w:rPr>
        <w:t>本单元预先危险性分析结果见表5.3-1。</w:t>
      </w:r>
    </w:p>
    <w:p>
      <w:pPr>
        <w:ind w:firstLine="482"/>
        <w:jc w:val="center"/>
        <w:rPr>
          <w:rFonts w:eastAsiaTheme="minorEastAsia"/>
          <w:b/>
          <w:color w:val="000000"/>
          <w:sz w:val="24"/>
        </w:rPr>
      </w:pPr>
      <w:r>
        <w:rPr>
          <w:rFonts w:eastAsiaTheme="minorEastAsia"/>
          <w:b/>
          <w:color w:val="000000"/>
          <w:sz w:val="24"/>
        </w:rPr>
        <w:t>表5.3-1  施工作业单元预先危险性分析结果</w:t>
      </w:r>
    </w:p>
    <w:tbl>
      <w:tblPr>
        <w:tblStyle w:val="45"/>
        <w:tblW w:w="8494"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427"/>
        <w:gridCol w:w="427"/>
        <w:gridCol w:w="2450"/>
        <w:gridCol w:w="680"/>
        <w:gridCol w:w="427"/>
        <w:gridCol w:w="4083"/>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序</w:t>
            </w:r>
          </w:p>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号</w:t>
            </w:r>
          </w:p>
        </w:tc>
        <w:tc>
          <w:tcPr>
            <w:tcW w:w="427"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作业类型</w:t>
            </w:r>
          </w:p>
        </w:tc>
        <w:tc>
          <w:tcPr>
            <w:tcW w:w="2450"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危险因素</w:t>
            </w:r>
          </w:p>
        </w:tc>
        <w:tc>
          <w:tcPr>
            <w:tcW w:w="680"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事故后果</w:t>
            </w:r>
          </w:p>
        </w:tc>
        <w:tc>
          <w:tcPr>
            <w:tcW w:w="427"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危险等级</w:t>
            </w:r>
          </w:p>
        </w:tc>
        <w:tc>
          <w:tcPr>
            <w:tcW w:w="4083"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安全对策措施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42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w:t>
            </w:r>
          </w:p>
        </w:tc>
        <w:tc>
          <w:tcPr>
            <w:tcW w:w="42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hint="eastAsia" w:eastAsiaTheme="minorEastAsia"/>
                <w:sz w:val="21"/>
                <w:szCs w:val="21"/>
              </w:rPr>
              <w:t>动火</w:t>
            </w:r>
            <w:r>
              <w:rPr>
                <w:rFonts w:eastAsiaTheme="minorEastAsia"/>
                <w:sz w:val="21"/>
                <w:szCs w:val="21"/>
              </w:rPr>
              <w:t>作业</w:t>
            </w:r>
          </w:p>
        </w:tc>
        <w:tc>
          <w:tcPr>
            <w:tcW w:w="2450" w:type="dxa"/>
            <w:vAlign w:val="center"/>
          </w:tcPr>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1.火星窜入其他设备或易燃物侵入</w:t>
            </w:r>
            <w:r>
              <w:rPr>
                <w:rFonts w:hint="eastAsia" w:eastAsiaTheme="minorEastAsia"/>
                <w:sz w:val="21"/>
                <w:szCs w:val="21"/>
              </w:rPr>
              <w:t>动火</w:t>
            </w:r>
            <w:r>
              <w:rPr>
                <w:rFonts w:eastAsiaTheme="minorEastAsia"/>
                <w:sz w:val="21"/>
                <w:szCs w:val="21"/>
              </w:rPr>
              <w:t>设备。</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2.</w:t>
            </w:r>
            <w:r>
              <w:rPr>
                <w:rFonts w:hint="eastAsia" w:eastAsiaTheme="minorEastAsia"/>
                <w:sz w:val="21"/>
                <w:szCs w:val="21"/>
              </w:rPr>
              <w:t>动火</w:t>
            </w:r>
            <w:r>
              <w:rPr>
                <w:rFonts w:eastAsiaTheme="minorEastAsia"/>
                <w:sz w:val="21"/>
                <w:szCs w:val="21"/>
              </w:rPr>
              <w:t>点周围有易燃物。</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3.泄露电流危害。</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4.火星飞溅。</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5.焊接工具有缺陷。</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6.通风不良、监护不当。</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7.应急设施不足或措施不当。</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8.涉及危险作业组合，未落实相应安全措施。</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9.施工条件发生重大变化未采取相应措施。</w:t>
            </w:r>
          </w:p>
        </w:tc>
        <w:tc>
          <w:tcPr>
            <w:tcW w:w="680"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发生火灾、爆炸或触电等事故造成人员伤害和设备损坏</w:t>
            </w:r>
          </w:p>
        </w:tc>
        <w:tc>
          <w:tcPr>
            <w:tcW w:w="42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Ⅲ</w:t>
            </w:r>
          </w:p>
        </w:tc>
        <w:tc>
          <w:tcPr>
            <w:tcW w:w="4083" w:type="dxa"/>
            <w:vAlign w:val="center"/>
          </w:tcPr>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1.电焊回路应搭接在焊件上，不得与其他设备搭接，禁止穿越下水道（井）。</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2.防止火花飞溅，注意火星飞溅方向．用水冲淋火星落点。</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3.</w:t>
            </w:r>
            <w:r>
              <w:rPr>
                <w:rFonts w:hint="eastAsia" w:eastAsiaTheme="minorEastAsia"/>
                <w:sz w:val="21"/>
                <w:szCs w:val="21"/>
              </w:rPr>
              <w:t>动火</w:t>
            </w:r>
            <w:r>
              <w:rPr>
                <w:rFonts w:eastAsiaTheme="minorEastAsia"/>
                <w:sz w:val="21"/>
                <w:szCs w:val="21"/>
              </w:rPr>
              <w:t>作业前，应检查电、气焊工具，保证安全可靠，不准带病使用。</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4.</w:t>
            </w:r>
            <w:r>
              <w:rPr>
                <w:rFonts w:hint="eastAsia" w:eastAsiaTheme="minorEastAsia"/>
                <w:sz w:val="21"/>
                <w:szCs w:val="21"/>
              </w:rPr>
              <w:t>动火</w:t>
            </w:r>
            <w:r>
              <w:rPr>
                <w:rFonts w:eastAsiaTheme="minorEastAsia"/>
                <w:sz w:val="21"/>
                <w:szCs w:val="21"/>
              </w:rPr>
              <w:t>过程中，遇有跑料、串料和易燃气体，应立即停止</w:t>
            </w:r>
            <w:r>
              <w:rPr>
                <w:rFonts w:hint="eastAsia" w:eastAsiaTheme="minorEastAsia"/>
                <w:sz w:val="21"/>
                <w:szCs w:val="21"/>
              </w:rPr>
              <w:t>动火</w:t>
            </w:r>
            <w:r>
              <w:rPr>
                <w:rFonts w:eastAsiaTheme="minorEastAsia"/>
                <w:sz w:val="21"/>
                <w:szCs w:val="21"/>
              </w:rPr>
              <w:t>。</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5.监火人应熟悉现场环境和检查确认安全措施落实到位，具备相关安全知识和应急技能，与岗位保持联系．随时掌握工况变化，坚守现场；监火人随时扑灭飞溅的火花，发现异常立即通知</w:t>
            </w:r>
            <w:r>
              <w:rPr>
                <w:rFonts w:hint="eastAsia" w:eastAsiaTheme="minorEastAsia"/>
                <w:sz w:val="21"/>
                <w:szCs w:val="21"/>
              </w:rPr>
              <w:t>动火</w:t>
            </w:r>
            <w:r>
              <w:rPr>
                <w:rFonts w:eastAsiaTheme="minorEastAsia"/>
                <w:sz w:val="21"/>
                <w:szCs w:val="21"/>
              </w:rPr>
              <w:t>人停止作业，联系有关人员采取措施。</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6.</w:t>
            </w:r>
            <w:r>
              <w:rPr>
                <w:rFonts w:hint="eastAsia" w:eastAsiaTheme="minorEastAsia"/>
                <w:sz w:val="21"/>
                <w:szCs w:val="21"/>
              </w:rPr>
              <w:t>动火</w:t>
            </w:r>
            <w:r>
              <w:rPr>
                <w:rFonts w:eastAsiaTheme="minorEastAsia"/>
                <w:sz w:val="21"/>
                <w:szCs w:val="21"/>
              </w:rPr>
              <w:t>现场备有灭火工具（如灭火器、沙子等）。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427" w:type="dxa"/>
            <w:vAlign w:val="center"/>
          </w:tcPr>
          <w:p>
            <w:pPr>
              <w:tabs>
                <w:tab w:val="left" w:pos="3240"/>
              </w:tabs>
              <w:spacing w:before="60" w:beforeLines="25" w:after="60" w:afterLines="25" w:line="240" w:lineRule="auto"/>
              <w:ind w:firstLine="0" w:firstLineChars="0"/>
              <w:jc w:val="center"/>
              <w:rPr>
                <w:rFonts w:hint="eastAsia" w:eastAsiaTheme="minorEastAsia"/>
                <w:sz w:val="21"/>
                <w:szCs w:val="21"/>
                <w:lang w:eastAsia="zh-CN"/>
              </w:rPr>
            </w:pPr>
            <w:r>
              <w:rPr>
                <w:rFonts w:hint="eastAsia" w:eastAsiaTheme="minorEastAsia"/>
                <w:sz w:val="21"/>
                <w:szCs w:val="21"/>
                <w:lang w:val="en-US" w:eastAsia="zh-CN"/>
              </w:rPr>
              <w:t>2</w:t>
            </w:r>
          </w:p>
        </w:tc>
        <w:tc>
          <w:tcPr>
            <w:tcW w:w="42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高处作业</w:t>
            </w:r>
          </w:p>
        </w:tc>
        <w:tc>
          <w:tcPr>
            <w:tcW w:w="2450" w:type="dxa"/>
            <w:vAlign w:val="center"/>
          </w:tcPr>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1.违章作业，不系安全带或者系挂不正确，或穿硬底鞋。</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2.梯子有缺陷，绳索负荷不够；使用的安全带、安全网、安全帽等防护器材缺陷。</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3.施工作业过程中，使用的工具未放置在工具袋内或违规直接向上抛工具或材料，施工所使用的材料未固定好，以及施工场地周围未设置警戒等；在立体交叉施工过程中，施工安排不科学，同时缺乏必要的隔离防护措施或防护措施未落实，现场监护不到位等；高处作业施工方案，措施不具体等。</w:t>
            </w:r>
          </w:p>
        </w:tc>
        <w:tc>
          <w:tcPr>
            <w:tcW w:w="680"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发生高处坠落、物体打击等事故造成人员伤害和设备损坏</w:t>
            </w:r>
          </w:p>
        </w:tc>
        <w:tc>
          <w:tcPr>
            <w:tcW w:w="42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Ⅱ</w:t>
            </w:r>
          </w:p>
        </w:tc>
        <w:tc>
          <w:tcPr>
            <w:tcW w:w="4083" w:type="dxa"/>
            <w:vAlign w:val="center"/>
          </w:tcPr>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1.高空作业人员要严格遵守高空作业的安全技术操作规程，凡是从事高空作业的人员，都必须经过专门培训，考试合格后，上岗作业。</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2.正确使用个人安全防护用品，在高处（2m以上）作业时，必须佩带安全带，并与已搭好的立、横杆挂牢，穿防滑鞋，作业时精神集中，团结协作，互相呼应，统一指挥，不得</w:t>
            </w:r>
            <w:r>
              <w:rPr>
                <w:rFonts w:hint="eastAsia" w:eastAsiaTheme="minorEastAsia"/>
                <w:sz w:val="21"/>
                <w:szCs w:val="21"/>
              </w:rPr>
              <w:t>“</w:t>
            </w:r>
            <w:r>
              <w:rPr>
                <w:rFonts w:eastAsiaTheme="minorEastAsia"/>
                <w:sz w:val="21"/>
                <w:szCs w:val="21"/>
              </w:rPr>
              <w:t>走过档</w:t>
            </w:r>
            <w:r>
              <w:rPr>
                <w:rFonts w:hint="eastAsia" w:eastAsiaTheme="minorEastAsia"/>
                <w:sz w:val="21"/>
                <w:szCs w:val="21"/>
              </w:rPr>
              <w:t>”</w:t>
            </w:r>
            <w:r>
              <w:rPr>
                <w:rFonts w:eastAsiaTheme="minorEastAsia"/>
                <w:sz w:val="21"/>
                <w:szCs w:val="21"/>
              </w:rPr>
              <w:t>和跳跃架子，严禁打闹玩笑、酒后上班。</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3.按安全施工组织设计作好安全技术交底工作，明确分工。</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4.使用的梯子要牢固，间距不得大于300mm。</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5.对高处材料应用吊车或人向下传递，严禁向下抛掷。</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7" w:type="dxa"/>
            <w:vAlign w:val="center"/>
          </w:tcPr>
          <w:p>
            <w:pPr>
              <w:tabs>
                <w:tab w:val="left" w:pos="3240"/>
              </w:tabs>
              <w:spacing w:before="60" w:beforeLines="25" w:after="60" w:afterLines="25" w:line="240" w:lineRule="auto"/>
              <w:ind w:firstLine="0" w:firstLineChars="0"/>
              <w:jc w:val="center"/>
              <w:rPr>
                <w:rFonts w:hint="eastAsia" w:eastAsiaTheme="minorEastAsia"/>
                <w:sz w:val="21"/>
                <w:szCs w:val="21"/>
                <w:lang w:eastAsia="zh-CN"/>
              </w:rPr>
            </w:pPr>
            <w:r>
              <w:rPr>
                <w:rFonts w:hint="eastAsia" w:eastAsiaTheme="minorEastAsia"/>
                <w:sz w:val="21"/>
                <w:szCs w:val="21"/>
                <w:lang w:val="en-US" w:eastAsia="zh-CN"/>
              </w:rPr>
              <w:t>3</w:t>
            </w:r>
          </w:p>
        </w:tc>
        <w:tc>
          <w:tcPr>
            <w:tcW w:w="42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临时用电</w:t>
            </w:r>
          </w:p>
        </w:tc>
        <w:tc>
          <w:tcPr>
            <w:tcW w:w="2450" w:type="dxa"/>
            <w:vAlign w:val="center"/>
          </w:tcPr>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1.施工过程中的电气设备使用不合理、缺少保护装置，人员违章操作等。</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2.跨越安全围栏或超越安全警戒线，误碰带电设备。</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3.施工现场混乱，电气设备安全设施不健全或损坏漏电，绝缘保护层破损或保护接地失效等。</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4.手持电动工具，工具带电。</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5.在带电设备附近进行作业，不符合安全距离或无监护措施，缺少安全标志或标志不明显，工作面不使用安全电压照明。</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6.施工使用的机具不慎碰触运行的电缆。</w:t>
            </w:r>
          </w:p>
        </w:tc>
        <w:tc>
          <w:tcPr>
            <w:tcW w:w="680"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发生触电等事故造成人员伤害和设备损坏</w:t>
            </w:r>
          </w:p>
        </w:tc>
        <w:tc>
          <w:tcPr>
            <w:tcW w:w="42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Ⅱ</w:t>
            </w:r>
          </w:p>
        </w:tc>
        <w:tc>
          <w:tcPr>
            <w:tcW w:w="4083" w:type="dxa"/>
            <w:vAlign w:val="center"/>
          </w:tcPr>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1.建立临时用电许可证制度。</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2.电气作业人员持证上岗。</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3.电气作业应加强个体防护，穿戴齐全各项绝缘防护用品。</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4.四周应加可靠的遮护，采取防止无关人员误入的措施。</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5.设置警示标志。</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6.电气设备、线路必须具备良好的电气绝缘，且与电压等级相匹配。</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7.人员容易触及的裸带电体必须置于人的伸臂范围以外，否则应加可靠的遮护。</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8.电气设备、线路设置接地保护、漏电保护。</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27" w:type="dxa"/>
            <w:vAlign w:val="center"/>
          </w:tcPr>
          <w:p>
            <w:pPr>
              <w:tabs>
                <w:tab w:val="left" w:pos="3240"/>
              </w:tabs>
              <w:spacing w:before="60" w:beforeLines="25" w:after="60" w:afterLines="25" w:line="240" w:lineRule="auto"/>
              <w:ind w:firstLine="0" w:firstLineChars="0"/>
              <w:jc w:val="center"/>
              <w:rPr>
                <w:rFonts w:hint="eastAsia" w:eastAsiaTheme="minorEastAsia"/>
                <w:sz w:val="21"/>
                <w:szCs w:val="21"/>
                <w:lang w:eastAsia="zh-CN"/>
              </w:rPr>
            </w:pPr>
            <w:r>
              <w:rPr>
                <w:rFonts w:hint="eastAsia" w:eastAsiaTheme="minorEastAsia"/>
                <w:sz w:val="21"/>
                <w:szCs w:val="21"/>
                <w:lang w:val="en-US" w:eastAsia="zh-CN"/>
              </w:rPr>
              <w:t>4</w:t>
            </w:r>
          </w:p>
        </w:tc>
        <w:tc>
          <w:tcPr>
            <w:tcW w:w="42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吊装作业</w:t>
            </w:r>
          </w:p>
        </w:tc>
        <w:tc>
          <w:tcPr>
            <w:tcW w:w="2450" w:type="dxa"/>
            <w:vAlign w:val="center"/>
          </w:tcPr>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1.违章指挥</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2.人员大意</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3.误操作</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4.钢丝绳断裂</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5.捆绑不符合要求</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6.设备故障</w:t>
            </w:r>
          </w:p>
        </w:tc>
        <w:tc>
          <w:tcPr>
            <w:tcW w:w="680"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发生起重伤害等事故造成人员伤害和设备损坏</w:t>
            </w:r>
          </w:p>
        </w:tc>
        <w:tc>
          <w:tcPr>
            <w:tcW w:w="42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Ⅱ</w:t>
            </w:r>
          </w:p>
        </w:tc>
        <w:tc>
          <w:tcPr>
            <w:tcW w:w="4083" w:type="dxa"/>
            <w:vAlign w:val="center"/>
          </w:tcPr>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1.操作司机必须经过专门培训，持有特种作业操作资格证，同时操作司机应有良好的精神状态。</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2.起重指挥人员必须按照&lt;安规&gt;规定指挥，信号明确，不产生意图外的动作，指挥时必须要让操作司机看到指挥人员，指挥人员不能随意离开，不能违反规程私自主张改变方案。</w:t>
            </w:r>
          </w:p>
          <w:p>
            <w:pPr>
              <w:tabs>
                <w:tab w:val="left" w:pos="3240"/>
              </w:tabs>
              <w:spacing w:before="60" w:beforeLines="25" w:after="60" w:afterLines="25" w:line="240" w:lineRule="auto"/>
              <w:ind w:firstLine="0" w:firstLineChars="0"/>
              <w:jc w:val="left"/>
              <w:rPr>
                <w:rFonts w:eastAsiaTheme="minorEastAsia"/>
                <w:sz w:val="21"/>
                <w:szCs w:val="21"/>
              </w:rPr>
            </w:pPr>
            <w:r>
              <w:rPr>
                <w:rFonts w:eastAsiaTheme="minorEastAsia"/>
                <w:sz w:val="21"/>
                <w:szCs w:val="21"/>
              </w:rPr>
              <w:t>3.禁止超载，在吊装物的棱角处要进行保护，达到报废标准的钢丝绳要及时报废。起吊设备选择钢丝绳时，要根据不同的用途选择不同直径的绳子，其中安全系数一定要达到要求。</w:t>
            </w:r>
          </w:p>
        </w:tc>
      </w:tr>
    </w:tbl>
    <w:p>
      <w:pPr>
        <w:pStyle w:val="281"/>
        <w:spacing w:before="240" w:beforeLines="100"/>
        <w:rPr>
          <w:rFonts w:cs="Times New Roman" w:eastAsiaTheme="minorEastAsia"/>
        </w:rPr>
      </w:pPr>
      <w:r>
        <w:rPr>
          <w:rFonts w:cs="Times New Roman" w:eastAsiaTheme="minorEastAsia"/>
        </w:rPr>
        <w:t>5.3.2  评价小结</w:t>
      </w:r>
    </w:p>
    <w:p>
      <w:pPr>
        <w:ind w:firstLine="560"/>
        <w:rPr>
          <w:rFonts w:eastAsiaTheme="minorEastAsia"/>
          <w:color w:val="000000"/>
          <w:szCs w:val="28"/>
        </w:rPr>
      </w:pPr>
      <w:r>
        <w:rPr>
          <w:rFonts w:eastAsiaTheme="minorEastAsia"/>
          <w:color w:val="000000"/>
          <w:szCs w:val="28"/>
        </w:rPr>
        <w:t>根据以上分析结果，本工程施工过程中可能发生的事故类别有火灾爆炸、触电、物体打击、高处坠落、机械伤害、车辆伤害、起重伤害等。</w:t>
      </w:r>
    </w:p>
    <w:p>
      <w:pPr>
        <w:ind w:firstLine="560"/>
        <w:rPr>
          <w:rFonts w:eastAsiaTheme="minorEastAsia"/>
          <w:color w:val="000000"/>
          <w:szCs w:val="28"/>
        </w:rPr>
      </w:pPr>
      <w:r>
        <w:rPr>
          <w:rFonts w:eastAsiaTheme="minorEastAsia"/>
          <w:color w:val="000000"/>
          <w:szCs w:val="28"/>
        </w:rPr>
        <w:t>可能发生的最严重的事故为火灾爆炸，其危险程度为Ⅲ级，一旦发生，可能会造成个别人员的伤亡和较大的经济损失，应当作为本工程安全防范的重点。起重伤害、物体打击、高处坠落、坍塌、触电、机械伤害和车辆伤害，其危险程度均为Ⅱ级，</w:t>
      </w:r>
      <w:r>
        <w:rPr>
          <w:rFonts w:eastAsiaTheme="minorEastAsia"/>
          <w:bCs/>
          <w:color w:val="000000"/>
          <w:szCs w:val="28"/>
        </w:rPr>
        <w:t>应当引起足够的重视，采取针对性的防范与控制措施</w:t>
      </w:r>
      <w:r>
        <w:rPr>
          <w:rFonts w:eastAsiaTheme="minorEastAsia"/>
          <w:color w:val="000000"/>
          <w:szCs w:val="28"/>
        </w:rPr>
        <w:t>。</w:t>
      </w:r>
    </w:p>
    <w:p>
      <w:pPr>
        <w:pStyle w:val="3"/>
        <w:keepNext/>
        <w:keepLines/>
        <w:rPr>
          <w:color w:val="000000"/>
          <w:szCs w:val="32"/>
        </w:rPr>
      </w:pPr>
      <w:bookmarkStart w:id="218" w:name="_Toc25249"/>
      <w:bookmarkStart w:id="219" w:name="_Toc26279"/>
      <w:bookmarkStart w:id="220" w:name="_Toc31068"/>
      <w:r>
        <w:rPr>
          <w:color w:val="000000"/>
          <w:szCs w:val="32"/>
        </w:rPr>
        <w:t>5.4  采油工程单元</w:t>
      </w:r>
      <w:bookmarkEnd w:id="218"/>
      <w:bookmarkEnd w:id="219"/>
      <w:bookmarkEnd w:id="220"/>
    </w:p>
    <w:p>
      <w:pPr>
        <w:pStyle w:val="5"/>
        <w:keepNext/>
        <w:keepLines/>
      </w:pPr>
      <w:r>
        <w:t>5.4.1  预先危险性分析</w:t>
      </w:r>
    </w:p>
    <w:p>
      <w:pPr>
        <w:ind w:firstLine="560"/>
        <w:rPr>
          <w:color w:val="000000"/>
          <w:szCs w:val="28"/>
          <w:lang w:val="zh-CN"/>
        </w:rPr>
      </w:pPr>
      <w:r>
        <w:rPr>
          <w:color w:val="000000"/>
          <w:szCs w:val="28"/>
          <w:lang w:val="zh-CN"/>
        </w:rPr>
        <w:t>本单元预先危险性分析结果见下表。</w:t>
      </w:r>
    </w:p>
    <w:p>
      <w:pPr>
        <w:widowControl/>
        <w:tabs>
          <w:tab w:val="left" w:pos="377"/>
        </w:tabs>
        <w:snapToGrid/>
        <w:ind w:firstLine="0" w:firstLineChars="0"/>
        <w:jc w:val="center"/>
        <w:rPr>
          <w:b/>
          <w:bCs/>
          <w:sz w:val="24"/>
        </w:rPr>
      </w:pPr>
      <w:r>
        <w:rPr>
          <w:b/>
          <w:bCs/>
          <w:sz w:val="24"/>
        </w:rPr>
        <w:t>表5.4-1  采油工程预先危险分析表</w:t>
      </w:r>
    </w:p>
    <w:tbl>
      <w:tblPr>
        <w:tblStyle w:val="45"/>
        <w:tblW w:w="8522"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426"/>
        <w:gridCol w:w="824"/>
        <w:gridCol w:w="2871"/>
        <w:gridCol w:w="806"/>
        <w:gridCol w:w="709"/>
        <w:gridCol w:w="2886"/>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26" w:type="dxa"/>
            <w:vAlign w:val="center"/>
          </w:tcPr>
          <w:p>
            <w:pPr>
              <w:spacing w:line="300" w:lineRule="exact"/>
              <w:ind w:firstLine="0" w:firstLineChars="0"/>
              <w:jc w:val="center"/>
              <w:rPr>
                <w:b/>
                <w:bCs/>
                <w:sz w:val="21"/>
                <w:szCs w:val="21"/>
              </w:rPr>
            </w:pPr>
            <w:r>
              <w:rPr>
                <w:b/>
                <w:bCs/>
                <w:sz w:val="21"/>
                <w:szCs w:val="21"/>
              </w:rPr>
              <w:t>序号</w:t>
            </w:r>
          </w:p>
        </w:tc>
        <w:tc>
          <w:tcPr>
            <w:tcW w:w="824" w:type="dxa"/>
            <w:vAlign w:val="center"/>
          </w:tcPr>
          <w:p>
            <w:pPr>
              <w:spacing w:line="300" w:lineRule="exact"/>
              <w:ind w:firstLine="0" w:firstLineChars="0"/>
              <w:jc w:val="center"/>
              <w:rPr>
                <w:b/>
                <w:bCs/>
                <w:sz w:val="21"/>
                <w:szCs w:val="21"/>
              </w:rPr>
            </w:pPr>
            <w:r>
              <w:rPr>
                <w:b/>
                <w:bCs/>
                <w:sz w:val="21"/>
                <w:szCs w:val="21"/>
              </w:rPr>
              <w:t>危险</w:t>
            </w:r>
          </w:p>
        </w:tc>
        <w:tc>
          <w:tcPr>
            <w:tcW w:w="2871" w:type="dxa"/>
            <w:vAlign w:val="center"/>
          </w:tcPr>
          <w:p>
            <w:pPr>
              <w:spacing w:line="300" w:lineRule="exact"/>
              <w:ind w:firstLine="0" w:firstLineChars="0"/>
              <w:jc w:val="center"/>
              <w:rPr>
                <w:b/>
                <w:bCs/>
                <w:sz w:val="21"/>
                <w:szCs w:val="21"/>
              </w:rPr>
            </w:pPr>
            <w:r>
              <w:rPr>
                <w:b/>
                <w:bCs/>
                <w:sz w:val="21"/>
                <w:szCs w:val="21"/>
              </w:rPr>
              <w:t>可能原因</w:t>
            </w:r>
          </w:p>
        </w:tc>
        <w:tc>
          <w:tcPr>
            <w:tcW w:w="806" w:type="dxa"/>
            <w:vAlign w:val="center"/>
          </w:tcPr>
          <w:p>
            <w:pPr>
              <w:spacing w:line="300" w:lineRule="exact"/>
              <w:ind w:firstLine="0" w:firstLineChars="0"/>
              <w:jc w:val="center"/>
              <w:rPr>
                <w:b/>
                <w:bCs/>
                <w:sz w:val="21"/>
                <w:szCs w:val="21"/>
              </w:rPr>
            </w:pPr>
            <w:r>
              <w:rPr>
                <w:b/>
                <w:bCs/>
                <w:sz w:val="21"/>
                <w:szCs w:val="21"/>
              </w:rPr>
              <w:t>可能</w:t>
            </w:r>
          </w:p>
          <w:p>
            <w:pPr>
              <w:spacing w:line="300" w:lineRule="exact"/>
              <w:ind w:firstLine="0" w:firstLineChars="0"/>
              <w:jc w:val="center"/>
              <w:rPr>
                <w:b/>
                <w:bCs/>
                <w:sz w:val="21"/>
                <w:szCs w:val="21"/>
              </w:rPr>
            </w:pPr>
            <w:r>
              <w:rPr>
                <w:b/>
                <w:bCs/>
                <w:sz w:val="21"/>
                <w:szCs w:val="21"/>
              </w:rPr>
              <w:t>后果</w:t>
            </w:r>
          </w:p>
        </w:tc>
        <w:tc>
          <w:tcPr>
            <w:tcW w:w="709" w:type="dxa"/>
            <w:vAlign w:val="center"/>
          </w:tcPr>
          <w:p>
            <w:pPr>
              <w:spacing w:line="300" w:lineRule="exact"/>
              <w:ind w:firstLine="0" w:firstLineChars="0"/>
              <w:jc w:val="center"/>
              <w:rPr>
                <w:b/>
                <w:bCs/>
                <w:sz w:val="21"/>
                <w:szCs w:val="21"/>
              </w:rPr>
            </w:pPr>
            <w:r>
              <w:rPr>
                <w:b/>
                <w:bCs/>
                <w:sz w:val="21"/>
                <w:szCs w:val="21"/>
              </w:rPr>
              <w:t>危险</w:t>
            </w:r>
          </w:p>
          <w:p>
            <w:pPr>
              <w:spacing w:line="300" w:lineRule="exact"/>
              <w:ind w:firstLine="0" w:firstLineChars="0"/>
              <w:jc w:val="center"/>
              <w:rPr>
                <w:b/>
                <w:bCs/>
                <w:sz w:val="21"/>
                <w:szCs w:val="21"/>
              </w:rPr>
            </w:pPr>
            <w:r>
              <w:rPr>
                <w:b/>
                <w:bCs/>
                <w:sz w:val="21"/>
                <w:szCs w:val="21"/>
              </w:rPr>
              <w:t>等级</w:t>
            </w:r>
          </w:p>
        </w:tc>
        <w:tc>
          <w:tcPr>
            <w:tcW w:w="2886" w:type="dxa"/>
            <w:vAlign w:val="center"/>
          </w:tcPr>
          <w:p>
            <w:pPr>
              <w:spacing w:line="300" w:lineRule="exact"/>
              <w:ind w:firstLine="0" w:firstLineChars="0"/>
              <w:jc w:val="center"/>
              <w:rPr>
                <w:b/>
                <w:bCs/>
                <w:sz w:val="21"/>
                <w:szCs w:val="21"/>
              </w:rPr>
            </w:pPr>
            <w:r>
              <w:rPr>
                <w:b/>
                <w:bCs/>
                <w:sz w:val="21"/>
                <w:szCs w:val="21"/>
              </w:rPr>
              <w:t>预防措施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spacing w:line="300" w:lineRule="exact"/>
              <w:ind w:firstLine="0" w:firstLineChars="0"/>
              <w:jc w:val="center"/>
              <w:rPr>
                <w:sz w:val="21"/>
                <w:szCs w:val="21"/>
              </w:rPr>
            </w:pPr>
            <w:r>
              <w:rPr>
                <w:sz w:val="21"/>
                <w:szCs w:val="21"/>
              </w:rPr>
              <w:t>1</w:t>
            </w:r>
          </w:p>
        </w:tc>
        <w:tc>
          <w:tcPr>
            <w:tcW w:w="824" w:type="dxa"/>
            <w:vAlign w:val="center"/>
          </w:tcPr>
          <w:p>
            <w:pPr>
              <w:spacing w:line="300" w:lineRule="exact"/>
              <w:ind w:firstLine="0" w:firstLineChars="0"/>
              <w:jc w:val="center"/>
              <w:rPr>
                <w:sz w:val="21"/>
                <w:szCs w:val="21"/>
              </w:rPr>
            </w:pPr>
            <w:r>
              <w:rPr>
                <w:sz w:val="21"/>
                <w:szCs w:val="21"/>
              </w:rPr>
              <w:t>井喷、井喷失控</w:t>
            </w:r>
          </w:p>
        </w:tc>
        <w:tc>
          <w:tcPr>
            <w:tcW w:w="2871" w:type="dxa"/>
            <w:vAlign w:val="center"/>
          </w:tcPr>
          <w:p>
            <w:pPr>
              <w:spacing w:line="300" w:lineRule="exact"/>
              <w:ind w:firstLine="0" w:firstLineChars="0"/>
              <w:jc w:val="left"/>
              <w:rPr>
                <w:sz w:val="21"/>
                <w:szCs w:val="21"/>
              </w:rPr>
            </w:pPr>
            <w:r>
              <w:rPr>
                <w:sz w:val="21"/>
                <w:szCs w:val="21"/>
              </w:rPr>
              <w:t>1）井内压力失衡。</w:t>
            </w:r>
          </w:p>
          <w:p>
            <w:pPr>
              <w:spacing w:line="300" w:lineRule="exact"/>
              <w:ind w:firstLine="0" w:firstLineChars="0"/>
              <w:jc w:val="left"/>
              <w:rPr>
                <w:sz w:val="21"/>
                <w:szCs w:val="21"/>
              </w:rPr>
            </w:pPr>
            <w:r>
              <w:rPr>
                <w:sz w:val="21"/>
                <w:szCs w:val="21"/>
              </w:rPr>
              <w:t>2）应急措施不足，设备承压不足，防喷器失效等。</w:t>
            </w:r>
          </w:p>
          <w:p>
            <w:pPr>
              <w:spacing w:line="300" w:lineRule="exact"/>
              <w:ind w:firstLine="0" w:firstLineChars="0"/>
              <w:jc w:val="left"/>
              <w:rPr>
                <w:sz w:val="21"/>
                <w:szCs w:val="21"/>
              </w:rPr>
            </w:pPr>
            <w:r>
              <w:rPr>
                <w:sz w:val="21"/>
                <w:szCs w:val="21"/>
              </w:rPr>
              <w:t>3）抢喷工具不全。</w:t>
            </w:r>
          </w:p>
        </w:tc>
        <w:tc>
          <w:tcPr>
            <w:tcW w:w="806" w:type="dxa"/>
            <w:vAlign w:val="center"/>
          </w:tcPr>
          <w:p>
            <w:pPr>
              <w:spacing w:line="300" w:lineRule="exact"/>
              <w:ind w:firstLine="0" w:firstLineChars="0"/>
              <w:jc w:val="center"/>
              <w:rPr>
                <w:sz w:val="21"/>
                <w:szCs w:val="21"/>
              </w:rPr>
            </w:pPr>
            <w:r>
              <w:rPr>
                <w:sz w:val="21"/>
                <w:szCs w:val="21"/>
              </w:rPr>
              <w:t>设备</w:t>
            </w:r>
          </w:p>
          <w:p>
            <w:pPr>
              <w:spacing w:line="300" w:lineRule="exact"/>
              <w:ind w:firstLine="0" w:firstLineChars="0"/>
              <w:jc w:val="center"/>
              <w:rPr>
                <w:sz w:val="21"/>
                <w:szCs w:val="21"/>
              </w:rPr>
            </w:pPr>
            <w:r>
              <w:rPr>
                <w:sz w:val="21"/>
                <w:szCs w:val="21"/>
              </w:rPr>
              <w:t>损坏</w:t>
            </w:r>
          </w:p>
          <w:p>
            <w:pPr>
              <w:spacing w:line="300" w:lineRule="exact"/>
              <w:ind w:firstLine="0" w:firstLineChars="0"/>
              <w:jc w:val="center"/>
              <w:rPr>
                <w:sz w:val="21"/>
                <w:szCs w:val="21"/>
              </w:rPr>
            </w:pPr>
            <w:r>
              <w:rPr>
                <w:sz w:val="21"/>
                <w:szCs w:val="21"/>
              </w:rPr>
              <w:t>人员</w:t>
            </w:r>
          </w:p>
          <w:p>
            <w:pPr>
              <w:spacing w:line="300" w:lineRule="exact"/>
              <w:ind w:firstLine="0" w:firstLineChars="0"/>
              <w:jc w:val="center"/>
              <w:rPr>
                <w:sz w:val="21"/>
                <w:szCs w:val="21"/>
              </w:rPr>
            </w:pPr>
            <w:r>
              <w:rPr>
                <w:sz w:val="21"/>
                <w:szCs w:val="21"/>
              </w:rPr>
              <w:t>伤亡</w:t>
            </w:r>
          </w:p>
        </w:tc>
        <w:tc>
          <w:tcPr>
            <w:tcW w:w="709" w:type="dxa"/>
            <w:vAlign w:val="center"/>
          </w:tcPr>
          <w:p>
            <w:pPr>
              <w:spacing w:line="300" w:lineRule="exact"/>
              <w:ind w:firstLine="0" w:firstLineChars="0"/>
              <w:jc w:val="center"/>
              <w:rPr>
                <w:sz w:val="21"/>
                <w:szCs w:val="21"/>
              </w:rPr>
            </w:pPr>
            <w:r>
              <w:rPr>
                <w:sz w:val="21"/>
                <w:szCs w:val="21"/>
              </w:rPr>
              <w:t>Ⅲ</w:t>
            </w:r>
          </w:p>
        </w:tc>
        <w:tc>
          <w:tcPr>
            <w:tcW w:w="2886" w:type="dxa"/>
            <w:vAlign w:val="center"/>
          </w:tcPr>
          <w:p>
            <w:pPr>
              <w:spacing w:line="300" w:lineRule="exact"/>
              <w:ind w:firstLine="0" w:firstLineChars="0"/>
              <w:jc w:val="left"/>
              <w:rPr>
                <w:sz w:val="21"/>
                <w:szCs w:val="21"/>
              </w:rPr>
            </w:pPr>
            <w:r>
              <w:rPr>
                <w:sz w:val="21"/>
                <w:szCs w:val="21"/>
              </w:rPr>
              <w:t>1）对压力进行实时监控，及时发现，及时控制。</w:t>
            </w:r>
          </w:p>
          <w:p>
            <w:pPr>
              <w:spacing w:line="300" w:lineRule="exact"/>
              <w:ind w:firstLine="0" w:firstLineChars="0"/>
              <w:jc w:val="left"/>
              <w:rPr>
                <w:sz w:val="21"/>
                <w:szCs w:val="21"/>
              </w:rPr>
            </w:pPr>
            <w:r>
              <w:rPr>
                <w:sz w:val="21"/>
                <w:szCs w:val="21"/>
              </w:rPr>
              <w:t>2）严格按照作业规程进行作业。</w:t>
            </w:r>
          </w:p>
          <w:p>
            <w:pPr>
              <w:spacing w:line="300" w:lineRule="exact"/>
              <w:ind w:firstLine="0" w:firstLineChars="0"/>
              <w:jc w:val="left"/>
              <w:rPr>
                <w:sz w:val="21"/>
                <w:szCs w:val="21"/>
              </w:rPr>
            </w:pPr>
            <w:r>
              <w:rPr>
                <w:sz w:val="21"/>
                <w:szCs w:val="21"/>
              </w:rPr>
              <w:t>3）井口配备相应的应急抢险设备，安装灵活可靠的井口装置和防喷器；及时检查和设备设施的完好。</w:t>
            </w:r>
          </w:p>
          <w:p>
            <w:pPr>
              <w:spacing w:line="300" w:lineRule="exact"/>
              <w:ind w:firstLine="0" w:firstLineChars="0"/>
              <w:jc w:val="left"/>
              <w:rPr>
                <w:sz w:val="21"/>
                <w:szCs w:val="21"/>
              </w:rPr>
            </w:pPr>
            <w:r>
              <w:rPr>
                <w:sz w:val="21"/>
                <w:szCs w:val="21"/>
              </w:rPr>
              <w:t>4）加强安全教育，预防为主。</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spacing w:line="300" w:lineRule="exact"/>
              <w:ind w:firstLine="0" w:firstLineChars="0"/>
              <w:jc w:val="center"/>
              <w:rPr>
                <w:sz w:val="21"/>
                <w:szCs w:val="21"/>
              </w:rPr>
            </w:pPr>
            <w:r>
              <w:rPr>
                <w:sz w:val="21"/>
                <w:szCs w:val="21"/>
              </w:rPr>
              <w:t>2</w:t>
            </w:r>
          </w:p>
        </w:tc>
        <w:tc>
          <w:tcPr>
            <w:tcW w:w="824" w:type="dxa"/>
            <w:vAlign w:val="center"/>
          </w:tcPr>
          <w:p>
            <w:pPr>
              <w:spacing w:line="300" w:lineRule="exact"/>
              <w:ind w:firstLine="0" w:firstLineChars="0"/>
              <w:jc w:val="center"/>
              <w:rPr>
                <w:sz w:val="21"/>
                <w:szCs w:val="21"/>
              </w:rPr>
            </w:pPr>
            <w:r>
              <w:rPr>
                <w:sz w:val="21"/>
                <w:szCs w:val="21"/>
              </w:rPr>
              <w:t>火灾</w:t>
            </w:r>
          </w:p>
        </w:tc>
        <w:tc>
          <w:tcPr>
            <w:tcW w:w="2871" w:type="dxa"/>
            <w:vAlign w:val="center"/>
          </w:tcPr>
          <w:p>
            <w:pPr>
              <w:spacing w:line="300" w:lineRule="exact"/>
              <w:ind w:firstLine="0" w:firstLineChars="0"/>
              <w:jc w:val="left"/>
              <w:rPr>
                <w:sz w:val="21"/>
                <w:szCs w:val="21"/>
              </w:rPr>
            </w:pPr>
            <w:r>
              <w:rPr>
                <w:sz w:val="21"/>
                <w:szCs w:val="21"/>
              </w:rPr>
              <w:t>1）管线或设备发生油气泄漏。</w:t>
            </w:r>
          </w:p>
          <w:p>
            <w:pPr>
              <w:spacing w:line="300" w:lineRule="exact"/>
              <w:ind w:firstLine="0" w:firstLineChars="0"/>
              <w:jc w:val="left"/>
              <w:rPr>
                <w:sz w:val="21"/>
                <w:szCs w:val="21"/>
              </w:rPr>
            </w:pPr>
            <w:r>
              <w:rPr>
                <w:sz w:val="21"/>
                <w:szCs w:val="21"/>
              </w:rPr>
              <w:t>2）井下作业发生井喷，油气喷出。</w:t>
            </w:r>
          </w:p>
          <w:p>
            <w:pPr>
              <w:spacing w:line="300" w:lineRule="exact"/>
              <w:ind w:firstLine="0" w:firstLineChars="0"/>
              <w:jc w:val="left"/>
              <w:rPr>
                <w:sz w:val="21"/>
                <w:szCs w:val="21"/>
              </w:rPr>
            </w:pPr>
            <w:r>
              <w:rPr>
                <w:sz w:val="21"/>
                <w:szCs w:val="21"/>
              </w:rPr>
              <w:t>3）雷电等。</w:t>
            </w:r>
          </w:p>
          <w:p>
            <w:pPr>
              <w:spacing w:line="300" w:lineRule="exact"/>
              <w:ind w:firstLine="0" w:firstLineChars="0"/>
              <w:jc w:val="left"/>
              <w:rPr>
                <w:sz w:val="21"/>
                <w:szCs w:val="21"/>
              </w:rPr>
            </w:pPr>
            <w:r>
              <w:rPr>
                <w:sz w:val="21"/>
                <w:szCs w:val="21"/>
              </w:rPr>
              <w:t>4）电气设备损害、短路等引起火灾。</w:t>
            </w:r>
          </w:p>
          <w:p>
            <w:pPr>
              <w:spacing w:line="300" w:lineRule="exact"/>
              <w:ind w:firstLine="0" w:firstLineChars="0"/>
              <w:jc w:val="left"/>
              <w:rPr>
                <w:sz w:val="21"/>
                <w:szCs w:val="21"/>
              </w:rPr>
            </w:pPr>
            <w:r>
              <w:rPr>
                <w:sz w:val="21"/>
                <w:szCs w:val="21"/>
              </w:rPr>
              <w:t>5）放喷出的油品遇明火。</w:t>
            </w:r>
          </w:p>
        </w:tc>
        <w:tc>
          <w:tcPr>
            <w:tcW w:w="806" w:type="dxa"/>
            <w:vAlign w:val="center"/>
          </w:tcPr>
          <w:p>
            <w:pPr>
              <w:spacing w:line="300" w:lineRule="exact"/>
              <w:ind w:firstLine="0" w:firstLineChars="0"/>
              <w:jc w:val="center"/>
              <w:rPr>
                <w:sz w:val="21"/>
                <w:szCs w:val="21"/>
              </w:rPr>
            </w:pPr>
            <w:r>
              <w:rPr>
                <w:sz w:val="21"/>
                <w:szCs w:val="21"/>
              </w:rPr>
              <w:t>设备损坏，人员伤亡</w:t>
            </w:r>
          </w:p>
        </w:tc>
        <w:tc>
          <w:tcPr>
            <w:tcW w:w="709" w:type="dxa"/>
            <w:vAlign w:val="center"/>
          </w:tcPr>
          <w:p>
            <w:pPr>
              <w:spacing w:line="300" w:lineRule="exact"/>
              <w:ind w:firstLine="0" w:firstLineChars="0"/>
              <w:jc w:val="center"/>
              <w:rPr>
                <w:sz w:val="21"/>
                <w:szCs w:val="21"/>
              </w:rPr>
            </w:pPr>
            <w:r>
              <w:rPr>
                <w:sz w:val="21"/>
                <w:szCs w:val="21"/>
              </w:rPr>
              <w:t>Ⅲ</w:t>
            </w:r>
          </w:p>
        </w:tc>
        <w:tc>
          <w:tcPr>
            <w:tcW w:w="2886" w:type="dxa"/>
            <w:vAlign w:val="center"/>
          </w:tcPr>
          <w:p>
            <w:pPr>
              <w:spacing w:line="300" w:lineRule="exact"/>
              <w:ind w:firstLine="0" w:firstLineChars="0"/>
              <w:jc w:val="left"/>
              <w:rPr>
                <w:sz w:val="21"/>
                <w:szCs w:val="21"/>
              </w:rPr>
            </w:pPr>
            <w:r>
              <w:rPr>
                <w:sz w:val="21"/>
                <w:szCs w:val="21"/>
              </w:rPr>
              <w:t>1）定期检查设备、管线，及时发现和预防泄漏。</w:t>
            </w:r>
          </w:p>
          <w:p>
            <w:pPr>
              <w:spacing w:line="300" w:lineRule="exact"/>
              <w:ind w:firstLine="0" w:firstLineChars="0"/>
              <w:jc w:val="left"/>
              <w:rPr>
                <w:sz w:val="21"/>
                <w:szCs w:val="21"/>
              </w:rPr>
            </w:pPr>
            <w:r>
              <w:rPr>
                <w:sz w:val="21"/>
                <w:szCs w:val="21"/>
              </w:rPr>
              <w:t>2）严格按照井下作业规程作业。</w:t>
            </w:r>
          </w:p>
          <w:p>
            <w:pPr>
              <w:spacing w:line="300" w:lineRule="exact"/>
              <w:ind w:firstLine="0" w:firstLineChars="0"/>
              <w:jc w:val="left"/>
              <w:rPr>
                <w:sz w:val="21"/>
                <w:szCs w:val="21"/>
              </w:rPr>
            </w:pPr>
            <w:r>
              <w:rPr>
                <w:sz w:val="21"/>
                <w:szCs w:val="21"/>
              </w:rPr>
              <w:t>3）严格动火制度，严禁现场明火。</w:t>
            </w:r>
          </w:p>
          <w:p>
            <w:pPr>
              <w:spacing w:line="300" w:lineRule="exact"/>
              <w:ind w:firstLine="0" w:firstLineChars="0"/>
              <w:jc w:val="left"/>
              <w:rPr>
                <w:sz w:val="21"/>
                <w:szCs w:val="21"/>
              </w:rPr>
            </w:pPr>
            <w:r>
              <w:rPr>
                <w:sz w:val="21"/>
                <w:szCs w:val="21"/>
              </w:rPr>
              <w:t>4）确保防雷防静电设施的可靠。</w:t>
            </w:r>
          </w:p>
          <w:p>
            <w:pPr>
              <w:spacing w:line="300" w:lineRule="exact"/>
              <w:ind w:firstLine="0" w:firstLineChars="0"/>
              <w:jc w:val="left"/>
              <w:rPr>
                <w:sz w:val="21"/>
                <w:szCs w:val="21"/>
              </w:rPr>
            </w:pPr>
            <w:r>
              <w:rPr>
                <w:sz w:val="21"/>
                <w:szCs w:val="21"/>
              </w:rPr>
              <w:t>5）严格安全用电和配备足够的电气保护装置。</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spacing w:line="300" w:lineRule="exact"/>
              <w:ind w:firstLine="0" w:firstLineChars="0"/>
              <w:jc w:val="center"/>
              <w:rPr>
                <w:sz w:val="21"/>
                <w:szCs w:val="21"/>
              </w:rPr>
            </w:pPr>
            <w:r>
              <w:rPr>
                <w:sz w:val="21"/>
                <w:szCs w:val="21"/>
              </w:rPr>
              <w:t>3</w:t>
            </w:r>
          </w:p>
        </w:tc>
        <w:tc>
          <w:tcPr>
            <w:tcW w:w="824" w:type="dxa"/>
            <w:vAlign w:val="center"/>
          </w:tcPr>
          <w:p>
            <w:pPr>
              <w:spacing w:line="300" w:lineRule="exact"/>
              <w:ind w:firstLine="0" w:firstLineChars="0"/>
              <w:jc w:val="center"/>
              <w:rPr>
                <w:sz w:val="21"/>
                <w:szCs w:val="21"/>
              </w:rPr>
            </w:pPr>
            <w:r>
              <w:rPr>
                <w:sz w:val="21"/>
                <w:szCs w:val="21"/>
              </w:rPr>
              <w:t>爆炸</w:t>
            </w:r>
          </w:p>
        </w:tc>
        <w:tc>
          <w:tcPr>
            <w:tcW w:w="2871" w:type="dxa"/>
            <w:vAlign w:val="center"/>
          </w:tcPr>
          <w:p>
            <w:pPr>
              <w:spacing w:line="300" w:lineRule="exact"/>
              <w:ind w:firstLine="0" w:firstLineChars="0"/>
              <w:jc w:val="left"/>
              <w:rPr>
                <w:sz w:val="21"/>
                <w:szCs w:val="21"/>
              </w:rPr>
            </w:pPr>
            <w:r>
              <w:rPr>
                <w:sz w:val="21"/>
                <w:szCs w:val="21"/>
              </w:rPr>
              <w:t>1）设备的实际操作压力超过所能承受的压力。</w:t>
            </w:r>
          </w:p>
          <w:p>
            <w:pPr>
              <w:spacing w:line="300" w:lineRule="exact"/>
              <w:ind w:firstLine="0" w:firstLineChars="0"/>
              <w:jc w:val="left"/>
              <w:rPr>
                <w:sz w:val="21"/>
                <w:szCs w:val="21"/>
              </w:rPr>
            </w:pPr>
            <w:r>
              <w:rPr>
                <w:sz w:val="21"/>
                <w:szCs w:val="21"/>
              </w:rPr>
              <w:t>2）设备腐蚀等造成承受压力降低，不能承受正常工作压力。</w:t>
            </w:r>
          </w:p>
          <w:p>
            <w:pPr>
              <w:spacing w:line="300" w:lineRule="exact"/>
              <w:ind w:firstLine="0" w:firstLineChars="0"/>
              <w:jc w:val="left"/>
              <w:rPr>
                <w:sz w:val="21"/>
                <w:szCs w:val="21"/>
              </w:rPr>
            </w:pPr>
            <w:r>
              <w:rPr>
                <w:sz w:val="21"/>
                <w:szCs w:val="21"/>
              </w:rPr>
              <w:t>3）爆炸器材发生爆炸。</w:t>
            </w:r>
          </w:p>
        </w:tc>
        <w:tc>
          <w:tcPr>
            <w:tcW w:w="806" w:type="dxa"/>
            <w:vAlign w:val="center"/>
          </w:tcPr>
          <w:p>
            <w:pPr>
              <w:spacing w:line="300" w:lineRule="exact"/>
              <w:ind w:firstLine="0" w:firstLineChars="0"/>
              <w:jc w:val="center"/>
              <w:rPr>
                <w:sz w:val="21"/>
                <w:szCs w:val="21"/>
              </w:rPr>
            </w:pPr>
            <w:r>
              <w:rPr>
                <w:sz w:val="21"/>
                <w:szCs w:val="21"/>
              </w:rPr>
              <w:t>设备</w:t>
            </w:r>
          </w:p>
          <w:p>
            <w:pPr>
              <w:spacing w:line="300" w:lineRule="exact"/>
              <w:ind w:firstLine="0" w:firstLineChars="0"/>
              <w:jc w:val="center"/>
              <w:rPr>
                <w:sz w:val="21"/>
                <w:szCs w:val="21"/>
              </w:rPr>
            </w:pPr>
            <w:r>
              <w:rPr>
                <w:sz w:val="21"/>
                <w:szCs w:val="21"/>
              </w:rPr>
              <w:t>损坏</w:t>
            </w:r>
          </w:p>
          <w:p>
            <w:pPr>
              <w:spacing w:line="300" w:lineRule="exact"/>
              <w:ind w:firstLine="0" w:firstLineChars="0"/>
              <w:jc w:val="center"/>
              <w:rPr>
                <w:sz w:val="21"/>
                <w:szCs w:val="21"/>
              </w:rPr>
            </w:pPr>
            <w:r>
              <w:rPr>
                <w:sz w:val="21"/>
                <w:szCs w:val="21"/>
              </w:rPr>
              <w:t>人员</w:t>
            </w:r>
          </w:p>
          <w:p>
            <w:pPr>
              <w:spacing w:line="300" w:lineRule="exact"/>
              <w:ind w:firstLine="0" w:firstLineChars="0"/>
              <w:jc w:val="center"/>
              <w:rPr>
                <w:sz w:val="21"/>
                <w:szCs w:val="21"/>
              </w:rPr>
            </w:pPr>
            <w:r>
              <w:rPr>
                <w:sz w:val="21"/>
                <w:szCs w:val="21"/>
              </w:rPr>
              <w:t>伤亡</w:t>
            </w:r>
          </w:p>
        </w:tc>
        <w:tc>
          <w:tcPr>
            <w:tcW w:w="709" w:type="dxa"/>
            <w:vAlign w:val="center"/>
          </w:tcPr>
          <w:p>
            <w:pPr>
              <w:spacing w:line="300" w:lineRule="exact"/>
              <w:ind w:firstLine="0" w:firstLineChars="0"/>
              <w:jc w:val="center"/>
              <w:rPr>
                <w:sz w:val="21"/>
                <w:szCs w:val="21"/>
              </w:rPr>
            </w:pPr>
            <w:r>
              <w:rPr>
                <w:sz w:val="21"/>
                <w:szCs w:val="21"/>
              </w:rPr>
              <w:t>Ⅲ</w:t>
            </w:r>
          </w:p>
        </w:tc>
        <w:tc>
          <w:tcPr>
            <w:tcW w:w="2886" w:type="dxa"/>
            <w:vAlign w:val="center"/>
          </w:tcPr>
          <w:p>
            <w:pPr>
              <w:spacing w:line="300" w:lineRule="exact"/>
              <w:ind w:firstLine="0" w:firstLineChars="0"/>
              <w:jc w:val="left"/>
              <w:rPr>
                <w:sz w:val="21"/>
                <w:szCs w:val="21"/>
              </w:rPr>
            </w:pPr>
            <w:r>
              <w:rPr>
                <w:sz w:val="21"/>
                <w:szCs w:val="21"/>
              </w:rPr>
              <w:t>1）严禁设备、管线超压工作，定期对设备和管线进行检查。</w:t>
            </w:r>
          </w:p>
          <w:p>
            <w:pPr>
              <w:spacing w:line="300" w:lineRule="exact"/>
              <w:ind w:firstLine="0" w:firstLineChars="0"/>
              <w:jc w:val="left"/>
              <w:rPr>
                <w:sz w:val="21"/>
                <w:szCs w:val="21"/>
              </w:rPr>
            </w:pPr>
            <w:r>
              <w:rPr>
                <w:sz w:val="21"/>
                <w:szCs w:val="21"/>
              </w:rPr>
              <w:t>2）定期检查、校验安全阀和压力表。</w:t>
            </w:r>
          </w:p>
          <w:p>
            <w:pPr>
              <w:spacing w:line="300" w:lineRule="exact"/>
              <w:ind w:firstLine="0" w:firstLineChars="0"/>
              <w:jc w:val="left"/>
              <w:rPr>
                <w:sz w:val="21"/>
                <w:szCs w:val="21"/>
              </w:rPr>
            </w:pPr>
            <w:r>
              <w:rPr>
                <w:sz w:val="21"/>
                <w:szCs w:val="21"/>
              </w:rPr>
              <w:t>3）井场严禁烟火。</w:t>
            </w:r>
          </w:p>
          <w:p>
            <w:pPr>
              <w:spacing w:line="300" w:lineRule="exact"/>
              <w:ind w:firstLine="0" w:firstLineChars="0"/>
              <w:jc w:val="left"/>
              <w:rPr>
                <w:sz w:val="21"/>
                <w:szCs w:val="21"/>
              </w:rPr>
            </w:pPr>
            <w:r>
              <w:rPr>
                <w:sz w:val="21"/>
                <w:szCs w:val="21"/>
              </w:rPr>
              <w:t>4）严格爆炸性物品的管理。</w:t>
            </w:r>
          </w:p>
          <w:p>
            <w:pPr>
              <w:spacing w:line="300" w:lineRule="exact"/>
              <w:ind w:firstLine="0" w:firstLineChars="0"/>
              <w:jc w:val="left"/>
              <w:rPr>
                <w:sz w:val="21"/>
                <w:szCs w:val="21"/>
              </w:rPr>
            </w:pPr>
            <w:r>
              <w:rPr>
                <w:sz w:val="21"/>
                <w:szCs w:val="21"/>
              </w:rPr>
              <w:t>5）定期进行设备、管线的腐蚀检测，及时检修和更换。</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spacing w:line="300" w:lineRule="exact"/>
              <w:ind w:firstLine="0" w:firstLineChars="0"/>
              <w:jc w:val="center"/>
              <w:rPr>
                <w:sz w:val="21"/>
                <w:szCs w:val="21"/>
              </w:rPr>
            </w:pPr>
            <w:r>
              <w:rPr>
                <w:sz w:val="21"/>
                <w:szCs w:val="21"/>
              </w:rPr>
              <w:t>4</w:t>
            </w:r>
          </w:p>
        </w:tc>
        <w:tc>
          <w:tcPr>
            <w:tcW w:w="824" w:type="dxa"/>
            <w:vAlign w:val="center"/>
          </w:tcPr>
          <w:p>
            <w:pPr>
              <w:spacing w:line="300" w:lineRule="exact"/>
              <w:ind w:firstLine="0" w:firstLineChars="0"/>
              <w:jc w:val="center"/>
              <w:rPr>
                <w:sz w:val="21"/>
                <w:szCs w:val="21"/>
              </w:rPr>
            </w:pPr>
            <w:r>
              <w:rPr>
                <w:sz w:val="21"/>
                <w:szCs w:val="21"/>
              </w:rPr>
              <w:t>中毒和窒息</w:t>
            </w:r>
          </w:p>
        </w:tc>
        <w:tc>
          <w:tcPr>
            <w:tcW w:w="2871" w:type="dxa"/>
            <w:vAlign w:val="center"/>
          </w:tcPr>
          <w:p>
            <w:pPr>
              <w:spacing w:line="300" w:lineRule="exact"/>
              <w:ind w:firstLine="0" w:firstLineChars="0"/>
              <w:jc w:val="left"/>
              <w:rPr>
                <w:sz w:val="21"/>
                <w:szCs w:val="21"/>
              </w:rPr>
            </w:pPr>
            <w:r>
              <w:rPr>
                <w:sz w:val="21"/>
                <w:szCs w:val="21"/>
              </w:rPr>
              <w:t>1）油气大量泄漏蒸发。</w:t>
            </w:r>
          </w:p>
          <w:p>
            <w:pPr>
              <w:spacing w:line="300" w:lineRule="exact"/>
              <w:ind w:firstLine="0" w:firstLineChars="0"/>
              <w:jc w:val="left"/>
              <w:rPr>
                <w:sz w:val="21"/>
                <w:szCs w:val="21"/>
              </w:rPr>
            </w:pPr>
            <w:r>
              <w:rPr>
                <w:sz w:val="21"/>
                <w:szCs w:val="21"/>
              </w:rPr>
              <w:t>2）现场人员没有配备相应的防护设备。</w:t>
            </w:r>
          </w:p>
        </w:tc>
        <w:tc>
          <w:tcPr>
            <w:tcW w:w="806" w:type="dxa"/>
            <w:vAlign w:val="center"/>
          </w:tcPr>
          <w:p>
            <w:pPr>
              <w:spacing w:line="300" w:lineRule="exact"/>
              <w:ind w:firstLine="0" w:firstLineChars="0"/>
              <w:jc w:val="center"/>
              <w:rPr>
                <w:sz w:val="21"/>
                <w:szCs w:val="21"/>
              </w:rPr>
            </w:pPr>
            <w:r>
              <w:rPr>
                <w:sz w:val="21"/>
                <w:szCs w:val="21"/>
              </w:rPr>
              <w:t>人员</w:t>
            </w:r>
          </w:p>
          <w:p>
            <w:pPr>
              <w:spacing w:line="300" w:lineRule="exact"/>
              <w:ind w:firstLine="0" w:firstLineChars="0"/>
              <w:jc w:val="center"/>
              <w:rPr>
                <w:sz w:val="21"/>
                <w:szCs w:val="21"/>
              </w:rPr>
            </w:pPr>
            <w:r>
              <w:rPr>
                <w:sz w:val="21"/>
                <w:szCs w:val="21"/>
              </w:rPr>
              <w:t>伤亡</w:t>
            </w:r>
          </w:p>
        </w:tc>
        <w:tc>
          <w:tcPr>
            <w:tcW w:w="709" w:type="dxa"/>
            <w:vAlign w:val="center"/>
          </w:tcPr>
          <w:p>
            <w:pPr>
              <w:spacing w:line="300" w:lineRule="exact"/>
              <w:ind w:firstLine="0" w:firstLineChars="0"/>
              <w:jc w:val="center"/>
              <w:rPr>
                <w:sz w:val="21"/>
                <w:szCs w:val="21"/>
              </w:rPr>
            </w:pPr>
            <w:r>
              <w:rPr>
                <w:sz w:val="21"/>
                <w:szCs w:val="21"/>
              </w:rPr>
              <w:t>Ⅱ</w:t>
            </w:r>
          </w:p>
        </w:tc>
        <w:tc>
          <w:tcPr>
            <w:tcW w:w="2886" w:type="dxa"/>
            <w:vAlign w:val="center"/>
          </w:tcPr>
          <w:p>
            <w:pPr>
              <w:spacing w:line="300" w:lineRule="exact"/>
              <w:ind w:firstLine="0" w:firstLineChars="0"/>
              <w:jc w:val="left"/>
              <w:rPr>
                <w:sz w:val="21"/>
                <w:szCs w:val="21"/>
              </w:rPr>
            </w:pPr>
            <w:r>
              <w:rPr>
                <w:sz w:val="21"/>
                <w:szCs w:val="21"/>
              </w:rPr>
              <w:t>1）严格和明确油气泄漏后的应急措施和应急演练。</w:t>
            </w:r>
          </w:p>
          <w:p>
            <w:pPr>
              <w:spacing w:line="300" w:lineRule="exact"/>
              <w:ind w:firstLine="0" w:firstLineChars="0"/>
              <w:jc w:val="left"/>
              <w:rPr>
                <w:sz w:val="21"/>
                <w:szCs w:val="21"/>
              </w:rPr>
            </w:pPr>
            <w:r>
              <w:rPr>
                <w:sz w:val="21"/>
                <w:szCs w:val="21"/>
              </w:rPr>
              <w:t>2）加强操作人负的安全防护。</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spacing w:line="300" w:lineRule="exact"/>
              <w:ind w:firstLine="0" w:firstLineChars="0"/>
              <w:jc w:val="center"/>
              <w:rPr>
                <w:sz w:val="21"/>
                <w:szCs w:val="21"/>
              </w:rPr>
            </w:pPr>
            <w:r>
              <w:rPr>
                <w:sz w:val="21"/>
                <w:szCs w:val="21"/>
              </w:rPr>
              <w:t>5</w:t>
            </w:r>
          </w:p>
        </w:tc>
        <w:tc>
          <w:tcPr>
            <w:tcW w:w="824" w:type="dxa"/>
            <w:vAlign w:val="center"/>
          </w:tcPr>
          <w:p>
            <w:pPr>
              <w:spacing w:line="300" w:lineRule="exact"/>
              <w:ind w:firstLine="0" w:firstLineChars="0"/>
              <w:jc w:val="center"/>
              <w:rPr>
                <w:sz w:val="21"/>
                <w:szCs w:val="21"/>
              </w:rPr>
            </w:pPr>
            <w:r>
              <w:rPr>
                <w:sz w:val="21"/>
                <w:szCs w:val="21"/>
              </w:rPr>
              <w:t>高处坠落</w:t>
            </w:r>
          </w:p>
        </w:tc>
        <w:tc>
          <w:tcPr>
            <w:tcW w:w="2871" w:type="dxa"/>
            <w:vAlign w:val="center"/>
          </w:tcPr>
          <w:p>
            <w:pPr>
              <w:spacing w:line="300" w:lineRule="exact"/>
              <w:ind w:firstLine="0" w:firstLineChars="0"/>
              <w:jc w:val="left"/>
              <w:rPr>
                <w:sz w:val="21"/>
                <w:szCs w:val="21"/>
              </w:rPr>
            </w:pPr>
            <w:r>
              <w:rPr>
                <w:sz w:val="21"/>
                <w:szCs w:val="21"/>
              </w:rPr>
              <w:t>1）安全防护不合适。</w:t>
            </w:r>
          </w:p>
          <w:p>
            <w:pPr>
              <w:spacing w:line="300" w:lineRule="exact"/>
              <w:ind w:firstLine="0" w:firstLineChars="0"/>
              <w:jc w:val="left"/>
              <w:rPr>
                <w:sz w:val="21"/>
                <w:szCs w:val="21"/>
              </w:rPr>
            </w:pPr>
            <w:r>
              <w:rPr>
                <w:sz w:val="21"/>
                <w:szCs w:val="21"/>
              </w:rPr>
              <w:t>2）安全措施不到位。</w:t>
            </w:r>
          </w:p>
          <w:p>
            <w:pPr>
              <w:spacing w:line="300" w:lineRule="exact"/>
              <w:ind w:firstLine="0" w:firstLineChars="0"/>
              <w:jc w:val="left"/>
              <w:rPr>
                <w:sz w:val="21"/>
                <w:szCs w:val="21"/>
              </w:rPr>
            </w:pPr>
            <w:r>
              <w:rPr>
                <w:sz w:val="21"/>
                <w:szCs w:val="21"/>
              </w:rPr>
              <w:t>3）作业人员违规操作。</w:t>
            </w:r>
          </w:p>
        </w:tc>
        <w:tc>
          <w:tcPr>
            <w:tcW w:w="806" w:type="dxa"/>
            <w:vAlign w:val="center"/>
          </w:tcPr>
          <w:p>
            <w:pPr>
              <w:spacing w:line="300" w:lineRule="exact"/>
              <w:ind w:firstLine="0" w:firstLineChars="0"/>
              <w:jc w:val="center"/>
              <w:rPr>
                <w:sz w:val="21"/>
                <w:szCs w:val="21"/>
              </w:rPr>
            </w:pPr>
            <w:r>
              <w:rPr>
                <w:sz w:val="21"/>
                <w:szCs w:val="21"/>
              </w:rPr>
              <w:t>人员</w:t>
            </w:r>
          </w:p>
          <w:p>
            <w:pPr>
              <w:spacing w:line="300" w:lineRule="exact"/>
              <w:ind w:firstLine="0" w:firstLineChars="0"/>
              <w:jc w:val="center"/>
              <w:rPr>
                <w:sz w:val="21"/>
                <w:szCs w:val="21"/>
              </w:rPr>
            </w:pPr>
            <w:r>
              <w:rPr>
                <w:sz w:val="21"/>
                <w:szCs w:val="21"/>
              </w:rPr>
              <w:t>伤亡</w:t>
            </w:r>
          </w:p>
        </w:tc>
        <w:tc>
          <w:tcPr>
            <w:tcW w:w="709" w:type="dxa"/>
            <w:vAlign w:val="center"/>
          </w:tcPr>
          <w:p>
            <w:pPr>
              <w:spacing w:line="300" w:lineRule="exact"/>
              <w:ind w:firstLine="0" w:firstLineChars="0"/>
              <w:jc w:val="center"/>
              <w:rPr>
                <w:sz w:val="21"/>
                <w:szCs w:val="21"/>
              </w:rPr>
            </w:pPr>
            <w:r>
              <w:rPr>
                <w:sz w:val="21"/>
                <w:szCs w:val="21"/>
              </w:rPr>
              <w:t>Ⅱ</w:t>
            </w:r>
          </w:p>
        </w:tc>
        <w:tc>
          <w:tcPr>
            <w:tcW w:w="2886" w:type="dxa"/>
            <w:vAlign w:val="center"/>
          </w:tcPr>
          <w:p>
            <w:pPr>
              <w:spacing w:line="300" w:lineRule="exact"/>
              <w:ind w:firstLine="0" w:firstLineChars="0"/>
              <w:jc w:val="left"/>
              <w:rPr>
                <w:sz w:val="21"/>
                <w:szCs w:val="21"/>
              </w:rPr>
            </w:pPr>
            <w:r>
              <w:rPr>
                <w:sz w:val="21"/>
                <w:szCs w:val="21"/>
              </w:rPr>
              <w:t>1）严格高处作业安全操作规程。</w:t>
            </w:r>
          </w:p>
          <w:p>
            <w:pPr>
              <w:spacing w:line="300" w:lineRule="exact"/>
              <w:ind w:firstLine="0" w:firstLineChars="0"/>
              <w:jc w:val="left"/>
              <w:rPr>
                <w:sz w:val="21"/>
                <w:szCs w:val="21"/>
              </w:rPr>
            </w:pPr>
            <w:r>
              <w:rPr>
                <w:sz w:val="21"/>
                <w:szCs w:val="21"/>
              </w:rPr>
              <w:t>2）穿带好必备的劳动防护用品。</w:t>
            </w:r>
          </w:p>
          <w:p>
            <w:pPr>
              <w:spacing w:line="300" w:lineRule="exact"/>
              <w:ind w:firstLine="0" w:firstLineChars="0"/>
              <w:jc w:val="left"/>
              <w:rPr>
                <w:sz w:val="21"/>
                <w:szCs w:val="21"/>
              </w:rPr>
            </w:pPr>
            <w:r>
              <w:rPr>
                <w:sz w:val="21"/>
                <w:szCs w:val="21"/>
              </w:rPr>
              <w:t>3）定期检查维修安全措施，查找和改进不安全的因素</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spacing w:line="300" w:lineRule="exact"/>
              <w:ind w:firstLine="0" w:firstLineChars="0"/>
              <w:jc w:val="center"/>
              <w:rPr>
                <w:sz w:val="21"/>
                <w:szCs w:val="21"/>
              </w:rPr>
            </w:pPr>
            <w:r>
              <w:rPr>
                <w:sz w:val="21"/>
                <w:szCs w:val="21"/>
              </w:rPr>
              <w:t>7</w:t>
            </w:r>
          </w:p>
        </w:tc>
        <w:tc>
          <w:tcPr>
            <w:tcW w:w="824" w:type="dxa"/>
            <w:vAlign w:val="center"/>
          </w:tcPr>
          <w:p>
            <w:pPr>
              <w:spacing w:line="300" w:lineRule="exact"/>
              <w:ind w:firstLine="0" w:firstLineChars="0"/>
              <w:jc w:val="center"/>
              <w:rPr>
                <w:sz w:val="21"/>
                <w:szCs w:val="21"/>
              </w:rPr>
            </w:pPr>
            <w:r>
              <w:rPr>
                <w:sz w:val="21"/>
                <w:szCs w:val="21"/>
              </w:rPr>
              <w:t>物体打击</w:t>
            </w:r>
          </w:p>
        </w:tc>
        <w:tc>
          <w:tcPr>
            <w:tcW w:w="2871" w:type="dxa"/>
            <w:vAlign w:val="center"/>
          </w:tcPr>
          <w:p>
            <w:pPr>
              <w:spacing w:line="300" w:lineRule="exact"/>
              <w:ind w:firstLine="0" w:firstLineChars="0"/>
              <w:jc w:val="left"/>
              <w:rPr>
                <w:sz w:val="21"/>
                <w:szCs w:val="21"/>
              </w:rPr>
            </w:pPr>
            <w:r>
              <w:rPr>
                <w:sz w:val="21"/>
                <w:szCs w:val="21"/>
              </w:rPr>
              <w:t>1）违章带压操作，设备零部件飞出伤人。</w:t>
            </w:r>
          </w:p>
          <w:p>
            <w:pPr>
              <w:spacing w:line="300" w:lineRule="exact"/>
              <w:ind w:firstLine="0" w:firstLineChars="0"/>
              <w:jc w:val="left"/>
              <w:rPr>
                <w:sz w:val="21"/>
                <w:szCs w:val="21"/>
              </w:rPr>
            </w:pPr>
            <w:r>
              <w:rPr>
                <w:sz w:val="21"/>
                <w:szCs w:val="21"/>
              </w:rPr>
              <w:t>2）操作不规范或不按操作规程进行操作等。</w:t>
            </w:r>
          </w:p>
          <w:p>
            <w:pPr>
              <w:spacing w:line="300" w:lineRule="exact"/>
              <w:ind w:firstLine="0" w:firstLineChars="0"/>
              <w:jc w:val="left"/>
              <w:rPr>
                <w:sz w:val="21"/>
                <w:szCs w:val="21"/>
              </w:rPr>
            </w:pPr>
            <w:r>
              <w:rPr>
                <w:sz w:val="21"/>
                <w:szCs w:val="21"/>
              </w:rPr>
              <w:t>3）高空落物。</w:t>
            </w:r>
          </w:p>
        </w:tc>
        <w:tc>
          <w:tcPr>
            <w:tcW w:w="806" w:type="dxa"/>
            <w:vAlign w:val="center"/>
          </w:tcPr>
          <w:p>
            <w:pPr>
              <w:spacing w:line="300" w:lineRule="exact"/>
              <w:ind w:firstLine="0" w:firstLineChars="0"/>
              <w:jc w:val="center"/>
              <w:rPr>
                <w:sz w:val="21"/>
                <w:szCs w:val="21"/>
              </w:rPr>
            </w:pPr>
            <w:r>
              <w:rPr>
                <w:sz w:val="21"/>
                <w:szCs w:val="21"/>
              </w:rPr>
              <w:t>设备</w:t>
            </w:r>
          </w:p>
          <w:p>
            <w:pPr>
              <w:spacing w:line="300" w:lineRule="exact"/>
              <w:ind w:firstLine="0" w:firstLineChars="0"/>
              <w:jc w:val="center"/>
              <w:rPr>
                <w:sz w:val="21"/>
                <w:szCs w:val="21"/>
              </w:rPr>
            </w:pPr>
            <w:r>
              <w:rPr>
                <w:sz w:val="21"/>
                <w:szCs w:val="21"/>
              </w:rPr>
              <w:t>损坏</w:t>
            </w:r>
          </w:p>
          <w:p>
            <w:pPr>
              <w:spacing w:line="300" w:lineRule="exact"/>
              <w:ind w:firstLine="0" w:firstLineChars="0"/>
              <w:jc w:val="center"/>
              <w:rPr>
                <w:sz w:val="21"/>
                <w:szCs w:val="21"/>
              </w:rPr>
            </w:pPr>
            <w:r>
              <w:rPr>
                <w:sz w:val="21"/>
                <w:szCs w:val="21"/>
              </w:rPr>
              <w:t>人员</w:t>
            </w:r>
          </w:p>
          <w:p>
            <w:pPr>
              <w:spacing w:line="300" w:lineRule="exact"/>
              <w:ind w:firstLine="0" w:firstLineChars="0"/>
              <w:jc w:val="center"/>
              <w:rPr>
                <w:sz w:val="21"/>
                <w:szCs w:val="21"/>
              </w:rPr>
            </w:pPr>
            <w:r>
              <w:rPr>
                <w:sz w:val="21"/>
                <w:szCs w:val="21"/>
              </w:rPr>
              <w:t>伤亡</w:t>
            </w:r>
          </w:p>
        </w:tc>
        <w:tc>
          <w:tcPr>
            <w:tcW w:w="709" w:type="dxa"/>
            <w:vAlign w:val="center"/>
          </w:tcPr>
          <w:p>
            <w:pPr>
              <w:spacing w:line="300" w:lineRule="exact"/>
              <w:ind w:firstLine="0" w:firstLineChars="0"/>
              <w:jc w:val="center"/>
              <w:rPr>
                <w:sz w:val="21"/>
                <w:szCs w:val="21"/>
              </w:rPr>
            </w:pPr>
            <w:r>
              <w:rPr>
                <w:sz w:val="21"/>
                <w:szCs w:val="21"/>
              </w:rPr>
              <w:t>Ⅱ</w:t>
            </w:r>
          </w:p>
        </w:tc>
        <w:tc>
          <w:tcPr>
            <w:tcW w:w="2886" w:type="dxa"/>
            <w:vAlign w:val="center"/>
          </w:tcPr>
          <w:p>
            <w:pPr>
              <w:spacing w:line="300" w:lineRule="exact"/>
              <w:ind w:firstLine="0" w:firstLineChars="0"/>
              <w:jc w:val="left"/>
              <w:rPr>
                <w:sz w:val="21"/>
                <w:szCs w:val="21"/>
              </w:rPr>
            </w:pPr>
            <w:r>
              <w:rPr>
                <w:sz w:val="21"/>
                <w:szCs w:val="21"/>
              </w:rPr>
              <w:t>1）严格操作规程。</w:t>
            </w:r>
          </w:p>
          <w:p>
            <w:pPr>
              <w:spacing w:line="300" w:lineRule="exact"/>
              <w:ind w:firstLine="0" w:firstLineChars="0"/>
              <w:jc w:val="left"/>
              <w:rPr>
                <w:sz w:val="21"/>
                <w:szCs w:val="21"/>
              </w:rPr>
            </w:pPr>
            <w:r>
              <w:rPr>
                <w:sz w:val="21"/>
                <w:szCs w:val="21"/>
              </w:rPr>
              <w:t>2）穿带好必备的劳动防护用品。</w:t>
            </w:r>
          </w:p>
          <w:p>
            <w:pPr>
              <w:spacing w:line="300" w:lineRule="exact"/>
              <w:ind w:firstLine="0" w:firstLineChars="0"/>
              <w:jc w:val="left"/>
              <w:rPr>
                <w:sz w:val="21"/>
                <w:szCs w:val="21"/>
              </w:rPr>
            </w:pPr>
            <w:r>
              <w:rPr>
                <w:sz w:val="21"/>
                <w:szCs w:val="21"/>
              </w:rPr>
              <w:t>3）定期及时检查和维修设备，尤其是承压部件的牢靠性。</w:t>
            </w:r>
          </w:p>
          <w:p>
            <w:pPr>
              <w:spacing w:line="300" w:lineRule="exact"/>
              <w:ind w:firstLine="0" w:firstLineChars="0"/>
              <w:jc w:val="left"/>
              <w:rPr>
                <w:sz w:val="21"/>
                <w:szCs w:val="21"/>
              </w:rPr>
            </w:pPr>
            <w:r>
              <w:rPr>
                <w:sz w:val="21"/>
                <w:szCs w:val="21"/>
              </w:rPr>
              <w:t>4）严格、明确应急措施。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spacing w:line="300" w:lineRule="exact"/>
              <w:ind w:firstLine="0" w:firstLineChars="0"/>
              <w:jc w:val="center"/>
              <w:rPr>
                <w:sz w:val="21"/>
                <w:szCs w:val="21"/>
              </w:rPr>
            </w:pPr>
            <w:r>
              <w:rPr>
                <w:sz w:val="21"/>
                <w:szCs w:val="21"/>
              </w:rPr>
              <w:t>8</w:t>
            </w:r>
          </w:p>
        </w:tc>
        <w:tc>
          <w:tcPr>
            <w:tcW w:w="824" w:type="dxa"/>
            <w:vAlign w:val="center"/>
          </w:tcPr>
          <w:p>
            <w:pPr>
              <w:spacing w:line="300" w:lineRule="exact"/>
              <w:ind w:firstLine="0" w:firstLineChars="0"/>
              <w:jc w:val="center"/>
              <w:rPr>
                <w:sz w:val="21"/>
                <w:szCs w:val="21"/>
              </w:rPr>
            </w:pPr>
            <w:r>
              <w:rPr>
                <w:sz w:val="21"/>
                <w:szCs w:val="21"/>
              </w:rPr>
              <w:t>触电及电气火灾</w:t>
            </w:r>
          </w:p>
        </w:tc>
        <w:tc>
          <w:tcPr>
            <w:tcW w:w="2871" w:type="dxa"/>
            <w:vAlign w:val="center"/>
          </w:tcPr>
          <w:p>
            <w:pPr>
              <w:spacing w:line="300" w:lineRule="exact"/>
              <w:ind w:firstLine="0" w:firstLineChars="0"/>
              <w:jc w:val="left"/>
              <w:rPr>
                <w:sz w:val="21"/>
                <w:szCs w:val="21"/>
              </w:rPr>
            </w:pPr>
            <w:r>
              <w:rPr>
                <w:sz w:val="21"/>
                <w:szCs w:val="21"/>
              </w:rPr>
              <w:t>1）井场用电线路架设、布置不合理。</w:t>
            </w:r>
          </w:p>
          <w:p>
            <w:pPr>
              <w:spacing w:line="300" w:lineRule="exact"/>
              <w:ind w:firstLine="0" w:firstLineChars="0"/>
              <w:jc w:val="left"/>
              <w:rPr>
                <w:sz w:val="21"/>
                <w:szCs w:val="21"/>
              </w:rPr>
            </w:pPr>
            <w:r>
              <w:rPr>
                <w:sz w:val="21"/>
                <w:szCs w:val="21"/>
              </w:rPr>
              <w:t>2）线路绝缘不良。</w:t>
            </w:r>
          </w:p>
          <w:p>
            <w:pPr>
              <w:spacing w:line="300" w:lineRule="exact"/>
              <w:ind w:firstLine="0" w:firstLineChars="0"/>
              <w:jc w:val="left"/>
              <w:rPr>
                <w:sz w:val="21"/>
                <w:szCs w:val="21"/>
              </w:rPr>
            </w:pPr>
            <w:r>
              <w:rPr>
                <w:sz w:val="21"/>
                <w:szCs w:val="21"/>
              </w:rPr>
              <w:t>3）用电设备接地不良。</w:t>
            </w:r>
          </w:p>
          <w:p>
            <w:pPr>
              <w:spacing w:line="300" w:lineRule="exact"/>
              <w:ind w:firstLine="0" w:firstLineChars="0"/>
              <w:jc w:val="left"/>
              <w:rPr>
                <w:sz w:val="21"/>
                <w:szCs w:val="21"/>
              </w:rPr>
            </w:pPr>
            <w:r>
              <w:rPr>
                <w:sz w:val="21"/>
                <w:szCs w:val="21"/>
              </w:rPr>
              <w:t>4）作业工操作不当或违章操作。</w:t>
            </w:r>
          </w:p>
          <w:p>
            <w:pPr>
              <w:spacing w:line="300" w:lineRule="exact"/>
              <w:ind w:firstLine="0" w:firstLineChars="0"/>
              <w:jc w:val="left"/>
              <w:rPr>
                <w:sz w:val="21"/>
                <w:szCs w:val="21"/>
              </w:rPr>
            </w:pPr>
            <w:r>
              <w:rPr>
                <w:sz w:val="21"/>
                <w:szCs w:val="21"/>
              </w:rPr>
              <w:t>5）电气过载运行，接触不良、散热不良等。</w:t>
            </w:r>
          </w:p>
        </w:tc>
        <w:tc>
          <w:tcPr>
            <w:tcW w:w="806" w:type="dxa"/>
            <w:vAlign w:val="center"/>
          </w:tcPr>
          <w:p>
            <w:pPr>
              <w:spacing w:line="300" w:lineRule="exact"/>
              <w:ind w:firstLine="0" w:firstLineChars="0"/>
              <w:jc w:val="center"/>
              <w:rPr>
                <w:sz w:val="21"/>
                <w:szCs w:val="21"/>
              </w:rPr>
            </w:pPr>
            <w:r>
              <w:rPr>
                <w:sz w:val="21"/>
                <w:szCs w:val="21"/>
              </w:rPr>
              <w:t>人员</w:t>
            </w:r>
          </w:p>
          <w:p>
            <w:pPr>
              <w:spacing w:line="300" w:lineRule="exact"/>
              <w:ind w:firstLine="0" w:firstLineChars="0"/>
              <w:jc w:val="center"/>
              <w:rPr>
                <w:sz w:val="21"/>
                <w:szCs w:val="21"/>
              </w:rPr>
            </w:pPr>
            <w:r>
              <w:rPr>
                <w:sz w:val="21"/>
                <w:szCs w:val="21"/>
              </w:rPr>
              <w:t>伤亡</w:t>
            </w:r>
          </w:p>
        </w:tc>
        <w:tc>
          <w:tcPr>
            <w:tcW w:w="709" w:type="dxa"/>
            <w:vAlign w:val="center"/>
          </w:tcPr>
          <w:p>
            <w:pPr>
              <w:spacing w:line="300" w:lineRule="exact"/>
              <w:ind w:firstLine="0" w:firstLineChars="0"/>
              <w:jc w:val="center"/>
              <w:rPr>
                <w:sz w:val="21"/>
                <w:szCs w:val="21"/>
              </w:rPr>
            </w:pPr>
            <w:r>
              <w:rPr>
                <w:sz w:val="21"/>
                <w:szCs w:val="21"/>
              </w:rPr>
              <w:t>Ⅱ</w:t>
            </w:r>
          </w:p>
        </w:tc>
        <w:tc>
          <w:tcPr>
            <w:tcW w:w="2886" w:type="dxa"/>
            <w:vAlign w:val="center"/>
          </w:tcPr>
          <w:p>
            <w:pPr>
              <w:spacing w:line="300" w:lineRule="exact"/>
              <w:ind w:firstLine="0" w:firstLineChars="0"/>
              <w:jc w:val="left"/>
              <w:rPr>
                <w:sz w:val="21"/>
                <w:szCs w:val="21"/>
              </w:rPr>
            </w:pPr>
            <w:r>
              <w:rPr>
                <w:sz w:val="21"/>
                <w:szCs w:val="21"/>
              </w:rPr>
              <w:t>1）合理架设布置用电线路。 2）用线使用正规线。</w:t>
            </w:r>
          </w:p>
          <w:p>
            <w:pPr>
              <w:spacing w:line="300" w:lineRule="exact"/>
              <w:ind w:firstLine="0" w:firstLineChars="0"/>
              <w:jc w:val="left"/>
              <w:rPr>
                <w:sz w:val="21"/>
                <w:szCs w:val="21"/>
              </w:rPr>
            </w:pPr>
            <w:r>
              <w:rPr>
                <w:sz w:val="21"/>
                <w:szCs w:val="21"/>
              </w:rPr>
              <w:t>3）设立触电保护器等保护装置。</w:t>
            </w:r>
          </w:p>
          <w:p>
            <w:pPr>
              <w:spacing w:line="300" w:lineRule="exact"/>
              <w:ind w:firstLine="0" w:firstLineChars="0"/>
              <w:jc w:val="left"/>
              <w:rPr>
                <w:sz w:val="21"/>
                <w:szCs w:val="21"/>
              </w:rPr>
            </w:pPr>
            <w:r>
              <w:rPr>
                <w:sz w:val="21"/>
                <w:szCs w:val="21"/>
              </w:rPr>
              <w:t>4）及时检修电气线路，礁保线路的接地、绝缘良好。</w:t>
            </w:r>
          </w:p>
          <w:p>
            <w:pPr>
              <w:spacing w:line="300" w:lineRule="exact"/>
              <w:ind w:firstLine="0" w:firstLineChars="0"/>
              <w:jc w:val="left"/>
              <w:rPr>
                <w:sz w:val="21"/>
                <w:szCs w:val="21"/>
              </w:rPr>
            </w:pPr>
            <w:r>
              <w:rPr>
                <w:sz w:val="21"/>
                <w:szCs w:val="21"/>
              </w:rPr>
              <w:t>5）电气设备加装过载保护，定期检查电气设备和电气线路，确保接触、散热良好，可能发生电气火灾周围严禁堆放可燃物。</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spacing w:line="300" w:lineRule="exact"/>
              <w:ind w:firstLine="0" w:firstLineChars="0"/>
              <w:jc w:val="center"/>
              <w:rPr>
                <w:sz w:val="21"/>
                <w:szCs w:val="21"/>
              </w:rPr>
            </w:pPr>
            <w:r>
              <w:rPr>
                <w:sz w:val="21"/>
                <w:szCs w:val="21"/>
              </w:rPr>
              <w:t>9</w:t>
            </w:r>
          </w:p>
        </w:tc>
        <w:tc>
          <w:tcPr>
            <w:tcW w:w="824" w:type="dxa"/>
            <w:vAlign w:val="center"/>
          </w:tcPr>
          <w:p>
            <w:pPr>
              <w:spacing w:line="300" w:lineRule="exact"/>
              <w:ind w:firstLine="0" w:firstLineChars="0"/>
              <w:jc w:val="center"/>
              <w:rPr>
                <w:sz w:val="21"/>
                <w:szCs w:val="21"/>
              </w:rPr>
            </w:pPr>
            <w:r>
              <w:rPr>
                <w:sz w:val="21"/>
                <w:szCs w:val="21"/>
              </w:rPr>
              <w:t>起重伤害</w:t>
            </w:r>
          </w:p>
        </w:tc>
        <w:tc>
          <w:tcPr>
            <w:tcW w:w="2871" w:type="dxa"/>
            <w:vAlign w:val="center"/>
          </w:tcPr>
          <w:p>
            <w:pPr>
              <w:spacing w:line="300" w:lineRule="exact"/>
              <w:ind w:firstLine="0" w:firstLineChars="0"/>
              <w:jc w:val="left"/>
              <w:rPr>
                <w:sz w:val="21"/>
                <w:szCs w:val="21"/>
              </w:rPr>
            </w:pPr>
            <w:r>
              <w:rPr>
                <w:sz w:val="21"/>
                <w:szCs w:val="21"/>
              </w:rPr>
              <w:t>1）违章作业、违章指挥。</w:t>
            </w:r>
          </w:p>
          <w:p>
            <w:pPr>
              <w:spacing w:line="300" w:lineRule="exact"/>
              <w:ind w:firstLine="0" w:firstLineChars="0"/>
              <w:jc w:val="left"/>
              <w:rPr>
                <w:sz w:val="21"/>
                <w:szCs w:val="21"/>
              </w:rPr>
            </w:pPr>
            <w:r>
              <w:rPr>
                <w:sz w:val="21"/>
                <w:szCs w:val="21"/>
              </w:rPr>
              <w:t>2）设备故障。</w:t>
            </w:r>
          </w:p>
        </w:tc>
        <w:tc>
          <w:tcPr>
            <w:tcW w:w="806" w:type="dxa"/>
            <w:vAlign w:val="center"/>
          </w:tcPr>
          <w:p>
            <w:pPr>
              <w:spacing w:line="300" w:lineRule="exact"/>
              <w:ind w:firstLine="0" w:firstLineChars="0"/>
              <w:jc w:val="center"/>
              <w:rPr>
                <w:sz w:val="21"/>
                <w:szCs w:val="21"/>
              </w:rPr>
            </w:pPr>
            <w:r>
              <w:rPr>
                <w:sz w:val="21"/>
                <w:szCs w:val="21"/>
              </w:rPr>
              <w:t>设备</w:t>
            </w:r>
          </w:p>
          <w:p>
            <w:pPr>
              <w:spacing w:line="300" w:lineRule="exact"/>
              <w:ind w:firstLine="0" w:firstLineChars="0"/>
              <w:jc w:val="center"/>
              <w:rPr>
                <w:sz w:val="21"/>
                <w:szCs w:val="21"/>
              </w:rPr>
            </w:pPr>
            <w:r>
              <w:rPr>
                <w:sz w:val="21"/>
                <w:szCs w:val="21"/>
              </w:rPr>
              <w:t>损坏</w:t>
            </w:r>
          </w:p>
          <w:p>
            <w:pPr>
              <w:spacing w:line="300" w:lineRule="exact"/>
              <w:ind w:firstLine="0" w:firstLineChars="0"/>
              <w:jc w:val="center"/>
              <w:rPr>
                <w:sz w:val="21"/>
                <w:szCs w:val="21"/>
              </w:rPr>
            </w:pPr>
            <w:r>
              <w:rPr>
                <w:sz w:val="21"/>
                <w:szCs w:val="21"/>
              </w:rPr>
              <w:t>人员</w:t>
            </w:r>
          </w:p>
          <w:p>
            <w:pPr>
              <w:spacing w:line="300" w:lineRule="exact"/>
              <w:ind w:firstLine="0" w:firstLineChars="0"/>
              <w:jc w:val="center"/>
              <w:rPr>
                <w:sz w:val="21"/>
                <w:szCs w:val="21"/>
              </w:rPr>
            </w:pPr>
            <w:r>
              <w:rPr>
                <w:sz w:val="21"/>
                <w:szCs w:val="21"/>
              </w:rPr>
              <w:t>伤亡</w:t>
            </w:r>
          </w:p>
        </w:tc>
        <w:tc>
          <w:tcPr>
            <w:tcW w:w="709" w:type="dxa"/>
            <w:vAlign w:val="center"/>
          </w:tcPr>
          <w:p>
            <w:pPr>
              <w:spacing w:line="300" w:lineRule="exact"/>
              <w:ind w:firstLine="0" w:firstLineChars="0"/>
              <w:jc w:val="center"/>
              <w:rPr>
                <w:sz w:val="21"/>
                <w:szCs w:val="21"/>
              </w:rPr>
            </w:pPr>
            <w:r>
              <w:rPr>
                <w:sz w:val="21"/>
                <w:szCs w:val="21"/>
              </w:rPr>
              <w:t>Ⅱ</w:t>
            </w:r>
          </w:p>
        </w:tc>
        <w:tc>
          <w:tcPr>
            <w:tcW w:w="2886" w:type="dxa"/>
            <w:vAlign w:val="center"/>
          </w:tcPr>
          <w:p>
            <w:pPr>
              <w:spacing w:line="300" w:lineRule="exact"/>
              <w:ind w:firstLine="0" w:firstLineChars="0"/>
              <w:jc w:val="left"/>
              <w:rPr>
                <w:sz w:val="21"/>
                <w:szCs w:val="21"/>
              </w:rPr>
            </w:pPr>
            <w:r>
              <w:rPr>
                <w:sz w:val="21"/>
                <w:szCs w:val="21"/>
              </w:rPr>
              <w:t>1）严格执行起吊规定；严禁在起吊范围内行走、站立和作业；车辆、设备就位、固定要合理等。</w:t>
            </w:r>
          </w:p>
          <w:p>
            <w:pPr>
              <w:spacing w:line="300" w:lineRule="exact"/>
              <w:ind w:firstLine="0" w:firstLineChars="0"/>
              <w:jc w:val="left"/>
              <w:rPr>
                <w:sz w:val="21"/>
                <w:szCs w:val="21"/>
              </w:rPr>
            </w:pPr>
            <w:r>
              <w:rPr>
                <w:sz w:val="21"/>
                <w:szCs w:val="21"/>
              </w:rPr>
              <w:t>2）严格设备检查，保证设备安全性，不符合要求的部件进行维修或更换。</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spacing w:line="300" w:lineRule="exact"/>
              <w:ind w:firstLine="0" w:firstLineChars="0"/>
              <w:jc w:val="center"/>
              <w:rPr>
                <w:sz w:val="21"/>
                <w:szCs w:val="21"/>
              </w:rPr>
            </w:pPr>
            <w:r>
              <w:rPr>
                <w:sz w:val="21"/>
                <w:szCs w:val="21"/>
              </w:rPr>
              <w:t>11</w:t>
            </w:r>
          </w:p>
        </w:tc>
        <w:tc>
          <w:tcPr>
            <w:tcW w:w="824" w:type="dxa"/>
            <w:vAlign w:val="center"/>
          </w:tcPr>
          <w:p>
            <w:pPr>
              <w:spacing w:line="300" w:lineRule="exact"/>
              <w:ind w:firstLine="0" w:firstLineChars="0"/>
              <w:jc w:val="center"/>
              <w:rPr>
                <w:sz w:val="21"/>
                <w:szCs w:val="21"/>
              </w:rPr>
            </w:pPr>
            <w:r>
              <w:rPr>
                <w:sz w:val="21"/>
                <w:szCs w:val="21"/>
              </w:rPr>
              <w:t>其他</w:t>
            </w:r>
          </w:p>
        </w:tc>
        <w:tc>
          <w:tcPr>
            <w:tcW w:w="2871" w:type="dxa"/>
            <w:vAlign w:val="center"/>
          </w:tcPr>
          <w:p>
            <w:pPr>
              <w:spacing w:line="300" w:lineRule="exact"/>
              <w:ind w:firstLine="0" w:firstLineChars="0"/>
              <w:jc w:val="left"/>
              <w:rPr>
                <w:sz w:val="21"/>
                <w:szCs w:val="21"/>
              </w:rPr>
            </w:pPr>
            <w:r>
              <w:rPr>
                <w:sz w:val="21"/>
                <w:szCs w:val="21"/>
              </w:rPr>
              <w:t>1）低温天气导致人员冻伤，高温天气引起中暑。</w:t>
            </w:r>
          </w:p>
          <w:p>
            <w:pPr>
              <w:spacing w:line="300" w:lineRule="exact"/>
              <w:ind w:firstLine="0" w:firstLineChars="0"/>
              <w:jc w:val="left"/>
              <w:rPr>
                <w:sz w:val="21"/>
                <w:szCs w:val="21"/>
              </w:rPr>
            </w:pPr>
            <w:r>
              <w:rPr>
                <w:sz w:val="21"/>
                <w:szCs w:val="21"/>
              </w:rPr>
              <w:t>2）人员不慎落入周边水渠。</w:t>
            </w:r>
          </w:p>
          <w:p>
            <w:pPr>
              <w:spacing w:line="300" w:lineRule="exact"/>
              <w:ind w:firstLine="0" w:firstLineChars="0"/>
              <w:jc w:val="left"/>
              <w:rPr>
                <w:sz w:val="21"/>
                <w:szCs w:val="21"/>
              </w:rPr>
            </w:pPr>
            <w:r>
              <w:rPr>
                <w:sz w:val="21"/>
                <w:szCs w:val="21"/>
              </w:rPr>
              <w:t>3）噪声。</w:t>
            </w:r>
          </w:p>
          <w:p>
            <w:pPr>
              <w:spacing w:line="300" w:lineRule="exact"/>
              <w:ind w:firstLine="0" w:firstLineChars="0"/>
              <w:jc w:val="left"/>
              <w:rPr>
                <w:sz w:val="21"/>
                <w:szCs w:val="21"/>
              </w:rPr>
            </w:pPr>
            <w:r>
              <w:rPr>
                <w:sz w:val="21"/>
                <w:szCs w:val="21"/>
              </w:rPr>
              <w:t>4）人员直接接触酸性物质</w:t>
            </w:r>
          </w:p>
        </w:tc>
        <w:tc>
          <w:tcPr>
            <w:tcW w:w="806" w:type="dxa"/>
            <w:vAlign w:val="center"/>
          </w:tcPr>
          <w:p>
            <w:pPr>
              <w:spacing w:line="300" w:lineRule="exact"/>
              <w:ind w:firstLine="0" w:firstLineChars="0"/>
              <w:jc w:val="center"/>
              <w:rPr>
                <w:sz w:val="21"/>
                <w:szCs w:val="21"/>
              </w:rPr>
            </w:pPr>
            <w:r>
              <w:rPr>
                <w:sz w:val="21"/>
                <w:szCs w:val="21"/>
              </w:rPr>
              <w:t>设备</w:t>
            </w:r>
          </w:p>
          <w:p>
            <w:pPr>
              <w:spacing w:line="300" w:lineRule="exact"/>
              <w:ind w:firstLine="0" w:firstLineChars="0"/>
              <w:jc w:val="center"/>
              <w:rPr>
                <w:sz w:val="21"/>
                <w:szCs w:val="21"/>
              </w:rPr>
            </w:pPr>
            <w:r>
              <w:rPr>
                <w:sz w:val="21"/>
                <w:szCs w:val="21"/>
              </w:rPr>
              <w:t>损坏</w:t>
            </w:r>
          </w:p>
          <w:p>
            <w:pPr>
              <w:spacing w:line="300" w:lineRule="exact"/>
              <w:ind w:firstLine="0" w:firstLineChars="0"/>
              <w:jc w:val="center"/>
              <w:rPr>
                <w:sz w:val="21"/>
                <w:szCs w:val="21"/>
              </w:rPr>
            </w:pPr>
            <w:r>
              <w:rPr>
                <w:sz w:val="21"/>
                <w:szCs w:val="21"/>
              </w:rPr>
              <w:t>人员</w:t>
            </w:r>
          </w:p>
          <w:p>
            <w:pPr>
              <w:spacing w:line="300" w:lineRule="exact"/>
              <w:ind w:firstLine="0" w:firstLineChars="0"/>
              <w:jc w:val="center"/>
              <w:rPr>
                <w:sz w:val="21"/>
                <w:szCs w:val="21"/>
              </w:rPr>
            </w:pPr>
            <w:r>
              <w:rPr>
                <w:sz w:val="21"/>
                <w:szCs w:val="21"/>
              </w:rPr>
              <w:t>伤亡</w:t>
            </w:r>
          </w:p>
        </w:tc>
        <w:tc>
          <w:tcPr>
            <w:tcW w:w="709" w:type="dxa"/>
            <w:vAlign w:val="center"/>
          </w:tcPr>
          <w:p>
            <w:pPr>
              <w:spacing w:line="300" w:lineRule="exact"/>
              <w:ind w:firstLine="0" w:firstLineChars="0"/>
              <w:jc w:val="center"/>
              <w:rPr>
                <w:sz w:val="21"/>
                <w:szCs w:val="21"/>
              </w:rPr>
            </w:pPr>
            <w:r>
              <w:rPr>
                <w:sz w:val="21"/>
                <w:szCs w:val="21"/>
              </w:rPr>
              <w:t>Ⅱ</w:t>
            </w:r>
          </w:p>
        </w:tc>
        <w:tc>
          <w:tcPr>
            <w:tcW w:w="2886" w:type="dxa"/>
            <w:vAlign w:val="center"/>
          </w:tcPr>
          <w:p>
            <w:pPr>
              <w:spacing w:line="300" w:lineRule="exact"/>
              <w:ind w:firstLine="0" w:firstLineChars="0"/>
              <w:jc w:val="left"/>
              <w:rPr>
                <w:sz w:val="21"/>
                <w:szCs w:val="21"/>
              </w:rPr>
            </w:pPr>
            <w:r>
              <w:rPr>
                <w:sz w:val="21"/>
                <w:szCs w:val="21"/>
              </w:rPr>
              <w:t>1）加强人员冬季保暖，配备必要的应急药品，采用必要的防暑措施。</w:t>
            </w:r>
          </w:p>
          <w:p>
            <w:pPr>
              <w:spacing w:line="300" w:lineRule="exact"/>
              <w:ind w:firstLine="0" w:firstLineChars="0"/>
              <w:jc w:val="left"/>
              <w:rPr>
                <w:sz w:val="21"/>
                <w:szCs w:val="21"/>
              </w:rPr>
            </w:pPr>
            <w:r>
              <w:rPr>
                <w:sz w:val="21"/>
                <w:szCs w:val="21"/>
              </w:rPr>
              <w:t>2）水渠周围设立一定的安全标志和安全防护措施。</w:t>
            </w:r>
          </w:p>
          <w:p>
            <w:pPr>
              <w:spacing w:line="300" w:lineRule="exact"/>
              <w:ind w:firstLine="0" w:firstLineChars="0"/>
              <w:jc w:val="left"/>
              <w:rPr>
                <w:sz w:val="21"/>
                <w:szCs w:val="21"/>
              </w:rPr>
            </w:pPr>
            <w:r>
              <w:rPr>
                <w:sz w:val="21"/>
                <w:szCs w:val="21"/>
              </w:rPr>
              <w:t>3）噪音区设立降噪措施。</w:t>
            </w:r>
          </w:p>
          <w:p>
            <w:pPr>
              <w:spacing w:line="300" w:lineRule="exact"/>
              <w:ind w:firstLine="0" w:firstLineChars="0"/>
              <w:jc w:val="left"/>
              <w:rPr>
                <w:sz w:val="21"/>
                <w:szCs w:val="21"/>
              </w:rPr>
            </w:pPr>
            <w:r>
              <w:rPr>
                <w:sz w:val="21"/>
                <w:szCs w:val="21"/>
              </w:rPr>
              <w:t>4）人员佩戴防护用品。</w:t>
            </w:r>
          </w:p>
        </w:tc>
      </w:tr>
    </w:tbl>
    <w:p>
      <w:pPr>
        <w:pStyle w:val="5"/>
        <w:spacing w:before="360" w:beforeLines="150"/>
      </w:pPr>
      <w:r>
        <w:t>5.4.2  采油工程单元评价小结</w:t>
      </w:r>
    </w:p>
    <w:p>
      <w:pPr>
        <w:pStyle w:val="44"/>
        <w:ind w:firstLine="560"/>
        <w:rPr>
          <w:rFonts w:ascii="Times New Roman" w:hAnsi="Times New Roman" w:eastAsiaTheme="minorEastAsia"/>
          <w:color w:val="000000"/>
          <w:szCs w:val="28"/>
        </w:rPr>
      </w:pPr>
      <w:r>
        <w:rPr>
          <w:rFonts w:ascii="Times New Roman" w:hAnsi="Times New Roman"/>
          <w:bCs/>
          <w:color w:val="000000"/>
          <w:szCs w:val="28"/>
        </w:rPr>
        <w:t>采油过程中主要的危险为井喷、井喷失控、火灾、爆炸、物体打击、中毒和窒息等事故，采油作业过程中应重点防范。</w:t>
      </w:r>
    </w:p>
    <w:p>
      <w:pPr>
        <w:pStyle w:val="280"/>
        <w:rPr>
          <w:rFonts w:cs="Times New Roman" w:eastAsiaTheme="minorEastAsia"/>
        </w:rPr>
      </w:pPr>
      <w:bookmarkStart w:id="221" w:name="_Toc341963432"/>
      <w:bookmarkStart w:id="222" w:name="_Toc12393"/>
      <w:bookmarkStart w:id="223" w:name="_Toc7424"/>
      <w:bookmarkStart w:id="224" w:name="_Toc32245"/>
      <w:bookmarkStart w:id="225" w:name="_Toc28926"/>
      <w:bookmarkStart w:id="226" w:name="_Toc30657"/>
      <w:bookmarkStart w:id="227" w:name="_Toc373615842"/>
      <w:bookmarkStart w:id="228" w:name="_Toc18852"/>
      <w:bookmarkStart w:id="229" w:name="_Toc341963433"/>
      <w:r>
        <w:rPr>
          <w:rFonts w:cs="Times New Roman" w:eastAsiaTheme="minorEastAsia"/>
        </w:rPr>
        <w:t>5.</w:t>
      </w:r>
      <w:bookmarkEnd w:id="221"/>
      <w:r>
        <w:rPr>
          <w:rFonts w:cs="Times New Roman" w:eastAsiaTheme="minorEastAsia"/>
        </w:rPr>
        <w:t>5  油气集输系统单元</w:t>
      </w:r>
      <w:bookmarkEnd w:id="222"/>
      <w:bookmarkEnd w:id="223"/>
      <w:bookmarkEnd w:id="224"/>
      <w:bookmarkEnd w:id="225"/>
      <w:bookmarkEnd w:id="226"/>
      <w:bookmarkEnd w:id="227"/>
      <w:bookmarkEnd w:id="228"/>
    </w:p>
    <w:p>
      <w:pPr>
        <w:pStyle w:val="281"/>
        <w:rPr>
          <w:rFonts w:cs="Times New Roman"/>
        </w:rPr>
      </w:pPr>
      <w:r>
        <w:rPr>
          <w:rFonts w:cs="Times New Roman"/>
        </w:rPr>
        <w:t>5.5.1  油气集输总图布置</w:t>
      </w:r>
    </w:p>
    <w:p>
      <w:pPr>
        <w:pStyle w:val="44"/>
        <w:ind w:firstLine="560"/>
        <w:rPr>
          <w:rFonts w:ascii="Times New Roman" w:hAnsi="Times New Roman" w:eastAsiaTheme="minorEastAsia"/>
          <w:bCs/>
          <w:color w:val="000000"/>
          <w:szCs w:val="28"/>
        </w:rPr>
      </w:pPr>
      <w:r>
        <w:rPr>
          <w:rFonts w:ascii="Times New Roman" w:hAnsi="Times New Roman" w:eastAsiaTheme="minorEastAsia"/>
          <w:bCs/>
          <w:color w:val="000000"/>
          <w:szCs w:val="28"/>
        </w:rPr>
        <w:t>本项目部署新钻油井6口，利用老井1口位于同一井场内，全部采用井口槽生产，单井集油管线接入已建集油汇管。</w:t>
      </w:r>
    </w:p>
    <w:p>
      <w:pPr>
        <w:pStyle w:val="44"/>
        <w:ind w:firstLine="560"/>
        <w:rPr>
          <w:rFonts w:ascii="Times New Roman" w:hAnsi="Times New Roman" w:eastAsiaTheme="minorEastAsia"/>
          <w:bCs/>
          <w:color w:val="000000"/>
          <w:szCs w:val="28"/>
        </w:rPr>
      </w:pPr>
      <w:r>
        <w:rPr>
          <w:rFonts w:ascii="Times New Roman" w:hAnsi="Times New Roman" w:eastAsiaTheme="minorEastAsia"/>
          <w:bCs/>
          <w:color w:val="000000"/>
          <w:szCs w:val="28"/>
        </w:rPr>
        <w:t>现场情况见图5.5-1。</w:t>
      </w:r>
    </w:p>
    <w:p>
      <w:pPr>
        <w:ind w:firstLine="0" w:firstLineChars="0"/>
        <w:rPr>
          <w:rFonts w:eastAsiaTheme="minorEastAsia"/>
        </w:rPr>
      </w:pPr>
      <w:r>
        <w:rPr>
          <w:rFonts w:eastAsiaTheme="minorEastAsia"/>
          <w:bCs/>
          <w:color w:val="000000"/>
          <w:szCs w:val="28"/>
        </w:rPr>
        <mc:AlternateContent>
          <mc:Choice Requires="wps">
            <w:drawing>
              <wp:anchor distT="0" distB="0" distL="114300" distR="114300" simplePos="0" relativeHeight="251673600" behindDoc="0" locked="0" layoutInCell="1" allowOverlap="1">
                <wp:simplePos x="0" y="0"/>
                <wp:positionH relativeFrom="column">
                  <wp:posOffset>2605405</wp:posOffset>
                </wp:positionH>
                <wp:positionV relativeFrom="paragraph">
                  <wp:posOffset>1090295</wp:posOffset>
                </wp:positionV>
                <wp:extent cx="842010" cy="285750"/>
                <wp:effectExtent l="6350" t="6350" r="20320" b="302260"/>
                <wp:wrapNone/>
                <wp:docPr id="24" name="AutoShape 26"/>
                <wp:cNvGraphicFramePr/>
                <a:graphic xmlns:a="http://schemas.openxmlformats.org/drawingml/2006/main">
                  <a:graphicData uri="http://schemas.microsoft.com/office/word/2010/wordprocessingShape">
                    <wps:wsp>
                      <wps:cNvSpPr>
                        <a:spLocks noChangeArrowheads="1"/>
                      </wps:cNvSpPr>
                      <wps:spPr bwMode="auto">
                        <a:xfrm rot="10800000">
                          <a:off x="0" y="0"/>
                          <a:ext cx="842010" cy="285750"/>
                        </a:xfrm>
                        <a:prstGeom prst="wedgeRoundRectCallout">
                          <a:avLst>
                            <a:gd name="adj1" fmla="val 39101"/>
                            <a:gd name="adj2" fmla="val -148000"/>
                            <a:gd name="adj3" fmla="val 16667"/>
                          </a:avLst>
                        </a:prstGeom>
                        <a:solidFill>
                          <a:srgbClr val="FFFFFF"/>
                        </a:solidFill>
                        <a:ln w="12700">
                          <a:solidFill>
                            <a:srgbClr val="FF0000"/>
                          </a:solidFill>
                          <a:miter lim="800000"/>
                        </a:ln>
                      </wps:spPr>
                      <wps:txbx>
                        <w:txbxContent>
                          <w:p>
                            <w:pPr>
                              <w:ind w:firstLine="0" w:firstLineChars="0"/>
                              <w:rPr>
                                <w:sz w:val="21"/>
                                <w:szCs w:val="15"/>
                              </w:rPr>
                            </w:pPr>
                            <w:r>
                              <w:rPr>
                                <w:rFonts w:hint="eastAsia"/>
                                <w:sz w:val="21"/>
                                <w:szCs w:val="15"/>
                              </w:rPr>
                              <w:t>打井位置</w:t>
                            </w:r>
                          </w:p>
                        </w:txbxContent>
                      </wps:txbx>
                      <wps:bodyPr rot="0" vert="horz" wrap="square" lIns="0" tIns="45720" rIns="0" bIns="45720" anchor="t" anchorCtr="0" upright="1">
                        <a:noAutofit/>
                      </wps:bodyPr>
                    </wps:wsp>
                  </a:graphicData>
                </a:graphic>
              </wp:anchor>
            </w:drawing>
          </mc:Choice>
          <mc:Fallback>
            <w:pict>
              <v:shape id="AutoShape 26" o:spid="_x0000_s1026" o:spt="62" type="#_x0000_t62" style="position:absolute;left:0pt;margin-left:205.15pt;margin-top:85.85pt;height:22.5pt;width:66.3pt;rotation:11796480f;z-index:251673600;mso-width-relative:page;mso-height-relative:page;" fillcolor="#FFFFFF" filled="t" stroked="t" coordsize="21600,21600" o:gfxdata="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HFgXUjaAAAACwEAAA8AAAAAAAAAAQAgAAAAIgAAAGRycy9k&#10;b3ducmV2LnhtbFBLAQIUABQAAAAIAIdO4kAhzzmVcgIAAA4FAAAOAAAAAAAAAAEAIAAAACkBAABk&#10;cnMvZTJvRG9jLnhtbFBLBQYAAAAABgAGAFkBAAANBgAAAAA=&#10;" adj="19246,-21168,14400">
                <v:fill on="t" focussize="0,0"/>
                <v:stroke weight="1pt" color="#FF0000" miterlimit="8" joinstyle="miter"/>
                <v:imagedata o:title=""/>
                <o:lock v:ext="edit" aspectratio="f"/>
                <v:textbox inset="0mm,1.27mm,0mm,1.27mm">
                  <w:txbxContent>
                    <w:p>
                      <w:pPr>
                        <w:ind w:firstLine="0" w:firstLineChars="0"/>
                        <w:rPr>
                          <w:sz w:val="21"/>
                          <w:szCs w:val="15"/>
                        </w:rPr>
                      </w:pPr>
                      <w:r>
                        <w:rPr>
                          <w:rFonts w:hint="eastAsia"/>
                          <w:sz w:val="21"/>
                          <w:szCs w:val="15"/>
                        </w:rPr>
                        <w:t>打井位置</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3634740</wp:posOffset>
                </wp:positionH>
                <wp:positionV relativeFrom="paragraph">
                  <wp:posOffset>2098675</wp:posOffset>
                </wp:positionV>
                <wp:extent cx="159385" cy="55245"/>
                <wp:effectExtent l="1270" t="4445" r="6985" b="16510"/>
                <wp:wrapNone/>
                <wp:docPr id="23" name="直接连接符 23"/>
                <wp:cNvGraphicFramePr/>
                <a:graphic xmlns:a="http://schemas.openxmlformats.org/drawingml/2006/main">
                  <a:graphicData uri="http://schemas.microsoft.com/office/word/2010/wordprocessingShape">
                    <wps:wsp>
                      <wps:cNvCnPr/>
                      <wps:spPr>
                        <a:xfrm flipV="1">
                          <a:off x="0" y="0"/>
                          <a:ext cx="159385" cy="55245"/>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86.2pt;margin-top:165.25pt;height:4.35pt;width:12.55pt;z-index:251672576;mso-width-relative:page;mso-height-relative:page;" filled="f" stroked="t" coordsize="21600,21600" o:gfxdata="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trtYr&#10;3AAAAAsBAAAPAAAAAAAAAAEAIAAAACIAAABkcnMvZG93bnJldi54bWxQSwECFAAUAAAACACHTuJA&#10;dnJWcOQBAACpAwAADgAAAAAAAAABACAAAAArAQAAZHJzL2Uyb0RvYy54bWxQSwUGAAAAAAYABgBZ&#10;AQAAgQUAAAAA&#10;">
                <v:fill on="f" focussize="0,0"/>
                <v:stroke color="#FFFFFF [3212]" joinstyle="round"/>
                <v:imagedata o:title=""/>
                <o:lock v:ext="edit" aspectratio="f"/>
              </v:lin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2311400</wp:posOffset>
                </wp:positionH>
                <wp:positionV relativeFrom="paragraph">
                  <wp:posOffset>1496060</wp:posOffset>
                </wp:positionV>
                <wp:extent cx="146050" cy="55245"/>
                <wp:effectExtent l="1905" t="4445" r="4445" b="16510"/>
                <wp:wrapNone/>
                <wp:docPr id="22" name="直接连接符 22"/>
                <wp:cNvGraphicFramePr/>
                <a:graphic xmlns:a="http://schemas.openxmlformats.org/drawingml/2006/main">
                  <a:graphicData uri="http://schemas.microsoft.com/office/word/2010/wordprocessingShape">
                    <wps:wsp>
                      <wps:cNvCnPr/>
                      <wps:spPr>
                        <a:xfrm flipV="1">
                          <a:off x="0" y="0"/>
                          <a:ext cx="146050" cy="55245"/>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82pt;margin-top:117.8pt;height:4.35pt;width:11.5pt;z-index:251671552;mso-width-relative:page;mso-height-relative:page;" filled="f" stroked="t" coordsize="21600,21600" o:gfxdata="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oVirb&#10;AAAACwEAAA8AAAAAAAAAAQAgAAAAIgAAAGRycy9kb3ducmV2LnhtbFBLAQIUABQAAAAIAIdO4kCh&#10;dyjh5AEAAKkDAAAOAAAAAAAAAAEAIAAAACoBAABkcnMvZTJvRG9jLnhtbFBLBQYAAAAABgAGAFkB&#10;AACABQAAAAA=&#10;">
                <v:fill on="f" focussize="0,0"/>
                <v:stroke color="#FFFFFF [3212]" joinstyle="round"/>
                <v:imagedata o:title=""/>
                <o:lock v:ext="edit" aspectratio="f"/>
              </v:lin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2284095</wp:posOffset>
                </wp:positionH>
                <wp:positionV relativeFrom="paragraph">
                  <wp:posOffset>1551305</wp:posOffset>
                </wp:positionV>
                <wp:extent cx="1371600" cy="616585"/>
                <wp:effectExtent l="1905" t="4445" r="13335" b="19050"/>
                <wp:wrapNone/>
                <wp:docPr id="20" name="直接连接符 20"/>
                <wp:cNvGraphicFramePr/>
                <a:graphic xmlns:a="http://schemas.openxmlformats.org/drawingml/2006/main">
                  <a:graphicData uri="http://schemas.microsoft.com/office/word/2010/wordprocessingShape">
                    <wps:wsp>
                      <wps:cNvCnPr/>
                      <wps:spPr>
                        <a:xfrm>
                          <a:off x="0" y="0"/>
                          <a:ext cx="1371600" cy="616585"/>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79.85pt;margin-top:122.15pt;height:48.55pt;width:108pt;z-index:251670528;mso-width-relative:page;mso-height-relative:page;" filled="f" stroked="t" coordsize="21600,21600" o:gfxdata="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r0duo2gAAAAsBAAAP&#10;AAAAAAAAAAEAIAAAACIAAABkcnMvZG93bnJldi54bWxQSwECFAAUAAAACACHTuJAT3SF790BAACh&#10;AwAADgAAAAAAAAABACAAAAApAQAAZHJzL2Uyb0RvYy54bWxQSwUGAAAAAAYABgBZAQAAeAUAAAAA&#10;">
                <v:fill on="f" focussize="0,0"/>
                <v:stroke color="#FFFFFF [3212]" joinstyle="round"/>
                <v:imagedata o:title=""/>
                <o:lock v:ext="edit" aspectratio="f"/>
              </v:lin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2450465</wp:posOffset>
                </wp:positionH>
                <wp:positionV relativeFrom="paragraph">
                  <wp:posOffset>1489075</wp:posOffset>
                </wp:positionV>
                <wp:extent cx="1371600" cy="616585"/>
                <wp:effectExtent l="1905" t="4445" r="13335" b="19050"/>
                <wp:wrapNone/>
                <wp:docPr id="18" name="直接连接符 18"/>
                <wp:cNvGraphicFramePr/>
                <a:graphic xmlns:a="http://schemas.openxmlformats.org/drawingml/2006/main">
                  <a:graphicData uri="http://schemas.microsoft.com/office/word/2010/wordprocessingShape">
                    <wps:wsp>
                      <wps:cNvCnPr/>
                      <wps:spPr>
                        <a:xfrm>
                          <a:off x="3602355" y="2749550"/>
                          <a:ext cx="1371600" cy="616585"/>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92.95pt;margin-top:117.25pt;height:48.55pt;width:108pt;z-index:251669504;mso-width-relative:page;mso-height-relative:page;" filled="f" stroked="t" coordsize="21600,21600" o:gfxdata="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jw64n2QAAAAsBAAAPAAAAAAAAAAEAIAAAACIAAABkcnMvZG93bnJldi54bWxQSwECFAAUAAAA&#10;CACHTuJAr+niH+0BAACtAwAADgAAAAAAAAABACAAAAAoAQAAZHJzL2Uyb0RvYy54bWxQSwUGAAAA&#10;AAYABgBZAQAAhwUAAAAA&#10;">
                <v:fill on="f" focussize="0,0"/>
                <v:stroke color="#FFFFFF [3212]" joinstyle="round"/>
                <v:imagedata o:title=""/>
                <o:lock v:ext="edit" aspectratio="f"/>
              </v:line>
            </w:pict>
          </mc:Fallback>
        </mc:AlternateContent>
      </w:r>
      <w:r>
        <w:rPr>
          <w:rFonts w:eastAsiaTheme="minorEastAsia"/>
          <w:bCs/>
          <w:color w:val="000000"/>
          <w:szCs w:val="28"/>
        </w:rPr>
        <mc:AlternateContent>
          <mc:Choice Requires="wps">
            <w:drawing>
              <wp:anchor distT="0" distB="0" distL="114300" distR="114300" simplePos="0" relativeHeight="251668480" behindDoc="0" locked="0" layoutInCell="1" allowOverlap="1">
                <wp:simplePos x="0" y="0"/>
                <wp:positionH relativeFrom="column">
                  <wp:posOffset>3623945</wp:posOffset>
                </wp:positionH>
                <wp:positionV relativeFrom="paragraph">
                  <wp:posOffset>321310</wp:posOffset>
                </wp:positionV>
                <wp:extent cx="1229360" cy="285750"/>
                <wp:effectExtent l="6350" t="6350" r="13970" b="302260"/>
                <wp:wrapNone/>
                <wp:docPr id="11" name="AutoShape 26"/>
                <wp:cNvGraphicFramePr/>
                <a:graphic xmlns:a="http://schemas.openxmlformats.org/drawingml/2006/main">
                  <a:graphicData uri="http://schemas.microsoft.com/office/word/2010/wordprocessingShape">
                    <wps:wsp>
                      <wps:cNvSpPr>
                        <a:spLocks noChangeArrowheads="1"/>
                      </wps:cNvSpPr>
                      <wps:spPr bwMode="auto">
                        <a:xfrm rot="10800000">
                          <a:off x="0" y="0"/>
                          <a:ext cx="1229360" cy="285750"/>
                        </a:xfrm>
                        <a:prstGeom prst="wedgeRoundRectCallout">
                          <a:avLst>
                            <a:gd name="adj1" fmla="val 39101"/>
                            <a:gd name="adj2" fmla="val -148000"/>
                            <a:gd name="adj3" fmla="val 16667"/>
                          </a:avLst>
                        </a:prstGeom>
                        <a:solidFill>
                          <a:srgbClr val="FFFFFF"/>
                        </a:solidFill>
                        <a:ln w="12700">
                          <a:solidFill>
                            <a:srgbClr val="FF0000"/>
                          </a:solidFill>
                          <a:miter lim="800000"/>
                        </a:ln>
                      </wps:spPr>
                      <wps:txbx>
                        <w:txbxContent>
                          <w:p>
                            <w:pPr>
                              <w:ind w:firstLine="0" w:firstLineChars="0"/>
                              <w:rPr>
                                <w:sz w:val="21"/>
                                <w:szCs w:val="15"/>
                              </w:rPr>
                            </w:pPr>
                            <w:r>
                              <w:rPr>
                                <w:rFonts w:hint="eastAsia"/>
                                <w:sz w:val="21"/>
                                <w:szCs w:val="15"/>
                              </w:rPr>
                              <w:t>滨海公安局办公楼</w:t>
                            </w:r>
                          </w:p>
                        </w:txbxContent>
                      </wps:txbx>
                      <wps:bodyPr rot="0" vert="horz" wrap="square" lIns="0" tIns="45720" rIns="0" bIns="45720" anchor="t" anchorCtr="0" upright="1">
                        <a:noAutofit/>
                      </wps:bodyPr>
                    </wps:wsp>
                  </a:graphicData>
                </a:graphic>
              </wp:anchor>
            </w:drawing>
          </mc:Choice>
          <mc:Fallback>
            <w:pict>
              <v:shape id="AutoShape 26" o:spid="_x0000_s1026" o:spt="62" type="#_x0000_t62" style="position:absolute;left:0pt;margin-left:285.35pt;margin-top:25.3pt;height:22.5pt;width:96.8pt;rotation:11796480f;z-index:251668480;mso-width-relative:page;mso-height-relative:page;" fillcolor="#FFFFFF" filled="t" stroked="t" coordsize="21600,21600" o:gfxdata="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Nxr2d9kAAAAJAQAADwAAAAAAAAABACAAAAAiAAAAZHJzL2Rv&#10;d25yZXYueG1sUEsBAhQAFAAAAAgAh07iQNONRqlyAgAADwUAAA4AAAAAAAAAAQAgAAAAKAEAAGRy&#10;cy9lMm9Eb2MueG1sUEsFBgAAAAAGAAYAWQEAAAwGAAAAAA==&#10;" adj="19246,-21168,14400">
                <v:fill on="t" focussize="0,0"/>
                <v:stroke weight="1pt" color="#FF0000" miterlimit="8" joinstyle="miter"/>
                <v:imagedata o:title=""/>
                <o:lock v:ext="edit" aspectratio="f"/>
                <v:textbox inset="0mm,1.27mm,0mm,1.27mm">
                  <w:txbxContent>
                    <w:p>
                      <w:pPr>
                        <w:ind w:firstLine="0" w:firstLineChars="0"/>
                        <w:rPr>
                          <w:sz w:val="21"/>
                          <w:szCs w:val="15"/>
                        </w:rPr>
                      </w:pPr>
                      <w:r>
                        <w:rPr>
                          <w:rFonts w:hint="eastAsia"/>
                          <w:sz w:val="21"/>
                          <w:szCs w:val="15"/>
                        </w:rPr>
                        <w:t>滨海公安局办公楼</w:t>
                      </w:r>
                    </w:p>
                  </w:txbxContent>
                </v:textbox>
              </v:shape>
            </w:pict>
          </mc:Fallback>
        </mc:AlternateContent>
      </w:r>
      <w:r>
        <w:rPr>
          <w:rFonts w:eastAsiaTheme="minorEastAsia"/>
        </w:rPr>
        <w:drawing>
          <wp:inline distT="0" distB="0" distL="114300" distR="114300">
            <wp:extent cx="5240655" cy="3930650"/>
            <wp:effectExtent l="0" t="0" r="1905" b="1270"/>
            <wp:docPr id="14" name="图片 14" descr="DJI_0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JI_0741"/>
                    <pic:cNvPicPr>
                      <a:picLocks noChangeAspect="1"/>
                    </pic:cNvPicPr>
                  </pic:nvPicPr>
                  <pic:blipFill>
                    <a:blip r:embed="rId31"/>
                    <a:stretch>
                      <a:fillRect/>
                    </a:stretch>
                  </pic:blipFill>
                  <pic:spPr>
                    <a:xfrm>
                      <a:off x="0" y="0"/>
                      <a:ext cx="5240655" cy="3930650"/>
                    </a:xfrm>
                    <a:prstGeom prst="rect">
                      <a:avLst/>
                    </a:prstGeom>
                  </pic:spPr>
                </pic:pic>
              </a:graphicData>
            </a:graphic>
          </wp:inline>
        </w:drawing>
      </w:r>
    </w:p>
    <w:p>
      <w:pPr>
        <w:pStyle w:val="44"/>
        <w:ind w:firstLine="0" w:firstLineChars="0"/>
        <w:jc w:val="center"/>
        <w:rPr>
          <w:rFonts w:ascii="Times New Roman" w:hAnsi="Times New Roman" w:eastAsiaTheme="minorEastAsia"/>
          <w:b/>
          <w:bCs/>
          <w:sz w:val="24"/>
          <w:szCs w:val="32"/>
        </w:rPr>
      </w:pPr>
      <w:r>
        <w:rPr>
          <w:rFonts w:ascii="Times New Roman" w:hAnsi="Times New Roman" w:eastAsiaTheme="minorEastAsia"/>
          <w:b/>
          <w:bCs/>
          <w:sz w:val="24"/>
          <w:szCs w:val="32"/>
        </w:rPr>
        <w:t>图5.5-1  井场情况图</w:t>
      </w:r>
    </w:p>
    <w:p>
      <w:pPr>
        <w:ind w:firstLine="560"/>
        <w:rPr>
          <w:rFonts w:eastAsiaTheme="minorEastAsia"/>
        </w:rPr>
      </w:pPr>
      <w:r>
        <w:rPr>
          <w:rFonts w:eastAsiaTheme="minorEastAsia"/>
          <w:bCs/>
          <w:szCs w:val="28"/>
        </w:rPr>
        <w:t>根据《石油天然气工程设计防火规范》（GB 50183-2004），油井</w:t>
      </w:r>
      <w:r>
        <w:rPr>
          <w:rFonts w:eastAsiaTheme="minorEastAsia"/>
        </w:rPr>
        <w:t>与周边环境安全间距符合性见下表：</w:t>
      </w:r>
    </w:p>
    <w:p>
      <w:pPr>
        <w:tabs>
          <w:tab w:val="left" w:pos="3240"/>
        </w:tabs>
        <w:ind w:firstLine="482"/>
        <w:jc w:val="center"/>
        <w:rPr>
          <w:rFonts w:eastAsiaTheme="minorEastAsia"/>
          <w:b/>
          <w:sz w:val="24"/>
        </w:rPr>
      </w:pPr>
      <w:r>
        <w:rPr>
          <w:rFonts w:eastAsiaTheme="minorEastAsia"/>
          <w:b/>
          <w:sz w:val="24"/>
        </w:rPr>
        <w:t>表5.5-1  油井与周边环境符合性一览表</w:t>
      </w:r>
    </w:p>
    <w:tbl>
      <w:tblPr>
        <w:tblStyle w:val="45"/>
        <w:tblW w:w="7726"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683"/>
        <w:gridCol w:w="758"/>
        <w:gridCol w:w="1377"/>
        <w:gridCol w:w="1134"/>
        <w:gridCol w:w="1169"/>
        <w:gridCol w:w="1708"/>
        <w:gridCol w:w="897"/>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145" w:hRule="atLeast"/>
          <w:tblHeader/>
          <w:jc w:val="center"/>
        </w:trPr>
        <w:tc>
          <w:tcPr>
            <w:tcW w:w="683" w:type="dxa"/>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设备设施</w:t>
            </w:r>
          </w:p>
        </w:tc>
        <w:tc>
          <w:tcPr>
            <w:tcW w:w="758" w:type="dxa"/>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方位</w:t>
            </w:r>
          </w:p>
        </w:tc>
        <w:tc>
          <w:tcPr>
            <w:tcW w:w="1377" w:type="dxa"/>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周边情况</w:t>
            </w:r>
          </w:p>
        </w:tc>
        <w:tc>
          <w:tcPr>
            <w:tcW w:w="1134" w:type="dxa"/>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实际距离</w:t>
            </w:r>
          </w:p>
        </w:tc>
        <w:tc>
          <w:tcPr>
            <w:tcW w:w="1169" w:type="dxa"/>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规范距离</w:t>
            </w:r>
          </w:p>
        </w:tc>
        <w:tc>
          <w:tcPr>
            <w:tcW w:w="1708" w:type="dxa"/>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评价依据</w:t>
            </w:r>
          </w:p>
        </w:tc>
        <w:tc>
          <w:tcPr>
            <w:tcW w:w="897" w:type="dxa"/>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是否符合要求</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83" w:type="dxa"/>
            <w:vMerge w:val="restar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井口</w:t>
            </w:r>
          </w:p>
        </w:tc>
        <w:tc>
          <w:tcPr>
            <w:tcW w:w="758"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南</w:t>
            </w:r>
          </w:p>
        </w:tc>
        <w:tc>
          <w:tcPr>
            <w:tcW w:w="137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北二路</w:t>
            </w:r>
          </w:p>
        </w:tc>
        <w:tc>
          <w:tcPr>
            <w:tcW w:w="1134"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136m</w:t>
            </w:r>
          </w:p>
        </w:tc>
        <w:tc>
          <w:tcPr>
            <w:tcW w:w="1169"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≥10m</w:t>
            </w:r>
          </w:p>
        </w:tc>
        <w:tc>
          <w:tcPr>
            <w:tcW w:w="1708"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GB50183-2004</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4.0.7</w:t>
            </w:r>
          </w:p>
        </w:tc>
        <w:tc>
          <w:tcPr>
            <w:tcW w:w="89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83" w:type="dxa"/>
            <w:vMerge w:val="continue"/>
            <w:vAlign w:val="center"/>
          </w:tcPr>
          <w:p>
            <w:pPr>
              <w:tabs>
                <w:tab w:val="left" w:pos="3240"/>
              </w:tabs>
              <w:spacing w:before="60" w:beforeLines="25" w:after="60" w:afterLines="25" w:line="240" w:lineRule="auto"/>
              <w:ind w:firstLine="0" w:firstLineChars="0"/>
              <w:rPr>
                <w:rFonts w:eastAsiaTheme="minorEastAsia"/>
                <w:sz w:val="21"/>
                <w:szCs w:val="21"/>
              </w:rPr>
            </w:pPr>
          </w:p>
        </w:tc>
        <w:tc>
          <w:tcPr>
            <w:tcW w:w="758"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西</w:t>
            </w:r>
          </w:p>
        </w:tc>
        <w:tc>
          <w:tcPr>
            <w:tcW w:w="137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西三路</w:t>
            </w:r>
          </w:p>
        </w:tc>
        <w:tc>
          <w:tcPr>
            <w:tcW w:w="1134"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175m</w:t>
            </w:r>
          </w:p>
        </w:tc>
        <w:tc>
          <w:tcPr>
            <w:tcW w:w="1169"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≥1.5倍杆高</w:t>
            </w:r>
          </w:p>
        </w:tc>
        <w:tc>
          <w:tcPr>
            <w:tcW w:w="1708"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GB50183-2004</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4.0.7</w:t>
            </w:r>
          </w:p>
        </w:tc>
        <w:tc>
          <w:tcPr>
            <w:tcW w:w="89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83" w:type="dxa"/>
            <w:vMerge w:val="continue"/>
            <w:vAlign w:val="center"/>
          </w:tcPr>
          <w:p>
            <w:pPr>
              <w:tabs>
                <w:tab w:val="left" w:pos="3240"/>
              </w:tabs>
              <w:spacing w:before="60" w:beforeLines="25" w:after="60" w:afterLines="25" w:line="240" w:lineRule="auto"/>
              <w:ind w:firstLine="0" w:firstLineChars="0"/>
              <w:rPr>
                <w:rFonts w:eastAsiaTheme="minorEastAsia"/>
                <w:sz w:val="21"/>
                <w:szCs w:val="21"/>
              </w:rPr>
            </w:pPr>
          </w:p>
        </w:tc>
        <w:tc>
          <w:tcPr>
            <w:tcW w:w="758"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西</w:t>
            </w:r>
          </w:p>
        </w:tc>
        <w:tc>
          <w:tcPr>
            <w:tcW w:w="137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散居民房</w:t>
            </w:r>
          </w:p>
        </w:tc>
        <w:tc>
          <w:tcPr>
            <w:tcW w:w="1134"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115m</w:t>
            </w:r>
          </w:p>
        </w:tc>
        <w:tc>
          <w:tcPr>
            <w:tcW w:w="1169"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≥20m</w:t>
            </w:r>
          </w:p>
        </w:tc>
        <w:tc>
          <w:tcPr>
            <w:tcW w:w="1708"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GB50183-2004</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4.0.7</w:t>
            </w:r>
          </w:p>
        </w:tc>
        <w:tc>
          <w:tcPr>
            <w:tcW w:w="89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83" w:type="dxa"/>
            <w:vMerge w:val="continue"/>
            <w:vAlign w:val="center"/>
          </w:tcPr>
          <w:p>
            <w:pPr>
              <w:tabs>
                <w:tab w:val="left" w:pos="3240"/>
              </w:tabs>
              <w:spacing w:before="60" w:beforeLines="25" w:after="60" w:afterLines="25" w:line="240" w:lineRule="auto"/>
              <w:ind w:firstLine="0" w:firstLineChars="0"/>
              <w:rPr>
                <w:rFonts w:eastAsiaTheme="minorEastAsia"/>
                <w:sz w:val="21"/>
                <w:szCs w:val="21"/>
              </w:rPr>
            </w:pPr>
          </w:p>
        </w:tc>
        <w:tc>
          <w:tcPr>
            <w:tcW w:w="758"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西</w:t>
            </w:r>
          </w:p>
        </w:tc>
        <w:tc>
          <w:tcPr>
            <w:tcW w:w="137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变压器</w:t>
            </w:r>
          </w:p>
        </w:tc>
        <w:tc>
          <w:tcPr>
            <w:tcW w:w="1134"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35m</w:t>
            </w:r>
          </w:p>
        </w:tc>
        <w:tc>
          <w:tcPr>
            <w:tcW w:w="1169"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≥15m</w:t>
            </w:r>
          </w:p>
        </w:tc>
        <w:tc>
          <w:tcPr>
            <w:tcW w:w="1708"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GB50183-2004</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5.2.3</w:t>
            </w:r>
          </w:p>
        </w:tc>
        <w:tc>
          <w:tcPr>
            <w:tcW w:w="89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83" w:type="dxa"/>
            <w:vMerge w:val="continue"/>
            <w:vAlign w:val="center"/>
          </w:tcPr>
          <w:p>
            <w:pPr>
              <w:tabs>
                <w:tab w:val="left" w:pos="3240"/>
              </w:tabs>
              <w:spacing w:before="60" w:beforeLines="25" w:after="60" w:afterLines="25" w:line="240" w:lineRule="auto"/>
              <w:ind w:firstLine="0" w:firstLineChars="0"/>
              <w:rPr>
                <w:rFonts w:eastAsiaTheme="minorEastAsia"/>
                <w:sz w:val="21"/>
                <w:szCs w:val="21"/>
              </w:rPr>
            </w:pPr>
          </w:p>
        </w:tc>
        <w:tc>
          <w:tcPr>
            <w:tcW w:w="758"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北</w:t>
            </w:r>
          </w:p>
        </w:tc>
        <w:tc>
          <w:tcPr>
            <w:tcW w:w="137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办公楼</w:t>
            </w:r>
          </w:p>
        </w:tc>
        <w:tc>
          <w:tcPr>
            <w:tcW w:w="1134"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42m</w:t>
            </w:r>
          </w:p>
        </w:tc>
        <w:tc>
          <w:tcPr>
            <w:tcW w:w="1169"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≥20m</w:t>
            </w:r>
          </w:p>
        </w:tc>
        <w:tc>
          <w:tcPr>
            <w:tcW w:w="1708"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GB50183-2004</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4.0.7</w:t>
            </w:r>
          </w:p>
        </w:tc>
        <w:tc>
          <w:tcPr>
            <w:tcW w:w="897"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符合</w:t>
            </w:r>
          </w:p>
        </w:tc>
      </w:tr>
    </w:tbl>
    <w:p>
      <w:pPr>
        <w:spacing w:before="240" w:beforeLines="100"/>
        <w:ind w:firstLine="560"/>
        <w:rPr>
          <w:rFonts w:eastAsiaTheme="minorEastAsia"/>
          <w:bCs/>
          <w:color w:val="000000"/>
          <w:kern w:val="28"/>
          <w:szCs w:val="28"/>
        </w:rPr>
      </w:pPr>
      <w:r>
        <w:rPr>
          <w:rFonts w:eastAsiaTheme="minorEastAsia"/>
          <w:bCs/>
          <w:color w:val="000000"/>
          <w:szCs w:val="28"/>
          <w:lang w:bidi="en-US"/>
        </w:rPr>
        <w:t>新钻油井与周边设施的安全间距满足</w:t>
      </w:r>
      <w:r>
        <w:rPr>
          <w:rFonts w:eastAsiaTheme="minorEastAsia"/>
          <w:bCs/>
          <w:szCs w:val="28"/>
        </w:rPr>
        <w:t>《石油天然气工程设计防火规范》（GB50183-2004）</w:t>
      </w:r>
      <w:r>
        <w:rPr>
          <w:rFonts w:eastAsiaTheme="minorEastAsia"/>
          <w:bCs/>
          <w:color w:val="000000"/>
          <w:szCs w:val="28"/>
          <w:lang w:bidi="en-US"/>
        </w:rPr>
        <w:t>的要求。</w:t>
      </w:r>
    </w:p>
    <w:p>
      <w:pPr>
        <w:pStyle w:val="281"/>
        <w:rPr>
          <w:rFonts w:cs="Times New Roman" w:eastAsiaTheme="minorEastAsia"/>
        </w:rPr>
      </w:pPr>
      <w:r>
        <w:rPr>
          <w:rFonts w:cs="Times New Roman" w:eastAsiaTheme="minorEastAsia"/>
        </w:rPr>
        <w:t>5.5.2  安全检查表法评价</w:t>
      </w:r>
    </w:p>
    <w:p>
      <w:pPr>
        <w:pStyle w:val="232"/>
        <w:adjustRightInd w:val="0"/>
        <w:snapToGrid w:val="0"/>
        <w:spacing w:line="360" w:lineRule="auto"/>
        <w:ind w:firstLine="560" w:firstLineChars="200"/>
        <w:rPr>
          <w:rFonts w:ascii="Times New Roman" w:hAnsi="Times New Roman" w:eastAsiaTheme="minorEastAsia"/>
          <w:color w:val="000000"/>
          <w:sz w:val="28"/>
        </w:rPr>
      </w:pPr>
      <w:r>
        <w:rPr>
          <w:rFonts w:ascii="Times New Roman" w:hAnsi="Times New Roman" w:eastAsiaTheme="minorEastAsia"/>
          <w:color w:val="000000"/>
          <w:sz w:val="28"/>
        </w:rPr>
        <w:t>本节采用安全检查表法对东辛油田营1-斜118块馆三产能建设工程</w:t>
      </w:r>
      <w:r>
        <w:rPr>
          <w:rFonts w:ascii="Times New Roman" w:hAnsi="Times New Roman" w:eastAsiaTheme="minorEastAsia"/>
          <w:bCs/>
          <w:sz w:val="28"/>
          <w:szCs w:val="28"/>
        </w:rPr>
        <w:t>集输系统</w:t>
      </w:r>
      <w:r>
        <w:rPr>
          <w:rFonts w:ascii="Times New Roman" w:hAnsi="Times New Roman" w:eastAsiaTheme="minorEastAsia"/>
          <w:color w:val="000000"/>
          <w:sz w:val="28"/>
          <w:szCs w:val="28"/>
        </w:rPr>
        <w:t>单元</w:t>
      </w:r>
      <w:r>
        <w:rPr>
          <w:rFonts w:ascii="Times New Roman" w:hAnsi="Times New Roman" w:eastAsiaTheme="minorEastAsia"/>
          <w:color w:val="000000"/>
          <w:sz w:val="28"/>
        </w:rPr>
        <w:t>进行安全检查，</w:t>
      </w:r>
      <w:r>
        <w:rPr>
          <w:rFonts w:ascii="Times New Roman" w:hAnsi="Times New Roman" w:eastAsiaTheme="minorEastAsia"/>
          <w:color w:val="000000"/>
          <w:sz w:val="28"/>
          <w:szCs w:val="28"/>
        </w:rPr>
        <w:t>根据《石油天然气工程设计防火规范》（GB50183-2004）、</w:t>
      </w:r>
      <w:r>
        <w:rPr>
          <w:rFonts w:ascii="Times New Roman" w:hAnsi="Times New Roman" w:eastAsiaTheme="minorEastAsia"/>
          <w:sz w:val="28"/>
          <w:szCs w:val="28"/>
        </w:rPr>
        <w:t>《油田油气集输设计规范》（GB50350-2015）、《油气管道线路标识设置技术规范》（SY/T6064-2017）</w:t>
      </w:r>
      <w:r>
        <w:rPr>
          <w:rFonts w:hint="eastAsia" w:ascii="Times New Roman" w:hAnsi="Times New Roman" w:eastAsiaTheme="minorEastAsia"/>
          <w:sz w:val="28"/>
          <w:szCs w:val="28"/>
        </w:rPr>
        <w:t>、《石油天然气钻采设备潜油电动螺杆泵机组》（SY/T7673-2022）</w:t>
      </w:r>
      <w:r>
        <w:rPr>
          <w:rFonts w:ascii="Times New Roman" w:hAnsi="Times New Roman" w:eastAsiaTheme="minorEastAsia"/>
          <w:color w:val="000000"/>
          <w:sz w:val="28"/>
          <w:szCs w:val="28"/>
        </w:rPr>
        <w:t>编制安全检查表，</w:t>
      </w:r>
      <w:r>
        <w:rPr>
          <w:rFonts w:ascii="Times New Roman" w:hAnsi="Times New Roman" w:eastAsiaTheme="minorEastAsia"/>
          <w:color w:val="000000"/>
          <w:sz w:val="28"/>
        </w:rPr>
        <w:t>具体检查内容见表5.5-3。</w:t>
      </w:r>
    </w:p>
    <w:p>
      <w:pPr>
        <w:ind w:firstLine="482"/>
        <w:jc w:val="center"/>
        <w:rPr>
          <w:rFonts w:eastAsiaTheme="minorEastAsia"/>
          <w:b/>
          <w:color w:val="000000"/>
          <w:sz w:val="24"/>
        </w:rPr>
      </w:pPr>
      <w:r>
        <w:rPr>
          <w:rFonts w:eastAsiaTheme="minorEastAsia"/>
          <w:b/>
          <w:color w:val="000000"/>
          <w:sz w:val="24"/>
        </w:rPr>
        <w:t>表5.5-3  油气集输系统单元安全检查表</w:t>
      </w:r>
    </w:p>
    <w:tbl>
      <w:tblPr>
        <w:tblStyle w:val="45"/>
        <w:tblW w:w="4998" w:type="pct"/>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3732"/>
        <w:gridCol w:w="1723"/>
        <w:gridCol w:w="1702"/>
        <w:gridCol w:w="666"/>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145" w:hRule="atLeast"/>
          <w:tblHeader/>
          <w:jc w:val="center"/>
        </w:trPr>
        <w:tc>
          <w:tcPr>
            <w:tcW w:w="393" w:type="pct"/>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序号</w:t>
            </w:r>
          </w:p>
        </w:tc>
        <w:tc>
          <w:tcPr>
            <w:tcW w:w="2197" w:type="pct"/>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检查项目</w:t>
            </w:r>
          </w:p>
        </w:tc>
        <w:tc>
          <w:tcPr>
            <w:tcW w:w="1014" w:type="pct"/>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检查依据</w:t>
            </w:r>
          </w:p>
        </w:tc>
        <w:tc>
          <w:tcPr>
            <w:tcW w:w="1002" w:type="pct"/>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实际情况</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检查结果</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油气集输站场址，应根据已批准的可行性研究报告或油气田地面建设总体规划以及所在地区的城镇规划、兼顾集输管道的走向确定。</w:t>
            </w:r>
          </w:p>
        </w:tc>
        <w:tc>
          <w:tcPr>
            <w:tcW w:w="1014"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GB50350-2015</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10.1.1</w:t>
            </w: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跟据地面建设总体规划以及所在地区的城镇规划、兼顾集输管道的走向确定。</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站场址的面积应满足总平面布置的需要，并应节约用地。凡有荒地可利用的地区应尽量不占用耕地。</w:t>
            </w:r>
          </w:p>
        </w:tc>
        <w:tc>
          <w:tcPr>
            <w:tcW w:w="1014"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GB50350-2015</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10.1.2</w:t>
            </w: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站场址利用老井场内。</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已建站场扩建或更新改造，原站址又无条件利用时，新建设施应尽量靠近已建站场，以充分利用原有公用工程。</w:t>
            </w:r>
          </w:p>
        </w:tc>
        <w:tc>
          <w:tcPr>
            <w:tcW w:w="1014"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GB50350-2015</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10.1.5</w:t>
            </w: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充分利用原有站场的公用工程。</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站场址周边宜具备交通运输、供水、排水、供电及通信等条件。</w:t>
            </w:r>
          </w:p>
        </w:tc>
        <w:tc>
          <w:tcPr>
            <w:tcW w:w="1014"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GB50350-2015</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10.1.6</w:t>
            </w: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靠近公路，且具备可靠的供水、排水、供电及通信等条件。</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机械采油井与100以上的居住区、村镇、公共福利设施之间防火间距不应小于25m。</w:t>
            </w:r>
          </w:p>
        </w:tc>
        <w:tc>
          <w:tcPr>
            <w:tcW w:w="1014" w:type="pct"/>
            <w:vMerge w:val="restar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GB50183-2004</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4.0.7</w:t>
            </w: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距离最近的居民区229m。</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机械采油井与相邻厂矿企业的防火间距不应小于20m。</w:t>
            </w:r>
          </w:p>
        </w:tc>
        <w:tc>
          <w:tcPr>
            <w:tcW w:w="1014" w:type="pct"/>
            <w:vMerge w:val="continue"/>
            <w:vAlign w:val="center"/>
          </w:tcPr>
          <w:p>
            <w:pPr>
              <w:tabs>
                <w:tab w:val="left" w:pos="3240"/>
              </w:tabs>
              <w:spacing w:before="60" w:beforeLines="25" w:after="60" w:afterLines="25" w:line="240" w:lineRule="auto"/>
              <w:ind w:firstLine="0" w:firstLineChars="0"/>
              <w:jc w:val="center"/>
              <w:rPr>
                <w:rFonts w:eastAsiaTheme="minorEastAsia"/>
                <w:sz w:val="21"/>
                <w:szCs w:val="21"/>
              </w:rPr>
            </w:pP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井口距离北侧办公室42m。</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机械采油井与高速公路之间防火间距不应小于20m；与其他公路之间防火间距不应小于10m。</w:t>
            </w:r>
          </w:p>
        </w:tc>
        <w:tc>
          <w:tcPr>
            <w:tcW w:w="1014" w:type="pct"/>
            <w:vMerge w:val="continue"/>
            <w:vAlign w:val="center"/>
          </w:tcPr>
          <w:p>
            <w:pPr>
              <w:tabs>
                <w:tab w:val="left" w:pos="3240"/>
              </w:tabs>
              <w:spacing w:before="60" w:beforeLines="25" w:after="60" w:afterLines="25" w:line="240" w:lineRule="auto"/>
              <w:ind w:firstLine="0" w:firstLineChars="0"/>
              <w:jc w:val="center"/>
              <w:rPr>
                <w:rFonts w:eastAsiaTheme="minorEastAsia"/>
                <w:sz w:val="21"/>
                <w:szCs w:val="21"/>
              </w:rPr>
            </w:pP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符合要求。</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机械采油井与架空通信线路的距离不应小于10m。</w:t>
            </w:r>
          </w:p>
        </w:tc>
        <w:tc>
          <w:tcPr>
            <w:tcW w:w="1014" w:type="pct"/>
            <w:vMerge w:val="continue"/>
            <w:vAlign w:val="center"/>
          </w:tcPr>
          <w:p>
            <w:pPr>
              <w:tabs>
                <w:tab w:val="left" w:pos="3240"/>
              </w:tabs>
              <w:spacing w:before="60" w:beforeLines="25" w:after="60" w:afterLines="25" w:line="240" w:lineRule="auto"/>
              <w:ind w:firstLine="0" w:firstLineChars="0"/>
              <w:jc w:val="center"/>
              <w:rPr>
                <w:rFonts w:eastAsiaTheme="minorEastAsia"/>
                <w:sz w:val="21"/>
                <w:szCs w:val="21"/>
              </w:rPr>
            </w:pP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周边无架空通信线路。</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机械采油井与架空电力线的防火间距不应小于1.5倍杆高。</w:t>
            </w:r>
          </w:p>
        </w:tc>
        <w:tc>
          <w:tcPr>
            <w:tcW w:w="1014" w:type="pct"/>
            <w:vMerge w:val="continue"/>
            <w:vAlign w:val="center"/>
          </w:tcPr>
          <w:p>
            <w:pPr>
              <w:tabs>
                <w:tab w:val="left" w:pos="3240"/>
              </w:tabs>
              <w:spacing w:before="60" w:beforeLines="25" w:after="60" w:afterLines="25" w:line="240" w:lineRule="auto"/>
              <w:ind w:firstLine="0" w:firstLineChars="0"/>
              <w:jc w:val="center"/>
              <w:rPr>
                <w:rFonts w:eastAsiaTheme="minorEastAsia"/>
                <w:sz w:val="21"/>
                <w:szCs w:val="21"/>
              </w:rPr>
            </w:pP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周边100m内无架空电力线路。</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采油井场的标高和面积应能满足生产管理和井下作业的需要。井场占地面积应符合国家现行标准《石油天然气工程总图设计规范》SY/T0048的有关规定。</w:t>
            </w:r>
          </w:p>
        </w:tc>
        <w:tc>
          <w:tcPr>
            <w:tcW w:w="1014"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GB50350-2015</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4.2.5</w:t>
            </w: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符合要求。</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油井与10kV及以下户外变压器之间的防火间距不应小于15m。</w:t>
            </w:r>
          </w:p>
        </w:tc>
        <w:tc>
          <w:tcPr>
            <w:tcW w:w="1014" w:type="pct"/>
            <w:vMerge w:val="restar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GB50183-2004</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5.2.3</w:t>
            </w: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hint="eastAsia" w:eastAsiaTheme="minorEastAsia"/>
                <w:sz w:val="21"/>
                <w:szCs w:val="21"/>
              </w:rPr>
              <w:t>现场勘察，</w:t>
            </w:r>
            <w:r>
              <w:rPr>
                <w:rFonts w:eastAsiaTheme="minorEastAsia"/>
                <w:sz w:val="21"/>
                <w:szCs w:val="21"/>
              </w:rPr>
              <w:t>油井距离西侧变压器35m。</w:t>
            </w:r>
            <w:r>
              <w:rPr>
                <w:rFonts w:hint="eastAsia" w:eastAsiaTheme="minorEastAsia"/>
                <w:sz w:val="21"/>
                <w:szCs w:val="21"/>
              </w:rPr>
              <w:t>箱式变的位置未明确，</w:t>
            </w:r>
            <w:r>
              <w:rPr>
                <w:rFonts w:eastAsiaTheme="minorEastAsia"/>
                <w:sz w:val="21"/>
                <w:szCs w:val="21"/>
              </w:rPr>
              <w:t>下一步应加强设计</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hint="eastAsia" w:eastAsiaTheme="minorEastAsia"/>
                <w:sz w:val="21"/>
                <w:szCs w:val="21"/>
              </w:rPr>
              <w:t>油井与就地分水撬块的防火间距不应小于5m。</w:t>
            </w:r>
          </w:p>
        </w:tc>
        <w:tc>
          <w:tcPr>
            <w:tcW w:w="1014" w:type="pct"/>
            <w:vMerge w:val="continue"/>
            <w:vAlign w:val="center"/>
          </w:tcPr>
          <w:p>
            <w:pPr>
              <w:tabs>
                <w:tab w:val="left" w:pos="3240"/>
              </w:tabs>
              <w:spacing w:before="60" w:beforeLines="25" w:after="60" w:afterLines="25" w:line="240" w:lineRule="auto"/>
              <w:ind w:firstLine="0" w:firstLineChars="0"/>
              <w:jc w:val="center"/>
              <w:rPr>
                <w:rFonts w:eastAsiaTheme="minorEastAsia"/>
                <w:sz w:val="21"/>
                <w:szCs w:val="21"/>
              </w:rPr>
            </w:pP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hint="eastAsia" w:eastAsiaTheme="minorEastAsia"/>
                <w:sz w:val="21"/>
                <w:szCs w:val="21"/>
              </w:rPr>
              <w:t>间距大于40m</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hint="eastAsia" w:eastAsiaTheme="minorEastAsia"/>
                <w:sz w:val="21"/>
                <w:szCs w:val="21"/>
              </w:rPr>
              <w:t>油井与采出水处理撬块的防火间距不应小于20m。</w:t>
            </w:r>
          </w:p>
        </w:tc>
        <w:tc>
          <w:tcPr>
            <w:tcW w:w="1014" w:type="pct"/>
            <w:vMerge w:val="continue"/>
            <w:vAlign w:val="center"/>
          </w:tcPr>
          <w:p>
            <w:pPr>
              <w:tabs>
                <w:tab w:val="left" w:pos="3240"/>
              </w:tabs>
              <w:spacing w:before="60" w:beforeLines="25" w:after="60" w:afterLines="25" w:line="240" w:lineRule="auto"/>
              <w:ind w:firstLine="0" w:firstLineChars="0"/>
              <w:jc w:val="center"/>
              <w:rPr>
                <w:rFonts w:eastAsiaTheme="minorEastAsia"/>
                <w:sz w:val="21"/>
                <w:szCs w:val="21"/>
              </w:rPr>
            </w:pP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hint="eastAsia" w:eastAsiaTheme="minorEastAsia"/>
                <w:sz w:val="21"/>
                <w:szCs w:val="21"/>
              </w:rPr>
              <w:t>间距大于40m</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视频监控杆应安装于井场内，且距离井口不小于15m</w:t>
            </w:r>
            <w:r>
              <w:rPr>
                <w:rFonts w:hint="eastAsia" w:eastAsiaTheme="minorEastAsia"/>
                <w:sz w:val="21"/>
                <w:szCs w:val="21"/>
              </w:rPr>
              <w:t>。</w:t>
            </w:r>
          </w:p>
        </w:tc>
        <w:tc>
          <w:tcPr>
            <w:tcW w:w="1014"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Q/SH1020  2626-2018</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5.3.1.1</w:t>
            </w: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可研未明确，下一步应加强设计。</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hint="eastAsia" w:eastAsiaTheme="minorEastAsia"/>
                <w:sz w:val="21"/>
                <w:szCs w:val="21"/>
              </w:rPr>
              <w:t>控制柜</w:t>
            </w:r>
            <w:r>
              <w:rPr>
                <w:rFonts w:eastAsiaTheme="minorEastAsia"/>
                <w:sz w:val="21"/>
                <w:szCs w:val="21"/>
              </w:rPr>
              <w:t>性能指标应符合GB/T16750-2015中5.2.7的规定，防护等级达到IP54标准，应具有无级调速、自动启停、过载保护等功能，具备数据远传等扩展功能接口。与潜油永磁同步电机配套的控制柜应能防止井下永磁电机被动旋转发电带来的安全风险</w:t>
            </w:r>
            <w:r>
              <w:rPr>
                <w:rFonts w:hint="eastAsia" w:eastAsiaTheme="minorEastAsia"/>
                <w:sz w:val="21"/>
                <w:szCs w:val="21"/>
              </w:rPr>
              <w:t>。</w:t>
            </w:r>
          </w:p>
        </w:tc>
        <w:tc>
          <w:tcPr>
            <w:tcW w:w="1014"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SY/T7673-2022</w:t>
            </w:r>
          </w:p>
          <w:p>
            <w:pPr>
              <w:tabs>
                <w:tab w:val="left" w:pos="3240"/>
              </w:tabs>
              <w:spacing w:before="60" w:beforeLines="25" w:after="60" w:afterLines="25" w:line="240" w:lineRule="auto"/>
              <w:ind w:firstLine="0" w:firstLineChars="0"/>
              <w:jc w:val="center"/>
            </w:pPr>
            <w:r>
              <w:rPr>
                <w:rFonts w:hint="eastAsia" w:eastAsiaTheme="minorEastAsia"/>
                <w:sz w:val="21"/>
                <w:szCs w:val="21"/>
              </w:rPr>
              <w:t>5.6</w:t>
            </w: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可研未明确，下一步应加强设计。</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油气集输站场的工艺设计应满足油气集输生产过程对站场的功能要求，并应设计事故流程。</w:t>
            </w:r>
          </w:p>
        </w:tc>
        <w:tc>
          <w:tcPr>
            <w:tcW w:w="1014"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GB50350-2015</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3.0.10</w:t>
            </w: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满足油气集输生产过程对站场的功能要求。</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油井井场应有醒目的安全警示标志，建立严格的防火防爆制度。</w:t>
            </w:r>
          </w:p>
        </w:tc>
        <w:tc>
          <w:tcPr>
            <w:tcW w:w="1014"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AQ2012-2007</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5.6.4</w:t>
            </w: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可研未明确，下一步应加强设计。</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油气集输管道的设计压力应按最高操作压力选取。</w:t>
            </w:r>
          </w:p>
        </w:tc>
        <w:tc>
          <w:tcPr>
            <w:tcW w:w="1014"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GB50350-2015</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8.1.3</w:t>
            </w: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按最高操作压力选取设计压力。</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393" w:type="pct"/>
            <w:vAlign w:val="center"/>
          </w:tcPr>
          <w:p>
            <w:pPr>
              <w:numPr>
                <w:ilvl w:val="0"/>
                <w:numId w:val="8"/>
              </w:numPr>
              <w:tabs>
                <w:tab w:val="left" w:pos="3240"/>
              </w:tabs>
              <w:spacing w:before="60" w:beforeLines="25" w:after="60" w:afterLines="25" w:line="240" w:lineRule="auto"/>
              <w:ind w:firstLineChars="0"/>
              <w:jc w:val="center"/>
              <w:rPr>
                <w:rFonts w:eastAsiaTheme="minorEastAsia"/>
                <w:sz w:val="21"/>
                <w:szCs w:val="21"/>
              </w:rPr>
            </w:pPr>
          </w:p>
        </w:tc>
        <w:tc>
          <w:tcPr>
            <w:tcW w:w="219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油气集输管道所用钢管、管道组件的材质选择，应根据设计压力、设计温度、介质特性、使用地区等因素，经技术经济比较厚确定。采用的钢管和钢材，应具有良好的韧性和焊接性能。</w:t>
            </w:r>
          </w:p>
        </w:tc>
        <w:tc>
          <w:tcPr>
            <w:tcW w:w="1014"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GB50350-2015</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8.6.1</w:t>
            </w:r>
          </w:p>
        </w:tc>
        <w:tc>
          <w:tcPr>
            <w:tcW w:w="1002"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可研未明确，下一步应加强设计。</w:t>
            </w:r>
          </w:p>
        </w:tc>
        <w:tc>
          <w:tcPr>
            <w:tcW w:w="392" w:type="pct"/>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bl>
    <w:p>
      <w:pPr>
        <w:pStyle w:val="281"/>
        <w:spacing w:before="240" w:beforeLines="100"/>
        <w:rPr>
          <w:rFonts w:cs="Times New Roman" w:eastAsiaTheme="minorEastAsia"/>
        </w:rPr>
      </w:pPr>
      <w:r>
        <w:rPr>
          <w:rFonts w:cs="Times New Roman" w:eastAsiaTheme="minorEastAsia"/>
        </w:rPr>
        <w:t>5.5.2  预先危险性分析</w:t>
      </w:r>
    </w:p>
    <w:p>
      <w:pPr>
        <w:ind w:firstLine="560"/>
        <w:jc w:val="left"/>
        <w:rPr>
          <w:rFonts w:eastAsiaTheme="minorEastAsia"/>
          <w:color w:val="000000"/>
          <w:szCs w:val="28"/>
        </w:rPr>
      </w:pPr>
      <w:r>
        <w:rPr>
          <w:rFonts w:eastAsiaTheme="minorEastAsia"/>
          <w:color w:val="000000"/>
          <w:szCs w:val="28"/>
        </w:rPr>
        <w:t>本节针对油气集输系统单元所涉及的设备设施进行预先性危险分析。</w:t>
      </w:r>
    </w:p>
    <w:p>
      <w:pPr>
        <w:pStyle w:val="232"/>
        <w:adjustRightInd w:val="0"/>
        <w:snapToGrid w:val="0"/>
        <w:spacing w:line="360" w:lineRule="auto"/>
        <w:jc w:val="center"/>
        <w:rPr>
          <w:rFonts w:ascii="Times New Roman" w:hAnsi="Times New Roman" w:eastAsiaTheme="minorEastAsia"/>
          <w:b/>
          <w:color w:val="000000"/>
          <w:sz w:val="24"/>
          <w:szCs w:val="24"/>
        </w:rPr>
      </w:pPr>
      <w:r>
        <w:rPr>
          <w:rFonts w:ascii="Times New Roman" w:hAnsi="Times New Roman" w:eastAsiaTheme="minorEastAsia"/>
          <w:b/>
          <w:color w:val="000000"/>
          <w:sz w:val="24"/>
          <w:szCs w:val="24"/>
        </w:rPr>
        <w:t>表5.5-4  集输系统单元预先危险性分析汇总表</w:t>
      </w:r>
    </w:p>
    <w:tbl>
      <w:tblPr>
        <w:tblStyle w:val="45"/>
        <w:tblW w:w="4998" w:type="pct"/>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634"/>
        <w:gridCol w:w="427"/>
        <w:gridCol w:w="2592"/>
        <w:gridCol w:w="783"/>
        <w:gridCol w:w="435"/>
        <w:gridCol w:w="3193"/>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251" w:type="pct"/>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序号</w:t>
            </w:r>
          </w:p>
        </w:tc>
        <w:tc>
          <w:tcPr>
            <w:tcW w:w="374" w:type="pct"/>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危险源</w:t>
            </w:r>
          </w:p>
        </w:tc>
        <w:tc>
          <w:tcPr>
            <w:tcW w:w="251" w:type="pct"/>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事故类型</w:t>
            </w:r>
          </w:p>
        </w:tc>
        <w:tc>
          <w:tcPr>
            <w:tcW w:w="1526" w:type="pct"/>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触发条件</w:t>
            </w:r>
          </w:p>
        </w:tc>
        <w:tc>
          <w:tcPr>
            <w:tcW w:w="461" w:type="pct"/>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可能的事故后果</w:t>
            </w:r>
          </w:p>
        </w:tc>
        <w:tc>
          <w:tcPr>
            <w:tcW w:w="256" w:type="pct"/>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危险等级</w:t>
            </w:r>
          </w:p>
        </w:tc>
        <w:tc>
          <w:tcPr>
            <w:tcW w:w="1877" w:type="pct"/>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对策措施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51" w:type="pct"/>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一</w:t>
            </w:r>
          </w:p>
        </w:tc>
        <w:tc>
          <w:tcPr>
            <w:tcW w:w="4748" w:type="pct"/>
            <w:gridSpan w:val="6"/>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井场</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251" w:type="pct"/>
            <w:vMerge w:val="restar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w:t>
            </w:r>
          </w:p>
        </w:tc>
        <w:tc>
          <w:tcPr>
            <w:tcW w:w="374" w:type="pct"/>
            <w:vMerge w:val="restar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井口装置</w:t>
            </w:r>
          </w:p>
        </w:tc>
        <w:tc>
          <w:tcPr>
            <w:tcW w:w="251"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火灾爆炸</w:t>
            </w:r>
          </w:p>
        </w:tc>
        <w:tc>
          <w:tcPr>
            <w:tcW w:w="1526"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1.原油泄漏；</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2.油蒸气积聚；</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3.存在点火源。</w:t>
            </w:r>
          </w:p>
        </w:tc>
        <w:tc>
          <w:tcPr>
            <w:tcW w:w="461"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人员伤亡设备损坏</w:t>
            </w:r>
          </w:p>
        </w:tc>
        <w:tc>
          <w:tcPr>
            <w:tcW w:w="256"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Ⅲ</w:t>
            </w:r>
          </w:p>
        </w:tc>
        <w:tc>
          <w:tcPr>
            <w:tcW w:w="187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1.加强设备管理，杜绝</w:t>
            </w:r>
            <w:r>
              <w:rPr>
                <w:rFonts w:hint="eastAsia" w:eastAsiaTheme="minorEastAsia"/>
                <w:sz w:val="21"/>
                <w:szCs w:val="21"/>
              </w:rPr>
              <w:t>“</w:t>
            </w:r>
            <w:r>
              <w:rPr>
                <w:rFonts w:eastAsiaTheme="minorEastAsia"/>
                <w:sz w:val="21"/>
                <w:szCs w:val="21"/>
              </w:rPr>
              <w:t>跑、冒、滴、漏</w:t>
            </w:r>
            <w:r>
              <w:rPr>
                <w:rFonts w:hint="eastAsia" w:eastAsiaTheme="minorEastAsia"/>
                <w:sz w:val="21"/>
                <w:szCs w:val="21"/>
              </w:rPr>
              <w:t>”</w:t>
            </w:r>
            <w:r>
              <w:rPr>
                <w:rFonts w:eastAsiaTheme="minorEastAsia"/>
                <w:sz w:val="21"/>
                <w:szCs w:val="21"/>
              </w:rPr>
              <w:t>；</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2.采用防爆电气设备；</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3.使用不产生火花的检修工具；</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4.采取可靠的防雷、防静电措施；</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5.为职工配备劳保防护用品；</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6.禁止火源。</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251" w:type="pct"/>
            <w:vMerge w:val="continue"/>
            <w:vAlign w:val="center"/>
          </w:tcPr>
          <w:p>
            <w:pPr>
              <w:tabs>
                <w:tab w:val="left" w:pos="3240"/>
              </w:tabs>
              <w:spacing w:before="60" w:beforeLines="25" w:after="60" w:afterLines="25" w:line="240" w:lineRule="auto"/>
              <w:ind w:firstLine="0" w:firstLineChars="0"/>
              <w:rPr>
                <w:rFonts w:eastAsiaTheme="minorEastAsia"/>
                <w:sz w:val="21"/>
                <w:szCs w:val="21"/>
              </w:rPr>
            </w:pPr>
          </w:p>
        </w:tc>
        <w:tc>
          <w:tcPr>
            <w:tcW w:w="374" w:type="pct"/>
            <w:vMerge w:val="continue"/>
            <w:vAlign w:val="center"/>
          </w:tcPr>
          <w:p>
            <w:pPr>
              <w:tabs>
                <w:tab w:val="left" w:pos="3240"/>
              </w:tabs>
              <w:spacing w:before="60" w:beforeLines="25" w:after="60" w:afterLines="25" w:line="240" w:lineRule="auto"/>
              <w:ind w:firstLine="0" w:firstLineChars="0"/>
              <w:rPr>
                <w:rFonts w:eastAsiaTheme="minorEastAsia"/>
                <w:sz w:val="21"/>
                <w:szCs w:val="21"/>
              </w:rPr>
            </w:pPr>
          </w:p>
        </w:tc>
        <w:tc>
          <w:tcPr>
            <w:tcW w:w="251"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物体打击</w:t>
            </w:r>
          </w:p>
        </w:tc>
        <w:tc>
          <w:tcPr>
            <w:tcW w:w="1526"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1.物体在惯性作用下飞出会坠落；</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2.工具、部件或其他物体打到人体。</w:t>
            </w:r>
          </w:p>
        </w:tc>
        <w:tc>
          <w:tcPr>
            <w:tcW w:w="461"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人员伤亡</w:t>
            </w:r>
          </w:p>
        </w:tc>
        <w:tc>
          <w:tcPr>
            <w:tcW w:w="256"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Ⅱ</w:t>
            </w:r>
          </w:p>
        </w:tc>
        <w:tc>
          <w:tcPr>
            <w:tcW w:w="187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1.设备、管线等避免带压操作；</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2.避免上、下交叉作业；</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3.严格遵守安全作业规程。</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251"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二</w:t>
            </w:r>
          </w:p>
        </w:tc>
        <w:tc>
          <w:tcPr>
            <w:tcW w:w="4748" w:type="pct"/>
            <w:gridSpan w:val="6"/>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集输管网</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51" w:type="pct"/>
            <w:vMerge w:val="restar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w:t>
            </w:r>
          </w:p>
        </w:tc>
        <w:tc>
          <w:tcPr>
            <w:tcW w:w="374" w:type="pct"/>
            <w:vMerge w:val="restar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单井集油管线</w:t>
            </w:r>
          </w:p>
        </w:tc>
        <w:tc>
          <w:tcPr>
            <w:tcW w:w="251"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火灾爆炸</w:t>
            </w:r>
          </w:p>
        </w:tc>
        <w:tc>
          <w:tcPr>
            <w:tcW w:w="1526"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1.设计不合理，包括：</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①工艺流程、设备布置不合理；</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②系统工艺计算不正确；</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③管道强度计算不准确；</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④管道位置选择不合理；</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⑤材料选材不合理；</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⑥防腐蚀设计不合理；</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⑦管线布置、柔性考虑不周；</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⑧结构设计不合理；</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⑨防雷、防静电设计缺陷。</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2.管线内表面磨损、腐蚀</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①选材不当，材质不达标，抗蚀性能差；</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②原油含水、酸性介质等；</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③原油含砂、铁锈等尘粒及杂质产生磨损。</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3.集油管线外表面腐蚀</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①管材抗腐蚀性能不符合要求；</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②植物根茎对防腐层破坏；</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③防腐蚀措施失效；</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④防腐层在运输、施工中被破坏，没有进行修补，或修补不能再满足防腐的需要而未及时进行更换；</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⑤管线接口处防腐不能满足工艺要求等。</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4.施工质量问题</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①焊接缺陷；</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②补口、补伤质量问题；</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③管沟、管架质量问题；</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④穿跨越质量问题；</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⑤检验控制问题。</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5.疲劳失效</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①经常开停车或变负荷；</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②管道设备设施在制造过程中由于存在开孔或支管连接，焊边存在错边、冷觉、余稿、咬边或夹渣、气孔、裂纹、未焊透、未熔合等内部缺陷，造成应力集中，随着交变力的作用，这些几何不连续部位或缺陷部位将产生疲劳裂纹，疲劳裂纹会逐渐扩展并最终贯穿整个璧厚，导致管道破裂。</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6.管线受外力或液压、沉重物体压轧、打击等。</w:t>
            </w:r>
          </w:p>
        </w:tc>
        <w:tc>
          <w:tcPr>
            <w:tcW w:w="461"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人员伤亡设备损坏</w:t>
            </w:r>
          </w:p>
        </w:tc>
        <w:tc>
          <w:tcPr>
            <w:tcW w:w="256"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Ⅲ</w:t>
            </w:r>
          </w:p>
        </w:tc>
        <w:tc>
          <w:tcPr>
            <w:tcW w:w="187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1.根据管道穿越地段的情况，合理设计工艺流程、设备、管材的选择及防腐、防雷、防静电等相关设计；</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2.根据原油的性质采取合理的防腐措施；</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3.根据管道穿越地段土壤性质选择合理的防腐措施；</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4.施工作业时，作业人员应经培训合格后上岗作业，规范操作规程，加强作业现场的管理，对施工单位及特种作业人员统一管理；</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5.疲劳失效常常发生在管道不连续处，应对这些几何不连续不稳或缺陷部位加强检查；</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6.管道敷设地段设置安全警示标志，穿越线路应报当地行政主管部门备案，配置专人定期巡检。</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51" w:type="pct"/>
            <w:vMerge w:val="continue"/>
            <w:vAlign w:val="center"/>
          </w:tcPr>
          <w:p>
            <w:pPr>
              <w:tabs>
                <w:tab w:val="left" w:pos="3240"/>
              </w:tabs>
              <w:spacing w:before="60" w:beforeLines="25" w:after="60" w:afterLines="25" w:line="240" w:lineRule="auto"/>
              <w:ind w:firstLine="0" w:firstLineChars="0"/>
              <w:rPr>
                <w:rFonts w:eastAsiaTheme="minorEastAsia"/>
                <w:sz w:val="21"/>
                <w:szCs w:val="21"/>
              </w:rPr>
            </w:pPr>
          </w:p>
        </w:tc>
        <w:tc>
          <w:tcPr>
            <w:tcW w:w="374" w:type="pct"/>
            <w:vMerge w:val="continue"/>
            <w:vAlign w:val="center"/>
          </w:tcPr>
          <w:p>
            <w:pPr>
              <w:tabs>
                <w:tab w:val="left" w:pos="3240"/>
              </w:tabs>
              <w:spacing w:before="60" w:beforeLines="25" w:after="60" w:afterLines="25" w:line="240" w:lineRule="auto"/>
              <w:ind w:firstLine="0" w:firstLineChars="0"/>
              <w:rPr>
                <w:rFonts w:eastAsiaTheme="minorEastAsia"/>
                <w:sz w:val="21"/>
                <w:szCs w:val="21"/>
              </w:rPr>
            </w:pPr>
          </w:p>
        </w:tc>
        <w:tc>
          <w:tcPr>
            <w:tcW w:w="251"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凝管</w:t>
            </w:r>
          </w:p>
        </w:tc>
        <w:tc>
          <w:tcPr>
            <w:tcW w:w="1526"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1.输油温度偏低；</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2.长期不清管道，致使管壁结蜡严重。</w:t>
            </w:r>
          </w:p>
        </w:tc>
        <w:tc>
          <w:tcPr>
            <w:tcW w:w="461"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设备损坏</w:t>
            </w:r>
          </w:p>
        </w:tc>
        <w:tc>
          <w:tcPr>
            <w:tcW w:w="256"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Ⅱ</w:t>
            </w:r>
          </w:p>
        </w:tc>
        <w:tc>
          <w:tcPr>
            <w:tcW w:w="187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1.升温加压挤顶；</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2.沿管道开孔、分段挤顶；</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3.严格控制停输时间；</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4.严格控制输油温度；</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5.严格控制输油流量。</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51" w:type="pct"/>
            <w:vMerge w:val="continue"/>
            <w:vAlign w:val="center"/>
          </w:tcPr>
          <w:p>
            <w:pPr>
              <w:tabs>
                <w:tab w:val="left" w:pos="3240"/>
              </w:tabs>
              <w:spacing w:before="60" w:beforeLines="25" w:after="60" w:afterLines="25" w:line="240" w:lineRule="auto"/>
              <w:ind w:firstLine="0" w:firstLineChars="0"/>
              <w:rPr>
                <w:rFonts w:eastAsiaTheme="minorEastAsia"/>
                <w:sz w:val="21"/>
                <w:szCs w:val="21"/>
              </w:rPr>
            </w:pPr>
          </w:p>
        </w:tc>
        <w:tc>
          <w:tcPr>
            <w:tcW w:w="374" w:type="pct"/>
            <w:vMerge w:val="continue"/>
            <w:vAlign w:val="center"/>
          </w:tcPr>
          <w:p>
            <w:pPr>
              <w:tabs>
                <w:tab w:val="left" w:pos="3240"/>
              </w:tabs>
              <w:spacing w:before="60" w:beforeLines="25" w:after="60" w:afterLines="25" w:line="240" w:lineRule="auto"/>
              <w:ind w:firstLine="0" w:firstLineChars="0"/>
              <w:rPr>
                <w:rFonts w:eastAsiaTheme="minorEastAsia"/>
                <w:sz w:val="21"/>
                <w:szCs w:val="21"/>
              </w:rPr>
            </w:pPr>
          </w:p>
        </w:tc>
        <w:tc>
          <w:tcPr>
            <w:tcW w:w="251"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中毒</w:t>
            </w:r>
          </w:p>
        </w:tc>
        <w:tc>
          <w:tcPr>
            <w:tcW w:w="1526"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1.抢修等现场作业人员未佩带呼吸防护工具；</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2.人员违章作业；</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3.大量泄漏时，未及时通知并疏散周围人员。</w:t>
            </w:r>
          </w:p>
        </w:tc>
        <w:tc>
          <w:tcPr>
            <w:tcW w:w="461"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人员伤亡</w:t>
            </w:r>
          </w:p>
        </w:tc>
        <w:tc>
          <w:tcPr>
            <w:tcW w:w="256"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Ⅲ</w:t>
            </w:r>
          </w:p>
        </w:tc>
        <w:tc>
          <w:tcPr>
            <w:tcW w:w="1877" w:type="pc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1.抢修等作业人员在原油大量泄漏区域作业应佩带呼吸防护设备；</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2.严格按操作规程操作；</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3.大量泄漏时，及时通知周边人群并组织疏散。</w:t>
            </w:r>
          </w:p>
        </w:tc>
      </w:tr>
    </w:tbl>
    <w:p>
      <w:pPr>
        <w:pStyle w:val="281"/>
        <w:spacing w:before="240" w:beforeLines="100"/>
        <w:rPr>
          <w:rFonts w:cs="Times New Roman" w:eastAsiaTheme="minorEastAsia"/>
        </w:rPr>
      </w:pPr>
      <w:r>
        <w:rPr>
          <w:rFonts w:cs="Times New Roman" w:eastAsiaTheme="minorEastAsia"/>
        </w:rPr>
        <w:t>5.5.3  评价小结</w:t>
      </w:r>
    </w:p>
    <w:p>
      <w:pPr>
        <w:pStyle w:val="24"/>
        <w:spacing w:line="360" w:lineRule="auto"/>
        <w:ind w:firstLine="560"/>
        <w:rPr>
          <w:rFonts w:ascii="Times New Roman" w:hAnsi="Times New Roman" w:eastAsiaTheme="minorEastAsia"/>
        </w:rPr>
      </w:pPr>
      <w:r>
        <w:rPr>
          <w:rFonts w:ascii="Times New Roman" w:hAnsi="Times New Roman" w:eastAsiaTheme="minorEastAsia"/>
        </w:rPr>
        <w:t>1）安全检查表小结</w:t>
      </w:r>
    </w:p>
    <w:p>
      <w:pPr>
        <w:pStyle w:val="24"/>
        <w:spacing w:line="360" w:lineRule="auto"/>
        <w:ind w:firstLine="560"/>
        <w:rPr>
          <w:rFonts w:ascii="Times New Roman" w:hAnsi="Times New Roman" w:eastAsiaTheme="minorEastAsia"/>
          <w:szCs w:val="28"/>
        </w:rPr>
      </w:pPr>
      <w:r>
        <w:rPr>
          <w:rFonts w:ascii="Times New Roman" w:hAnsi="Times New Roman" w:eastAsiaTheme="minorEastAsia"/>
        </w:rPr>
        <w:t>该单元安全检查表对东辛油田营1-斜118块馆三产能建设工程的集输系统单元共1</w:t>
      </w:r>
      <w:r>
        <w:rPr>
          <w:rFonts w:hint="eastAsia" w:ascii="Times New Roman" w:hAnsi="Times New Roman" w:eastAsiaTheme="minorEastAsia"/>
        </w:rPr>
        <w:t>9</w:t>
      </w:r>
      <w:r>
        <w:rPr>
          <w:rFonts w:ascii="Times New Roman" w:hAnsi="Times New Roman" w:eastAsiaTheme="minorEastAsia"/>
        </w:rPr>
        <w:t>项内容进行了检查，其中符合要求</w:t>
      </w:r>
      <w:r>
        <w:rPr>
          <w:rFonts w:ascii="Times New Roman" w:hAnsi="Times New Roman" w:eastAsiaTheme="minorEastAsia"/>
          <w:szCs w:val="28"/>
        </w:rPr>
        <w:t>的有1</w:t>
      </w:r>
      <w:r>
        <w:rPr>
          <w:rFonts w:hint="eastAsia" w:ascii="Times New Roman" w:hAnsi="Times New Roman" w:eastAsiaTheme="minorEastAsia"/>
          <w:szCs w:val="28"/>
        </w:rPr>
        <w:t>4</w:t>
      </w:r>
      <w:r>
        <w:rPr>
          <w:rFonts w:ascii="Times New Roman" w:hAnsi="Times New Roman" w:eastAsiaTheme="minorEastAsia"/>
          <w:szCs w:val="28"/>
        </w:rPr>
        <w:t>项，可研未</w:t>
      </w:r>
      <w:r>
        <w:rPr>
          <w:rFonts w:hint="eastAsia" w:ascii="Times New Roman" w:hAnsi="Times New Roman" w:eastAsiaTheme="minorEastAsia"/>
          <w:szCs w:val="28"/>
        </w:rPr>
        <w:t>明确</w:t>
      </w:r>
      <w:r>
        <w:rPr>
          <w:rFonts w:ascii="Times New Roman" w:hAnsi="Times New Roman" w:eastAsiaTheme="minorEastAsia"/>
          <w:szCs w:val="28"/>
        </w:rPr>
        <w:t>的有</w:t>
      </w:r>
      <w:r>
        <w:rPr>
          <w:rFonts w:hint="eastAsia" w:ascii="Times New Roman" w:hAnsi="Times New Roman" w:eastAsiaTheme="minorEastAsia"/>
          <w:szCs w:val="28"/>
        </w:rPr>
        <w:t>5</w:t>
      </w:r>
      <w:r>
        <w:rPr>
          <w:rFonts w:ascii="Times New Roman" w:hAnsi="Times New Roman" w:eastAsiaTheme="minorEastAsia"/>
          <w:szCs w:val="28"/>
        </w:rPr>
        <w:t>项，无不符合项。</w:t>
      </w:r>
    </w:p>
    <w:p>
      <w:pPr>
        <w:pStyle w:val="24"/>
        <w:spacing w:line="360" w:lineRule="auto"/>
        <w:ind w:firstLine="560"/>
        <w:rPr>
          <w:rFonts w:ascii="Times New Roman" w:hAnsi="Times New Roman" w:eastAsiaTheme="minorEastAsia"/>
          <w:bCs/>
          <w:color w:val="000000"/>
          <w:szCs w:val="28"/>
        </w:rPr>
      </w:pPr>
      <w:r>
        <w:rPr>
          <w:rFonts w:ascii="Times New Roman" w:hAnsi="Times New Roman" w:eastAsiaTheme="minorEastAsia"/>
          <w:szCs w:val="28"/>
        </w:rPr>
        <w:t>可研未明确项：</w:t>
      </w:r>
      <w:r>
        <w:rPr>
          <w:rFonts w:ascii="Times New Roman" w:hAnsi="Times New Roman" w:eastAsiaTheme="minorEastAsia"/>
          <w:bCs/>
          <w:color w:val="000000"/>
          <w:szCs w:val="28"/>
        </w:rPr>
        <w:t>（1）油井与10kV及以下户外变压器之间的防火间距不应小于15m。</w:t>
      </w:r>
    </w:p>
    <w:p>
      <w:pPr>
        <w:pStyle w:val="24"/>
        <w:numPr>
          <w:ilvl w:val="0"/>
          <w:numId w:val="9"/>
        </w:numPr>
        <w:spacing w:line="360" w:lineRule="auto"/>
        <w:ind w:firstLine="560"/>
        <w:rPr>
          <w:rFonts w:ascii="Times New Roman" w:hAnsi="Times New Roman" w:eastAsiaTheme="minorEastAsia"/>
          <w:bCs/>
          <w:color w:val="000000"/>
          <w:szCs w:val="28"/>
        </w:rPr>
      </w:pPr>
      <w:r>
        <w:rPr>
          <w:rFonts w:ascii="Times New Roman" w:hAnsi="Times New Roman" w:eastAsiaTheme="minorEastAsia"/>
          <w:bCs/>
          <w:color w:val="000000"/>
          <w:szCs w:val="28"/>
        </w:rPr>
        <w:t>视频监控杆应安装于井场内，且距离井口不小于15m。</w:t>
      </w:r>
    </w:p>
    <w:p>
      <w:pPr>
        <w:pStyle w:val="24"/>
        <w:numPr>
          <w:ilvl w:val="0"/>
          <w:numId w:val="9"/>
        </w:numPr>
        <w:spacing w:line="360" w:lineRule="auto"/>
        <w:ind w:firstLine="560"/>
        <w:rPr>
          <w:rFonts w:ascii="Times New Roman" w:hAnsi="Times New Roman" w:eastAsiaTheme="minorEastAsia"/>
          <w:bCs/>
          <w:color w:val="000000"/>
          <w:szCs w:val="28"/>
        </w:rPr>
      </w:pPr>
      <w:r>
        <w:rPr>
          <w:rFonts w:ascii="Times New Roman" w:hAnsi="Times New Roman" w:eastAsiaTheme="minorEastAsia"/>
          <w:bCs/>
          <w:color w:val="000000"/>
          <w:szCs w:val="28"/>
        </w:rPr>
        <w:t>控制柜性能指标应符合GB/T16750-2015中5.2.7的规定，防护等级达到IP54标准，应具有无级调速、自动启停、过载保护等功能，具备数据远传等扩展功能接口。与潜油永磁同步电机配套的控制柜应能防止井下永磁电机被动旋转发电带来的安全风险。</w:t>
      </w:r>
    </w:p>
    <w:p>
      <w:pPr>
        <w:pStyle w:val="24"/>
        <w:numPr>
          <w:ilvl w:val="0"/>
          <w:numId w:val="9"/>
        </w:numPr>
        <w:spacing w:line="360" w:lineRule="auto"/>
        <w:ind w:firstLine="560"/>
        <w:rPr>
          <w:rFonts w:ascii="Times New Roman" w:hAnsi="Times New Roman" w:eastAsiaTheme="minorEastAsia"/>
          <w:bCs/>
          <w:color w:val="000000"/>
          <w:szCs w:val="28"/>
        </w:rPr>
      </w:pPr>
      <w:r>
        <w:rPr>
          <w:rFonts w:ascii="Times New Roman" w:hAnsi="Times New Roman" w:eastAsiaTheme="minorEastAsia"/>
          <w:bCs/>
          <w:color w:val="000000"/>
          <w:szCs w:val="28"/>
        </w:rPr>
        <w:t>油井井场应有醒目的安全警示标志，建立严格的防火防爆制度。</w:t>
      </w:r>
    </w:p>
    <w:p>
      <w:pPr>
        <w:pStyle w:val="24"/>
        <w:numPr>
          <w:ilvl w:val="0"/>
          <w:numId w:val="9"/>
        </w:numPr>
        <w:spacing w:line="360" w:lineRule="auto"/>
        <w:ind w:firstLine="560"/>
        <w:rPr>
          <w:rFonts w:ascii="Times New Roman" w:hAnsi="Times New Roman" w:eastAsiaTheme="minorEastAsia"/>
          <w:bCs/>
          <w:color w:val="000000"/>
          <w:szCs w:val="28"/>
        </w:rPr>
      </w:pPr>
      <w:r>
        <w:rPr>
          <w:rFonts w:ascii="Times New Roman" w:hAnsi="Times New Roman" w:eastAsiaTheme="minorEastAsia"/>
          <w:bCs/>
          <w:color w:val="000000"/>
          <w:szCs w:val="28"/>
        </w:rPr>
        <w:t>油气集输管道所用钢管、管道组件的材质选择，应根据设计压力、设计温度、介质特性、使用地区等因素，经技术经济比较厚确定。采用的钢管和钢材，应具有良好的韧性和焊接性能</w:t>
      </w:r>
      <w:r>
        <w:rPr>
          <w:rFonts w:hint="eastAsia" w:ascii="Times New Roman" w:hAnsi="Times New Roman" w:eastAsiaTheme="minorEastAsia"/>
          <w:bCs/>
          <w:color w:val="000000"/>
          <w:szCs w:val="28"/>
        </w:rPr>
        <w:t>。</w:t>
      </w:r>
    </w:p>
    <w:p>
      <w:pPr>
        <w:pStyle w:val="24"/>
        <w:spacing w:line="360" w:lineRule="auto"/>
        <w:ind w:firstLine="560"/>
        <w:rPr>
          <w:rFonts w:ascii="Times New Roman" w:hAnsi="Times New Roman" w:eastAsiaTheme="minorEastAsia"/>
          <w:szCs w:val="28"/>
        </w:rPr>
      </w:pPr>
      <w:r>
        <w:rPr>
          <w:rFonts w:ascii="Times New Roman" w:hAnsi="Times New Roman" w:eastAsiaTheme="minorEastAsia"/>
          <w:szCs w:val="28"/>
        </w:rPr>
        <w:t>2）预先危险性分析小结</w:t>
      </w:r>
    </w:p>
    <w:p>
      <w:pPr>
        <w:pStyle w:val="232"/>
        <w:adjustRightInd w:val="0"/>
        <w:snapToGrid w:val="0"/>
        <w:spacing w:line="360" w:lineRule="auto"/>
        <w:ind w:firstLine="560" w:firstLineChars="200"/>
        <w:rPr>
          <w:rFonts w:ascii="Times New Roman" w:hAnsi="Times New Roman" w:eastAsiaTheme="minorEastAsia"/>
          <w:bCs/>
          <w:color w:val="000000"/>
          <w:sz w:val="28"/>
          <w:szCs w:val="28"/>
        </w:rPr>
      </w:pPr>
      <w:r>
        <w:rPr>
          <w:rFonts w:ascii="Times New Roman" w:hAnsi="Times New Roman" w:eastAsiaTheme="minorEastAsia"/>
          <w:bCs/>
          <w:color w:val="000000"/>
          <w:sz w:val="28"/>
          <w:szCs w:val="28"/>
        </w:rPr>
        <w:t>根据预先危险性分析结果，本工程可能发生的事故类别有火灾爆炸、物体打击、中毒和窒息、管线凝管等。事故后果最严重的是火灾爆炸、中毒和窒息，其危险性等级均为Ⅲ级，一旦发生，可能会造成个别人员的伤亡和较大的经济损失，应当作为本工程安全防范的重点。</w:t>
      </w:r>
    </w:p>
    <w:p>
      <w:pPr>
        <w:pStyle w:val="280"/>
        <w:rPr>
          <w:rFonts w:cs="Times New Roman" w:eastAsiaTheme="minorEastAsia"/>
        </w:rPr>
      </w:pPr>
      <w:bookmarkStart w:id="230" w:name="_Toc21074"/>
      <w:bookmarkStart w:id="231" w:name="_Toc20362"/>
      <w:bookmarkStart w:id="232" w:name="_Toc31307"/>
      <w:bookmarkStart w:id="233" w:name="_Toc17042"/>
      <w:bookmarkStart w:id="234" w:name="_Toc13918"/>
      <w:bookmarkStart w:id="235" w:name="_Toc5166"/>
      <w:r>
        <w:rPr>
          <w:rFonts w:cs="Times New Roman" w:eastAsiaTheme="minorEastAsia"/>
        </w:rPr>
        <w:t>5.6  配套设施单元</w:t>
      </w:r>
      <w:bookmarkEnd w:id="229"/>
      <w:bookmarkEnd w:id="230"/>
      <w:bookmarkEnd w:id="231"/>
      <w:bookmarkEnd w:id="232"/>
      <w:bookmarkEnd w:id="233"/>
      <w:bookmarkEnd w:id="234"/>
      <w:bookmarkEnd w:id="235"/>
    </w:p>
    <w:p>
      <w:pPr>
        <w:pStyle w:val="281"/>
        <w:rPr>
          <w:rFonts w:cs="Times New Roman" w:eastAsiaTheme="minorEastAsia"/>
        </w:rPr>
      </w:pPr>
      <w:r>
        <w:rPr>
          <w:rFonts w:cs="Times New Roman" w:eastAsiaTheme="minorEastAsia"/>
        </w:rPr>
        <w:t>5.6.1  安全检查表法评价</w:t>
      </w:r>
    </w:p>
    <w:p>
      <w:pPr>
        <w:ind w:firstLine="560"/>
        <w:jc w:val="left"/>
        <w:rPr>
          <w:rFonts w:eastAsiaTheme="minorEastAsia"/>
          <w:color w:val="000000"/>
        </w:rPr>
      </w:pPr>
      <w:r>
        <w:rPr>
          <w:rFonts w:eastAsiaTheme="minorEastAsia"/>
          <w:color w:val="000000"/>
        </w:rPr>
        <w:t>根据</w:t>
      </w:r>
      <w:r>
        <w:rPr>
          <w:rFonts w:eastAsiaTheme="minorEastAsia"/>
          <w:bCs/>
          <w:color w:val="000000"/>
          <w:szCs w:val="28"/>
        </w:rPr>
        <w:t>《低压配电设计规范》（GB50054-2011）、</w:t>
      </w:r>
      <w:r>
        <w:rPr>
          <w:rFonts w:eastAsiaTheme="minorEastAsia"/>
          <w:szCs w:val="28"/>
        </w:rPr>
        <w:t>《油田油气集输设计规范》（GB50350-2015）</w:t>
      </w:r>
      <w:r>
        <w:rPr>
          <w:rFonts w:eastAsiaTheme="minorEastAsia"/>
          <w:color w:val="000000"/>
        </w:rPr>
        <w:t>等标准、规范，</w:t>
      </w:r>
      <w:r>
        <w:rPr>
          <w:rFonts w:eastAsiaTheme="minorEastAsia"/>
          <w:color w:val="000000"/>
          <w:szCs w:val="28"/>
        </w:rPr>
        <w:t>编制安全检查表，对</w:t>
      </w:r>
      <w:r>
        <w:rPr>
          <w:rFonts w:eastAsiaTheme="minorEastAsia"/>
          <w:szCs w:val="28"/>
        </w:rPr>
        <w:t>东辛油田营1-斜118块馆三产能建设工程</w:t>
      </w:r>
      <w:r>
        <w:rPr>
          <w:rFonts w:eastAsiaTheme="minorEastAsia"/>
          <w:color w:val="000000"/>
          <w:szCs w:val="28"/>
        </w:rPr>
        <w:t>的配套设施单元进行评价。</w:t>
      </w:r>
      <w:r>
        <w:rPr>
          <w:rFonts w:eastAsiaTheme="minorEastAsia"/>
          <w:color w:val="000000"/>
        </w:rPr>
        <w:t>具体检查内容见表5.6-1。</w:t>
      </w:r>
    </w:p>
    <w:p>
      <w:pPr>
        <w:ind w:firstLine="482"/>
        <w:jc w:val="center"/>
        <w:rPr>
          <w:rFonts w:eastAsiaTheme="minorEastAsia"/>
          <w:b/>
          <w:color w:val="000000"/>
          <w:sz w:val="24"/>
        </w:rPr>
      </w:pPr>
      <w:r>
        <w:rPr>
          <w:rFonts w:eastAsiaTheme="minorEastAsia"/>
          <w:b/>
          <w:color w:val="000000"/>
          <w:sz w:val="24"/>
        </w:rPr>
        <w:t>表5.6-1  配套设施单元安全检查表</w:t>
      </w:r>
    </w:p>
    <w:tbl>
      <w:tblPr>
        <w:tblStyle w:val="45"/>
        <w:tblW w:w="8712"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661"/>
        <w:gridCol w:w="3186"/>
        <w:gridCol w:w="1723"/>
        <w:gridCol w:w="2422"/>
        <w:gridCol w:w="720"/>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61" w:type="dxa"/>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序号</w:t>
            </w:r>
          </w:p>
        </w:tc>
        <w:tc>
          <w:tcPr>
            <w:tcW w:w="3186" w:type="dxa"/>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检查项目和内容</w:t>
            </w:r>
          </w:p>
        </w:tc>
        <w:tc>
          <w:tcPr>
            <w:tcW w:w="1723"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检查依据</w:t>
            </w:r>
          </w:p>
        </w:tc>
        <w:tc>
          <w:tcPr>
            <w:tcW w:w="2422" w:type="dxa"/>
            <w:vAlign w:val="center"/>
          </w:tcPr>
          <w:p>
            <w:pPr>
              <w:tabs>
                <w:tab w:val="left" w:pos="3240"/>
              </w:tabs>
              <w:spacing w:before="60" w:beforeLines="25" w:after="60" w:afterLines="25" w:line="240" w:lineRule="auto"/>
              <w:ind w:firstLine="0" w:firstLineChars="0"/>
              <w:rPr>
                <w:rFonts w:eastAsiaTheme="minorEastAsia"/>
                <w:b/>
                <w:bCs/>
                <w:sz w:val="21"/>
                <w:szCs w:val="21"/>
              </w:rPr>
            </w:pPr>
            <w:r>
              <w:rPr>
                <w:rFonts w:eastAsiaTheme="minorEastAsia"/>
                <w:b/>
                <w:bCs/>
                <w:sz w:val="21"/>
                <w:szCs w:val="21"/>
              </w:rPr>
              <w:t>实际情况</w:t>
            </w:r>
          </w:p>
        </w:tc>
        <w:tc>
          <w:tcPr>
            <w:tcW w:w="720"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检查结果</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1"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一</w:t>
            </w:r>
          </w:p>
        </w:tc>
        <w:tc>
          <w:tcPr>
            <w:tcW w:w="8051" w:type="dxa"/>
            <w:gridSpan w:val="4"/>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供配电</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1" w:type="dxa"/>
            <w:vAlign w:val="center"/>
          </w:tcPr>
          <w:p>
            <w:pPr>
              <w:numPr>
                <w:ilvl w:val="0"/>
                <w:numId w:val="10"/>
              </w:numPr>
              <w:tabs>
                <w:tab w:val="left" w:pos="3240"/>
              </w:tabs>
              <w:spacing w:before="60" w:beforeLines="25" w:after="60" w:afterLines="25" w:line="240" w:lineRule="auto"/>
              <w:ind w:firstLineChars="0"/>
              <w:rPr>
                <w:rFonts w:eastAsiaTheme="minorEastAsia"/>
                <w:sz w:val="21"/>
                <w:szCs w:val="21"/>
              </w:rPr>
            </w:pPr>
          </w:p>
        </w:tc>
        <w:tc>
          <w:tcPr>
            <w:tcW w:w="3186"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机械采油井用电负荷等级为三级。</w:t>
            </w:r>
          </w:p>
        </w:tc>
        <w:tc>
          <w:tcPr>
            <w:tcW w:w="1723"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GB50350-2015</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11.1.1</w:t>
            </w:r>
          </w:p>
        </w:tc>
        <w:tc>
          <w:tcPr>
            <w:tcW w:w="242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油井用电负荷按三级设计。</w:t>
            </w:r>
          </w:p>
        </w:tc>
        <w:tc>
          <w:tcPr>
            <w:tcW w:w="720"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1" w:type="dxa"/>
            <w:vAlign w:val="center"/>
          </w:tcPr>
          <w:p>
            <w:pPr>
              <w:numPr>
                <w:ilvl w:val="0"/>
                <w:numId w:val="10"/>
              </w:numPr>
              <w:tabs>
                <w:tab w:val="left" w:pos="3240"/>
              </w:tabs>
              <w:spacing w:before="60" w:beforeLines="25" w:after="60" w:afterLines="25" w:line="240" w:lineRule="auto"/>
              <w:ind w:firstLineChars="0"/>
              <w:rPr>
                <w:rFonts w:eastAsiaTheme="minorEastAsia"/>
                <w:sz w:val="21"/>
                <w:szCs w:val="21"/>
              </w:rPr>
            </w:pPr>
          </w:p>
        </w:tc>
        <w:tc>
          <w:tcPr>
            <w:tcW w:w="3186"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三级负荷采用单回路、单变压器供电。</w:t>
            </w:r>
          </w:p>
        </w:tc>
        <w:tc>
          <w:tcPr>
            <w:tcW w:w="1723"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GB50350-2015</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11.1.2</w:t>
            </w:r>
          </w:p>
        </w:tc>
        <w:tc>
          <w:tcPr>
            <w:tcW w:w="242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单回路、单变压器供电。</w:t>
            </w:r>
          </w:p>
        </w:tc>
        <w:tc>
          <w:tcPr>
            <w:tcW w:w="720"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1" w:type="dxa"/>
            <w:vAlign w:val="center"/>
          </w:tcPr>
          <w:p>
            <w:pPr>
              <w:numPr>
                <w:ilvl w:val="0"/>
                <w:numId w:val="10"/>
              </w:numPr>
              <w:tabs>
                <w:tab w:val="left" w:pos="3240"/>
              </w:tabs>
              <w:spacing w:before="60" w:beforeLines="25" w:after="60" w:afterLines="25" w:line="240" w:lineRule="auto"/>
              <w:ind w:firstLineChars="0"/>
              <w:rPr>
                <w:rFonts w:eastAsiaTheme="minorEastAsia"/>
                <w:sz w:val="21"/>
                <w:szCs w:val="21"/>
              </w:rPr>
            </w:pPr>
          </w:p>
        </w:tc>
        <w:tc>
          <w:tcPr>
            <w:tcW w:w="3186"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当油气田内部采用集中供电或分片集中供电时，宜以负荷相对集中的站场为中心设置中心变配电所，以110kV、35kV、20kV、10kV电压等级供电，并应在各用电负荷点设置恰当的变配电所。油田配电线路电压宜采用10kV，对于远距离且分散的地区，也可采用35kV或20kV。</w:t>
            </w:r>
          </w:p>
        </w:tc>
        <w:tc>
          <w:tcPr>
            <w:tcW w:w="1723"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GB50350-2015</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11.1.3</w:t>
            </w:r>
          </w:p>
        </w:tc>
        <w:tc>
          <w:tcPr>
            <w:tcW w:w="242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利用已建油田电网，并保证电压质量及供电可靠性。</w:t>
            </w:r>
          </w:p>
        </w:tc>
        <w:tc>
          <w:tcPr>
            <w:tcW w:w="720"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1" w:type="dxa"/>
            <w:vAlign w:val="center"/>
          </w:tcPr>
          <w:p>
            <w:pPr>
              <w:numPr>
                <w:ilvl w:val="0"/>
                <w:numId w:val="10"/>
              </w:numPr>
              <w:tabs>
                <w:tab w:val="left" w:pos="3240"/>
              </w:tabs>
              <w:spacing w:before="60" w:beforeLines="25" w:after="60" w:afterLines="25" w:line="240" w:lineRule="auto"/>
              <w:ind w:firstLineChars="0"/>
              <w:rPr>
                <w:rFonts w:eastAsiaTheme="minorEastAsia"/>
                <w:sz w:val="21"/>
                <w:szCs w:val="21"/>
              </w:rPr>
            </w:pPr>
          </w:p>
        </w:tc>
        <w:tc>
          <w:tcPr>
            <w:tcW w:w="3186"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爆炸性气体环境内设置的防爆电气设备，必须是符合现行国家标准的产品。</w:t>
            </w:r>
          </w:p>
        </w:tc>
        <w:tc>
          <w:tcPr>
            <w:tcW w:w="1723"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GB50058-2014</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2.5.1</w:t>
            </w:r>
          </w:p>
        </w:tc>
        <w:tc>
          <w:tcPr>
            <w:tcW w:w="242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防爆电气设备符合标准要求。</w:t>
            </w:r>
          </w:p>
        </w:tc>
        <w:tc>
          <w:tcPr>
            <w:tcW w:w="720"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1" w:type="dxa"/>
            <w:vAlign w:val="center"/>
          </w:tcPr>
          <w:p>
            <w:pPr>
              <w:numPr>
                <w:ilvl w:val="0"/>
                <w:numId w:val="10"/>
              </w:numPr>
              <w:tabs>
                <w:tab w:val="left" w:pos="3240"/>
              </w:tabs>
              <w:spacing w:before="60" w:beforeLines="25" w:after="60" w:afterLines="25" w:line="240" w:lineRule="auto"/>
              <w:ind w:firstLineChars="0"/>
              <w:rPr>
                <w:rFonts w:eastAsiaTheme="minorEastAsia"/>
                <w:sz w:val="21"/>
                <w:szCs w:val="21"/>
              </w:rPr>
            </w:pPr>
          </w:p>
        </w:tc>
        <w:tc>
          <w:tcPr>
            <w:tcW w:w="3186"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电缆的路径选择，应符合下列规定：</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 应避免电缆遭受机械性外力、过热、腐蚀等危害。</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 满足安全要求条件下，应保证电缆路径最短。</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 应便于敷设、维护。</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 宜避开将要挖掘施工的地方。</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 充油电缆线路通过起伏地形时，应保证供油装置合理配置。</w:t>
            </w:r>
          </w:p>
        </w:tc>
        <w:tc>
          <w:tcPr>
            <w:tcW w:w="1723"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GB50217-2018</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5.1.1</w:t>
            </w:r>
          </w:p>
        </w:tc>
        <w:tc>
          <w:tcPr>
            <w:tcW w:w="242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在井口槽采用桥架内敷设。</w:t>
            </w:r>
          </w:p>
        </w:tc>
        <w:tc>
          <w:tcPr>
            <w:tcW w:w="720"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1" w:type="dxa"/>
            <w:vAlign w:val="center"/>
          </w:tcPr>
          <w:p>
            <w:pPr>
              <w:numPr>
                <w:ilvl w:val="0"/>
                <w:numId w:val="10"/>
              </w:numPr>
              <w:tabs>
                <w:tab w:val="left" w:pos="3240"/>
              </w:tabs>
              <w:spacing w:before="60" w:beforeLines="25" w:after="60" w:afterLines="25" w:line="240" w:lineRule="auto"/>
              <w:ind w:firstLineChars="0"/>
              <w:rPr>
                <w:rFonts w:eastAsiaTheme="minorEastAsia"/>
                <w:sz w:val="21"/>
                <w:szCs w:val="21"/>
              </w:rPr>
            </w:pPr>
          </w:p>
        </w:tc>
        <w:tc>
          <w:tcPr>
            <w:tcW w:w="3186"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带电部分应全部用绝缘层覆盖，其绝缘层应能长期承受在运行中遇到的机械、化学、电气及热的各种不利影响。</w:t>
            </w:r>
          </w:p>
        </w:tc>
        <w:tc>
          <w:tcPr>
            <w:tcW w:w="1723"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GB50054-2011</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5.1.1</w:t>
            </w:r>
          </w:p>
        </w:tc>
        <w:tc>
          <w:tcPr>
            <w:tcW w:w="242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用绝缘层覆盖。</w:t>
            </w:r>
          </w:p>
        </w:tc>
        <w:tc>
          <w:tcPr>
            <w:tcW w:w="720"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661" w:type="dxa"/>
            <w:vAlign w:val="center"/>
          </w:tcPr>
          <w:p>
            <w:pPr>
              <w:numPr>
                <w:ilvl w:val="0"/>
                <w:numId w:val="10"/>
              </w:numPr>
              <w:tabs>
                <w:tab w:val="left" w:pos="3240"/>
              </w:tabs>
              <w:spacing w:before="60" w:beforeLines="25" w:after="60" w:afterLines="25" w:line="240" w:lineRule="auto"/>
              <w:ind w:firstLineChars="0"/>
              <w:rPr>
                <w:rFonts w:eastAsiaTheme="minorEastAsia"/>
                <w:sz w:val="21"/>
                <w:szCs w:val="21"/>
              </w:rPr>
            </w:pPr>
          </w:p>
        </w:tc>
        <w:tc>
          <w:tcPr>
            <w:tcW w:w="3186"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配电线路应装设短路保护和过负荷保护。</w:t>
            </w:r>
          </w:p>
        </w:tc>
        <w:tc>
          <w:tcPr>
            <w:tcW w:w="1723"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GB50054-2011</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6.1.1</w:t>
            </w:r>
          </w:p>
        </w:tc>
        <w:tc>
          <w:tcPr>
            <w:tcW w:w="242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可研未明确，下一步应加强设计。</w:t>
            </w:r>
          </w:p>
        </w:tc>
        <w:tc>
          <w:tcPr>
            <w:tcW w:w="720"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1"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二</w:t>
            </w:r>
          </w:p>
        </w:tc>
        <w:tc>
          <w:tcPr>
            <w:tcW w:w="8051" w:type="dxa"/>
            <w:gridSpan w:val="4"/>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自控</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1" w:type="dxa"/>
            <w:vAlign w:val="center"/>
          </w:tcPr>
          <w:p>
            <w:pPr>
              <w:numPr>
                <w:ilvl w:val="0"/>
                <w:numId w:val="10"/>
              </w:numPr>
              <w:tabs>
                <w:tab w:val="left" w:pos="3240"/>
              </w:tabs>
              <w:spacing w:before="60" w:beforeLines="25" w:after="60" w:afterLines="25" w:line="240" w:lineRule="auto"/>
              <w:ind w:firstLineChars="0"/>
              <w:rPr>
                <w:rFonts w:eastAsiaTheme="minorEastAsia"/>
                <w:sz w:val="21"/>
                <w:szCs w:val="21"/>
              </w:rPr>
            </w:pPr>
          </w:p>
        </w:tc>
        <w:tc>
          <w:tcPr>
            <w:tcW w:w="3186" w:type="dxa"/>
            <w:vAlign w:val="center"/>
          </w:tcPr>
          <w:p>
            <w:pPr>
              <w:tabs>
                <w:tab w:val="left" w:pos="3240"/>
              </w:tabs>
              <w:spacing w:before="60" w:beforeLines="25" w:after="60" w:afterLines="25" w:line="240" w:lineRule="auto"/>
              <w:ind w:firstLine="0" w:firstLineChars="0"/>
              <w:rPr>
                <w:sz w:val="21"/>
                <w:szCs w:val="21"/>
              </w:rPr>
            </w:pPr>
            <w:r>
              <w:rPr>
                <w:sz w:val="21"/>
                <w:szCs w:val="21"/>
              </w:rPr>
              <w:t>原油和天然气计量点设置应结合油气集输工艺流程和总体布局，按照适当集中、方便管理、经济合理的原则进行布置</w:t>
            </w:r>
            <w:r>
              <w:rPr>
                <w:rFonts w:hint="eastAsia"/>
                <w:sz w:val="21"/>
                <w:szCs w:val="21"/>
              </w:rPr>
              <w:t>。</w:t>
            </w:r>
          </w:p>
        </w:tc>
        <w:tc>
          <w:tcPr>
            <w:tcW w:w="1723" w:type="dxa"/>
            <w:vAlign w:val="center"/>
          </w:tcPr>
          <w:p>
            <w:pPr>
              <w:tabs>
                <w:tab w:val="left" w:pos="3240"/>
              </w:tabs>
              <w:spacing w:before="60" w:beforeLines="25" w:after="60" w:afterLines="25" w:line="240" w:lineRule="auto"/>
              <w:ind w:firstLine="0" w:firstLineChars="0"/>
              <w:jc w:val="center"/>
              <w:rPr>
                <w:sz w:val="21"/>
                <w:szCs w:val="21"/>
              </w:rPr>
            </w:pPr>
            <w:r>
              <w:rPr>
                <w:sz w:val="21"/>
                <w:szCs w:val="21"/>
              </w:rPr>
              <w:t>GB50350-2015</w:t>
            </w:r>
          </w:p>
          <w:p>
            <w:pPr>
              <w:tabs>
                <w:tab w:val="left" w:pos="3240"/>
              </w:tabs>
              <w:spacing w:before="60" w:beforeLines="25" w:after="60" w:afterLines="25" w:line="240" w:lineRule="auto"/>
              <w:ind w:firstLine="0" w:firstLineChars="0"/>
              <w:jc w:val="center"/>
              <w:rPr>
                <w:sz w:val="21"/>
                <w:szCs w:val="21"/>
              </w:rPr>
            </w:pPr>
            <w:r>
              <w:rPr>
                <w:sz w:val="21"/>
                <w:szCs w:val="21"/>
              </w:rPr>
              <w:t>9.3.1</w:t>
            </w:r>
          </w:p>
        </w:tc>
        <w:tc>
          <w:tcPr>
            <w:tcW w:w="2422" w:type="dxa"/>
            <w:vAlign w:val="center"/>
          </w:tcPr>
          <w:p>
            <w:pPr>
              <w:tabs>
                <w:tab w:val="left" w:pos="3240"/>
              </w:tabs>
              <w:spacing w:before="60" w:beforeLines="25" w:after="60" w:afterLines="25" w:line="240" w:lineRule="auto"/>
              <w:ind w:firstLine="0" w:firstLineChars="0"/>
              <w:rPr>
                <w:sz w:val="21"/>
                <w:szCs w:val="21"/>
              </w:rPr>
            </w:pPr>
            <w:r>
              <w:rPr>
                <w:sz w:val="21"/>
                <w:szCs w:val="21"/>
              </w:rPr>
              <w:t>采用功图计量</w:t>
            </w:r>
            <w:r>
              <w:rPr>
                <w:rFonts w:hint="eastAsia"/>
                <w:sz w:val="21"/>
                <w:szCs w:val="21"/>
              </w:rPr>
              <w:t>。</w:t>
            </w:r>
          </w:p>
        </w:tc>
        <w:tc>
          <w:tcPr>
            <w:tcW w:w="720" w:type="dxa"/>
            <w:vAlign w:val="center"/>
          </w:tcPr>
          <w:p>
            <w:pPr>
              <w:tabs>
                <w:tab w:val="left" w:pos="3240"/>
              </w:tabs>
              <w:spacing w:before="60" w:beforeLines="25" w:after="60" w:afterLines="25" w:line="240" w:lineRule="auto"/>
              <w:ind w:firstLine="0" w:firstLineChars="0"/>
              <w:jc w:val="center"/>
              <w:rPr>
                <w:sz w:val="21"/>
                <w:szCs w:val="21"/>
              </w:rPr>
            </w:pPr>
            <w:r>
              <w:rPr>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1" w:type="dxa"/>
            <w:vAlign w:val="center"/>
          </w:tcPr>
          <w:p>
            <w:pPr>
              <w:numPr>
                <w:ilvl w:val="0"/>
                <w:numId w:val="10"/>
              </w:numPr>
              <w:tabs>
                <w:tab w:val="left" w:pos="3240"/>
              </w:tabs>
              <w:spacing w:before="60" w:beforeLines="25" w:after="60" w:afterLines="25" w:line="240" w:lineRule="auto"/>
              <w:ind w:firstLineChars="0"/>
              <w:rPr>
                <w:rFonts w:eastAsiaTheme="minorEastAsia"/>
                <w:sz w:val="21"/>
                <w:szCs w:val="21"/>
              </w:rPr>
            </w:pPr>
          </w:p>
        </w:tc>
        <w:tc>
          <w:tcPr>
            <w:tcW w:w="3186" w:type="dxa"/>
            <w:vAlign w:val="center"/>
          </w:tcPr>
          <w:p>
            <w:pPr>
              <w:tabs>
                <w:tab w:val="left" w:pos="3240"/>
              </w:tabs>
              <w:spacing w:before="60" w:beforeLines="25" w:after="60" w:afterLines="25" w:line="240" w:lineRule="auto"/>
              <w:ind w:firstLine="0" w:firstLineChars="0"/>
              <w:rPr>
                <w:sz w:val="21"/>
                <w:szCs w:val="21"/>
              </w:rPr>
            </w:pPr>
            <w:r>
              <w:rPr>
                <w:sz w:val="21"/>
                <w:szCs w:val="21"/>
              </w:rPr>
              <w:t>油井产量计量根据油井产量、气油比可选择多井集中计量方式或软件计量方式</w:t>
            </w:r>
            <w:r>
              <w:rPr>
                <w:rFonts w:hint="eastAsia"/>
                <w:sz w:val="21"/>
                <w:szCs w:val="21"/>
              </w:rPr>
              <w:t>。</w:t>
            </w:r>
          </w:p>
        </w:tc>
        <w:tc>
          <w:tcPr>
            <w:tcW w:w="1723" w:type="dxa"/>
            <w:vAlign w:val="center"/>
          </w:tcPr>
          <w:p>
            <w:pPr>
              <w:tabs>
                <w:tab w:val="left" w:pos="3240"/>
              </w:tabs>
              <w:spacing w:before="60" w:beforeLines="25" w:after="60" w:afterLines="25" w:line="240" w:lineRule="auto"/>
              <w:ind w:firstLine="0" w:firstLineChars="0"/>
              <w:jc w:val="center"/>
              <w:rPr>
                <w:sz w:val="21"/>
                <w:szCs w:val="21"/>
              </w:rPr>
            </w:pPr>
            <w:r>
              <w:rPr>
                <w:sz w:val="21"/>
                <w:szCs w:val="21"/>
              </w:rPr>
              <w:t>GB50350-2015</w:t>
            </w:r>
          </w:p>
          <w:p>
            <w:pPr>
              <w:tabs>
                <w:tab w:val="left" w:pos="3240"/>
              </w:tabs>
              <w:spacing w:before="60" w:beforeLines="25" w:after="60" w:afterLines="25" w:line="240" w:lineRule="auto"/>
              <w:ind w:firstLine="0" w:firstLineChars="0"/>
              <w:jc w:val="center"/>
              <w:rPr>
                <w:sz w:val="21"/>
                <w:szCs w:val="21"/>
              </w:rPr>
            </w:pPr>
            <w:r>
              <w:rPr>
                <w:sz w:val="21"/>
                <w:szCs w:val="21"/>
              </w:rPr>
              <w:t>9.3.2</w:t>
            </w:r>
          </w:p>
        </w:tc>
        <w:tc>
          <w:tcPr>
            <w:tcW w:w="2422" w:type="dxa"/>
            <w:vAlign w:val="center"/>
          </w:tcPr>
          <w:p>
            <w:pPr>
              <w:tabs>
                <w:tab w:val="left" w:pos="3240"/>
              </w:tabs>
              <w:spacing w:before="60" w:beforeLines="25" w:after="60" w:afterLines="25" w:line="240" w:lineRule="auto"/>
              <w:ind w:firstLine="0" w:firstLineChars="0"/>
              <w:rPr>
                <w:sz w:val="21"/>
                <w:szCs w:val="21"/>
              </w:rPr>
            </w:pPr>
            <w:r>
              <w:rPr>
                <w:sz w:val="21"/>
                <w:szCs w:val="21"/>
              </w:rPr>
              <w:t>采用功图计量</w:t>
            </w:r>
            <w:r>
              <w:rPr>
                <w:rFonts w:hint="eastAsia"/>
                <w:sz w:val="21"/>
                <w:szCs w:val="21"/>
              </w:rPr>
              <w:t>。</w:t>
            </w:r>
          </w:p>
        </w:tc>
        <w:tc>
          <w:tcPr>
            <w:tcW w:w="720" w:type="dxa"/>
            <w:vAlign w:val="center"/>
          </w:tcPr>
          <w:p>
            <w:pPr>
              <w:tabs>
                <w:tab w:val="left" w:pos="3240"/>
              </w:tabs>
              <w:spacing w:before="60" w:beforeLines="25" w:after="60" w:afterLines="25" w:line="240" w:lineRule="auto"/>
              <w:ind w:firstLine="0" w:firstLineChars="0"/>
              <w:jc w:val="center"/>
              <w:rPr>
                <w:sz w:val="21"/>
                <w:szCs w:val="21"/>
              </w:rPr>
            </w:pPr>
            <w:r>
              <w:rPr>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1"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三</w:t>
            </w:r>
          </w:p>
        </w:tc>
        <w:tc>
          <w:tcPr>
            <w:tcW w:w="8051" w:type="dxa"/>
            <w:gridSpan w:val="4"/>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其他</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1" w:type="dxa"/>
            <w:vAlign w:val="center"/>
          </w:tcPr>
          <w:p>
            <w:pPr>
              <w:numPr>
                <w:ilvl w:val="0"/>
                <w:numId w:val="10"/>
              </w:numPr>
              <w:tabs>
                <w:tab w:val="left" w:pos="3240"/>
              </w:tabs>
              <w:spacing w:before="60" w:beforeLines="25" w:after="60" w:afterLines="25" w:line="240" w:lineRule="auto"/>
              <w:ind w:firstLineChars="0"/>
              <w:rPr>
                <w:rFonts w:eastAsiaTheme="minorEastAsia"/>
                <w:sz w:val="21"/>
                <w:szCs w:val="21"/>
              </w:rPr>
            </w:pPr>
          </w:p>
        </w:tc>
        <w:tc>
          <w:tcPr>
            <w:tcW w:w="3186"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一般建设工程抗震设防应达到本标准规定的抗震设防要求。</w:t>
            </w:r>
          </w:p>
        </w:tc>
        <w:tc>
          <w:tcPr>
            <w:tcW w:w="1723"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GB18306-2015</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5.1</w:t>
            </w:r>
          </w:p>
        </w:tc>
        <w:tc>
          <w:tcPr>
            <w:tcW w:w="242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按7度设防。</w:t>
            </w:r>
          </w:p>
        </w:tc>
        <w:tc>
          <w:tcPr>
            <w:tcW w:w="720"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1" w:type="dxa"/>
            <w:vAlign w:val="center"/>
          </w:tcPr>
          <w:p>
            <w:pPr>
              <w:numPr>
                <w:ilvl w:val="0"/>
                <w:numId w:val="10"/>
              </w:numPr>
              <w:tabs>
                <w:tab w:val="left" w:pos="3240"/>
              </w:tabs>
              <w:spacing w:before="60" w:beforeLines="25" w:after="60" w:afterLines="25" w:line="240" w:lineRule="auto"/>
              <w:ind w:firstLineChars="0"/>
              <w:rPr>
                <w:rFonts w:eastAsiaTheme="minorEastAsia"/>
                <w:sz w:val="21"/>
                <w:szCs w:val="21"/>
              </w:rPr>
            </w:pPr>
          </w:p>
        </w:tc>
        <w:tc>
          <w:tcPr>
            <w:tcW w:w="3186"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hint="eastAsia" w:eastAsiaTheme="minorEastAsia"/>
                <w:sz w:val="21"/>
                <w:szCs w:val="21"/>
              </w:rPr>
              <w:t>注二氧化碳</w:t>
            </w:r>
            <w:r>
              <w:rPr>
                <w:rFonts w:eastAsiaTheme="minorEastAsia"/>
                <w:sz w:val="21"/>
                <w:szCs w:val="21"/>
              </w:rPr>
              <w:t>井井口正面应设置警语：高压</w:t>
            </w:r>
            <w:r>
              <w:rPr>
                <w:rFonts w:hint="eastAsia" w:eastAsiaTheme="minorEastAsia"/>
                <w:sz w:val="21"/>
                <w:szCs w:val="21"/>
              </w:rPr>
              <w:t>低</w:t>
            </w:r>
            <w:r>
              <w:rPr>
                <w:rFonts w:eastAsiaTheme="minorEastAsia"/>
                <w:sz w:val="21"/>
                <w:szCs w:val="21"/>
              </w:rPr>
              <w:t>温 禁止靠近</w:t>
            </w:r>
            <w:r>
              <w:rPr>
                <w:rFonts w:hint="eastAsia" w:eastAsiaTheme="minorEastAsia"/>
                <w:sz w:val="21"/>
                <w:szCs w:val="21"/>
              </w:rPr>
              <w:t>。</w:t>
            </w:r>
          </w:p>
        </w:tc>
        <w:tc>
          <w:tcPr>
            <w:tcW w:w="1723"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QSH1020 2152-2021</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5.3.1</w:t>
            </w:r>
          </w:p>
        </w:tc>
        <w:tc>
          <w:tcPr>
            <w:tcW w:w="2422"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可研未明确，下一步应加强设计。</w:t>
            </w:r>
          </w:p>
        </w:tc>
        <w:tc>
          <w:tcPr>
            <w:tcW w:w="720" w:type="dxa"/>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w:t>
            </w:r>
          </w:p>
        </w:tc>
      </w:tr>
    </w:tbl>
    <w:p>
      <w:pPr>
        <w:pStyle w:val="281"/>
        <w:spacing w:before="240" w:beforeLines="100"/>
        <w:rPr>
          <w:rFonts w:cs="Times New Roman" w:eastAsiaTheme="minorEastAsia"/>
        </w:rPr>
      </w:pPr>
      <w:r>
        <w:rPr>
          <w:rFonts w:cs="Times New Roman" w:eastAsiaTheme="minorEastAsia"/>
        </w:rPr>
        <w:t>5.6.2  预先危险性分析法评价</w:t>
      </w:r>
    </w:p>
    <w:p>
      <w:pPr>
        <w:ind w:firstLine="560"/>
        <w:rPr>
          <w:rFonts w:eastAsiaTheme="minorEastAsia"/>
          <w:color w:val="000000"/>
          <w:szCs w:val="28"/>
        </w:rPr>
      </w:pPr>
      <w:r>
        <w:rPr>
          <w:rFonts w:eastAsiaTheme="minorEastAsia"/>
          <w:color w:val="000000"/>
          <w:szCs w:val="28"/>
        </w:rPr>
        <w:t>对配套设施单元进行预先危险性分析，结果汇总于下表</w:t>
      </w:r>
      <w:r>
        <w:rPr>
          <w:rFonts w:eastAsiaTheme="minorEastAsia"/>
          <w:bCs/>
          <w:color w:val="000000"/>
          <w:szCs w:val="28"/>
        </w:rPr>
        <w:t>5.6-2</w:t>
      </w:r>
      <w:r>
        <w:rPr>
          <w:rFonts w:eastAsiaTheme="minorEastAsia"/>
          <w:color w:val="000000"/>
          <w:szCs w:val="28"/>
        </w:rPr>
        <w:t>。</w:t>
      </w:r>
    </w:p>
    <w:p>
      <w:pPr>
        <w:ind w:firstLine="482"/>
        <w:jc w:val="center"/>
        <w:rPr>
          <w:rFonts w:eastAsiaTheme="minorEastAsia"/>
          <w:b/>
          <w:color w:val="000000"/>
          <w:sz w:val="24"/>
        </w:rPr>
      </w:pPr>
      <w:r>
        <w:rPr>
          <w:rFonts w:eastAsiaTheme="minorEastAsia"/>
          <w:b/>
          <w:color w:val="000000"/>
          <w:sz w:val="24"/>
        </w:rPr>
        <w:t>表5.6-2  配套设施单元预先危险性分析汇总</w:t>
      </w:r>
    </w:p>
    <w:tbl>
      <w:tblPr>
        <w:tblStyle w:val="45"/>
        <w:tblW w:w="8686" w:type="dxa"/>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524"/>
        <w:gridCol w:w="846"/>
        <w:gridCol w:w="734"/>
        <w:gridCol w:w="2145"/>
        <w:gridCol w:w="489"/>
        <w:gridCol w:w="3948"/>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524"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序</w:t>
            </w:r>
          </w:p>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号</w:t>
            </w:r>
          </w:p>
        </w:tc>
        <w:tc>
          <w:tcPr>
            <w:tcW w:w="846"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危险源部位</w:t>
            </w:r>
          </w:p>
        </w:tc>
        <w:tc>
          <w:tcPr>
            <w:tcW w:w="734"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导致的事故类型</w:t>
            </w:r>
          </w:p>
        </w:tc>
        <w:tc>
          <w:tcPr>
            <w:tcW w:w="2145"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触发条件</w:t>
            </w:r>
          </w:p>
        </w:tc>
        <w:tc>
          <w:tcPr>
            <w:tcW w:w="489"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危险等级</w:t>
            </w:r>
          </w:p>
        </w:tc>
        <w:tc>
          <w:tcPr>
            <w:tcW w:w="3948" w:type="dxa"/>
            <w:vAlign w:val="center"/>
          </w:tcPr>
          <w:p>
            <w:pPr>
              <w:tabs>
                <w:tab w:val="left" w:pos="3240"/>
              </w:tabs>
              <w:spacing w:before="60" w:beforeLines="25" w:after="60" w:afterLines="25" w:line="240" w:lineRule="auto"/>
              <w:ind w:firstLine="0" w:firstLineChars="0"/>
              <w:jc w:val="center"/>
              <w:rPr>
                <w:rFonts w:eastAsiaTheme="minorEastAsia"/>
                <w:b/>
                <w:bCs/>
                <w:sz w:val="21"/>
                <w:szCs w:val="21"/>
              </w:rPr>
            </w:pPr>
            <w:r>
              <w:rPr>
                <w:rFonts w:eastAsiaTheme="minorEastAsia"/>
                <w:b/>
                <w:bCs/>
                <w:sz w:val="21"/>
                <w:szCs w:val="21"/>
              </w:rPr>
              <w:t>安全对策措施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524" w:type="dxa"/>
            <w:vMerge w:val="restar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w:t>
            </w:r>
          </w:p>
        </w:tc>
        <w:tc>
          <w:tcPr>
            <w:tcW w:w="846" w:type="dxa"/>
            <w:vMerge w:val="restart"/>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配电装置</w:t>
            </w:r>
          </w:p>
        </w:tc>
        <w:tc>
          <w:tcPr>
            <w:tcW w:w="734"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触电</w:t>
            </w:r>
          </w:p>
        </w:tc>
        <w:tc>
          <w:tcPr>
            <w:tcW w:w="2145"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1.绝缘失效；</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2.安全距离不足，且无可靠的遮护；</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3.接地保护、漏电保护失效；</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4.违反安全作业规程；</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5.误触。</w:t>
            </w:r>
          </w:p>
        </w:tc>
        <w:tc>
          <w:tcPr>
            <w:tcW w:w="489"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Ⅱ</w:t>
            </w:r>
          </w:p>
        </w:tc>
        <w:tc>
          <w:tcPr>
            <w:tcW w:w="3948"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1.电气设备、线路必须具备良好的电气绝缘，且与电压等级相匹配；</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2.人员容易触及的裸带电体必须置于人的伸臂范围以外，否则应加可靠的遮护；</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3.电气设备、线路设置接地保护、漏电保护；</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4.电气作业严格遵守安全作业规程，电气作业人员持证上岗；</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5.设置防触电警示标志。</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524" w:type="dxa"/>
            <w:vMerge w:val="continue"/>
            <w:vAlign w:val="center"/>
          </w:tcPr>
          <w:p>
            <w:pPr>
              <w:tabs>
                <w:tab w:val="left" w:pos="3240"/>
              </w:tabs>
              <w:spacing w:before="60" w:beforeLines="25" w:after="60" w:afterLines="25" w:line="240" w:lineRule="auto"/>
              <w:ind w:firstLine="0" w:firstLineChars="0"/>
              <w:rPr>
                <w:rFonts w:eastAsiaTheme="minorEastAsia"/>
                <w:sz w:val="21"/>
                <w:szCs w:val="21"/>
              </w:rPr>
            </w:pPr>
          </w:p>
        </w:tc>
        <w:tc>
          <w:tcPr>
            <w:tcW w:w="846" w:type="dxa"/>
            <w:vMerge w:val="continue"/>
            <w:vAlign w:val="center"/>
          </w:tcPr>
          <w:p>
            <w:pPr>
              <w:tabs>
                <w:tab w:val="left" w:pos="3240"/>
              </w:tabs>
              <w:spacing w:before="60" w:beforeLines="25" w:after="60" w:afterLines="25" w:line="240" w:lineRule="auto"/>
              <w:ind w:firstLine="0" w:firstLineChars="0"/>
              <w:rPr>
                <w:rFonts w:eastAsiaTheme="minorEastAsia"/>
                <w:sz w:val="21"/>
                <w:szCs w:val="21"/>
              </w:rPr>
            </w:pPr>
          </w:p>
        </w:tc>
        <w:tc>
          <w:tcPr>
            <w:tcW w:w="734"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电气</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火灾</w:t>
            </w:r>
          </w:p>
        </w:tc>
        <w:tc>
          <w:tcPr>
            <w:tcW w:w="2145"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1.短路；</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2.过负荷运行；</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3.接触不良；</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4.散热不良；</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5.外界火源。</w:t>
            </w:r>
          </w:p>
        </w:tc>
        <w:tc>
          <w:tcPr>
            <w:tcW w:w="489"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Ⅱ</w:t>
            </w:r>
          </w:p>
        </w:tc>
        <w:tc>
          <w:tcPr>
            <w:tcW w:w="3948" w:type="dxa"/>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1.设置短路、过载、过电压保护；</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2.电气连接部位连接应可靠；</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3.变配电室应保证良好的通风，电气设备的散热系统应保证运转良好；加强运行监视，发现温升异常，及时处理；</w:t>
            </w:r>
          </w:p>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4.电气设备与易燃易爆物质应保证足够的防火间距；爆炸危险场所应采用防爆电气设备；配电室内严禁堆放可燃物；电缆进户、进装置处采取阻火设计。</w:t>
            </w:r>
          </w:p>
        </w:tc>
      </w:tr>
    </w:tbl>
    <w:p>
      <w:pPr>
        <w:pStyle w:val="281"/>
        <w:spacing w:before="240" w:beforeLines="100"/>
        <w:rPr>
          <w:rFonts w:cs="Times New Roman" w:eastAsiaTheme="minorEastAsia"/>
        </w:rPr>
      </w:pPr>
      <w:r>
        <w:rPr>
          <w:rFonts w:cs="Times New Roman" w:eastAsiaTheme="minorEastAsia"/>
        </w:rPr>
        <w:t>5.6.3  配套设施单元评价小结</w:t>
      </w:r>
    </w:p>
    <w:p>
      <w:pPr>
        <w:pStyle w:val="24"/>
        <w:spacing w:line="360" w:lineRule="auto"/>
        <w:ind w:firstLine="560"/>
        <w:rPr>
          <w:rFonts w:ascii="Times New Roman" w:hAnsi="Times New Roman" w:eastAsiaTheme="minorEastAsia"/>
        </w:rPr>
      </w:pPr>
      <w:r>
        <w:rPr>
          <w:rFonts w:ascii="Times New Roman" w:hAnsi="Times New Roman" w:eastAsiaTheme="minorEastAsia"/>
          <w:color w:val="000000"/>
        </w:rPr>
        <w:t>1）该单元安全检查表对</w:t>
      </w:r>
      <w:r>
        <w:rPr>
          <w:rFonts w:ascii="Times New Roman" w:hAnsi="Times New Roman" w:eastAsiaTheme="minorEastAsia"/>
          <w:szCs w:val="28"/>
        </w:rPr>
        <w:t>东辛油田营1-斜118块馆三产能建设工程</w:t>
      </w:r>
      <w:r>
        <w:rPr>
          <w:rFonts w:ascii="Times New Roman" w:hAnsi="Times New Roman" w:eastAsiaTheme="minorEastAsia"/>
          <w:color w:val="000000"/>
        </w:rPr>
        <w:t>的配套设施单元共1</w:t>
      </w:r>
      <w:r>
        <w:rPr>
          <w:rFonts w:hint="eastAsia" w:ascii="Times New Roman" w:hAnsi="Times New Roman" w:eastAsiaTheme="minorEastAsia"/>
          <w:color w:val="000000"/>
          <w:lang w:val="en-US" w:eastAsia="zh-CN"/>
        </w:rPr>
        <w:t>1</w:t>
      </w:r>
      <w:r>
        <w:rPr>
          <w:rFonts w:ascii="Times New Roman" w:hAnsi="Times New Roman" w:eastAsiaTheme="minorEastAsia"/>
          <w:color w:val="000000"/>
        </w:rPr>
        <w:t>项内容进行了检查，</w:t>
      </w:r>
      <w:r>
        <w:rPr>
          <w:rFonts w:hint="eastAsia" w:ascii="Times New Roman" w:hAnsi="Times New Roman" w:eastAsiaTheme="minorEastAsia"/>
          <w:color w:val="000000"/>
          <w:lang w:val="en-US" w:eastAsia="zh-CN"/>
        </w:rPr>
        <w:t>9</w:t>
      </w:r>
      <w:r>
        <w:rPr>
          <w:rFonts w:ascii="Times New Roman" w:hAnsi="Times New Roman" w:eastAsiaTheme="minorEastAsia"/>
          <w:color w:val="000000"/>
        </w:rPr>
        <w:t>项为</w:t>
      </w:r>
      <w:r>
        <w:rPr>
          <w:rFonts w:ascii="Times New Roman" w:hAnsi="Times New Roman" w:eastAsiaTheme="minorEastAsia"/>
        </w:rPr>
        <w:t>符合项，2项可研未明确。</w:t>
      </w:r>
    </w:p>
    <w:p>
      <w:pPr>
        <w:pStyle w:val="24"/>
        <w:spacing w:line="360" w:lineRule="auto"/>
        <w:ind w:firstLine="560"/>
        <w:rPr>
          <w:rFonts w:ascii="Times New Roman" w:hAnsi="Times New Roman" w:eastAsiaTheme="minorEastAsia"/>
        </w:rPr>
      </w:pPr>
      <w:r>
        <w:rPr>
          <w:rFonts w:ascii="Times New Roman" w:hAnsi="Times New Roman" w:eastAsiaTheme="minorEastAsia"/>
        </w:rPr>
        <w:t>可研未明确项：（1）配电线路应装设短路保护和过负荷保护。</w:t>
      </w:r>
    </w:p>
    <w:p>
      <w:pPr>
        <w:pStyle w:val="24"/>
        <w:spacing w:line="360" w:lineRule="auto"/>
        <w:ind w:firstLine="560"/>
        <w:rPr>
          <w:rFonts w:ascii="Times New Roman" w:hAnsi="Times New Roman" w:eastAsiaTheme="minorEastAsia"/>
        </w:rPr>
      </w:pPr>
      <w:r>
        <w:rPr>
          <w:rFonts w:ascii="Times New Roman" w:hAnsi="Times New Roman" w:eastAsiaTheme="minorEastAsia"/>
        </w:rPr>
        <w:t>（2）注二氧化碳井井口正面应设置警语：高压低温禁止靠近</w:t>
      </w:r>
      <w:r>
        <w:rPr>
          <w:rFonts w:hint="eastAsia" w:ascii="Times New Roman" w:hAnsi="Times New Roman" w:eastAsiaTheme="minorEastAsia"/>
        </w:rPr>
        <w:t>。</w:t>
      </w:r>
    </w:p>
    <w:p>
      <w:pPr>
        <w:pStyle w:val="24"/>
        <w:spacing w:line="360" w:lineRule="auto"/>
        <w:ind w:firstLine="560"/>
        <w:rPr>
          <w:rFonts w:ascii="Times New Roman" w:hAnsi="Times New Roman" w:eastAsiaTheme="minorEastAsia"/>
          <w:bCs/>
          <w:szCs w:val="28"/>
        </w:rPr>
      </w:pPr>
      <w:r>
        <w:rPr>
          <w:rFonts w:ascii="Times New Roman" w:hAnsi="Times New Roman" w:eastAsiaTheme="minorEastAsia"/>
          <w:color w:val="000000"/>
        </w:rPr>
        <w:t>2）通过预先危险性分析可知，该单元</w:t>
      </w:r>
      <w:r>
        <w:rPr>
          <w:rFonts w:ascii="Times New Roman" w:hAnsi="Times New Roman" w:eastAsiaTheme="minorEastAsia"/>
          <w:color w:val="000000"/>
          <w:szCs w:val="28"/>
        </w:rPr>
        <w:t>可能发生的事故主要有触电、电气火灾等，事故后果等级为Ⅱ级，</w:t>
      </w:r>
      <w:r>
        <w:rPr>
          <w:rFonts w:ascii="Times New Roman" w:hAnsi="Times New Roman" w:eastAsiaTheme="minorEastAsia"/>
          <w:bCs/>
          <w:color w:val="000000"/>
          <w:szCs w:val="28"/>
        </w:rPr>
        <w:t>应当引起足够的重视，采取针对性的防范与控制措施。</w:t>
      </w:r>
    </w:p>
    <w:p>
      <w:pPr>
        <w:pStyle w:val="3"/>
        <w:rPr>
          <w:rFonts w:eastAsiaTheme="minorEastAsia"/>
          <w:bCs w:val="0"/>
        </w:rPr>
      </w:pPr>
      <w:bookmarkStart w:id="236" w:name="_Toc522018279"/>
      <w:bookmarkStart w:id="237" w:name="_Toc41742646"/>
      <w:bookmarkStart w:id="238" w:name="_Toc426550625"/>
      <w:bookmarkStart w:id="239" w:name="_Toc31657"/>
      <w:r>
        <w:rPr>
          <w:rFonts w:eastAsiaTheme="minorEastAsia"/>
        </w:rPr>
        <w:t>5.7  安全管理单元</w:t>
      </w:r>
      <w:bookmarkEnd w:id="236"/>
      <w:bookmarkEnd w:id="237"/>
      <w:bookmarkEnd w:id="238"/>
      <w:bookmarkEnd w:id="239"/>
    </w:p>
    <w:p>
      <w:pPr>
        <w:pStyle w:val="5"/>
        <w:rPr>
          <w:rFonts w:eastAsiaTheme="minorEastAsia"/>
        </w:rPr>
      </w:pPr>
      <w:r>
        <w:rPr>
          <w:rFonts w:eastAsiaTheme="minorEastAsia"/>
        </w:rPr>
        <w:t>5.7.1  安全检查表法评价</w:t>
      </w:r>
    </w:p>
    <w:p>
      <w:pPr>
        <w:kinsoku w:val="0"/>
        <w:ind w:firstLine="560"/>
        <w:rPr>
          <w:rFonts w:eastAsiaTheme="minorEastAsia"/>
          <w:szCs w:val="28"/>
        </w:rPr>
      </w:pPr>
      <w:r>
        <w:rPr>
          <w:rFonts w:eastAsiaTheme="minorEastAsia"/>
          <w:szCs w:val="28"/>
        </w:rPr>
        <w:t>根据《中华人民共和国安全生产法》（主席令</w:t>
      </w:r>
      <w:r>
        <w:rPr>
          <w:rFonts w:hint="eastAsia" w:eastAsiaTheme="minorEastAsia"/>
          <w:szCs w:val="28"/>
        </w:rPr>
        <w:t>〔</w:t>
      </w:r>
      <w:r>
        <w:rPr>
          <w:rFonts w:eastAsiaTheme="minorEastAsia"/>
          <w:szCs w:val="28"/>
        </w:rPr>
        <w:t>2002</w:t>
      </w:r>
      <w:r>
        <w:rPr>
          <w:rFonts w:hint="eastAsia" w:eastAsiaTheme="minorEastAsia"/>
          <w:szCs w:val="28"/>
        </w:rPr>
        <w:t>〕</w:t>
      </w:r>
      <w:r>
        <w:rPr>
          <w:rFonts w:eastAsiaTheme="minorEastAsia"/>
          <w:szCs w:val="28"/>
        </w:rPr>
        <w:t>70号发布发布，主席令</w:t>
      </w:r>
      <w:r>
        <w:rPr>
          <w:rFonts w:hint="eastAsia" w:eastAsiaTheme="minorEastAsia"/>
          <w:szCs w:val="28"/>
        </w:rPr>
        <w:t>〔</w:t>
      </w:r>
      <w:r>
        <w:rPr>
          <w:rFonts w:eastAsiaTheme="minorEastAsia"/>
          <w:szCs w:val="28"/>
        </w:rPr>
        <w:t>2021</w:t>
      </w:r>
      <w:r>
        <w:rPr>
          <w:rFonts w:hint="eastAsia" w:eastAsiaTheme="minorEastAsia"/>
          <w:szCs w:val="28"/>
        </w:rPr>
        <w:t>〕</w:t>
      </w:r>
      <w:r>
        <w:rPr>
          <w:rFonts w:eastAsiaTheme="minorEastAsia"/>
          <w:szCs w:val="28"/>
        </w:rPr>
        <w:t>88号修正）、</w:t>
      </w:r>
      <w:r>
        <w:rPr>
          <w:rFonts w:eastAsiaTheme="minorEastAsia"/>
          <w:bCs/>
          <w:szCs w:val="28"/>
        </w:rPr>
        <w:t>《山东省生产经营单位安全生产主体责任规定》（鲁政令</w:t>
      </w:r>
      <w:r>
        <w:rPr>
          <w:rFonts w:hint="eastAsia" w:eastAsiaTheme="minorEastAsia"/>
          <w:bCs/>
          <w:szCs w:val="28"/>
        </w:rPr>
        <w:t>〔</w:t>
      </w:r>
      <w:r>
        <w:rPr>
          <w:rFonts w:eastAsiaTheme="minorEastAsia"/>
          <w:bCs/>
          <w:szCs w:val="28"/>
        </w:rPr>
        <w:t>2013</w:t>
      </w:r>
      <w:r>
        <w:rPr>
          <w:rFonts w:hint="eastAsia" w:eastAsiaTheme="minorEastAsia"/>
          <w:bCs/>
          <w:szCs w:val="28"/>
        </w:rPr>
        <w:t>〕</w:t>
      </w:r>
      <w:r>
        <w:rPr>
          <w:rFonts w:eastAsiaTheme="minorEastAsia"/>
          <w:bCs/>
          <w:szCs w:val="28"/>
        </w:rPr>
        <w:t>260号发布，鲁政令</w:t>
      </w:r>
      <w:r>
        <w:rPr>
          <w:rFonts w:hint="eastAsia" w:eastAsiaTheme="minorEastAsia"/>
          <w:bCs/>
          <w:szCs w:val="28"/>
        </w:rPr>
        <w:t>〔</w:t>
      </w:r>
      <w:r>
        <w:rPr>
          <w:rFonts w:eastAsiaTheme="minorEastAsia"/>
          <w:bCs/>
          <w:szCs w:val="28"/>
        </w:rPr>
        <w:t>2018</w:t>
      </w:r>
      <w:r>
        <w:rPr>
          <w:rFonts w:hint="eastAsia" w:eastAsiaTheme="minorEastAsia"/>
          <w:bCs/>
          <w:szCs w:val="28"/>
        </w:rPr>
        <w:t>〕</w:t>
      </w:r>
      <w:r>
        <w:rPr>
          <w:rFonts w:eastAsiaTheme="minorEastAsia"/>
          <w:bCs/>
          <w:szCs w:val="28"/>
        </w:rPr>
        <w:t>311号修正）</w:t>
      </w:r>
      <w:r>
        <w:rPr>
          <w:rFonts w:eastAsiaTheme="minorEastAsia"/>
          <w:szCs w:val="28"/>
        </w:rPr>
        <w:t>、《生产经营单位生产安全事故应急预案编制导则》（GB/T29639-2020）对本工程安全生产管理单元进行评价。具体评价内容见表5.7-1。</w:t>
      </w:r>
    </w:p>
    <w:p>
      <w:pPr>
        <w:pStyle w:val="251"/>
        <w:spacing w:line="360" w:lineRule="auto"/>
        <w:rPr>
          <w:rFonts w:eastAsiaTheme="minorEastAsia"/>
          <w:sz w:val="24"/>
        </w:rPr>
      </w:pPr>
      <w:r>
        <w:rPr>
          <w:rFonts w:eastAsiaTheme="minorEastAsia"/>
          <w:sz w:val="24"/>
        </w:rPr>
        <w:t>表5.7-1  安全生产管理单元检查表</w:t>
      </w:r>
    </w:p>
    <w:tbl>
      <w:tblPr>
        <w:tblStyle w:val="45"/>
        <w:tblW w:w="85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2"/>
        <w:gridCol w:w="4107"/>
        <w:gridCol w:w="1843"/>
        <w:gridCol w:w="1276"/>
        <w:gridCol w:w="7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62" w:type="dxa"/>
            <w:tcBorders>
              <w:tl2br w:val="nil"/>
              <w:tr2bl w:val="nil"/>
            </w:tcBorders>
            <w:vAlign w:val="center"/>
          </w:tcPr>
          <w:p>
            <w:pPr>
              <w:widowControl/>
              <w:spacing w:line="240" w:lineRule="auto"/>
              <w:ind w:firstLine="0" w:firstLineChars="0"/>
              <w:jc w:val="center"/>
              <w:rPr>
                <w:rFonts w:eastAsiaTheme="minorEastAsia"/>
                <w:b/>
                <w:sz w:val="21"/>
                <w:szCs w:val="21"/>
              </w:rPr>
            </w:pPr>
            <w:r>
              <w:rPr>
                <w:rFonts w:eastAsiaTheme="minorEastAsia"/>
                <w:b/>
                <w:sz w:val="21"/>
                <w:szCs w:val="21"/>
              </w:rPr>
              <w:t>序号</w:t>
            </w:r>
          </w:p>
        </w:tc>
        <w:tc>
          <w:tcPr>
            <w:tcW w:w="4107" w:type="dxa"/>
            <w:tcBorders>
              <w:tl2br w:val="nil"/>
              <w:tr2bl w:val="nil"/>
            </w:tcBorders>
            <w:vAlign w:val="center"/>
          </w:tcPr>
          <w:p>
            <w:pPr>
              <w:widowControl/>
              <w:spacing w:line="240" w:lineRule="auto"/>
              <w:ind w:firstLine="0" w:firstLineChars="0"/>
              <w:jc w:val="center"/>
              <w:rPr>
                <w:rFonts w:eastAsiaTheme="minorEastAsia"/>
                <w:b/>
                <w:sz w:val="21"/>
                <w:szCs w:val="21"/>
              </w:rPr>
            </w:pPr>
            <w:r>
              <w:rPr>
                <w:rFonts w:eastAsiaTheme="minorEastAsia"/>
                <w:b/>
                <w:sz w:val="21"/>
                <w:szCs w:val="21"/>
              </w:rPr>
              <w:t>检查项目</w:t>
            </w:r>
          </w:p>
        </w:tc>
        <w:tc>
          <w:tcPr>
            <w:tcW w:w="1843" w:type="dxa"/>
            <w:tcBorders>
              <w:tl2br w:val="nil"/>
              <w:tr2bl w:val="nil"/>
            </w:tcBorders>
            <w:vAlign w:val="center"/>
          </w:tcPr>
          <w:p>
            <w:pPr>
              <w:widowControl/>
              <w:spacing w:line="240" w:lineRule="auto"/>
              <w:ind w:firstLine="0" w:firstLineChars="0"/>
              <w:jc w:val="center"/>
              <w:rPr>
                <w:rFonts w:eastAsiaTheme="minorEastAsia"/>
                <w:b/>
                <w:sz w:val="21"/>
                <w:szCs w:val="21"/>
              </w:rPr>
            </w:pPr>
            <w:r>
              <w:rPr>
                <w:rFonts w:eastAsiaTheme="minorEastAsia"/>
                <w:b/>
                <w:sz w:val="21"/>
                <w:szCs w:val="21"/>
              </w:rPr>
              <w:t>检查依据</w:t>
            </w:r>
          </w:p>
        </w:tc>
        <w:tc>
          <w:tcPr>
            <w:tcW w:w="1276" w:type="dxa"/>
            <w:tcBorders>
              <w:tl2br w:val="nil"/>
              <w:tr2bl w:val="nil"/>
            </w:tcBorders>
            <w:vAlign w:val="center"/>
          </w:tcPr>
          <w:p>
            <w:pPr>
              <w:widowControl/>
              <w:spacing w:line="240" w:lineRule="auto"/>
              <w:ind w:firstLine="0" w:firstLineChars="0"/>
              <w:jc w:val="center"/>
              <w:rPr>
                <w:rFonts w:eastAsiaTheme="minorEastAsia"/>
                <w:b/>
                <w:sz w:val="21"/>
                <w:szCs w:val="21"/>
              </w:rPr>
            </w:pPr>
            <w:r>
              <w:rPr>
                <w:rFonts w:eastAsiaTheme="minorEastAsia"/>
                <w:b/>
                <w:sz w:val="21"/>
                <w:szCs w:val="21"/>
              </w:rPr>
              <w:t>实际情况</w:t>
            </w:r>
          </w:p>
        </w:tc>
        <w:tc>
          <w:tcPr>
            <w:tcW w:w="756" w:type="dxa"/>
            <w:tcBorders>
              <w:tl2br w:val="nil"/>
              <w:tr2bl w:val="nil"/>
            </w:tcBorders>
            <w:vAlign w:val="center"/>
          </w:tcPr>
          <w:p>
            <w:pPr>
              <w:widowControl/>
              <w:spacing w:line="240" w:lineRule="auto"/>
              <w:ind w:firstLine="0" w:firstLineChars="0"/>
              <w:jc w:val="center"/>
              <w:rPr>
                <w:rFonts w:eastAsiaTheme="minorEastAsia"/>
                <w:b/>
                <w:sz w:val="21"/>
                <w:szCs w:val="21"/>
              </w:rPr>
            </w:pPr>
            <w:r>
              <w:rPr>
                <w:rFonts w:eastAsiaTheme="minorEastAsia"/>
                <w:b/>
                <w:sz w:val="21"/>
                <w:szCs w:val="21"/>
              </w:rPr>
              <w:t>检查结果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1</w:t>
            </w:r>
          </w:p>
        </w:tc>
        <w:tc>
          <w:tcPr>
            <w:tcW w:w="4107" w:type="dxa"/>
            <w:tcBorders>
              <w:tl2br w:val="nil"/>
              <w:tr2bl w:val="nil"/>
            </w:tcBorders>
          </w:tcPr>
          <w:p>
            <w:pPr>
              <w:widowControl/>
              <w:spacing w:line="240" w:lineRule="auto"/>
              <w:ind w:firstLine="0" w:firstLineChars="0"/>
              <w:jc w:val="left"/>
              <w:rPr>
                <w:rFonts w:eastAsiaTheme="minorEastAsia"/>
                <w:sz w:val="21"/>
                <w:szCs w:val="21"/>
              </w:rPr>
            </w:pPr>
            <w:r>
              <w:rPr>
                <w:rFonts w:eastAsiaTheme="minorEastAsia"/>
                <w:sz w:val="21"/>
                <w:szCs w:val="21"/>
              </w:rPr>
              <w:t>生产经营单位应当依据法律、法规、规章和国家、行业或者地方标准，制定涵盖本单位生产经营全过程和全体从业人员的安全生产管理制度和安全操作规程。</w:t>
            </w:r>
          </w:p>
          <w:p>
            <w:pPr>
              <w:widowControl/>
              <w:spacing w:line="240" w:lineRule="auto"/>
              <w:ind w:firstLine="0" w:firstLineChars="0"/>
              <w:jc w:val="left"/>
              <w:rPr>
                <w:rFonts w:eastAsiaTheme="minorEastAsia"/>
                <w:sz w:val="21"/>
                <w:szCs w:val="21"/>
              </w:rPr>
            </w:pPr>
            <w:r>
              <w:rPr>
                <w:rFonts w:eastAsiaTheme="minorEastAsia"/>
                <w:sz w:val="21"/>
                <w:szCs w:val="21"/>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调查处理，以及法律、法规、规章规定的其他内容。</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《山东省生产经营单位安全生产主体责任规定》</w:t>
            </w:r>
          </w:p>
          <w:p>
            <w:pPr>
              <w:widowControl/>
              <w:spacing w:line="240" w:lineRule="auto"/>
              <w:ind w:firstLine="0" w:firstLineChars="0"/>
              <w:jc w:val="center"/>
              <w:rPr>
                <w:rFonts w:eastAsiaTheme="minorEastAsia"/>
                <w:sz w:val="21"/>
                <w:szCs w:val="21"/>
              </w:rPr>
            </w:pPr>
            <w:r>
              <w:rPr>
                <w:rFonts w:eastAsiaTheme="minorEastAsia"/>
                <w:sz w:val="21"/>
                <w:szCs w:val="21"/>
              </w:rPr>
              <w:t>第七条</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东辛采油厂制定了符合规定要求的安全生产管理制度和安全操作规程。</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2</w:t>
            </w:r>
          </w:p>
        </w:tc>
        <w:tc>
          <w:tcPr>
            <w:tcW w:w="4107" w:type="dxa"/>
            <w:tcBorders>
              <w:tl2br w:val="nil"/>
              <w:tr2bl w:val="nil"/>
            </w:tcBorders>
          </w:tcPr>
          <w:p>
            <w:pPr>
              <w:widowControl/>
              <w:spacing w:line="240" w:lineRule="auto"/>
              <w:ind w:firstLine="0" w:firstLineChars="0"/>
              <w:jc w:val="left"/>
              <w:rPr>
                <w:rFonts w:eastAsiaTheme="minorEastAsia"/>
                <w:sz w:val="21"/>
                <w:szCs w:val="21"/>
              </w:rPr>
            </w:pPr>
            <w:r>
              <w:rPr>
                <w:rFonts w:eastAsiaTheme="minorEastAsia"/>
                <w:sz w:val="21"/>
                <w:szCs w:val="21"/>
              </w:rPr>
              <w:t>生产经营单位的主要负责人、分管安全生产的负责人（安全总监）和安全生产管理人员，应当具备与所从事的生产经营活动相适应的安全生产知识和管理能力。</w:t>
            </w:r>
          </w:p>
          <w:p>
            <w:pPr>
              <w:widowControl/>
              <w:spacing w:line="240" w:lineRule="auto"/>
              <w:ind w:firstLine="0" w:firstLineChars="0"/>
              <w:jc w:val="left"/>
              <w:rPr>
                <w:rFonts w:eastAsiaTheme="minorEastAsia"/>
                <w:sz w:val="21"/>
                <w:szCs w:val="21"/>
              </w:rPr>
            </w:pPr>
            <w:r>
              <w:rPr>
                <w:rFonts w:eastAsiaTheme="minorEastAsia"/>
                <w:sz w:val="21"/>
                <w:szCs w:val="21"/>
              </w:rPr>
              <w:t>高危生产经营单位的主要负责人、分管安全生产的负责人或者安全总监、安全生产管理人员，应当经过培训，并由负有安全生产监督管理职责的主管部门对其安全生产知识和管理能力考核合格。考核不得收费。</w:t>
            </w:r>
          </w:p>
          <w:p>
            <w:pPr>
              <w:widowControl/>
              <w:spacing w:line="240" w:lineRule="auto"/>
              <w:ind w:firstLine="0" w:firstLineChars="0"/>
              <w:jc w:val="left"/>
              <w:rPr>
                <w:rFonts w:eastAsiaTheme="minorEastAsia"/>
                <w:sz w:val="21"/>
                <w:szCs w:val="21"/>
              </w:rPr>
            </w:pPr>
            <w:r>
              <w:rPr>
                <w:rFonts w:eastAsiaTheme="minorEastAsia"/>
                <w:sz w:val="21"/>
                <w:szCs w:val="21"/>
              </w:rPr>
              <w:t>特种作业人员应当按照国家有关规定，接受与其所从事的特种作业相应的安全技术理论培训和实际操作培训，取得特种作业相关资格证书后，方可上岗作业。</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《山东省生产经营单位安全生产主体责任规定》</w:t>
            </w:r>
          </w:p>
          <w:p>
            <w:pPr>
              <w:widowControl/>
              <w:spacing w:line="240" w:lineRule="auto"/>
              <w:ind w:firstLine="0" w:firstLineChars="0"/>
              <w:jc w:val="center"/>
              <w:rPr>
                <w:rFonts w:eastAsiaTheme="minorEastAsia"/>
                <w:sz w:val="21"/>
                <w:szCs w:val="21"/>
              </w:rPr>
            </w:pPr>
            <w:r>
              <w:rPr>
                <w:rFonts w:eastAsiaTheme="minorEastAsia"/>
                <w:sz w:val="21"/>
                <w:szCs w:val="21"/>
              </w:rPr>
              <w:t>第二十五条</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营二采油管理区安全生产管理人员均经过专门培训，并取得相关资格证书。</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3</w:t>
            </w:r>
          </w:p>
        </w:tc>
        <w:tc>
          <w:tcPr>
            <w:tcW w:w="4107" w:type="dxa"/>
            <w:tcBorders>
              <w:tl2br w:val="nil"/>
              <w:tr2bl w:val="nil"/>
            </w:tcBorders>
          </w:tcPr>
          <w:p>
            <w:pPr>
              <w:widowControl/>
              <w:spacing w:line="240" w:lineRule="auto"/>
              <w:ind w:firstLine="0" w:firstLineChars="0"/>
              <w:jc w:val="left"/>
              <w:rPr>
                <w:rFonts w:eastAsiaTheme="minorEastAsia"/>
                <w:sz w:val="21"/>
                <w:szCs w:val="21"/>
              </w:rPr>
            </w:pPr>
            <w:r>
              <w:rPr>
                <w:rFonts w:eastAsiaTheme="minorEastAsia"/>
                <w:sz w:val="21"/>
                <w:szCs w:val="21"/>
              </w:rPr>
              <w:t>生产经营单位应当建立健全安全生产隐患排查治理体系，定期组织安全检查，开展事故隐患自查自纠。对检查出的问题应当立即整改；不能立即整改的，应当采取有效的安全防范和监控措施，制定隐患治理方案，并落实整改措施、责任、资金、时限和预案；对于重大事故隐患，整改治理结束后，应当将治理效果评估报告报安全生产监督管理部门和有关部门备案。</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《山东省生产经营单位安全生产主体责任规定》</w:t>
            </w:r>
          </w:p>
          <w:p>
            <w:pPr>
              <w:widowControl/>
              <w:spacing w:line="240" w:lineRule="auto"/>
              <w:ind w:firstLine="0" w:firstLineChars="0"/>
              <w:jc w:val="center"/>
              <w:rPr>
                <w:rFonts w:eastAsiaTheme="minorEastAsia"/>
                <w:sz w:val="21"/>
                <w:szCs w:val="21"/>
              </w:rPr>
            </w:pPr>
            <w:r>
              <w:rPr>
                <w:rFonts w:eastAsiaTheme="minorEastAsia"/>
                <w:sz w:val="21"/>
                <w:szCs w:val="21"/>
              </w:rPr>
              <w:t>第二十七条</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建立了安全生产隐患排查治理体系，定期组织安全检查，开展事故隐患自查自纠。</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4</w:t>
            </w:r>
          </w:p>
        </w:tc>
        <w:tc>
          <w:tcPr>
            <w:tcW w:w="4107" w:type="dxa"/>
            <w:tcBorders>
              <w:tl2br w:val="nil"/>
              <w:tr2bl w:val="nil"/>
            </w:tcBorders>
          </w:tcPr>
          <w:p>
            <w:pPr>
              <w:widowControl/>
              <w:spacing w:line="240" w:lineRule="auto"/>
              <w:ind w:firstLine="0" w:firstLineChars="0"/>
              <w:jc w:val="left"/>
              <w:rPr>
                <w:rFonts w:eastAsiaTheme="minorEastAsia"/>
                <w:sz w:val="21"/>
                <w:szCs w:val="21"/>
              </w:rPr>
            </w:pPr>
            <w:r>
              <w:rPr>
                <w:rFonts w:eastAsiaTheme="minorEastAsia"/>
                <w:sz w:val="21"/>
                <w:szCs w:val="21"/>
              </w:rPr>
              <w:t>生产经营单位应当制定、及时修订和实施本单位的生产安全事故应急救援预案，并与所在地县级以上人民政府生产安全事故应急救援预案相衔接。高危生产经营单位每年至少组织1次综合或者专项应急预案演练，每半年至少组织1次现场处置方案演练；其他生产经营单位每年至少组织1次演练。</w:t>
            </w:r>
          </w:p>
          <w:p>
            <w:pPr>
              <w:widowControl/>
              <w:spacing w:line="240" w:lineRule="auto"/>
              <w:ind w:firstLine="0" w:firstLineChars="0"/>
              <w:jc w:val="left"/>
              <w:rPr>
                <w:rFonts w:eastAsiaTheme="minorEastAsia"/>
                <w:sz w:val="21"/>
                <w:szCs w:val="21"/>
              </w:rPr>
            </w:pPr>
            <w:r>
              <w:rPr>
                <w:rFonts w:eastAsiaTheme="minorEastAsia"/>
                <w:sz w:val="21"/>
                <w:szCs w:val="21"/>
              </w:rPr>
              <w:t>生产经营单位应当建立应急救援组织，配备相应的应急救援器材及装备。不具备单独建立专业应急救援队伍的规模较小的生产经营单位，应当与邻近建有专业救援队伍的企业或单位签订救援协议，或者联合建立专业应急救援队伍。</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《山东省生产经营单位安全生产主体责任规定》</w:t>
            </w:r>
          </w:p>
          <w:p>
            <w:pPr>
              <w:widowControl/>
              <w:spacing w:line="240" w:lineRule="auto"/>
              <w:ind w:firstLine="0" w:firstLineChars="0"/>
              <w:jc w:val="center"/>
              <w:rPr>
                <w:rFonts w:eastAsiaTheme="minorEastAsia"/>
                <w:sz w:val="21"/>
                <w:szCs w:val="21"/>
              </w:rPr>
            </w:pPr>
            <w:r>
              <w:rPr>
                <w:rFonts w:eastAsiaTheme="minorEastAsia"/>
                <w:sz w:val="21"/>
                <w:szCs w:val="21"/>
              </w:rPr>
              <w:t>第二十三条</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营二采油管理区制定有应急处置程序，定期进行演练，并有详细记录。</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5</w:t>
            </w:r>
          </w:p>
        </w:tc>
        <w:tc>
          <w:tcPr>
            <w:tcW w:w="4107" w:type="dxa"/>
            <w:tcBorders>
              <w:tl2br w:val="nil"/>
              <w:tr2bl w:val="nil"/>
            </w:tcBorders>
          </w:tcPr>
          <w:p>
            <w:pPr>
              <w:widowControl/>
              <w:spacing w:line="240" w:lineRule="auto"/>
              <w:ind w:firstLine="0" w:firstLineChars="0"/>
              <w:jc w:val="left"/>
              <w:rPr>
                <w:rFonts w:eastAsiaTheme="minorEastAsia"/>
                <w:sz w:val="21"/>
                <w:szCs w:val="21"/>
              </w:rPr>
            </w:pPr>
            <w:r>
              <w:rPr>
                <w:rFonts w:eastAsiaTheme="minorEastAsia"/>
                <w:sz w:val="21"/>
                <w:szCs w:val="21"/>
              </w:rPr>
              <w:t>生产经营单位应当按照国家和省有关规定，明确本单位各岗位从业人员配备劳动防护用品的种类和型号，为从业人员无偿提供符合国家、行业或者地方标准要求的劳动防护用品，并督促、检查、教育从业人员按照使用规则佩戴和使用。</w:t>
            </w:r>
          </w:p>
          <w:p>
            <w:pPr>
              <w:widowControl/>
              <w:spacing w:line="240" w:lineRule="auto"/>
              <w:ind w:firstLine="0" w:firstLineChars="0"/>
              <w:jc w:val="left"/>
              <w:rPr>
                <w:rFonts w:eastAsiaTheme="minorEastAsia"/>
                <w:sz w:val="21"/>
                <w:szCs w:val="21"/>
              </w:rPr>
            </w:pPr>
            <w:r>
              <w:rPr>
                <w:rFonts w:eastAsiaTheme="minorEastAsia"/>
                <w:sz w:val="21"/>
                <w:szCs w:val="21"/>
              </w:rPr>
              <w:t>购买和发放劳动防护用品的情况应当记录在案。不得以货币或者其他物品替代劳动防护用品，不得采购和使用无安全标志或者未经法定认证的特种劳动防护用品。</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《山东省生产经营单位安全生产主体责任规定》</w:t>
            </w:r>
          </w:p>
          <w:p>
            <w:pPr>
              <w:widowControl/>
              <w:spacing w:line="240" w:lineRule="auto"/>
              <w:ind w:firstLine="0" w:firstLineChars="0"/>
              <w:jc w:val="center"/>
              <w:rPr>
                <w:rFonts w:eastAsiaTheme="minorEastAsia"/>
                <w:sz w:val="21"/>
                <w:szCs w:val="21"/>
              </w:rPr>
            </w:pPr>
            <w:r>
              <w:rPr>
                <w:rFonts w:eastAsiaTheme="minorEastAsia"/>
                <w:sz w:val="21"/>
                <w:szCs w:val="21"/>
              </w:rPr>
              <w:t>第二十一条</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劳动防护用品使用符合要求。</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6</w:t>
            </w:r>
          </w:p>
        </w:tc>
        <w:tc>
          <w:tcPr>
            <w:tcW w:w="4107" w:type="dxa"/>
            <w:tcBorders>
              <w:tl2br w:val="nil"/>
              <w:tr2bl w:val="nil"/>
            </w:tcBorders>
          </w:tcPr>
          <w:p>
            <w:pPr>
              <w:widowControl/>
              <w:spacing w:line="240" w:lineRule="auto"/>
              <w:ind w:firstLine="0" w:firstLineChars="0"/>
              <w:jc w:val="left"/>
              <w:rPr>
                <w:rFonts w:eastAsiaTheme="minorEastAsia"/>
                <w:sz w:val="21"/>
                <w:szCs w:val="21"/>
              </w:rPr>
            </w:pPr>
            <w:r>
              <w:rPr>
                <w:rFonts w:eastAsiaTheme="minorEastAsia"/>
                <w:sz w:val="21"/>
                <w:szCs w:val="21"/>
              </w:rPr>
              <w:t>生产经营单位进行爆破、悬挂、挖掘、大型设备（构件）吊装、危险装置设备试生产、危险场所动火、建筑物和构筑物拆除以及重大危险源、油气管道、有限空间、有毒有害、临近高压输电线路等作业的，应当按批准权限由相关负责人现场带班，确定专人进行现场作业的统一指挥，由专职安全生产管理人员进行现场安全检查和监督，并由具有专业资质的人员实施作业。</w:t>
            </w:r>
          </w:p>
          <w:p>
            <w:pPr>
              <w:widowControl/>
              <w:spacing w:line="240" w:lineRule="auto"/>
              <w:ind w:firstLine="0" w:firstLineChars="0"/>
              <w:jc w:val="left"/>
              <w:rPr>
                <w:rFonts w:eastAsiaTheme="minorEastAsia"/>
                <w:sz w:val="21"/>
                <w:szCs w:val="21"/>
              </w:rPr>
            </w:pPr>
            <w:r>
              <w:rPr>
                <w:rFonts w:eastAsiaTheme="minorEastAsia"/>
                <w:sz w:val="21"/>
                <w:szCs w:val="21"/>
              </w:rPr>
              <w:t>生产经营单位委托其他有专业资质的单位进行危险作业的，应当在作业前与受托方签订安全生产管理协议，明确各自的安全生产职责。</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《山东省生产经营单位安全生产主体责任规定》</w:t>
            </w:r>
          </w:p>
          <w:p>
            <w:pPr>
              <w:widowControl/>
              <w:spacing w:line="240" w:lineRule="auto"/>
              <w:ind w:firstLine="0" w:firstLineChars="0"/>
              <w:jc w:val="center"/>
              <w:rPr>
                <w:rFonts w:eastAsiaTheme="minorEastAsia"/>
                <w:sz w:val="21"/>
                <w:szCs w:val="21"/>
              </w:rPr>
            </w:pPr>
            <w:r>
              <w:rPr>
                <w:rFonts w:eastAsiaTheme="minorEastAsia"/>
                <w:sz w:val="21"/>
                <w:szCs w:val="21"/>
              </w:rPr>
              <w:t>第三十一条</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施工管理符合要求。</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7</w:t>
            </w:r>
          </w:p>
        </w:tc>
        <w:tc>
          <w:tcPr>
            <w:tcW w:w="4107" w:type="dxa"/>
            <w:tcBorders>
              <w:tl2br w:val="nil"/>
              <w:tr2bl w:val="nil"/>
            </w:tcBorders>
          </w:tcPr>
          <w:p>
            <w:pPr>
              <w:widowControl/>
              <w:spacing w:line="240" w:lineRule="auto"/>
              <w:ind w:firstLine="0" w:firstLineChars="0"/>
              <w:jc w:val="left"/>
              <w:rPr>
                <w:rFonts w:eastAsiaTheme="minorEastAsia"/>
                <w:sz w:val="21"/>
                <w:szCs w:val="21"/>
              </w:rPr>
            </w:pPr>
            <w:r>
              <w:rPr>
                <w:rFonts w:eastAsiaTheme="minorEastAsia"/>
                <w:sz w:val="21"/>
                <w:szCs w:val="21"/>
              </w:rPr>
              <w:t>生产经营单位必须为从业人员提供符合国家标准或者行业标准的劳动防护用品，并监督、教育从业人员按照使用规则佩戴、使用。</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《中华人民共和国安全生产法》</w:t>
            </w:r>
          </w:p>
          <w:p>
            <w:pPr>
              <w:widowControl/>
              <w:spacing w:line="240" w:lineRule="auto"/>
              <w:ind w:firstLine="0" w:firstLineChars="0"/>
              <w:jc w:val="center"/>
              <w:rPr>
                <w:rFonts w:eastAsiaTheme="minorEastAsia"/>
                <w:sz w:val="21"/>
                <w:szCs w:val="21"/>
              </w:rPr>
            </w:pPr>
            <w:r>
              <w:rPr>
                <w:rFonts w:eastAsiaTheme="minorEastAsia"/>
                <w:sz w:val="21"/>
                <w:szCs w:val="21"/>
              </w:rPr>
              <w:t>第四十五条</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劳动防护用品使用符合要求。</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8</w:t>
            </w:r>
          </w:p>
        </w:tc>
        <w:tc>
          <w:tcPr>
            <w:tcW w:w="4107"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生产经营单位应当安排用于配备劳动防护用品、进行安全生产培训的经费。</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《中华人民共和国安全生产法》</w:t>
            </w:r>
          </w:p>
          <w:p>
            <w:pPr>
              <w:widowControl/>
              <w:spacing w:line="240" w:lineRule="auto"/>
              <w:ind w:firstLine="0" w:firstLineChars="0"/>
              <w:jc w:val="center"/>
              <w:rPr>
                <w:rFonts w:eastAsiaTheme="minorEastAsia"/>
                <w:sz w:val="21"/>
                <w:szCs w:val="21"/>
              </w:rPr>
            </w:pPr>
            <w:r>
              <w:rPr>
                <w:rFonts w:eastAsiaTheme="minorEastAsia"/>
                <w:sz w:val="21"/>
                <w:szCs w:val="21"/>
              </w:rPr>
              <w:t>第四十七条</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有相应经费。</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9</w:t>
            </w:r>
          </w:p>
        </w:tc>
        <w:tc>
          <w:tcPr>
            <w:tcW w:w="4107"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生产经营单位必须依法参加工伤保险，为从业人员缴纳保险费。</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《中华人民共和国安全生产法》</w:t>
            </w:r>
          </w:p>
          <w:p>
            <w:pPr>
              <w:widowControl/>
              <w:spacing w:line="240" w:lineRule="auto"/>
              <w:ind w:firstLine="0" w:firstLineChars="0"/>
              <w:jc w:val="center"/>
              <w:rPr>
                <w:rFonts w:eastAsiaTheme="minorEastAsia"/>
                <w:sz w:val="21"/>
                <w:szCs w:val="21"/>
              </w:rPr>
            </w:pPr>
            <w:r>
              <w:rPr>
                <w:rFonts w:eastAsiaTheme="minorEastAsia"/>
                <w:sz w:val="21"/>
                <w:szCs w:val="21"/>
              </w:rPr>
              <w:t>第五十一条</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依法缴纳保险。</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10</w:t>
            </w:r>
          </w:p>
        </w:tc>
        <w:tc>
          <w:tcPr>
            <w:tcW w:w="4107"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生产经营单位应急预案应当包括向上级应急管理机构报告的内容、应急组织机构和人员的联系方式、应急物资储备清单等附件信息。附件信息发生变化时，应当及时更新，确保准确有效。</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《生产安全事故应急预案管理办法》</w:t>
            </w:r>
          </w:p>
          <w:p>
            <w:pPr>
              <w:widowControl/>
              <w:spacing w:line="240" w:lineRule="auto"/>
              <w:ind w:firstLine="0" w:firstLineChars="0"/>
              <w:jc w:val="center"/>
              <w:rPr>
                <w:rFonts w:eastAsiaTheme="minorEastAsia"/>
                <w:sz w:val="21"/>
                <w:szCs w:val="21"/>
              </w:rPr>
            </w:pPr>
            <w:r>
              <w:rPr>
                <w:rFonts w:eastAsiaTheme="minorEastAsia"/>
                <w:sz w:val="21"/>
                <w:szCs w:val="21"/>
              </w:rPr>
              <w:t>第十六条</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有通信联系方式。</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11</w:t>
            </w:r>
          </w:p>
        </w:tc>
        <w:tc>
          <w:tcPr>
            <w:tcW w:w="4107"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生产经营单位应当在编制应急预案的基础上，针对工作场所、岗位的特点，编制简明、实用、有效的应急处置卡。</w:t>
            </w:r>
          </w:p>
          <w:p>
            <w:pPr>
              <w:widowControl/>
              <w:spacing w:line="240" w:lineRule="auto"/>
              <w:ind w:firstLine="0" w:firstLineChars="0"/>
              <w:jc w:val="left"/>
              <w:rPr>
                <w:rFonts w:eastAsiaTheme="minorEastAsia"/>
                <w:sz w:val="21"/>
                <w:szCs w:val="21"/>
              </w:rPr>
            </w:pPr>
            <w:r>
              <w:rPr>
                <w:rFonts w:eastAsiaTheme="minorEastAsia"/>
                <w:sz w:val="21"/>
                <w:szCs w:val="21"/>
              </w:rPr>
              <w:t>应急处置卡应当规定重点岗位、人员的应急处置程序和措施，以及相关联络人员和联系方式，便于从业人员携带。</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《生产安全事故应急预案管理办法》</w:t>
            </w:r>
          </w:p>
          <w:p>
            <w:pPr>
              <w:widowControl/>
              <w:spacing w:line="240" w:lineRule="auto"/>
              <w:ind w:firstLine="0" w:firstLineChars="0"/>
              <w:jc w:val="center"/>
              <w:rPr>
                <w:rFonts w:eastAsiaTheme="minorEastAsia"/>
                <w:sz w:val="21"/>
                <w:szCs w:val="21"/>
              </w:rPr>
            </w:pPr>
            <w:r>
              <w:rPr>
                <w:rFonts w:eastAsiaTheme="minorEastAsia"/>
                <w:sz w:val="21"/>
                <w:szCs w:val="21"/>
              </w:rPr>
              <w:t>第十九条</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制定有应急处置卡。</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12</w:t>
            </w:r>
          </w:p>
        </w:tc>
        <w:tc>
          <w:tcPr>
            <w:tcW w:w="4107"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各级安全生产监督管理部门、各类生产经营单位应当采取多种形式开展应急预案的宣传教育，普及生产安全事故避险、自救和互救知识，提高从业人员和社会公众的安全意识与应急处置技能。</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《生产安全事故应急预案管理办法》</w:t>
            </w:r>
          </w:p>
          <w:p>
            <w:pPr>
              <w:widowControl/>
              <w:spacing w:line="240" w:lineRule="auto"/>
              <w:ind w:firstLine="0" w:firstLineChars="0"/>
              <w:jc w:val="center"/>
              <w:rPr>
                <w:rFonts w:eastAsiaTheme="minorEastAsia"/>
                <w:sz w:val="21"/>
                <w:szCs w:val="21"/>
              </w:rPr>
            </w:pPr>
            <w:r>
              <w:rPr>
                <w:rFonts w:eastAsiaTheme="minorEastAsia"/>
                <w:sz w:val="21"/>
                <w:szCs w:val="21"/>
              </w:rPr>
              <w:t>第三十条</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普及生产安全事故避险、自救和互救知识。</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13</w:t>
            </w:r>
          </w:p>
        </w:tc>
        <w:tc>
          <w:tcPr>
            <w:tcW w:w="4107"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各级安全生产监督管理部门应当将本部门应急预案的培训纳入安全生产培训工作计划，并组织实施本行政区域内重点生产经营单位的应急预案培训工作。</w:t>
            </w:r>
          </w:p>
          <w:p>
            <w:pPr>
              <w:widowControl/>
              <w:spacing w:line="240" w:lineRule="auto"/>
              <w:ind w:firstLine="0" w:firstLineChars="0"/>
              <w:jc w:val="left"/>
              <w:rPr>
                <w:rFonts w:eastAsiaTheme="minorEastAsia"/>
                <w:sz w:val="21"/>
                <w:szCs w:val="21"/>
              </w:rPr>
            </w:pPr>
            <w:r>
              <w:rPr>
                <w:rFonts w:eastAsiaTheme="minorEastAsia"/>
                <w:sz w:val="21"/>
                <w:szCs w:val="21"/>
              </w:rPr>
              <w:t>生产经营单位应当组织开展本单位的应急预案、应急知识、自救互救和避险逃生技能的培训活动，使有关人员了解应急预案内容，熟悉应急职责、应急处置程序和措施。</w:t>
            </w:r>
          </w:p>
          <w:p>
            <w:pPr>
              <w:widowControl/>
              <w:spacing w:line="240" w:lineRule="auto"/>
              <w:ind w:firstLine="0" w:firstLineChars="0"/>
              <w:jc w:val="left"/>
              <w:rPr>
                <w:rFonts w:eastAsiaTheme="minorEastAsia"/>
                <w:sz w:val="21"/>
                <w:szCs w:val="21"/>
              </w:rPr>
            </w:pPr>
            <w:r>
              <w:rPr>
                <w:rFonts w:eastAsiaTheme="minorEastAsia"/>
                <w:sz w:val="21"/>
                <w:szCs w:val="21"/>
              </w:rPr>
              <w:t>应急培训的时间、地点、内容、师资、参加人员和考核结果等情况应当如实记入本单位的安全生产教育和培训档案。</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《生产安全事故应急预案管理办法》</w:t>
            </w:r>
          </w:p>
          <w:p>
            <w:pPr>
              <w:widowControl/>
              <w:spacing w:line="240" w:lineRule="auto"/>
              <w:ind w:firstLine="0" w:firstLineChars="0"/>
              <w:jc w:val="center"/>
              <w:rPr>
                <w:rFonts w:eastAsiaTheme="minorEastAsia"/>
                <w:sz w:val="21"/>
                <w:szCs w:val="21"/>
              </w:rPr>
            </w:pPr>
            <w:r>
              <w:rPr>
                <w:rFonts w:eastAsiaTheme="minorEastAsia"/>
                <w:sz w:val="21"/>
                <w:szCs w:val="21"/>
              </w:rPr>
              <w:t>第三十一条</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有应急预案培训计划。</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14</w:t>
            </w:r>
          </w:p>
        </w:tc>
        <w:tc>
          <w:tcPr>
            <w:tcW w:w="4107"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明确生产经营单位的应急组织形式及组成单位或人员，可用结构图的形式表示，明确构成部门的职责。应急组织机构根据事故类型和应急工作需要，可设置相应的应急工作小组，并明确各小组的工作任务及职责。</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GB/T29639-2020</w:t>
            </w:r>
          </w:p>
          <w:p>
            <w:pPr>
              <w:widowControl/>
              <w:spacing w:line="240" w:lineRule="auto"/>
              <w:ind w:firstLine="0" w:firstLineChars="0"/>
              <w:jc w:val="center"/>
              <w:rPr>
                <w:rFonts w:eastAsiaTheme="minorEastAsia"/>
                <w:sz w:val="21"/>
                <w:szCs w:val="21"/>
              </w:rPr>
            </w:pPr>
            <w:r>
              <w:rPr>
                <w:rFonts w:eastAsiaTheme="minorEastAsia"/>
                <w:sz w:val="21"/>
                <w:szCs w:val="21"/>
              </w:rPr>
              <w:t>6.3</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有组织机构及职责。</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15</w:t>
            </w:r>
          </w:p>
        </w:tc>
        <w:tc>
          <w:tcPr>
            <w:tcW w:w="4107"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明确可为生产经营单位提供应急保障的相关单位及人员通信联系方式和方法，并提供备用方案。同时，建立信息通信系统及维护方案，确保应急期间信息通畅。</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GB/T29639-2020</w:t>
            </w:r>
          </w:p>
          <w:p>
            <w:pPr>
              <w:widowControl/>
              <w:spacing w:line="240" w:lineRule="auto"/>
              <w:ind w:firstLine="0" w:firstLineChars="0"/>
              <w:jc w:val="center"/>
              <w:rPr>
                <w:rFonts w:eastAsiaTheme="minorEastAsia"/>
                <w:sz w:val="21"/>
                <w:szCs w:val="21"/>
              </w:rPr>
            </w:pPr>
            <w:r>
              <w:rPr>
                <w:rFonts w:eastAsiaTheme="minorEastAsia"/>
                <w:sz w:val="21"/>
                <w:szCs w:val="21"/>
              </w:rPr>
              <w:t>6.8.1</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应急处置程序中有通信联系方式。</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16</w:t>
            </w:r>
          </w:p>
        </w:tc>
        <w:tc>
          <w:tcPr>
            <w:tcW w:w="4107"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应急队伍保障：明确应急响应的人力资源，包括专业应急专家、专业应急队伍、兼职应急队伍等。</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GB/T29639-2020</w:t>
            </w:r>
          </w:p>
          <w:p>
            <w:pPr>
              <w:widowControl/>
              <w:spacing w:line="240" w:lineRule="auto"/>
              <w:ind w:firstLine="0" w:firstLineChars="0"/>
              <w:jc w:val="center"/>
              <w:rPr>
                <w:rFonts w:eastAsiaTheme="minorEastAsia"/>
                <w:sz w:val="21"/>
                <w:szCs w:val="21"/>
              </w:rPr>
            </w:pPr>
            <w:r>
              <w:rPr>
                <w:rFonts w:eastAsiaTheme="minorEastAsia"/>
                <w:sz w:val="21"/>
                <w:szCs w:val="21"/>
              </w:rPr>
              <w:t>6.8.2</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有应急队伍。</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17</w:t>
            </w:r>
          </w:p>
        </w:tc>
        <w:tc>
          <w:tcPr>
            <w:tcW w:w="4107"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物资装备保障：明确生产经营单位的应急物资和装备的类型、数量、性能、存放位置、运输及使用条件、管理责任人及其联系方式等内容。</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GB/T29639-2020</w:t>
            </w:r>
          </w:p>
          <w:p>
            <w:pPr>
              <w:widowControl/>
              <w:spacing w:line="240" w:lineRule="auto"/>
              <w:ind w:firstLine="0" w:firstLineChars="0"/>
              <w:jc w:val="center"/>
              <w:rPr>
                <w:rFonts w:eastAsiaTheme="minorEastAsia"/>
                <w:sz w:val="21"/>
                <w:szCs w:val="21"/>
              </w:rPr>
            </w:pPr>
            <w:r>
              <w:rPr>
                <w:rFonts w:eastAsiaTheme="minorEastAsia"/>
                <w:sz w:val="21"/>
                <w:szCs w:val="21"/>
              </w:rPr>
              <w:t>6.8.3</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有应急物资。</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18</w:t>
            </w:r>
          </w:p>
        </w:tc>
        <w:tc>
          <w:tcPr>
            <w:tcW w:w="4107"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明确对生产经营单位人员开展的应急培训计划、方式和要求。使有关人员了解相应应急预案内容，熟悉应急职责、应急程序和现场处置方案。如果应急预案涉及到社区和居民，要做好宣传教育和告知等工作。</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GB/T29639-2020</w:t>
            </w:r>
          </w:p>
          <w:p>
            <w:pPr>
              <w:widowControl/>
              <w:spacing w:line="240" w:lineRule="auto"/>
              <w:ind w:firstLine="0" w:firstLineChars="0"/>
              <w:jc w:val="center"/>
              <w:rPr>
                <w:rFonts w:eastAsiaTheme="minorEastAsia"/>
                <w:sz w:val="21"/>
                <w:szCs w:val="21"/>
              </w:rPr>
            </w:pPr>
            <w:r>
              <w:rPr>
                <w:rFonts w:eastAsiaTheme="minorEastAsia"/>
                <w:sz w:val="21"/>
                <w:szCs w:val="21"/>
              </w:rPr>
              <w:t>6.9.1</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有应急处置方案培训计划。</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19</w:t>
            </w:r>
          </w:p>
        </w:tc>
        <w:tc>
          <w:tcPr>
            <w:tcW w:w="4107"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明确生产经营单位不同类型应急预案演练的形式、范围、频次、内容以及演练评估、总结等要求。</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GB/T29639-2020</w:t>
            </w:r>
          </w:p>
          <w:p>
            <w:pPr>
              <w:widowControl/>
              <w:spacing w:line="240" w:lineRule="auto"/>
              <w:ind w:firstLine="0" w:firstLineChars="0"/>
              <w:jc w:val="center"/>
              <w:rPr>
                <w:rFonts w:eastAsiaTheme="minorEastAsia"/>
                <w:sz w:val="21"/>
                <w:szCs w:val="21"/>
              </w:rPr>
            </w:pPr>
            <w:r>
              <w:rPr>
                <w:rFonts w:eastAsiaTheme="minorEastAsia"/>
                <w:sz w:val="21"/>
                <w:szCs w:val="21"/>
              </w:rPr>
              <w:t>6.9.2</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有应急处置演练记录。</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20</w:t>
            </w:r>
          </w:p>
        </w:tc>
        <w:tc>
          <w:tcPr>
            <w:tcW w:w="4107" w:type="dxa"/>
            <w:tcBorders>
              <w:tl2br w:val="nil"/>
              <w:tr2bl w:val="nil"/>
            </w:tcBorders>
          </w:tcPr>
          <w:p>
            <w:pPr>
              <w:widowControl/>
              <w:spacing w:line="240" w:lineRule="auto"/>
              <w:ind w:firstLine="0" w:firstLineChars="0"/>
              <w:jc w:val="left"/>
              <w:rPr>
                <w:rFonts w:eastAsiaTheme="minorEastAsia"/>
                <w:sz w:val="21"/>
                <w:szCs w:val="21"/>
              </w:rPr>
            </w:pPr>
            <w:r>
              <w:rPr>
                <w:rFonts w:eastAsiaTheme="minorEastAsia"/>
                <w:sz w:val="21"/>
                <w:szCs w:val="21"/>
              </w:rPr>
              <w:t>各业务（职能）部门、单位要按照分类管理、</w:t>
            </w:r>
          </w:p>
          <w:p>
            <w:pPr>
              <w:widowControl/>
              <w:spacing w:line="240" w:lineRule="auto"/>
              <w:ind w:firstLine="0" w:firstLineChars="0"/>
              <w:jc w:val="left"/>
              <w:rPr>
                <w:rFonts w:eastAsiaTheme="minorEastAsia"/>
                <w:sz w:val="21"/>
                <w:szCs w:val="21"/>
              </w:rPr>
            </w:pPr>
            <w:r>
              <w:rPr>
                <w:rFonts w:eastAsiaTheme="minorEastAsia"/>
                <w:sz w:val="21"/>
                <w:szCs w:val="21"/>
              </w:rPr>
              <w:t>分级负责的原则，根据国家、集团公司和油田相关标准和规定，建立应急装备和物资的调配、维修保养、更新等机制，合理配备应急装备和储备应急物资，确保储备充足、调运顺畅。</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《胜利油田应急管理办法》</w:t>
            </w:r>
          </w:p>
          <w:p>
            <w:pPr>
              <w:widowControl/>
              <w:spacing w:line="240" w:lineRule="auto"/>
              <w:ind w:firstLine="0" w:firstLineChars="0"/>
              <w:jc w:val="center"/>
              <w:rPr>
                <w:rFonts w:eastAsiaTheme="minorEastAsia"/>
                <w:sz w:val="21"/>
                <w:szCs w:val="21"/>
              </w:rPr>
            </w:pPr>
            <w:r>
              <w:rPr>
                <w:rFonts w:eastAsiaTheme="minorEastAsia"/>
                <w:sz w:val="21"/>
                <w:szCs w:val="21"/>
              </w:rPr>
              <w:t>3.1.4.3</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符合要求。</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21</w:t>
            </w:r>
          </w:p>
        </w:tc>
        <w:tc>
          <w:tcPr>
            <w:tcW w:w="4107"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生产经营单位应当建立各种设备安全检修制度，保证设备正常运转。</w:t>
            </w:r>
          </w:p>
        </w:tc>
        <w:tc>
          <w:tcPr>
            <w:tcW w:w="1843"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《中华人民共和国安全生产法》第三十六条</w:t>
            </w:r>
          </w:p>
        </w:tc>
        <w:tc>
          <w:tcPr>
            <w:tcW w:w="1276" w:type="dxa"/>
            <w:tcBorders>
              <w:tl2br w:val="nil"/>
              <w:tr2bl w:val="nil"/>
            </w:tcBorders>
            <w:vAlign w:val="center"/>
          </w:tcPr>
          <w:p>
            <w:pPr>
              <w:widowControl/>
              <w:spacing w:line="240" w:lineRule="auto"/>
              <w:ind w:firstLine="0" w:firstLineChars="0"/>
              <w:jc w:val="left"/>
              <w:rPr>
                <w:rFonts w:eastAsiaTheme="minorEastAsia"/>
                <w:sz w:val="21"/>
                <w:szCs w:val="21"/>
              </w:rPr>
            </w:pPr>
            <w:r>
              <w:rPr>
                <w:rFonts w:eastAsiaTheme="minorEastAsia"/>
                <w:sz w:val="21"/>
                <w:szCs w:val="21"/>
              </w:rPr>
              <w:t>建立了设备安全检修制度。</w:t>
            </w:r>
          </w:p>
        </w:tc>
        <w:tc>
          <w:tcPr>
            <w:tcW w:w="756"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w:t>
            </w:r>
          </w:p>
        </w:tc>
      </w:tr>
    </w:tbl>
    <w:p>
      <w:pPr>
        <w:pStyle w:val="251"/>
        <w:rPr>
          <w:rFonts w:eastAsiaTheme="minorEastAsia"/>
        </w:rPr>
      </w:pPr>
    </w:p>
    <w:p>
      <w:pPr>
        <w:pStyle w:val="5"/>
        <w:rPr>
          <w:rFonts w:eastAsiaTheme="minorEastAsia"/>
        </w:rPr>
      </w:pPr>
      <w:r>
        <w:rPr>
          <w:rFonts w:eastAsiaTheme="minorEastAsia"/>
        </w:rPr>
        <w:t>5.7.2  安全管理单元评价小结</w:t>
      </w:r>
    </w:p>
    <w:p>
      <w:pPr>
        <w:tabs>
          <w:tab w:val="left" w:pos="377"/>
        </w:tabs>
        <w:ind w:firstLine="560"/>
        <w:rPr>
          <w:rFonts w:eastAsiaTheme="minorEastAsia"/>
          <w:szCs w:val="28"/>
        </w:rPr>
      </w:pPr>
      <w:r>
        <w:rPr>
          <w:rFonts w:eastAsiaTheme="minorEastAsia"/>
          <w:szCs w:val="28"/>
        </w:rPr>
        <w:t>本节采用安全检查表对安全管理、教育培训、应急及相关文件的符合性方面与国家现行法律、法规、技术标准进行了相应的检查，共设21项检查内容，未发现不符合项。</w:t>
      </w:r>
    </w:p>
    <w:p>
      <w:pPr>
        <w:ind w:firstLine="608"/>
        <w:jc w:val="left"/>
        <w:rPr>
          <w:rFonts w:eastAsiaTheme="minorEastAsia"/>
          <w:shd w:val="pct10" w:color="auto" w:fill="FFFFFF"/>
        </w:rPr>
      </w:pPr>
      <w:r>
        <w:rPr>
          <w:rFonts w:eastAsiaTheme="minorEastAsia"/>
          <w:spacing w:val="12"/>
          <w:szCs w:val="28"/>
        </w:rPr>
        <w:t>东辛采油厂营二采油管理区</w:t>
      </w:r>
      <w:r>
        <w:rPr>
          <w:rFonts w:eastAsiaTheme="minorEastAsia"/>
          <w:szCs w:val="28"/>
        </w:rPr>
        <w:t>建立了完善可靠的安全管理体系、安全生产规章制度和安全操作规程，作业人员参加有关培训并持证上岗，定期进行安全培训教育，制定有应急处置程序并定期演练，符合相应的法律、法规的要求。</w:t>
      </w:r>
    </w:p>
    <w:p>
      <w:pPr>
        <w:spacing w:before="60" w:beforeLines="25" w:after="60" w:afterLines="25"/>
        <w:ind w:firstLine="560"/>
        <w:rPr>
          <w:rFonts w:eastAsiaTheme="minorEastAsia"/>
          <w:szCs w:val="28"/>
          <w:shd w:val="pct10" w:color="auto" w:fill="FFFFFF"/>
        </w:rPr>
        <w:sectPr>
          <w:headerReference r:id="rId16" w:type="default"/>
          <w:footerReference r:id="rId17" w:type="default"/>
          <w:pgSz w:w="11906" w:h="16838"/>
          <w:pgMar w:top="1985" w:right="1814" w:bottom="1985" w:left="1814" w:header="1389" w:footer="992" w:gutter="0"/>
          <w:pgBorders>
            <w:top w:val="none" w:sz="0" w:space="0"/>
            <w:left w:val="none" w:sz="0" w:space="0"/>
            <w:bottom w:val="none" w:sz="0" w:space="0"/>
            <w:right w:val="none" w:sz="0" w:space="0"/>
          </w:pgBorders>
          <w:cols w:space="720" w:num="1"/>
          <w:docGrid w:linePitch="381" w:charSpace="0"/>
        </w:sectPr>
      </w:pPr>
    </w:p>
    <w:p>
      <w:pPr>
        <w:pStyle w:val="2"/>
        <w:rPr>
          <w:rFonts w:eastAsiaTheme="minorEastAsia"/>
        </w:rPr>
      </w:pPr>
      <w:bookmarkStart w:id="240" w:name="_Toc522018280"/>
      <w:bookmarkStart w:id="241" w:name="_Toc19236"/>
      <w:bookmarkStart w:id="242" w:name="_Toc341963434"/>
      <w:bookmarkStart w:id="243" w:name="_Toc41742647"/>
      <w:r>
        <w:rPr>
          <w:rFonts w:eastAsiaTheme="minorEastAsia"/>
        </w:rPr>
        <w:t>6  典型事故案例</w:t>
      </w:r>
      <w:bookmarkEnd w:id="240"/>
      <w:bookmarkEnd w:id="241"/>
      <w:bookmarkEnd w:id="242"/>
      <w:bookmarkEnd w:id="243"/>
    </w:p>
    <w:p>
      <w:pPr>
        <w:pStyle w:val="3"/>
        <w:rPr>
          <w:rFonts w:eastAsiaTheme="minorEastAsia"/>
        </w:rPr>
      </w:pPr>
      <w:bookmarkStart w:id="244" w:name="_Toc406486242"/>
      <w:bookmarkStart w:id="245" w:name="_Toc439081495"/>
      <w:bookmarkStart w:id="246" w:name="_Toc508093917"/>
      <w:bookmarkStart w:id="247" w:name="_Toc19898"/>
      <w:bookmarkStart w:id="248" w:name="_Toc22110"/>
      <w:bookmarkStart w:id="249" w:name="_Toc4179584"/>
      <w:bookmarkStart w:id="250" w:name="_Toc510520958"/>
      <w:r>
        <w:rPr>
          <w:rFonts w:eastAsiaTheme="minorEastAsia"/>
        </w:rPr>
        <w:t xml:space="preserve">6.1  </w:t>
      </w:r>
      <w:bookmarkEnd w:id="244"/>
      <w:r>
        <w:rPr>
          <w:rFonts w:hint="eastAsia" w:eastAsiaTheme="minorEastAsia"/>
        </w:rPr>
        <w:t>“</w:t>
      </w:r>
      <w:r>
        <w:rPr>
          <w:rFonts w:eastAsiaTheme="minorEastAsia"/>
        </w:rPr>
        <w:t>12.26</w:t>
      </w:r>
      <w:r>
        <w:rPr>
          <w:rFonts w:hint="eastAsia" w:eastAsiaTheme="minorEastAsia"/>
        </w:rPr>
        <w:t>”</w:t>
      </w:r>
      <w:r>
        <w:rPr>
          <w:rFonts w:eastAsiaTheme="minorEastAsia"/>
        </w:rPr>
        <w:t>违章拆装井口井喷失控事故</w:t>
      </w:r>
      <w:bookmarkEnd w:id="245"/>
      <w:bookmarkEnd w:id="246"/>
      <w:bookmarkEnd w:id="247"/>
      <w:bookmarkEnd w:id="248"/>
      <w:bookmarkEnd w:id="249"/>
      <w:bookmarkEnd w:id="250"/>
    </w:p>
    <w:p>
      <w:pPr>
        <w:pStyle w:val="5"/>
        <w:rPr>
          <w:rFonts w:eastAsiaTheme="minorEastAsia"/>
        </w:rPr>
      </w:pPr>
      <w:r>
        <w:rPr>
          <w:rFonts w:eastAsiaTheme="minorEastAsia"/>
        </w:rPr>
        <w:t>6.1.1  事故经过</w:t>
      </w:r>
    </w:p>
    <w:p>
      <w:pPr>
        <w:ind w:firstLine="560"/>
        <w:rPr>
          <w:rFonts w:eastAsiaTheme="minorEastAsia"/>
          <w:bCs/>
          <w:color w:val="000000"/>
          <w:szCs w:val="28"/>
        </w:rPr>
      </w:pPr>
      <w:r>
        <w:rPr>
          <w:rFonts w:eastAsiaTheme="minorEastAsia"/>
          <w:bCs/>
          <w:color w:val="000000"/>
          <w:szCs w:val="28"/>
        </w:rPr>
        <w:t>某年12月24日，13时由某承包公司钻井队承钻的塔中823井在进行拆装井口作业过程中，该井开始试油压井施工，根据试油监督的作业指令书要求，先反挤清水90m</w:t>
      </w:r>
      <w:r>
        <w:rPr>
          <w:rFonts w:eastAsiaTheme="minorEastAsia"/>
          <w:bCs/>
          <w:color w:val="000000"/>
          <w:szCs w:val="28"/>
          <w:vertAlign w:val="superscript"/>
        </w:rPr>
        <w:t>3</w:t>
      </w:r>
      <w:r>
        <w:rPr>
          <w:rFonts w:eastAsiaTheme="minorEastAsia"/>
          <w:bCs/>
          <w:color w:val="000000"/>
          <w:szCs w:val="28"/>
        </w:rPr>
        <w:t>，再分别反挤入密度为1.25kg/cm</w:t>
      </w:r>
      <w:r>
        <w:rPr>
          <w:rFonts w:eastAsiaTheme="minorEastAsia"/>
          <w:bCs/>
          <w:color w:val="000000"/>
          <w:szCs w:val="28"/>
          <w:vertAlign w:val="superscript"/>
        </w:rPr>
        <w:t>3</w:t>
      </w:r>
      <w:r>
        <w:rPr>
          <w:rFonts w:eastAsiaTheme="minorEastAsia"/>
          <w:bCs/>
          <w:color w:val="000000"/>
          <w:szCs w:val="28"/>
        </w:rPr>
        <w:t>钻井液10m</w:t>
      </w:r>
      <w:r>
        <w:rPr>
          <w:rFonts w:eastAsiaTheme="minorEastAsia"/>
          <w:bCs/>
          <w:color w:val="000000"/>
          <w:szCs w:val="28"/>
          <w:vertAlign w:val="superscript"/>
        </w:rPr>
        <w:t>3</w:t>
      </w:r>
      <w:r>
        <w:rPr>
          <w:rFonts w:eastAsiaTheme="minorEastAsia"/>
          <w:bCs/>
          <w:color w:val="000000"/>
          <w:szCs w:val="28"/>
        </w:rPr>
        <w:t>、120m</w:t>
      </w:r>
      <w:r>
        <w:rPr>
          <w:rFonts w:eastAsiaTheme="minorEastAsia"/>
          <w:bCs/>
          <w:color w:val="000000"/>
          <w:szCs w:val="28"/>
          <w:vertAlign w:val="superscript"/>
        </w:rPr>
        <w:t>3</w:t>
      </w:r>
      <w:r>
        <w:rPr>
          <w:rFonts w:eastAsiaTheme="minorEastAsia"/>
          <w:bCs/>
          <w:color w:val="000000"/>
          <w:szCs w:val="28"/>
        </w:rPr>
        <w:t>，此时套压下降至0MPa。23时30分，开始正挤清水4m</w:t>
      </w:r>
      <w:r>
        <w:rPr>
          <w:rFonts w:eastAsiaTheme="minorEastAsia"/>
          <w:bCs/>
          <w:color w:val="000000"/>
          <w:szCs w:val="28"/>
          <w:vertAlign w:val="superscript"/>
        </w:rPr>
        <w:t>3</w:t>
      </w:r>
      <w:r>
        <w:rPr>
          <w:rFonts w:eastAsiaTheme="minorEastAsia"/>
          <w:bCs/>
          <w:color w:val="000000"/>
          <w:szCs w:val="28"/>
        </w:rPr>
        <w:t>后，由于泵压由42MPa上升至55MPa，停泵后压力不下降，于是试油监督决定连接地面简易放喷管线进行放压。25日5时至9时，用6mm油嘴放喷点火，油压下降至17MPa，放喷口处见液、火灭。15时观察，套压保持为0MPa，油压上升至40Mpa。18时正挤注清水24m</w:t>
      </w:r>
      <w:r>
        <w:rPr>
          <w:rFonts w:eastAsiaTheme="minorEastAsia"/>
          <w:bCs/>
          <w:color w:val="000000"/>
          <w:szCs w:val="28"/>
          <w:vertAlign w:val="superscript"/>
        </w:rPr>
        <w:t>3</w:t>
      </w:r>
      <w:r>
        <w:rPr>
          <w:rFonts w:eastAsiaTheme="minorEastAsia"/>
          <w:bCs/>
          <w:color w:val="000000"/>
          <w:szCs w:val="28"/>
        </w:rPr>
        <w:t>、密度1.25g/cm</w:t>
      </w:r>
      <w:r>
        <w:rPr>
          <w:rFonts w:eastAsiaTheme="minorEastAsia"/>
          <w:bCs/>
          <w:color w:val="000000"/>
          <w:szCs w:val="28"/>
          <w:vertAlign w:val="superscript"/>
        </w:rPr>
        <w:t>3</w:t>
      </w:r>
      <w:r>
        <w:rPr>
          <w:rFonts w:eastAsiaTheme="minorEastAsia"/>
          <w:bCs/>
          <w:color w:val="000000"/>
          <w:szCs w:val="28"/>
        </w:rPr>
        <w:t>的钻井液35m</w:t>
      </w:r>
      <w:r>
        <w:rPr>
          <w:rFonts w:eastAsiaTheme="minorEastAsia"/>
          <w:bCs/>
          <w:color w:val="000000"/>
          <w:szCs w:val="28"/>
          <w:vertAlign w:val="superscript"/>
        </w:rPr>
        <w:t>3</w:t>
      </w:r>
      <w:r>
        <w:rPr>
          <w:rFonts w:eastAsiaTheme="minorEastAsia"/>
          <w:bCs/>
          <w:color w:val="000000"/>
          <w:szCs w:val="28"/>
        </w:rPr>
        <w:t>，此时油压、套压均为0MPa，挤压井完毕。试油监督要求观察井口，并安排配钻井液。21时30分，井口套压上升至3MPa、油压为0，根据试油监督指令，井队往油层套管环形空间内注入钻井液1.5m</w:t>
      </w:r>
      <w:r>
        <w:rPr>
          <w:rFonts w:eastAsiaTheme="minorEastAsia"/>
          <w:bCs/>
          <w:color w:val="000000"/>
          <w:szCs w:val="28"/>
          <w:vertAlign w:val="superscript"/>
        </w:rPr>
        <w:t>3</w:t>
      </w:r>
      <w:r>
        <w:rPr>
          <w:rFonts w:eastAsiaTheme="minorEastAsia"/>
          <w:bCs/>
          <w:color w:val="000000"/>
          <w:szCs w:val="28"/>
        </w:rPr>
        <w:t>，套压下降到26日零时30分，套压回升至4MPa，油压为0，井队请示试油监督后，往油层套管环形空间内注入钻井液7m</w:t>
      </w:r>
      <w:r>
        <w:rPr>
          <w:rFonts w:eastAsiaTheme="minorEastAsia"/>
          <w:bCs/>
          <w:color w:val="000000"/>
          <w:szCs w:val="28"/>
          <w:vertAlign w:val="superscript"/>
        </w:rPr>
        <w:t>3</w:t>
      </w:r>
      <w:r>
        <w:rPr>
          <w:rFonts w:eastAsiaTheme="minorEastAsia"/>
          <w:bCs/>
          <w:color w:val="000000"/>
          <w:szCs w:val="28"/>
        </w:rPr>
        <w:t>，套压下降到2MPa，油压为0。零时30分至6时30分，井队每小时往油层套管环形空间内注入钻井液1m</w:t>
      </w:r>
      <w:r>
        <w:rPr>
          <w:rFonts w:eastAsiaTheme="minorEastAsia"/>
          <w:bCs/>
          <w:color w:val="000000"/>
          <w:szCs w:val="28"/>
          <w:vertAlign w:val="superscript"/>
        </w:rPr>
        <w:t>3</w:t>
      </w:r>
      <w:r>
        <w:rPr>
          <w:rFonts w:eastAsiaTheme="minorEastAsia"/>
          <w:bCs/>
          <w:color w:val="000000"/>
          <w:szCs w:val="28"/>
        </w:rPr>
        <w:t>，总计注入钻井液6m</w:t>
      </w:r>
      <w:r>
        <w:rPr>
          <w:rFonts w:eastAsiaTheme="minorEastAsia"/>
          <w:bCs/>
          <w:color w:val="000000"/>
          <w:szCs w:val="28"/>
          <w:vertAlign w:val="superscript"/>
        </w:rPr>
        <w:t>3</w:t>
      </w:r>
      <w:r>
        <w:rPr>
          <w:rFonts w:eastAsiaTheme="minorEastAsia"/>
          <w:bCs/>
          <w:color w:val="000000"/>
          <w:szCs w:val="28"/>
        </w:rPr>
        <w:t>。采油树右翼生产闸门打开，出口处没有油气或钻井液溢出。6时30分至6时55分，井队往油层套管环形空间内注入钻井液17m</w:t>
      </w:r>
      <w:r>
        <w:rPr>
          <w:rFonts w:eastAsiaTheme="minorEastAsia"/>
          <w:bCs/>
          <w:color w:val="000000"/>
          <w:szCs w:val="28"/>
          <w:vertAlign w:val="superscript"/>
        </w:rPr>
        <w:t>3</w:t>
      </w:r>
      <w:r>
        <w:rPr>
          <w:rFonts w:eastAsiaTheme="minorEastAsia"/>
          <w:bCs/>
          <w:color w:val="000000"/>
          <w:szCs w:val="28"/>
        </w:rPr>
        <w:t>，套压由4MPa下降至0。6时55分至7时05分，油压、套压均为0，无钻井液或油气外溢迹象，于是值班干部指挥人员起吊采油树，准备换装封井器所用的钢圈。吊起采油树时井口无外溢，将采油树吊开放到地上后约2min，井口开始有轻微外溢，于是值班干部立即组织抢接变扣接头及旋塞，同时叫试油监督来到井口附近。期间井口钻井液喷势逐渐增大。7时05分至7时10分，抢接变扣接头及旋塞不成功，此时钻井液喷出高度已经达到2m左右。试油监督指挥进行重新抢装采油树不成功，井口钻井液已喷出钻台面以上高度，无法控制，7时15分发生井喷。</w:t>
      </w:r>
    </w:p>
    <w:p>
      <w:pPr>
        <w:pStyle w:val="5"/>
        <w:rPr>
          <w:rFonts w:eastAsiaTheme="minorEastAsia"/>
        </w:rPr>
      </w:pPr>
      <w:r>
        <w:rPr>
          <w:rFonts w:eastAsiaTheme="minorEastAsia"/>
        </w:rPr>
        <w:t>6.1.2  事故原因</w:t>
      </w:r>
    </w:p>
    <w:p>
      <w:pPr>
        <w:ind w:firstLine="560"/>
        <w:rPr>
          <w:rFonts w:eastAsiaTheme="minorEastAsia"/>
          <w:bCs/>
          <w:color w:val="000000"/>
          <w:szCs w:val="28"/>
        </w:rPr>
      </w:pPr>
      <w:r>
        <w:rPr>
          <w:rFonts w:eastAsiaTheme="minorEastAsia"/>
          <w:bCs/>
          <w:color w:val="000000"/>
          <w:szCs w:val="28"/>
        </w:rPr>
        <w:t>1）直接原因</w:t>
      </w:r>
    </w:p>
    <w:p>
      <w:pPr>
        <w:ind w:firstLine="560"/>
        <w:rPr>
          <w:rFonts w:eastAsiaTheme="minorEastAsia"/>
          <w:bCs/>
          <w:color w:val="000000"/>
          <w:szCs w:val="28"/>
        </w:rPr>
      </w:pPr>
      <w:r>
        <w:rPr>
          <w:rFonts w:eastAsiaTheme="minorEastAsia"/>
          <w:bCs/>
          <w:color w:val="000000"/>
          <w:szCs w:val="28"/>
        </w:rPr>
        <w:t>钻井队违背试油监督</w:t>
      </w:r>
      <w:r>
        <w:rPr>
          <w:rFonts w:hint="eastAsia" w:eastAsiaTheme="minorEastAsia"/>
          <w:bCs/>
          <w:color w:val="000000"/>
          <w:szCs w:val="28"/>
        </w:rPr>
        <w:t>“</w:t>
      </w:r>
      <w:r>
        <w:rPr>
          <w:rFonts w:eastAsiaTheme="minorEastAsia"/>
          <w:bCs/>
          <w:color w:val="000000"/>
          <w:szCs w:val="28"/>
        </w:rPr>
        <w:t>静止观察8-12h，待井下压稳后，再拆装井口</w:t>
      </w:r>
      <w:r>
        <w:rPr>
          <w:rFonts w:hint="eastAsia" w:eastAsiaTheme="minorEastAsia"/>
          <w:bCs/>
          <w:color w:val="000000"/>
          <w:szCs w:val="28"/>
        </w:rPr>
        <w:t>”</w:t>
      </w:r>
      <w:r>
        <w:rPr>
          <w:rFonts w:eastAsiaTheme="minorEastAsia"/>
          <w:bCs/>
          <w:color w:val="000000"/>
          <w:szCs w:val="28"/>
        </w:rPr>
        <w:t>的指令。在井下未压稳的情况下擅自拆装井口，是造成这次事故的主要原因。</w:t>
      </w:r>
    </w:p>
    <w:p>
      <w:pPr>
        <w:ind w:firstLine="560"/>
        <w:rPr>
          <w:rFonts w:eastAsiaTheme="minorEastAsia"/>
          <w:bCs/>
          <w:color w:val="000000"/>
          <w:szCs w:val="28"/>
        </w:rPr>
      </w:pPr>
      <w:r>
        <w:rPr>
          <w:rFonts w:eastAsiaTheme="minorEastAsia"/>
          <w:bCs/>
          <w:color w:val="000000"/>
          <w:szCs w:val="28"/>
        </w:rPr>
        <w:t>2）间接原因</w:t>
      </w:r>
    </w:p>
    <w:p>
      <w:pPr>
        <w:ind w:firstLine="560"/>
        <w:rPr>
          <w:rFonts w:eastAsiaTheme="minorEastAsia"/>
          <w:bCs/>
          <w:color w:val="000000"/>
          <w:szCs w:val="28"/>
        </w:rPr>
      </w:pPr>
      <w:r>
        <w:rPr>
          <w:rFonts w:eastAsiaTheme="minorEastAsia"/>
          <w:bCs/>
          <w:color w:val="000000"/>
          <w:szCs w:val="28"/>
        </w:rPr>
        <w:t>该井地层属于敏感性储层，喷、漏同层，使压井钻井液密度波动范围小，井不易压稳；目前的试油工艺和装备，在转换井口时，井口有一段时间处于无控状态，是目前试油工艺存在的缺陷。</w:t>
      </w:r>
    </w:p>
    <w:p>
      <w:pPr>
        <w:ind w:firstLine="560"/>
        <w:rPr>
          <w:rFonts w:eastAsiaTheme="minorEastAsia"/>
          <w:bCs/>
          <w:color w:val="000000"/>
          <w:szCs w:val="28"/>
        </w:rPr>
      </w:pPr>
      <w:r>
        <w:rPr>
          <w:rFonts w:eastAsiaTheme="minorEastAsia"/>
          <w:bCs/>
          <w:color w:val="000000"/>
          <w:szCs w:val="28"/>
        </w:rPr>
        <w:t>井队在拆装井口过程中，未及时通知试油监督和井控现场服务人员，使整个施工过程中，缺乏应有的技术指导是导致本次事故的一个重要原因。井队技术力量薄弱，预防井喷意识淡漠，井队施工应变能力较低，也是造成本次事故的原因之一。</w:t>
      </w:r>
    </w:p>
    <w:p>
      <w:pPr>
        <w:pStyle w:val="5"/>
        <w:rPr>
          <w:rFonts w:eastAsiaTheme="minorEastAsia"/>
        </w:rPr>
      </w:pPr>
      <w:r>
        <w:rPr>
          <w:rFonts w:eastAsiaTheme="minorEastAsia"/>
        </w:rPr>
        <w:t>6.1.3  防范措施</w:t>
      </w:r>
    </w:p>
    <w:p>
      <w:pPr>
        <w:ind w:firstLine="560"/>
        <w:rPr>
          <w:rFonts w:eastAsiaTheme="minorEastAsia"/>
          <w:bCs/>
          <w:color w:val="000000"/>
          <w:szCs w:val="28"/>
        </w:rPr>
      </w:pPr>
      <w:r>
        <w:rPr>
          <w:rFonts w:eastAsiaTheme="minorEastAsia"/>
          <w:bCs/>
          <w:color w:val="000000"/>
          <w:szCs w:val="28"/>
        </w:rPr>
        <w:t>1）在招标过程中，要选择严格执行甲方指令的施工队伍。对那些不听指令、自以为是的施工队伍，不得中标。</w:t>
      </w:r>
    </w:p>
    <w:p>
      <w:pPr>
        <w:ind w:firstLine="560"/>
        <w:rPr>
          <w:rFonts w:eastAsiaTheme="minorEastAsia"/>
          <w:bCs/>
          <w:color w:val="000000"/>
          <w:szCs w:val="28"/>
        </w:rPr>
      </w:pPr>
      <w:r>
        <w:rPr>
          <w:rFonts w:eastAsiaTheme="minorEastAsia"/>
          <w:bCs/>
          <w:color w:val="000000"/>
          <w:szCs w:val="28"/>
        </w:rPr>
        <w:t>2）对施工队伍的技术素质、人员配备要严格要求，尤其是高难度的重点探井，不符合标书规定的钻井队，即使已经中标，也要清退。</w:t>
      </w:r>
    </w:p>
    <w:p>
      <w:pPr>
        <w:ind w:firstLine="560"/>
        <w:rPr>
          <w:rFonts w:eastAsiaTheme="minorEastAsia"/>
          <w:bCs/>
          <w:color w:val="000000"/>
          <w:szCs w:val="28"/>
        </w:rPr>
      </w:pPr>
      <w:r>
        <w:rPr>
          <w:rFonts w:eastAsiaTheme="minorEastAsia"/>
          <w:bCs/>
          <w:color w:val="000000"/>
          <w:szCs w:val="28"/>
        </w:rPr>
        <w:t>3）加强现场监督的管理。驻井监督对重要步骤关键环节，要守在井口，盯住不放。</w:t>
      </w:r>
    </w:p>
    <w:p>
      <w:pPr>
        <w:ind w:firstLine="560"/>
        <w:rPr>
          <w:rFonts w:eastAsiaTheme="minorEastAsia"/>
          <w:bCs/>
          <w:color w:val="000000"/>
          <w:szCs w:val="28"/>
        </w:rPr>
      </w:pPr>
      <w:r>
        <w:rPr>
          <w:rFonts w:eastAsiaTheme="minorEastAsia"/>
          <w:bCs/>
          <w:color w:val="000000"/>
          <w:szCs w:val="28"/>
        </w:rPr>
        <w:t>4）对转换井口时，井筒无控制状态的技术装备，要组织力量进行研究。在一时难以解决的情况下，待井压稳后，要最大限度地减少井筒无控制状态的时间。</w:t>
      </w:r>
    </w:p>
    <w:p>
      <w:pPr>
        <w:ind w:firstLine="560"/>
        <w:rPr>
          <w:rFonts w:eastAsiaTheme="minorEastAsia"/>
          <w:bCs/>
          <w:szCs w:val="28"/>
        </w:rPr>
      </w:pPr>
      <w:r>
        <w:rPr>
          <w:rFonts w:eastAsiaTheme="minorEastAsia"/>
          <w:bCs/>
          <w:color w:val="000000"/>
          <w:szCs w:val="28"/>
        </w:rPr>
        <w:t>5）对复杂井、特殊井要反复向施工单位进行交底，讲明难点及应注意的事项。</w:t>
      </w:r>
    </w:p>
    <w:p>
      <w:pPr>
        <w:ind w:firstLine="560"/>
        <w:rPr>
          <w:rFonts w:eastAsiaTheme="minorEastAsia"/>
          <w:bCs/>
          <w:szCs w:val="28"/>
        </w:rPr>
      </w:pPr>
    </w:p>
    <w:p>
      <w:pPr>
        <w:ind w:firstLine="560"/>
        <w:rPr>
          <w:rFonts w:eastAsiaTheme="minorEastAsia"/>
          <w:szCs w:val="28"/>
        </w:rPr>
        <w:sectPr>
          <w:footerReference r:id="rId18" w:type="default"/>
          <w:pgSz w:w="11906" w:h="16838"/>
          <w:pgMar w:top="1985" w:right="1814" w:bottom="1985" w:left="1814" w:header="1389" w:footer="992" w:gutter="0"/>
          <w:pgBorders>
            <w:top w:val="none" w:sz="0" w:space="0"/>
            <w:left w:val="none" w:sz="0" w:space="0"/>
            <w:bottom w:val="none" w:sz="0" w:space="0"/>
            <w:right w:val="none" w:sz="0" w:space="0"/>
          </w:pgBorders>
          <w:cols w:space="720" w:num="1"/>
          <w:docGrid w:linePitch="381" w:charSpace="0"/>
        </w:sectPr>
      </w:pPr>
    </w:p>
    <w:p>
      <w:pPr>
        <w:pStyle w:val="2"/>
        <w:rPr>
          <w:rFonts w:eastAsiaTheme="minorEastAsia"/>
        </w:rPr>
      </w:pPr>
      <w:bookmarkStart w:id="251" w:name="_Toc341963439"/>
      <w:bookmarkStart w:id="252" w:name="_Toc522018284"/>
      <w:bookmarkStart w:id="253" w:name="_Toc41742651"/>
      <w:bookmarkStart w:id="254" w:name="_Toc25949"/>
      <w:r>
        <w:rPr>
          <w:rFonts w:eastAsiaTheme="minorEastAsia"/>
        </w:rPr>
        <w:t>7  安全对策措施及建议</w:t>
      </w:r>
      <w:bookmarkEnd w:id="251"/>
      <w:bookmarkEnd w:id="252"/>
      <w:bookmarkEnd w:id="253"/>
      <w:bookmarkEnd w:id="254"/>
    </w:p>
    <w:p>
      <w:pPr>
        <w:pStyle w:val="3"/>
        <w:jc w:val="left"/>
        <w:rPr>
          <w:rFonts w:eastAsiaTheme="minorEastAsia"/>
          <w:bCs w:val="0"/>
        </w:rPr>
      </w:pPr>
      <w:bookmarkStart w:id="255" w:name="_Toc3401"/>
      <w:bookmarkStart w:id="256" w:name="_Toc522018285"/>
      <w:bookmarkStart w:id="257" w:name="_Toc341963440"/>
      <w:bookmarkStart w:id="258" w:name="_Toc41742652"/>
      <w:r>
        <w:rPr>
          <w:rFonts w:eastAsiaTheme="minorEastAsia"/>
        </w:rPr>
        <w:t>7.1  可研提出的安全对策措施</w:t>
      </w:r>
      <w:bookmarkEnd w:id="255"/>
      <w:bookmarkEnd w:id="256"/>
      <w:bookmarkEnd w:id="257"/>
      <w:bookmarkEnd w:id="258"/>
    </w:p>
    <w:p>
      <w:pPr>
        <w:ind w:firstLine="560"/>
        <w:rPr>
          <w:rFonts w:eastAsiaTheme="minorEastAsia"/>
          <w:bCs/>
          <w:szCs w:val="28"/>
        </w:rPr>
      </w:pPr>
      <w:bookmarkStart w:id="259" w:name="_Toc341963441"/>
      <w:r>
        <w:rPr>
          <w:rFonts w:eastAsiaTheme="minorEastAsia"/>
          <w:bCs/>
          <w:szCs w:val="28"/>
        </w:rPr>
        <w:t>1）区域布置及总平面布置的安全措施</w:t>
      </w:r>
    </w:p>
    <w:p>
      <w:pPr>
        <w:ind w:firstLine="560"/>
        <w:rPr>
          <w:rFonts w:eastAsiaTheme="minorEastAsia"/>
          <w:bCs/>
          <w:szCs w:val="28"/>
        </w:rPr>
      </w:pPr>
      <w:r>
        <w:rPr>
          <w:rFonts w:eastAsiaTheme="minorEastAsia"/>
          <w:bCs/>
          <w:szCs w:val="28"/>
        </w:rPr>
        <w:t>（1）区域布置</w:t>
      </w:r>
    </w:p>
    <w:p>
      <w:pPr>
        <w:ind w:firstLine="560"/>
        <w:rPr>
          <w:rFonts w:eastAsiaTheme="minorEastAsia"/>
          <w:bCs/>
          <w:szCs w:val="28"/>
        </w:rPr>
      </w:pPr>
      <w:r>
        <w:rPr>
          <w:rFonts w:eastAsiaTheme="minorEastAsia"/>
          <w:bCs/>
          <w:szCs w:val="28"/>
        </w:rPr>
        <w:t>本工程井场区域布置方面的设计内容应根据《石油天然气工程设计防火规范》（GB 50183-2004）的要求进行布局、建设，见表7.1-</w:t>
      </w:r>
      <w:r>
        <w:rPr>
          <w:rFonts w:hint="eastAsia" w:eastAsiaTheme="minorEastAsia"/>
          <w:bCs/>
          <w:szCs w:val="28"/>
          <w:lang w:val="en-US" w:eastAsia="zh-CN"/>
        </w:rPr>
        <w:t>1</w:t>
      </w:r>
      <w:r>
        <w:rPr>
          <w:rFonts w:eastAsiaTheme="minorEastAsia"/>
          <w:bCs/>
          <w:szCs w:val="28"/>
        </w:rPr>
        <w:t>。</w:t>
      </w:r>
    </w:p>
    <w:p>
      <w:pPr>
        <w:ind w:firstLine="0" w:firstLineChars="0"/>
        <w:jc w:val="center"/>
        <w:rPr>
          <w:rFonts w:eastAsiaTheme="minorEastAsia"/>
          <w:b/>
          <w:sz w:val="24"/>
          <w:szCs w:val="24"/>
        </w:rPr>
      </w:pPr>
      <w:r>
        <w:rPr>
          <w:rFonts w:eastAsiaTheme="minorEastAsia"/>
          <w:b/>
          <w:sz w:val="24"/>
          <w:szCs w:val="24"/>
        </w:rPr>
        <w:t>表7.1-</w:t>
      </w:r>
      <w:r>
        <w:rPr>
          <w:rFonts w:hint="eastAsia" w:eastAsiaTheme="minorEastAsia"/>
          <w:b/>
          <w:sz w:val="24"/>
          <w:szCs w:val="24"/>
          <w:lang w:val="en-US" w:eastAsia="zh-CN"/>
        </w:rPr>
        <w:t>1</w:t>
      </w:r>
      <w:r>
        <w:rPr>
          <w:rFonts w:eastAsiaTheme="minorEastAsia"/>
          <w:b/>
          <w:sz w:val="24"/>
          <w:szCs w:val="24"/>
        </w:rPr>
        <w:t xml:space="preserve">  井场区域布置防火间距表</w:t>
      </w:r>
    </w:p>
    <w:tbl>
      <w:tblPr>
        <w:tblStyle w:val="4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4"/>
        <w:gridCol w:w="6018"/>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blHeader/>
          <w:jc w:val="center"/>
        </w:trPr>
        <w:tc>
          <w:tcPr>
            <w:tcW w:w="344" w:type="pct"/>
            <w:tcBorders>
              <w:top w:val="single" w:color="auto" w:sz="12" w:space="0"/>
              <w:left w:val="single" w:color="auto" w:sz="12" w:space="0"/>
            </w:tcBorders>
            <w:vAlign w:val="center"/>
          </w:tcPr>
          <w:p>
            <w:pPr>
              <w:tabs>
                <w:tab w:val="left" w:pos="377"/>
              </w:tabs>
              <w:spacing w:line="240" w:lineRule="exact"/>
              <w:ind w:firstLine="0" w:firstLineChars="0"/>
              <w:jc w:val="center"/>
              <w:rPr>
                <w:b/>
                <w:bCs/>
                <w:sz w:val="18"/>
                <w:szCs w:val="18"/>
              </w:rPr>
            </w:pPr>
            <w:r>
              <w:rPr>
                <w:b/>
                <w:bCs/>
                <w:sz w:val="18"/>
                <w:szCs w:val="18"/>
              </w:rPr>
              <w:t>序号</w:t>
            </w:r>
          </w:p>
        </w:tc>
        <w:tc>
          <w:tcPr>
            <w:tcW w:w="3542" w:type="pct"/>
            <w:tcBorders>
              <w:top w:val="single" w:color="auto" w:sz="12" w:space="0"/>
            </w:tcBorders>
            <w:vAlign w:val="center"/>
          </w:tcPr>
          <w:p>
            <w:pPr>
              <w:tabs>
                <w:tab w:val="left" w:pos="377"/>
              </w:tabs>
              <w:spacing w:line="240" w:lineRule="exact"/>
              <w:ind w:firstLine="0" w:firstLineChars="0"/>
              <w:jc w:val="center"/>
              <w:rPr>
                <w:b/>
                <w:bCs/>
                <w:sz w:val="18"/>
                <w:szCs w:val="18"/>
              </w:rPr>
            </w:pPr>
            <w:r>
              <w:rPr>
                <w:b/>
                <w:bCs/>
                <w:sz w:val="18"/>
                <w:szCs w:val="18"/>
              </w:rPr>
              <w:t>检查内容</w:t>
            </w:r>
          </w:p>
        </w:tc>
        <w:tc>
          <w:tcPr>
            <w:tcW w:w="1112" w:type="pct"/>
            <w:tcBorders>
              <w:top w:val="single" w:color="auto" w:sz="12" w:space="0"/>
              <w:right w:val="single" w:color="auto" w:sz="12" w:space="0"/>
            </w:tcBorders>
            <w:vAlign w:val="center"/>
          </w:tcPr>
          <w:p>
            <w:pPr>
              <w:tabs>
                <w:tab w:val="left" w:pos="377"/>
              </w:tabs>
              <w:spacing w:line="240" w:lineRule="exact"/>
              <w:ind w:firstLine="0" w:firstLineChars="0"/>
              <w:jc w:val="center"/>
              <w:rPr>
                <w:b/>
                <w:bCs/>
                <w:sz w:val="18"/>
                <w:szCs w:val="18"/>
              </w:rPr>
            </w:pPr>
            <w:r>
              <w:rPr>
                <w:b/>
                <w:bCs/>
                <w:sz w:val="18"/>
                <w:szCs w:val="18"/>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44" w:type="pct"/>
            <w:tcBorders>
              <w:left w:val="single" w:color="auto" w:sz="12" w:space="0"/>
            </w:tcBorders>
            <w:vAlign w:val="center"/>
          </w:tcPr>
          <w:p>
            <w:pPr>
              <w:tabs>
                <w:tab w:val="left" w:pos="377"/>
              </w:tabs>
              <w:spacing w:line="240" w:lineRule="exact"/>
              <w:ind w:firstLine="0" w:firstLineChars="0"/>
              <w:jc w:val="center"/>
              <w:rPr>
                <w:sz w:val="18"/>
                <w:szCs w:val="18"/>
              </w:rPr>
            </w:pPr>
            <w:r>
              <w:rPr>
                <w:sz w:val="18"/>
                <w:szCs w:val="18"/>
              </w:rPr>
              <w:t>1</w:t>
            </w:r>
          </w:p>
        </w:tc>
        <w:tc>
          <w:tcPr>
            <w:tcW w:w="3542" w:type="pct"/>
            <w:vAlign w:val="center"/>
          </w:tcPr>
          <w:p>
            <w:pPr>
              <w:tabs>
                <w:tab w:val="left" w:pos="377"/>
              </w:tabs>
              <w:spacing w:line="240" w:lineRule="exact"/>
              <w:ind w:firstLine="0" w:firstLineChars="0"/>
              <w:rPr>
                <w:sz w:val="18"/>
                <w:szCs w:val="18"/>
              </w:rPr>
            </w:pPr>
            <w:r>
              <w:rPr>
                <w:sz w:val="18"/>
                <w:szCs w:val="18"/>
              </w:rPr>
              <w:t>可能散发可燃气体的场所和设施，宜布置在人员集中场所及明火或散发火花地点的全年最小频率风向的上风侧。</w:t>
            </w:r>
          </w:p>
        </w:tc>
        <w:tc>
          <w:tcPr>
            <w:tcW w:w="1112" w:type="pct"/>
            <w:tcBorders>
              <w:right w:val="single" w:color="auto" w:sz="12" w:space="0"/>
            </w:tcBorders>
            <w:vAlign w:val="center"/>
          </w:tcPr>
          <w:p>
            <w:pPr>
              <w:tabs>
                <w:tab w:val="left" w:pos="377"/>
              </w:tabs>
              <w:spacing w:line="240" w:lineRule="exact"/>
              <w:ind w:firstLine="0" w:firstLineChars="0"/>
              <w:jc w:val="center"/>
              <w:rPr>
                <w:sz w:val="18"/>
                <w:szCs w:val="18"/>
              </w:rPr>
            </w:pPr>
            <w:r>
              <w:rPr>
                <w:sz w:val="18"/>
                <w:szCs w:val="18"/>
              </w:rPr>
              <w:t>GB50183-2004</w:t>
            </w:r>
          </w:p>
          <w:p>
            <w:pPr>
              <w:tabs>
                <w:tab w:val="left" w:pos="377"/>
              </w:tabs>
              <w:spacing w:line="240" w:lineRule="exact"/>
              <w:ind w:firstLine="0" w:firstLineChars="0"/>
              <w:jc w:val="center"/>
              <w:rPr>
                <w:sz w:val="18"/>
                <w:szCs w:val="18"/>
              </w:rPr>
            </w:pPr>
            <w:r>
              <w:rPr>
                <w:sz w:val="18"/>
                <w:szCs w:val="18"/>
              </w:rPr>
              <w:t>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44" w:type="pct"/>
            <w:tcBorders>
              <w:left w:val="single" w:color="auto" w:sz="12" w:space="0"/>
            </w:tcBorders>
            <w:vAlign w:val="center"/>
          </w:tcPr>
          <w:p>
            <w:pPr>
              <w:tabs>
                <w:tab w:val="left" w:pos="377"/>
              </w:tabs>
              <w:spacing w:line="240" w:lineRule="exact"/>
              <w:ind w:firstLine="0" w:firstLineChars="0"/>
              <w:jc w:val="center"/>
              <w:rPr>
                <w:sz w:val="18"/>
                <w:szCs w:val="18"/>
              </w:rPr>
            </w:pPr>
            <w:r>
              <w:rPr>
                <w:sz w:val="18"/>
                <w:szCs w:val="18"/>
              </w:rPr>
              <w:t>2</w:t>
            </w:r>
          </w:p>
        </w:tc>
        <w:tc>
          <w:tcPr>
            <w:tcW w:w="3542" w:type="pct"/>
            <w:vAlign w:val="center"/>
          </w:tcPr>
          <w:p>
            <w:pPr>
              <w:tabs>
                <w:tab w:val="left" w:pos="377"/>
              </w:tabs>
              <w:spacing w:line="240" w:lineRule="exact"/>
              <w:ind w:firstLine="0" w:firstLineChars="0"/>
              <w:rPr>
                <w:sz w:val="18"/>
                <w:szCs w:val="18"/>
              </w:rPr>
            </w:pPr>
            <w:r>
              <w:rPr>
                <w:sz w:val="18"/>
                <w:szCs w:val="18"/>
              </w:rPr>
              <w:t>机械采油井与100人以上的居住区、村镇、公共福利设施的距离不应小于25m。</w:t>
            </w:r>
          </w:p>
        </w:tc>
        <w:tc>
          <w:tcPr>
            <w:tcW w:w="1112" w:type="pct"/>
            <w:vMerge w:val="restart"/>
            <w:tcBorders>
              <w:right w:val="single" w:color="auto" w:sz="12" w:space="0"/>
            </w:tcBorders>
            <w:vAlign w:val="center"/>
          </w:tcPr>
          <w:p>
            <w:pPr>
              <w:tabs>
                <w:tab w:val="left" w:pos="377"/>
              </w:tabs>
              <w:spacing w:line="240" w:lineRule="exact"/>
              <w:ind w:firstLine="0" w:firstLineChars="0"/>
              <w:jc w:val="center"/>
              <w:rPr>
                <w:sz w:val="18"/>
                <w:szCs w:val="18"/>
              </w:rPr>
            </w:pPr>
            <w:r>
              <w:rPr>
                <w:sz w:val="18"/>
                <w:szCs w:val="18"/>
              </w:rPr>
              <w:t>GB50183-2004</w:t>
            </w:r>
          </w:p>
          <w:p>
            <w:pPr>
              <w:tabs>
                <w:tab w:val="left" w:pos="377"/>
              </w:tabs>
              <w:spacing w:line="240" w:lineRule="exact"/>
              <w:ind w:firstLine="0" w:firstLineChars="0"/>
              <w:jc w:val="center"/>
              <w:rPr>
                <w:sz w:val="18"/>
                <w:szCs w:val="18"/>
              </w:rPr>
            </w:pPr>
            <w:r>
              <w:rPr>
                <w:sz w:val="18"/>
                <w:szCs w:val="18"/>
              </w:rPr>
              <w:t>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44" w:type="pct"/>
            <w:tcBorders>
              <w:left w:val="single" w:color="auto" w:sz="12" w:space="0"/>
            </w:tcBorders>
            <w:vAlign w:val="center"/>
          </w:tcPr>
          <w:p>
            <w:pPr>
              <w:tabs>
                <w:tab w:val="left" w:pos="377"/>
              </w:tabs>
              <w:spacing w:line="240" w:lineRule="exact"/>
              <w:ind w:firstLine="0" w:firstLineChars="0"/>
              <w:jc w:val="center"/>
              <w:rPr>
                <w:sz w:val="18"/>
                <w:szCs w:val="18"/>
              </w:rPr>
            </w:pPr>
            <w:r>
              <w:rPr>
                <w:sz w:val="18"/>
                <w:szCs w:val="18"/>
              </w:rPr>
              <w:t>3</w:t>
            </w:r>
          </w:p>
        </w:tc>
        <w:tc>
          <w:tcPr>
            <w:tcW w:w="3542" w:type="pct"/>
            <w:vAlign w:val="center"/>
          </w:tcPr>
          <w:p>
            <w:pPr>
              <w:tabs>
                <w:tab w:val="left" w:pos="377"/>
              </w:tabs>
              <w:spacing w:line="240" w:lineRule="exact"/>
              <w:ind w:firstLine="0" w:firstLineChars="0"/>
              <w:rPr>
                <w:sz w:val="18"/>
                <w:szCs w:val="18"/>
              </w:rPr>
            </w:pPr>
            <w:r>
              <w:rPr>
                <w:sz w:val="18"/>
                <w:szCs w:val="18"/>
              </w:rPr>
              <w:t>机械采油井与相邻厂矿企业的距离不应小于20m。</w:t>
            </w:r>
          </w:p>
        </w:tc>
        <w:tc>
          <w:tcPr>
            <w:tcW w:w="1112" w:type="pct"/>
            <w:vMerge w:val="continue"/>
            <w:tcBorders>
              <w:right w:val="single" w:color="auto" w:sz="12" w:space="0"/>
            </w:tcBorders>
            <w:vAlign w:val="center"/>
          </w:tcPr>
          <w:p>
            <w:pPr>
              <w:tabs>
                <w:tab w:val="left" w:pos="377"/>
              </w:tabs>
              <w:spacing w:line="240" w:lineRule="exact"/>
              <w:ind w:firstLine="0" w:firstLineChars="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44" w:type="pct"/>
            <w:tcBorders>
              <w:left w:val="single" w:color="auto" w:sz="12" w:space="0"/>
            </w:tcBorders>
            <w:vAlign w:val="center"/>
          </w:tcPr>
          <w:p>
            <w:pPr>
              <w:tabs>
                <w:tab w:val="left" w:pos="377"/>
              </w:tabs>
              <w:spacing w:line="240" w:lineRule="exact"/>
              <w:ind w:firstLine="0" w:firstLineChars="0"/>
              <w:jc w:val="center"/>
              <w:rPr>
                <w:sz w:val="18"/>
                <w:szCs w:val="18"/>
              </w:rPr>
            </w:pPr>
            <w:r>
              <w:rPr>
                <w:sz w:val="18"/>
                <w:szCs w:val="18"/>
              </w:rPr>
              <w:t>4</w:t>
            </w:r>
          </w:p>
        </w:tc>
        <w:tc>
          <w:tcPr>
            <w:tcW w:w="3542" w:type="pct"/>
            <w:vAlign w:val="center"/>
          </w:tcPr>
          <w:p>
            <w:pPr>
              <w:tabs>
                <w:tab w:val="left" w:pos="377"/>
              </w:tabs>
              <w:spacing w:line="240" w:lineRule="exact"/>
              <w:ind w:firstLine="0" w:firstLineChars="0"/>
              <w:rPr>
                <w:sz w:val="18"/>
                <w:szCs w:val="18"/>
              </w:rPr>
            </w:pPr>
            <w:r>
              <w:rPr>
                <w:sz w:val="18"/>
                <w:szCs w:val="18"/>
              </w:rPr>
              <w:t>机械采油井与公路的距离不应小于10m。</w:t>
            </w:r>
          </w:p>
        </w:tc>
        <w:tc>
          <w:tcPr>
            <w:tcW w:w="1112" w:type="pct"/>
            <w:vMerge w:val="continue"/>
            <w:tcBorders>
              <w:right w:val="single" w:color="auto" w:sz="12" w:space="0"/>
            </w:tcBorders>
            <w:vAlign w:val="center"/>
          </w:tcPr>
          <w:p>
            <w:pPr>
              <w:tabs>
                <w:tab w:val="left" w:pos="377"/>
              </w:tabs>
              <w:spacing w:line="240" w:lineRule="exact"/>
              <w:ind w:firstLine="0" w:firstLineChars="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44" w:type="pct"/>
            <w:tcBorders>
              <w:left w:val="single" w:color="auto" w:sz="12" w:space="0"/>
            </w:tcBorders>
            <w:vAlign w:val="center"/>
          </w:tcPr>
          <w:p>
            <w:pPr>
              <w:tabs>
                <w:tab w:val="left" w:pos="377"/>
              </w:tabs>
              <w:spacing w:line="240" w:lineRule="exact"/>
              <w:ind w:firstLine="0" w:firstLineChars="0"/>
              <w:jc w:val="center"/>
              <w:rPr>
                <w:sz w:val="18"/>
                <w:szCs w:val="18"/>
              </w:rPr>
            </w:pPr>
            <w:r>
              <w:rPr>
                <w:sz w:val="18"/>
                <w:szCs w:val="18"/>
              </w:rPr>
              <w:t>5</w:t>
            </w:r>
          </w:p>
        </w:tc>
        <w:tc>
          <w:tcPr>
            <w:tcW w:w="3542" w:type="pct"/>
            <w:vAlign w:val="center"/>
          </w:tcPr>
          <w:p>
            <w:pPr>
              <w:tabs>
                <w:tab w:val="left" w:pos="377"/>
              </w:tabs>
              <w:spacing w:line="240" w:lineRule="exact"/>
              <w:ind w:firstLine="0" w:firstLineChars="0"/>
              <w:rPr>
                <w:sz w:val="18"/>
                <w:szCs w:val="18"/>
              </w:rPr>
            </w:pPr>
            <w:r>
              <w:rPr>
                <w:sz w:val="18"/>
                <w:szCs w:val="18"/>
              </w:rPr>
              <w:t>机械采油井与架空通信线路的距离不应小于10m。</w:t>
            </w:r>
          </w:p>
        </w:tc>
        <w:tc>
          <w:tcPr>
            <w:tcW w:w="1112" w:type="pct"/>
            <w:vMerge w:val="continue"/>
            <w:tcBorders>
              <w:right w:val="single" w:color="auto" w:sz="12" w:space="0"/>
            </w:tcBorders>
            <w:vAlign w:val="center"/>
          </w:tcPr>
          <w:p>
            <w:pPr>
              <w:tabs>
                <w:tab w:val="left" w:pos="377"/>
              </w:tabs>
              <w:spacing w:line="240" w:lineRule="exact"/>
              <w:ind w:firstLine="0" w:firstLineChars="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44" w:type="pct"/>
            <w:tcBorders>
              <w:left w:val="single" w:color="auto" w:sz="12" w:space="0"/>
            </w:tcBorders>
            <w:vAlign w:val="center"/>
          </w:tcPr>
          <w:p>
            <w:pPr>
              <w:tabs>
                <w:tab w:val="left" w:pos="377"/>
              </w:tabs>
              <w:spacing w:line="240" w:lineRule="exact"/>
              <w:ind w:firstLine="0" w:firstLineChars="0"/>
              <w:jc w:val="center"/>
              <w:rPr>
                <w:sz w:val="18"/>
                <w:szCs w:val="18"/>
              </w:rPr>
            </w:pPr>
            <w:r>
              <w:rPr>
                <w:sz w:val="18"/>
                <w:szCs w:val="18"/>
              </w:rPr>
              <w:t>6</w:t>
            </w:r>
          </w:p>
        </w:tc>
        <w:tc>
          <w:tcPr>
            <w:tcW w:w="3542" w:type="pct"/>
            <w:vAlign w:val="center"/>
          </w:tcPr>
          <w:p>
            <w:pPr>
              <w:tabs>
                <w:tab w:val="left" w:pos="377"/>
              </w:tabs>
              <w:spacing w:line="240" w:lineRule="exact"/>
              <w:ind w:firstLine="0" w:firstLineChars="0"/>
              <w:rPr>
                <w:sz w:val="18"/>
                <w:szCs w:val="18"/>
              </w:rPr>
            </w:pPr>
            <w:r>
              <w:rPr>
                <w:sz w:val="18"/>
                <w:szCs w:val="18"/>
              </w:rPr>
              <w:t>机械采油井与架空电力线路的距离不应小于1.5倍杆高。</w:t>
            </w:r>
          </w:p>
        </w:tc>
        <w:tc>
          <w:tcPr>
            <w:tcW w:w="1112" w:type="pct"/>
            <w:vMerge w:val="continue"/>
            <w:tcBorders>
              <w:right w:val="single" w:color="auto" w:sz="12" w:space="0"/>
            </w:tcBorders>
            <w:vAlign w:val="center"/>
          </w:tcPr>
          <w:p>
            <w:pPr>
              <w:tabs>
                <w:tab w:val="left" w:pos="377"/>
              </w:tabs>
              <w:spacing w:line="240" w:lineRule="exact"/>
              <w:ind w:firstLine="0" w:firstLineChars="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44" w:type="pct"/>
            <w:tcBorders>
              <w:left w:val="single" w:color="auto" w:sz="12" w:space="0"/>
              <w:bottom w:val="single" w:color="auto" w:sz="12" w:space="0"/>
            </w:tcBorders>
            <w:vAlign w:val="center"/>
          </w:tcPr>
          <w:p>
            <w:pPr>
              <w:tabs>
                <w:tab w:val="left" w:pos="377"/>
              </w:tabs>
              <w:spacing w:line="240" w:lineRule="exact"/>
              <w:ind w:firstLine="0" w:firstLineChars="0"/>
              <w:jc w:val="center"/>
              <w:rPr>
                <w:sz w:val="18"/>
                <w:szCs w:val="18"/>
              </w:rPr>
            </w:pPr>
            <w:r>
              <w:rPr>
                <w:sz w:val="18"/>
                <w:szCs w:val="18"/>
              </w:rPr>
              <w:t>7</w:t>
            </w:r>
          </w:p>
        </w:tc>
        <w:tc>
          <w:tcPr>
            <w:tcW w:w="3542" w:type="pct"/>
            <w:tcBorders>
              <w:bottom w:val="single" w:color="auto" w:sz="12" w:space="0"/>
            </w:tcBorders>
            <w:vAlign w:val="center"/>
          </w:tcPr>
          <w:p>
            <w:pPr>
              <w:tabs>
                <w:tab w:val="left" w:pos="377"/>
              </w:tabs>
              <w:spacing w:line="240" w:lineRule="exact"/>
              <w:ind w:firstLine="0" w:firstLineChars="0"/>
              <w:rPr>
                <w:sz w:val="18"/>
                <w:szCs w:val="18"/>
              </w:rPr>
            </w:pPr>
            <w:r>
              <w:rPr>
                <w:sz w:val="18"/>
                <w:szCs w:val="18"/>
              </w:rPr>
              <w:t>油气井与10kV及以下户外变压器、配电间的距离不应小于15m。</w:t>
            </w:r>
          </w:p>
        </w:tc>
        <w:tc>
          <w:tcPr>
            <w:tcW w:w="1112" w:type="pct"/>
            <w:tcBorders>
              <w:bottom w:val="single" w:color="auto" w:sz="12" w:space="0"/>
              <w:right w:val="single" w:color="auto" w:sz="12" w:space="0"/>
            </w:tcBorders>
            <w:vAlign w:val="center"/>
          </w:tcPr>
          <w:p>
            <w:pPr>
              <w:tabs>
                <w:tab w:val="left" w:pos="377"/>
              </w:tabs>
              <w:spacing w:line="240" w:lineRule="exact"/>
              <w:ind w:firstLine="0" w:firstLineChars="0"/>
              <w:jc w:val="center"/>
              <w:rPr>
                <w:sz w:val="18"/>
                <w:szCs w:val="18"/>
              </w:rPr>
            </w:pPr>
            <w:r>
              <w:rPr>
                <w:sz w:val="18"/>
                <w:szCs w:val="18"/>
              </w:rPr>
              <w:t>GB50183-2004</w:t>
            </w:r>
          </w:p>
          <w:p>
            <w:pPr>
              <w:tabs>
                <w:tab w:val="left" w:pos="377"/>
              </w:tabs>
              <w:spacing w:line="240" w:lineRule="exact"/>
              <w:ind w:firstLine="0" w:firstLineChars="0"/>
              <w:jc w:val="center"/>
              <w:rPr>
                <w:sz w:val="18"/>
                <w:szCs w:val="18"/>
              </w:rPr>
            </w:pPr>
            <w:r>
              <w:rPr>
                <w:sz w:val="18"/>
                <w:szCs w:val="18"/>
              </w:rPr>
              <w:t>5.2.3</w:t>
            </w:r>
          </w:p>
        </w:tc>
      </w:tr>
    </w:tbl>
    <w:p>
      <w:pPr>
        <w:ind w:firstLine="560"/>
        <w:rPr>
          <w:rFonts w:eastAsiaTheme="minorEastAsia"/>
          <w:bCs/>
          <w:szCs w:val="28"/>
        </w:rPr>
      </w:pPr>
      <w:r>
        <w:rPr>
          <w:rFonts w:eastAsiaTheme="minorEastAsia"/>
          <w:bCs/>
          <w:szCs w:val="28"/>
        </w:rPr>
        <w:t>（2）平面布置</w:t>
      </w:r>
    </w:p>
    <w:p>
      <w:pPr>
        <w:ind w:firstLine="560"/>
        <w:rPr>
          <w:rFonts w:eastAsiaTheme="minorEastAsia"/>
          <w:bCs/>
          <w:szCs w:val="28"/>
        </w:rPr>
      </w:pPr>
      <w:r>
        <w:rPr>
          <w:rFonts w:eastAsiaTheme="minorEastAsia"/>
          <w:bCs/>
          <w:szCs w:val="28"/>
        </w:rPr>
        <w:t>新建井场内平面布置严格按照《石油天然气工程设计防火规范》</w:t>
      </w:r>
      <w:r>
        <w:rPr>
          <w:rFonts w:hint="eastAsia" w:eastAsiaTheme="minorEastAsia"/>
          <w:bCs/>
          <w:szCs w:val="28"/>
        </w:rPr>
        <w:t>（</w:t>
      </w:r>
      <w:r>
        <w:rPr>
          <w:rFonts w:eastAsiaTheme="minorEastAsia"/>
          <w:bCs/>
          <w:szCs w:val="28"/>
        </w:rPr>
        <w:t>GB 50183-2004）布置，满足安全距离要求。</w:t>
      </w:r>
    </w:p>
    <w:p>
      <w:pPr>
        <w:ind w:firstLine="560"/>
        <w:rPr>
          <w:rFonts w:eastAsiaTheme="minorEastAsia"/>
          <w:bCs/>
          <w:szCs w:val="28"/>
        </w:rPr>
      </w:pPr>
      <w:r>
        <w:rPr>
          <w:rFonts w:eastAsiaTheme="minorEastAsia"/>
          <w:bCs/>
          <w:szCs w:val="28"/>
        </w:rPr>
        <w:t>（3）集油管线的安全措施</w:t>
      </w:r>
    </w:p>
    <w:p>
      <w:pPr>
        <w:ind w:firstLine="560"/>
        <w:rPr>
          <w:rFonts w:eastAsiaTheme="minorEastAsia"/>
          <w:bCs/>
          <w:szCs w:val="28"/>
        </w:rPr>
      </w:pPr>
      <w:r>
        <w:rPr>
          <w:rFonts w:eastAsiaTheme="minorEastAsia"/>
          <w:bCs/>
          <w:szCs w:val="28"/>
        </w:rPr>
        <w:t>①油田内部集输管道埋地敷设。</w:t>
      </w:r>
    </w:p>
    <w:p>
      <w:pPr>
        <w:ind w:firstLine="560"/>
        <w:rPr>
          <w:rFonts w:eastAsiaTheme="minorEastAsia"/>
          <w:bCs/>
          <w:szCs w:val="28"/>
        </w:rPr>
      </w:pPr>
      <w:r>
        <w:rPr>
          <w:rFonts w:eastAsiaTheme="minorEastAsia"/>
          <w:bCs/>
          <w:szCs w:val="28"/>
        </w:rPr>
        <w:t>②对管道在地震作用下的强度进行校核。</w:t>
      </w:r>
    </w:p>
    <w:p>
      <w:pPr>
        <w:ind w:firstLine="560"/>
        <w:rPr>
          <w:rFonts w:eastAsiaTheme="minorEastAsia"/>
          <w:bCs/>
          <w:szCs w:val="28"/>
        </w:rPr>
      </w:pPr>
      <w:r>
        <w:rPr>
          <w:rFonts w:eastAsiaTheme="minorEastAsia"/>
          <w:bCs/>
          <w:szCs w:val="28"/>
        </w:rPr>
        <w:t>③管道外径与壁厚之比不应大于140。</w:t>
      </w:r>
    </w:p>
    <w:p>
      <w:pPr>
        <w:ind w:firstLine="560"/>
        <w:rPr>
          <w:rFonts w:eastAsiaTheme="minorEastAsia"/>
          <w:bCs/>
          <w:szCs w:val="28"/>
        </w:rPr>
      </w:pPr>
      <w:r>
        <w:rPr>
          <w:rFonts w:eastAsiaTheme="minorEastAsia"/>
          <w:bCs/>
          <w:szCs w:val="28"/>
        </w:rPr>
        <w:t>2）设备、管道等材质选择</w:t>
      </w:r>
    </w:p>
    <w:p>
      <w:pPr>
        <w:ind w:firstLine="560"/>
        <w:rPr>
          <w:rFonts w:eastAsiaTheme="minorEastAsia"/>
          <w:bCs/>
          <w:szCs w:val="28"/>
        </w:rPr>
      </w:pPr>
      <w:r>
        <w:rPr>
          <w:rFonts w:eastAsiaTheme="minorEastAsia"/>
          <w:bCs/>
          <w:szCs w:val="28"/>
        </w:rPr>
        <w:t>（1）集油管线</w:t>
      </w:r>
    </w:p>
    <w:p>
      <w:pPr>
        <w:ind w:firstLine="560"/>
        <w:rPr>
          <w:rFonts w:eastAsiaTheme="minorEastAsia"/>
          <w:bCs/>
          <w:szCs w:val="28"/>
        </w:rPr>
      </w:pPr>
      <w:r>
        <w:rPr>
          <w:rFonts w:eastAsiaTheme="minorEastAsia"/>
          <w:bCs/>
          <w:szCs w:val="28"/>
        </w:rPr>
        <w:t>集油管线采用20#无缝钢管，执行标准分别为《输送流体用无缝钢管》</w:t>
      </w:r>
      <w:r>
        <w:rPr>
          <w:rFonts w:hint="eastAsia" w:eastAsiaTheme="minorEastAsia"/>
          <w:bCs/>
          <w:szCs w:val="28"/>
        </w:rPr>
        <w:t>（</w:t>
      </w:r>
      <w:r>
        <w:rPr>
          <w:rFonts w:eastAsiaTheme="minorEastAsia"/>
          <w:bCs/>
          <w:szCs w:val="28"/>
        </w:rPr>
        <w:t>GB/T8163-2018），保护套管管材执行标准为《输送流体用无缝钢管》</w:t>
      </w:r>
      <w:r>
        <w:rPr>
          <w:rFonts w:hint="eastAsia" w:eastAsiaTheme="minorEastAsia"/>
          <w:bCs/>
          <w:szCs w:val="28"/>
        </w:rPr>
        <w:t>（</w:t>
      </w:r>
      <w:r>
        <w:rPr>
          <w:rFonts w:eastAsiaTheme="minorEastAsia"/>
          <w:bCs/>
          <w:szCs w:val="28"/>
        </w:rPr>
        <w:t>GB/T8163-2018</w:t>
      </w:r>
      <w:r>
        <w:rPr>
          <w:rFonts w:hint="eastAsia" w:eastAsiaTheme="minorEastAsia"/>
          <w:bCs/>
          <w:szCs w:val="28"/>
        </w:rPr>
        <w:t>）</w:t>
      </w:r>
      <w:r>
        <w:rPr>
          <w:rFonts w:eastAsiaTheme="minorEastAsia"/>
          <w:bCs/>
          <w:szCs w:val="28"/>
        </w:rPr>
        <w:t>。</w:t>
      </w:r>
    </w:p>
    <w:p>
      <w:pPr>
        <w:ind w:firstLine="560"/>
        <w:rPr>
          <w:rFonts w:eastAsiaTheme="minorEastAsia"/>
          <w:bCs/>
          <w:szCs w:val="28"/>
        </w:rPr>
      </w:pPr>
      <w:r>
        <w:rPr>
          <w:rFonts w:eastAsiaTheme="minorEastAsia"/>
          <w:bCs/>
          <w:szCs w:val="28"/>
        </w:rPr>
        <w:t>（2）除设备自带外，钢质法兰应符合《钢制管法兰、垫片、紧固见》</w:t>
      </w:r>
      <w:r>
        <w:rPr>
          <w:rFonts w:hint="eastAsia" w:eastAsiaTheme="minorEastAsia"/>
          <w:bCs/>
          <w:szCs w:val="28"/>
        </w:rPr>
        <w:t>（</w:t>
      </w:r>
      <w:r>
        <w:rPr>
          <w:rFonts w:eastAsiaTheme="minorEastAsia"/>
          <w:bCs/>
          <w:szCs w:val="28"/>
        </w:rPr>
        <w:t>HG/T20592-20635-2009）的要求。</w:t>
      </w:r>
    </w:p>
    <w:p>
      <w:pPr>
        <w:ind w:firstLine="560"/>
        <w:rPr>
          <w:rFonts w:eastAsiaTheme="minorEastAsia"/>
          <w:bCs/>
          <w:szCs w:val="28"/>
        </w:rPr>
      </w:pPr>
      <w:r>
        <w:rPr>
          <w:rFonts w:eastAsiaTheme="minorEastAsia"/>
          <w:bCs/>
          <w:szCs w:val="28"/>
        </w:rPr>
        <w:t>（3）金属阀门执行《金属阀门结构长度》</w:t>
      </w:r>
      <w:r>
        <w:rPr>
          <w:rFonts w:hint="eastAsia" w:eastAsiaTheme="minorEastAsia"/>
          <w:bCs/>
          <w:szCs w:val="28"/>
        </w:rPr>
        <w:t>（</w:t>
      </w:r>
      <w:r>
        <w:rPr>
          <w:rFonts w:eastAsiaTheme="minorEastAsia"/>
          <w:bCs/>
          <w:szCs w:val="28"/>
        </w:rPr>
        <w:t>GB/T12221-2005）的要求。</w:t>
      </w:r>
    </w:p>
    <w:p>
      <w:pPr>
        <w:ind w:firstLine="560"/>
        <w:rPr>
          <w:rFonts w:eastAsiaTheme="minorEastAsia"/>
          <w:bCs/>
          <w:szCs w:val="28"/>
        </w:rPr>
      </w:pPr>
      <w:r>
        <w:rPr>
          <w:rFonts w:eastAsiaTheme="minorEastAsia"/>
          <w:bCs/>
          <w:szCs w:val="28"/>
        </w:rPr>
        <w:t>3）防火防爆的安全措施</w:t>
      </w:r>
    </w:p>
    <w:p>
      <w:pPr>
        <w:ind w:firstLine="560"/>
        <w:rPr>
          <w:rFonts w:eastAsiaTheme="minorEastAsia"/>
          <w:bCs/>
          <w:szCs w:val="28"/>
        </w:rPr>
      </w:pPr>
      <w:r>
        <w:rPr>
          <w:rFonts w:eastAsiaTheme="minorEastAsia"/>
          <w:bCs/>
          <w:szCs w:val="28"/>
        </w:rPr>
        <w:t>（1）自动控制系统</w:t>
      </w:r>
    </w:p>
    <w:p>
      <w:pPr>
        <w:ind w:firstLine="560"/>
        <w:rPr>
          <w:rFonts w:eastAsiaTheme="minorEastAsia"/>
          <w:bCs/>
          <w:szCs w:val="28"/>
        </w:rPr>
      </w:pPr>
      <w:r>
        <w:rPr>
          <w:rFonts w:eastAsiaTheme="minorEastAsia"/>
          <w:bCs/>
          <w:szCs w:val="28"/>
        </w:rPr>
        <w:t>自控系统主要完成油井示功图远传及检测等。对工艺过程中的关键设备、参数进行的监测，能够及时发现工艺过程中的异常状态，并通过报警设置及时消除异常状态，避免事故的发生。若自动控制系统设置不完善或出现故障，易造成整个工艺系统运行可靠性降低，事故的发生概率增加。</w:t>
      </w:r>
    </w:p>
    <w:p>
      <w:pPr>
        <w:ind w:firstLine="560"/>
        <w:rPr>
          <w:rFonts w:eastAsiaTheme="minorEastAsia"/>
          <w:bCs/>
          <w:szCs w:val="28"/>
        </w:rPr>
      </w:pPr>
      <w:r>
        <w:rPr>
          <w:rFonts w:eastAsiaTheme="minorEastAsia"/>
          <w:bCs/>
          <w:szCs w:val="28"/>
        </w:rPr>
        <w:t>（2）电器设备的防护防爆措施</w:t>
      </w:r>
    </w:p>
    <w:p>
      <w:pPr>
        <w:ind w:firstLine="560"/>
        <w:rPr>
          <w:rFonts w:eastAsiaTheme="minorEastAsia"/>
          <w:bCs/>
          <w:szCs w:val="28"/>
        </w:rPr>
      </w:pPr>
      <w:r>
        <w:rPr>
          <w:rFonts w:eastAsiaTheme="minorEastAsia"/>
          <w:bCs/>
          <w:szCs w:val="28"/>
        </w:rPr>
        <w:t>根据《爆炸危险环境电力装置设计规范》GB50058-2014和《石油设施电气设备场所Ⅰ级0区、1区和2区的分类推荐作法》SY/T 6671-2017中有关规定进行输油管道设施爆炸危险场所区域的划分和电气设备选择。爆炸危险场所内的用电设备均选用EX：dIIBT1的产品。各类用电设备的防护等级要求不低于IP54。</w:t>
      </w:r>
    </w:p>
    <w:p>
      <w:pPr>
        <w:ind w:firstLine="560"/>
        <w:rPr>
          <w:rFonts w:eastAsiaTheme="minorEastAsia"/>
          <w:bCs/>
          <w:szCs w:val="28"/>
        </w:rPr>
      </w:pPr>
      <w:r>
        <w:rPr>
          <w:rFonts w:eastAsiaTheme="minorEastAsia"/>
          <w:bCs/>
          <w:szCs w:val="28"/>
        </w:rPr>
        <w:t>照明线路穿镀锌钢管敷设，防爆区域采用明敷，非防爆区域采用暗敷。</w:t>
      </w:r>
    </w:p>
    <w:p>
      <w:pPr>
        <w:ind w:firstLine="560"/>
        <w:rPr>
          <w:rFonts w:eastAsiaTheme="minorEastAsia"/>
          <w:bCs/>
          <w:szCs w:val="28"/>
        </w:rPr>
      </w:pPr>
      <w:r>
        <w:rPr>
          <w:rFonts w:eastAsiaTheme="minorEastAsia"/>
          <w:bCs/>
          <w:szCs w:val="28"/>
        </w:rPr>
        <w:t>4）设备和管道的防腐措施</w:t>
      </w:r>
    </w:p>
    <w:p>
      <w:pPr>
        <w:ind w:firstLine="560"/>
        <w:rPr>
          <w:rFonts w:eastAsiaTheme="minorEastAsia"/>
          <w:bCs/>
          <w:szCs w:val="28"/>
        </w:rPr>
      </w:pPr>
      <w:r>
        <w:rPr>
          <w:rFonts w:eastAsiaTheme="minorEastAsia"/>
          <w:bCs/>
          <w:szCs w:val="28"/>
        </w:rPr>
        <w:t>本次防腐对象主要包括各集输管线，采用防腐涂层的方法进行防腐处理。集输管线采用泡沫黄夹克保温，保护套管采用2PE或3PE外防腐。</w:t>
      </w:r>
    </w:p>
    <w:p>
      <w:pPr>
        <w:ind w:firstLine="560"/>
        <w:rPr>
          <w:rFonts w:eastAsiaTheme="minorEastAsia"/>
          <w:bCs/>
          <w:szCs w:val="28"/>
        </w:rPr>
      </w:pPr>
      <w:r>
        <w:rPr>
          <w:rFonts w:eastAsiaTheme="minorEastAsia"/>
          <w:bCs/>
          <w:szCs w:val="28"/>
        </w:rPr>
        <w:t>5）防雷、防静电的措施</w:t>
      </w:r>
    </w:p>
    <w:p>
      <w:pPr>
        <w:ind w:firstLine="560"/>
        <w:rPr>
          <w:rFonts w:eastAsiaTheme="minorEastAsia"/>
          <w:bCs/>
          <w:szCs w:val="28"/>
        </w:rPr>
      </w:pPr>
      <w:r>
        <w:rPr>
          <w:rFonts w:eastAsiaTheme="minorEastAsia"/>
          <w:bCs/>
          <w:szCs w:val="28"/>
        </w:rPr>
        <w:t>（1）低压配电系统采用TN-C-S系统。</w:t>
      </w:r>
    </w:p>
    <w:p>
      <w:pPr>
        <w:ind w:firstLine="560"/>
        <w:rPr>
          <w:rFonts w:eastAsiaTheme="minorEastAsia"/>
          <w:bCs/>
          <w:szCs w:val="28"/>
        </w:rPr>
      </w:pPr>
      <w:r>
        <w:rPr>
          <w:rFonts w:eastAsiaTheme="minorEastAsia"/>
          <w:bCs/>
          <w:szCs w:val="28"/>
        </w:rPr>
        <w:t>（2）各电源进线处做重复接地，接地电阻不大于10Ω。</w:t>
      </w:r>
    </w:p>
    <w:p>
      <w:pPr>
        <w:ind w:firstLine="560"/>
        <w:rPr>
          <w:rFonts w:eastAsiaTheme="minorEastAsia"/>
          <w:bCs/>
          <w:szCs w:val="28"/>
        </w:rPr>
      </w:pPr>
      <w:r>
        <w:rPr>
          <w:rFonts w:eastAsiaTheme="minorEastAsia"/>
          <w:bCs/>
          <w:szCs w:val="28"/>
        </w:rPr>
        <w:t>（3）所有正常不带电的电气设备金属外壳均做接地保护。</w:t>
      </w:r>
    </w:p>
    <w:p>
      <w:pPr>
        <w:ind w:firstLine="560"/>
        <w:rPr>
          <w:rFonts w:eastAsiaTheme="minorEastAsia"/>
          <w:bCs/>
          <w:szCs w:val="28"/>
        </w:rPr>
      </w:pPr>
      <w:r>
        <w:rPr>
          <w:rFonts w:eastAsiaTheme="minorEastAsia"/>
          <w:bCs/>
          <w:szCs w:val="28"/>
        </w:rPr>
        <w:t>（4）工艺管线及其相关的容器等设备设防静电接地，接地电阻不大于10Ω。</w:t>
      </w:r>
    </w:p>
    <w:p>
      <w:pPr>
        <w:ind w:firstLine="560"/>
        <w:rPr>
          <w:rFonts w:eastAsiaTheme="minorEastAsia"/>
          <w:bCs/>
          <w:szCs w:val="28"/>
        </w:rPr>
      </w:pPr>
      <w:r>
        <w:rPr>
          <w:rFonts w:eastAsiaTheme="minorEastAsia"/>
          <w:bCs/>
          <w:szCs w:val="28"/>
        </w:rPr>
        <w:t>（5）防毒和防化学伤害的安全措施</w:t>
      </w:r>
    </w:p>
    <w:p>
      <w:pPr>
        <w:ind w:firstLine="560"/>
        <w:rPr>
          <w:rFonts w:eastAsiaTheme="minorEastAsia"/>
          <w:bCs/>
          <w:szCs w:val="28"/>
        </w:rPr>
      </w:pPr>
      <w:r>
        <w:rPr>
          <w:rFonts w:eastAsiaTheme="minorEastAsia"/>
          <w:bCs/>
          <w:szCs w:val="28"/>
        </w:rPr>
        <w:t>本工程原油及天然气中不含H2S等有毒介质。</w:t>
      </w:r>
    </w:p>
    <w:p>
      <w:pPr>
        <w:ind w:firstLine="560"/>
        <w:rPr>
          <w:rFonts w:eastAsiaTheme="minorEastAsia"/>
          <w:bCs/>
          <w:szCs w:val="28"/>
        </w:rPr>
      </w:pPr>
      <w:r>
        <w:rPr>
          <w:rFonts w:eastAsiaTheme="minorEastAsia"/>
          <w:bCs/>
          <w:szCs w:val="28"/>
        </w:rPr>
        <w:t>（6）人员逃生和救生</w:t>
      </w:r>
    </w:p>
    <w:p>
      <w:pPr>
        <w:ind w:firstLine="560"/>
        <w:rPr>
          <w:rFonts w:eastAsiaTheme="minorEastAsia"/>
          <w:bCs/>
          <w:szCs w:val="28"/>
        </w:rPr>
      </w:pPr>
      <w:r>
        <w:rPr>
          <w:rFonts w:eastAsiaTheme="minorEastAsia"/>
          <w:bCs/>
          <w:szCs w:val="28"/>
        </w:rPr>
        <w:t>本工程新建井场全部按四化标准建设，采用示功图计量，井场内不设人员。</w:t>
      </w:r>
    </w:p>
    <w:p>
      <w:pPr>
        <w:pStyle w:val="3"/>
        <w:rPr>
          <w:rFonts w:eastAsiaTheme="minorEastAsia"/>
          <w:bCs w:val="0"/>
        </w:rPr>
      </w:pPr>
      <w:bookmarkStart w:id="260" w:name="_Toc8699"/>
      <w:bookmarkStart w:id="261" w:name="_Toc522018286"/>
      <w:bookmarkStart w:id="262" w:name="_Toc41742653"/>
      <w:r>
        <w:rPr>
          <w:rFonts w:eastAsiaTheme="minorEastAsia"/>
        </w:rPr>
        <w:t>7.2  本次评价提出的安全技术措施</w:t>
      </w:r>
      <w:bookmarkEnd w:id="259"/>
      <w:bookmarkEnd w:id="260"/>
      <w:bookmarkEnd w:id="261"/>
      <w:bookmarkEnd w:id="262"/>
    </w:p>
    <w:p>
      <w:pPr>
        <w:pStyle w:val="5"/>
        <w:rPr>
          <w:rFonts w:eastAsiaTheme="minorEastAsia"/>
        </w:rPr>
      </w:pPr>
      <w:r>
        <w:rPr>
          <w:rFonts w:eastAsiaTheme="minorEastAsia"/>
        </w:rPr>
        <w:t>7.2.1  根据安全检查表提出的安全技术措施</w:t>
      </w:r>
    </w:p>
    <w:p>
      <w:pPr>
        <w:autoSpaceDE w:val="0"/>
        <w:autoSpaceDN w:val="0"/>
        <w:ind w:firstLine="560"/>
        <w:rPr>
          <w:rFonts w:eastAsiaTheme="minorEastAsia"/>
          <w:szCs w:val="28"/>
          <w:lang w:val="zh-CN"/>
        </w:rPr>
      </w:pPr>
      <w:r>
        <w:rPr>
          <w:rFonts w:eastAsiaTheme="minorEastAsia"/>
          <w:szCs w:val="28"/>
          <w:lang w:val="zh-CN"/>
        </w:rPr>
        <w:t>针对检查表中可研没有涉及的内容，参考可研中已提出的安全措施，本次评价提出以下安全技术对策措施：</w:t>
      </w:r>
    </w:p>
    <w:p>
      <w:pPr>
        <w:pStyle w:val="251"/>
        <w:spacing w:line="360" w:lineRule="auto"/>
        <w:rPr>
          <w:rFonts w:eastAsiaTheme="minorEastAsia"/>
          <w:sz w:val="24"/>
        </w:rPr>
      </w:pPr>
      <w:r>
        <w:rPr>
          <w:rFonts w:eastAsiaTheme="minorEastAsia"/>
          <w:sz w:val="24"/>
        </w:rPr>
        <w:t>表7.2-1  安全技术措施汇总表</w:t>
      </w:r>
    </w:p>
    <w:tbl>
      <w:tblPr>
        <w:tblStyle w:val="45"/>
        <w:tblW w:w="849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671"/>
        <w:gridCol w:w="20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817" w:type="dxa"/>
            <w:tcBorders>
              <w:tl2br w:val="nil"/>
              <w:tr2bl w:val="nil"/>
            </w:tcBorders>
            <w:vAlign w:val="center"/>
          </w:tcPr>
          <w:p>
            <w:pPr>
              <w:widowControl/>
              <w:spacing w:line="240" w:lineRule="auto"/>
              <w:ind w:firstLine="0" w:firstLineChars="0"/>
              <w:jc w:val="center"/>
              <w:rPr>
                <w:rFonts w:eastAsiaTheme="minorEastAsia"/>
                <w:b/>
                <w:sz w:val="21"/>
                <w:szCs w:val="21"/>
              </w:rPr>
            </w:pPr>
            <w:r>
              <w:rPr>
                <w:rFonts w:eastAsiaTheme="minorEastAsia"/>
                <w:b/>
                <w:sz w:val="21"/>
                <w:szCs w:val="21"/>
              </w:rPr>
              <w:t>序号</w:t>
            </w:r>
          </w:p>
        </w:tc>
        <w:tc>
          <w:tcPr>
            <w:tcW w:w="5671" w:type="dxa"/>
            <w:tcBorders>
              <w:tl2br w:val="nil"/>
              <w:tr2bl w:val="nil"/>
            </w:tcBorders>
            <w:vAlign w:val="center"/>
          </w:tcPr>
          <w:p>
            <w:pPr>
              <w:widowControl/>
              <w:spacing w:line="240" w:lineRule="auto"/>
              <w:ind w:firstLine="0" w:firstLineChars="0"/>
              <w:jc w:val="center"/>
              <w:rPr>
                <w:rFonts w:eastAsiaTheme="minorEastAsia"/>
                <w:b/>
                <w:sz w:val="21"/>
                <w:szCs w:val="21"/>
              </w:rPr>
            </w:pPr>
            <w:r>
              <w:rPr>
                <w:rFonts w:eastAsiaTheme="minorEastAsia"/>
                <w:b/>
                <w:sz w:val="21"/>
                <w:szCs w:val="21"/>
              </w:rPr>
              <w:t>对策措施</w:t>
            </w:r>
          </w:p>
        </w:tc>
        <w:tc>
          <w:tcPr>
            <w:tcW w:w="2006" w:type="dxa"/>
            <w:tcBorders>
              <w:tl2br w:val="nil"/>
              <w:tr2bl w:val="nil"/>
            </w:tcBorders>
            <w:vAlign w:val="center"/>
          </w:tcPr>
          <w:p>
            <w:pPr>
              <w:widowControl/>
              <w:spacing w:line="240" w:lineRule="auto"/>
              <w:ind w:firstLine="0" w:firstLineChars="0"/>
              <w:jc w:val="center"/>
              <w:rPr>
                <w:rFonts w:eastAsiaTheme="minorEastAsia"/>
                <w:b/>
                <w:sz w:val="21"/>
                <w:szCs w:val="21"/>
              </w:rPr>
            </w:pPr>
            <w:r>
              <w:rPr>
                <w:rFonts w:eastAsiaTheme="minorEastAsia"/>
                <w:b/>
                <w:sz w:val="21"/>
                <w:szCs w:val="21"/>
              </w:rPr>
              <w:t>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7"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1</w:t>
            </w:r>
          </w:p>
        </w:tc>
        <w:tc>
          <w:tcPr>
            <w:tcW w:w="5671" w:type="dxa"/>
            <w:tcBorders>
              <w:tl2br w:val="nil"/>
              <w:tr2bl w:val="nil"/>
            </w:tcBorders>
            <w:vAlign w:val="center"/>
          </w:tcPr>
          <w:p>
            <w:pPr>
              <w:tabs>
                <w:tab w:val="left" w:pos="3240"/>
              </w:tabs>
              <w:spacing w:before="60" w:beforeLines="25" w:after="60" w:afterLines="25" w:line="240" w:lineRule="auto"/>
              <w:ind w:firstLine="0" w:firstLineChars="0"/>
              <w:rPr>
                <w:sz w:val="21"/>
                <w:szCs w:val="21"/>
              </w:rPr>
            </w:pPr>
            <w:r>
              <w:rPr>
                <w:rFonts w:eastAsiaTheme="minorEastAsia"/>
                <w:sz w:val="21"/>
                <w:szCs w:val="21"/>
              </w:rPr>
              <w:t>注气管管柱应采用气密封结构</w:t>
            </w:r>
            <w:r>
              <w:rPr>
                <w:rStyle w:val="52"/>
                <w:rFonts w:hint="eastAsia"/>
              </w:rPr>
              <w:t>。</w:t>
            </w:r>
          </w:p>
        </w:tc>
        <w:tc>
          <w:tcPr>
            <w:tcW w:w="2006" w:type="dxa"/>
            <w:tcBorders>
              <w:tl2br w:val="nil"/>
              <w:tr2bl w:val="nil"/>
            </w:tcBorders>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SY/T6565-2018</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5.10.2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7"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2</w:t>
            </w:r>
          </w:p>
        </w:tc>
        <w:tc>
          <w:tcPr>
            <w:tcW w:w="5671" w:type="dxa"/>
            <w:tcBorders>
              <w:tl2br w:val="nil"/>
              <w:tr2bl w:val="nil"/>
            </w:tcBorders>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油气井井口距离高压线及永久性设施应不小于75m</w:t>
            </w:r>
            <w:r>
              <w:rPr>
                <w:rFonts w:hint="eastAsia" w:eastAsiaTheme="minorEastAsia"/>
                <w:sz w:val="21"/>
                <w:szCs w:val="21"/>
              </w:rPr>
              <w:t>。</w:t>
            </w:r>
          </w:p>
        </w:tc>
        <w:tc>
          <w:tcPr>
            <w:tcW w:w="2006" w:type="dxa"/>
            <w:tcBorders>
              <w:tl2br w:val="nil"/>
              <w:tr2bl w:val="nil"/>
            </w:tcBorders>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SY/T5225-2019</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3.1.2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7"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3</w:t>
            </w:r>
          </w:p>
        </w:tc>
        <w:tc>
          <w:tcPr>
            <w:tcW w:w="5671" w:type="dxa"/>
            <w:tcBorders>
              <w:tl2br w:val="nil"/>
              <w:tr2bl w:val="nil"/>
            </w:tcBorders>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丛式井组中各井的表层套管下深宜交替错开10m以上。</w:t>
            </w:r>
          </w:p>
        </w:tc>
        <w:tc>
          <w:tcPr>
            <w:tcW w:w="2006" w:type="dxa"/>
            <w:tcBorders>
              <w:tl2br w:val="nil"/>
              <w:tr2bl w:val="nil"/>
            </w:tcBorders>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SY/T6396-2014</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4.6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7"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4</w:t>
            </w:r>
          </w:p>
        </w:tc>
        <w:tc>
          <w:tcPr>
            <w:tcW w:w="5671" w:type="dxa"/>
            <w:tcBorders>
              <w:tl2br w:val="nil"/>
              <w:tr2bl w:val="nil"/>
            </w:tcBorders>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油井井场应有醒目的安全警示标志，建立严格的防火防爆制度。</w:t>
            </w:r>
          </w:p>
        </w:tc>
        <w:tc>
          <w:tcPr>
            <w:tcW w:w="2006" w:type="dxa"/>
            <w:tcBorders>
              <w:tl2br w:val="nil"/>
              <w:tr2bl w:val="nil"/>
            </w:tcBorders>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AQ2012-2007</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5.6.4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7"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5</w:t>
            </w:r>
          </w:p>
        </w:tc>
        <w:tc>
          <w:tcPr>
            <w:tcW w:w="5671" w:type="dxa"/>
            <w:tcBorders>
              <w:tl2br w:val="nil"/>
              <w:tr2bl w:val="nil"/>
            </w:tcBorders>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油井与10kV及以下户外变压器之间的防火间距不应小于15m。</w:t>
            </w:r>
          </w:p>
        </w:tc>
        <w:tc>
          <w:tcPr>
            <w:tcW w:w="2006" w:type="dxa"/>
            <w:tcBorders>
              <w:tl2br w:val="nil"/>
              <w:tr2bl w:val="nil"/>
            </w:tcBorders>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GB50183-2004</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7"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eastAsiaTheme="minorEastAsia"/>
                <w:sz w:val="21"/>
                <w:szCs w:val="21"/>
              </w:rPr>
              <w:t>6</w:t>
            </w:r>
          </w:p>
        </w:tc>
        <w:tc>
          <w:tcPr>
            <w:tcW w:w="5671" w:type="dxa"/>
            <w:tcBorders>
              <w:tl2br w:val="nil"/>
              <w:tr2bl w:val="nil"/>
            </w:tcBorders>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视频监控杆应安装于井场内，且距离井口不小于15m</w:t>
            </w:r>
            <w:r>
              <w:rPr>
                <w:rFonts w:hint="eastAsia" w:eastAsiaTheme="minorEastAsia"/>
                <w:sz w:val="21"/>
                <w:szCs w:val="21"/>
              </w:rPr>
              <w:t>。</w:t>
            </w:r>
          </w:p>
        </w:tc>
        <w:tc>
          <w:tcPr>
            <w:tcW w:w="2006" w:type="dxa"/>
            <w:tcBorders>
              <w:tl2br w:val="nil"/>
              <w:tr2bl w:val="nil"/>
            </w:tcBorders>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Q/SH1020  2626-2018</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5.3.1.1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7"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hint="eastAsia" w:eastAsiaTheme="minorEastAsia"/>
                <w:sz w:val="21"/>
                <w:szCs w:val="21"/>
              </w:rPr>
              <w:t>7</w:t>
            </w:r>
          </w:p>
        </w:tc>
        <w:tc>
          <w:tcPr>
            <w:tcW w:w="5671" w:type="dxa"/>
            <w:tcBorders>
              <w:tl2br w:val="nil"/>
              <w:tr2bl w:val="nil"/>
            </w:tcBorders>
            <w:vAlign w:val="center"/>
          </w:tcPr>
          <w:p>
            <w:pPr>
              <w:tabs>
                <w:tab w:val="left" w:pos="3240"/>
              </w:tabs>
              <w:spacing w:before="60" w:beforeLines="25" w:after="60" w:afterLines="25" w:line="240" w:lineRule="auto"/>
              <w:ind w:firstLine="0" w:firstLineChars="0"/>
              <w:rPr>
                <w:rFonts w:eastAsiaTheme="minorEastAsia"/>
                <w:sz w:val="21"/>
                <w:szCs w:val="21"/>
              </w:rPr>
            </w:pPr>
            <w:r>
              <w:rPr>
                <w:rFonts w:hint="eastAsia" w:eastAsiaTheme="minorEastAsia"/>
                <w:sz w:val="21"/>
                <w:szCs w:val="21"/>
              </w:rPr>
              <w:t>控制柜</w:t>
            </w:r>
            <w:r>
              <w:rPr>
                <w:rFonts w:eastAsiaTheme="minorEastAsia"/>
                <w:sz w:val="21"/>
                <w:szCs w:val="21"/>
              </w:rPr>
              <w:t>性能指标应符合GB/T16750-2015中5.2.7的规定，防护等级达到IP54标准，应具有无级调速、自动启停、过载保护等功能，具备数据远传等扩展功能接口。与潜油永磁同步电机配套的控制柜应能防止井下永磁电机被动旋转发电带来的安全风险</w:t>
            </w:r>
            <w:r>
              <w:rPr>
                <w:rFonts w:hint="eastAsia" w:eastAsiaTheme="minorEastAsia"/>
                <w:sz w:val="21"/>
                <w:szCs w:val="21"/>
              </w:rPr>
              <w:t>。</w:t>
            </w:r>
          </w:p>
        </w:tc>
        <w:tc>
          <w:tcPr>
            <w:tcW w:w="2006" w:type="dxa"/>
            <w:tcBorders>
              <w:tl2br w:val="nil"/>
              <w:tr2bl w:val="nil"/>
            </w:tcBorders>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SY/T7673-2022</w:t>
            </w:r>
          </w:p>
          <w:p>
            <w:pPr>
              <w:tabs>
                <w:tab w:val="left" w:pos="3240"/>
              </w:tabs>
              <w:spacing w:before="60" w:beforeLines="25" w:after="60" w:afterLines="25" w:line="240" w:lineRule="auto"/>
              <w:ind w:firstLine="0" w:firstLineChars="0"/>
              <w:jc w:val="center"/>
            </w:pPr>
            <w:r>
              <w:rPr>
                <w:rFonts w:hint="eastAsia" w:eastAsiaTheme="minorEastAsia"/>
                <w:sz w:val="21"/>
                <w:szCs w:val="21"/>
              </w:rPr>
              <w:t>5.6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7"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hint="eastAsia" w:eastAsiaTheme="minorEastAsia"/>
                <w:sz w:val="21"/>
                <w:szCs w:val="21"/>
              </w:rPr>
              <w:t>8</w:t>
            </w:r>
          </w:p>
        </w:tc>
        <w:tc>
          <w:tcPr>
            <w:tcW w:w="5671" w:type="dxa"/>
            <w:tcBorders>
              <w:tl2br w:val="nil"/>
              <w:tr2bl w:val="nil"/>
            </w:tcBorders>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油气集输管道所用钢管、管道组件的材质选择，应根据设计压力、设计温度、介质特性、使用地区等因素，经技术经济比较厚确定。采用的钢管和钢材，应具有良好的韧性和焊接性能。</w:t>
            </w:r>
          </w:p>
        </w:tc>
        <w:tc>
          <w:tcPr>
            <w:tcW w:w="2006" w:type="dxa"/>
            <w:tcBorders>
              <w:tl2br w:val="nil"/>
              <w:tr2bl w:val="nil"/>
            </w:tcBorders>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GB50350-2015</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8.6.1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7"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hint="eastAsia" w:eastAsiaTheme="minorEastAsia"/>
                <w:sz w:val="21"/>
                <w:szCs w:val="21"/>
              </w:rPr>
              <w:t>9</w:t>
            </w:r>
          </w:p>
        </w:tc>
        <w:tc>
          <w:tcPr>
            <w:tcW w:w="5671" w:type="dxa"/>
            <w:tcBorders>
              <w:tl2br w:val="nil"/>
              <w:tr2bl w:val="nil"/>
            </w:tcBorders>
            <w:vAlign w:val="center"/>
          </w:tcPr>
          <w:p>
            <w:pPr>
              <w:tabs>
                <w:tab w:val="left" w:pos="3240"/>
              </w:tabs>
              <w:spacing w:before="60" w:beforeLines="25" w:after="60" w:afterLines="25" w:line="240" w:lineRule="auto"/>
              <w:ind w:firstLine="0" w:firstLineChars="0"/>
              <w:rPr>
                <w:rFonts w:eastAsiaTheme="minorEastAsia"/>
                <w:sz w:val="21"/>
                <w:szCs w:val="21"/>
              </w:rPr>
            </w:pPr>
            <w:r>
              <w:rPr>
                <w:rFonts w:eastAsiaTheme="minorEastAsia"/>
                <w:sz w:val="21"/>
                <w:szCs w:val="21"/>
              </w:rPr>
              <w:t>配电线路应装设短路保护和过负荷保护。</w:t>
            </w:r>
          </w:p>
        </w:tc>
        <w:tc>
          <w:tcPr>
            <w:tcW w:w="2006" w:type="dxa"/>
            <w:tcBorders>
              <w:tl2br w:val="nil"/>
              <w:tr2bl w:val="nil"/>
            </w:tcBorders>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GB50054-2011</w:t>
            </w:r>
          </w:p>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6.1.1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7" w:type="dxa"/>
            <w:tcBorders>
              <w:tl2br w:val="nil"/>
              <w:tr2bl w:val="nil"/>
            </w:tcBorders>
            <w:vAlign w:val="center"/>
          </w:tcPr>
          <w:p>
            <w:pPr>
              <w:widowControl/>
              <w:spacing w:line="240" w:lineRule="auto"/>
              <w:ind w:firstLine="0" w:firstLineChars="0"/>
              <w:jc w:val="center"/>
              <w:rPr>
                <w:rFonts w:eastAsiaTheme="minorEastAsia"/>
                <w:sz w:val="21"/>
                <w:szCs w:val="21"/>
              </w:rPr>
            </w:pPr>
            <w:r>
              <w:rPr>
                <w:rFonts w:hint="eastAsia" w:eastAsiaTheme="minorEastAsia"/>
                <w:sz w:val="21"/>
                <w:szCs w:val="21"/>
              </w:rPr>
              <w:t>10</w:t>
            </w:r>
          </w:p>
        </w:tc>
        <w:tc>
          <w:tcPr>
            <w:tcW w:w="5671" w:type="dxa"/>
            <w:tcBorders>
              <w:tl2br w:val="nil"/>
              <w:tr2bl w:val="nil"/>
            </w:tcBorders>
            <w:vAlign w:val="center"/>
          </w:tcPr>
          <w:p>
            <w:pPr>
              <w:tabs>
                <w:tab w:val="left" w:pos="3240"/>
              </w:tabs>
              <w:spacing w:before="60" w:beforeLines="25" w:after="60" w:afterLines="25" w:line="240" w:lineRule="auto"/>
              <w:ind w:firstLine="0" w:firstLineChars="0"/>
              <w:jc w:val="left"/>
              <w:rPr>
                <w:rFonts w:hint="eastAsia" w:eastAsiaTheme="minorEastAsia"/>
                <w:lang w:eastAsia="zh-CN"/>
              </w:rPr>
            </w:pPr>
            <w:r>
              <w:rPr>
                <w:rFonts w:hint="eastAsia" w:eastAsiaTheme="minorEastAsia"/>
                <w:sz w:val="21"/>
                <w:szCs w:val="21"/>
              </w:rPr>
              <w:t>注二氧化碳</w:t>
            </w:r>
            <w:r>
              <w:rPr>
                <w:rFonts w:eastAsiaTheme="minorEastAsia"/>
                <w:sz w:val="21"/>
                <w:szCs w:val="21"/>
              </w:rPr>
              <w:t>井井口正面应设置警语：高压</w:t>
            </w:r>
            <w:r>
              <w:rPr>
                <w:rFonts w:hint="eastAsia" w:eastAsiaTheme="minorEastAsia"/>
                <w:sz w:val="21"/>
                <w:szCs w:val="21"/>
              </w:rPr>
              <w:t>低</w:t>
            </w:r>
            <w:r>
              <w:rPr>
                <w:rFonts w:eastAsiaTheme="minorEastAsia"/>
                <w:sz w:val="21"/>
                <w:szCs w:val="21"/>
              </w:rPr>
              <w:t>温 禁止靠近</w:t>
            </w:r>
            <w:r>
              <w:rPr>
                <w:rFonts w:hint="eastAsia" w:eastAsiaTheme="minorEastAsia"/>
                <w:sz w:val="21"/>
                <w:szCs w:val="21"/>
                <w:lang w:eastAsia="zh-CN"/>
              </w:rPr>
              <w:t>。</w:t>
            </w:r>
          </w:p>
        </w:tc>
        <w:tc>
          <w:tcPr>
            <w:tcW w:w="2006" w:type="dxa"/>
            <w:tcBorders>
              <w:tl2br w:val="nil"/>
              <w:tr2bl w:val="nil"/>
            </w:tcBorders>
            <w:vAlign w:val="center"/>
          </w:tcPr>
          <w:p>
            <w:pPr>
              <w:tabs>
                <w:tab w:val="left" w:pos="3240"/>
              </w:tabs>
              <w:spacing w:before="60" w:beforeLines="25" w:after="60" w:afterLines="25" w:line="240" w:lineRule="auto"/>
              <w:ind w:firstLine="0" w:firstLineChars="0"/>
              <w:jc w:val="center"/>
              <w:rPr>
                <w:rFonts w:eastAsiaTheme="minorEastAsia"/>
                <w:sz w:val="21"/>
                <w:szCs w:val="21"/>
              </w:rPr>
            </w:pPr>
            <w:r>
              <w:rPr>
                <w:rFonts w:eastAsiaTheme="minorEastAsia"/>
                <w:sz w:val="21"/>
                <w:szCs w:val="21"/>
              </w:rPr>
              <w:t>QSH1020 2152-2021</w:t>
            </w:r>
          </w:p>
          <w:p>
            <w:pPr>
              <w:tabs>
                <w:tab w:val="left" w:pos="3240"/>
              </w:tabs>
              <w:spacing w:before="60" w:beforeLines="25" w:after="60" w:afterLines="25" w:line="240" w:lineRule="auto"/>
              <w:ind w:firstLine="0" w:firstLineChars="0"/>
              <w:jc w:val="center"/>
              <w:rPr>
                <w:rFonts w:eastAsiaTheme="minorEastAsia"/>
              </w:rPr>
            </w:pPr>
            <w:r>
              <w:rPr>
                <w:rFonts w:eastAsiaTheme="minorEastAsia"/>
                <w:sz w:val="21"/>
                <w:szCs w:val="21"/>
              </w:rPr>
              <w:t>5.</w:t>
            </w:r>
            <w:r>
              <w:rPr>
                <w:rFonts w:hint="eastAsia" w:eastAsiaTheme="minorEastAsia"/>
                <w:sz w:val="21"/>
                <w:szCs w:val="21"/>
              </w:rPr>
              <w:t>3</w:t>
            </w:r>
            <w:r>
              <w:rPr>
                <w:rFonts w:eastAsiaTheme="minorEastAsia"/>
                <w:sz w:val="21"/>
                <w:szCs w:val="21"/>
              </w:rPr>
              <w:t>.1</w:t>
            </w:r>
          </w:p>
        </w:tc>
      </w:tr>
    </w:tbl>
    <w:p>
      <w:pPr>
        <w:pStyle w:val="5"/>
        <w:spacing w:before="360" w:beforeLines="150"/>
        <w:rPr>
          <w:rFonts w:eastAsiaTheme="minorEastAsia"/>
        </w:rPr>
      </w:pPr>
      <w:r>
        <w:rPr>
          <w:rFonts w:eastAsiaTheme="minorEastAsia"/>
        </w:rPr>
        <w:t>7.2.2  补充的安全技术措施</w:t>
      </w:r>
    </w:p>
    <w:p>
      <w:pPr>
        <w:autoSpaceDE w:val="0"/>
        <w:autoSpaceDN w:val="0"/>
        <w:ind w:firstLine="560"/>
        <w:rPr>
          <w:rFonts w:eastAsiaTheme="minorEastAsia"/>
          <w:szCs w:val="28"/>
          <w:lang w:val="zh-CN"/>
        </w:rPr>
      </w:pPr>
      <w:r>
        <w:rPr>
          <w:rFonts w:eastAsiaTheme="minorEastAsia"/>
          <w:szCs w:val="28"/>
          <w:lang w:val="zh-CN"/>
        </w:rPr>
        <w:t>根据油田发布的有关文件、历年来同类项目发生的事故类型，结合现场调研情况，提出的补充措施如下：</w:t>
      </w:r>
    </w:p>
    <w:p>
      <w:pPr>
        <w:numPr>
          <w:ilvl w:val="0"/>
          <w:numId w:val="11"/>
        </w:numPr>
        <w:autoSpaceDE w:val="0"/>
        <w:autoSpaceDN w:val="0"/>
        <w:ind w:firstLine="560"/>
        <w:rPr>
          <w:rFonts w:eastAsiaTheme="minorEastAsia"/>
          <w:color w:val="000000"/>
          <w:szCs w:val="28"/>
          <w:lang w:val="zh-CN"/>
        </w:rPr>
      </w:pPr>
      <w:r>
        <w:rPr>
          <w:rFonts w:eastAsiaTheme="minorEastAsia"/>
          <w:color w:val="000000"/>
          <w:szCs w:val="28"/>
          <w:lang w:val="zh-CN"/>
        </w:rPr>
        <w:t>钻前工程井场布置应充分考虑当地自然条件和周边社会环境条件来制定井场布置方案，充分考虑井口与周边相关设置的安全间距。制定应急处置方案，严格落实防护措施，防止意外发生。</w:t>
      </w:r>
    </w:p>
    <w:p>
      <w:pPr>
        <w:numPr>
          <w:ilvl w:val="0"/>
          <w:numId w:val="11"/>
        </w:numPr>
        <w:autoSpaceDE w:val="0"/>
        <w:autoSpaceDN w:val="0"/>
        <w:ind w:firstLine="560"/>
        <w:rPr>
          <w:rFonts w:eastAsiaTheme="minorEastAsia"/>
          <w:color w:val="000000"/>
          <w:szCs w:val="28"/>
          <w:lang w:val="zh-CN"/>
        </w:rPr>
      </w:pPr>
      <w:r>
        <w:rPr>
          <w:rFonts w:eastAsiaTheme="minorEastAsia"/>
          <w:szCs w:val="28"/>
          <w:lang w:val="zh-CN"/>
        </w:rPr>
        <w:t>本项目井位距离北侧办公楼（滨海公安局）</w:t>
      </w:r>
      <w:r>
        <w:rPr>
          <w:rFonts w:eastAsiaTheme="minorEastAsia"/>
          <w:szCs w:val="28"/>
        </w:rPr>
        <w:t>42m，</w:t>
      </w:r>
      <w:r>
        <w:rPr>
          <w:rFonts w:hint="eastAsia" w:eastAsiaTheme="minorEastAsia"/>
          <w:szCs w:val="28"/>
        </w:rPr>
        <w:t>不满足</w:t>
      </w:r>
      <w:r>
        <w:rPr>
          <w:rFonts w:eastAsiaTheme="minorEastAsia"/>
          <w:szCs w:val="28"/>
        </w:rPr>
        <w:t>《石油天然气钻井、开发、储运防火防爆安全生产技术规程》（SY/T5225-2019）3.1.2</w:t>
      </w:r>
      <w:r>
        <w:rPr>
          <w:rFonts w:hint="eastAsia" w:eastAsiaTheme="minorEastAsia"/>
          <w:szCs w:val="28"/>
        </w:rPr>
        <w:t>中75m的要求，</w:t>
      </w:r>
      <w:r>
        <w:rPr>
          <w:rFonts w:eastAsiaTheme="minorEastAsia"/>
          <w:szCs w:val="28"/>
          <w:lang w:val="zh-CN"/>
        </w:rPr>
        <w:t>根据《胜利油田分公司钻井井控管理实施细则》（胜油局发</w:t>
      </w:r>
      <w:r>
        <w:rPr>
          <w:rFonts w:hint="eastAsia" w:eastAsiaTheme="minorEastAsia"/>
          <w:szCs w:val="28"/>
          <w:lang w:val="zh-CN"/>
        </w:rPr>
        <w:t>〔</w:t>
      </w:r>
      <w:r>
        <w:rPr>
          <w:rFonts w:eastAsiaTheme="minorEastAsia"/>
          <w:szCs w:val="28"/>
          <w:lang w:val="zh-CN"/>
        </w:rPr>
        <w:t>2017</w:t>
      </w:r>
      <w:r>
        <w:rPr>
          <w:rFonts w:hint="eastAsia" w:eastAsiaTheme="minorEastAsia"/>
          <w:szCs w:val="28"/>
          <w:lang w:val="zh-CN"/>
        </w:rPr>
        <w:t>〕</w:t>
      </w:r>
      <w:r>
        <w:rPr>
          <w:rFonts w:eastAsiaTheme="minorEastAsia"/>
          <w:szCs w:val="28"/>
          <w:lang w:val="zh-CN"/>
        </w:rPr>
        <w:t>57号）相关规定，由各单位组织施工单位进行安全风险评估，制定安全保障措施（对滨海公安局进行告知，在钻井过程中的危险性及应急处置措施等）及预案，经双方确认后方可施工。</w:t>
      </w:r>
    </w:p>
    <w:p>
      <w:pPr>
        <w:numPr>
          <w:ilvl w:val="0"/>
          <w:numId w:val="11"/>
        </w:numPr>
        <w:autoSpaceDE w:val="0"/>
        <w:autoSpaceDN w:val="0"/>
        <w:ind w:firstLine="560"/>
        <w:rPr>
          <w:rFonts w:eastAsiaTheme="minorEastAsia"/>
          <w:color w:val="000000"/>
          <w:szCs w:val="28"/>
          <w:lang w:val="zh-CN"/>
        </w:rPr>
      </w:pPr>
      <w:r>
        <w:rPr>
          <w:rFonts w:eastAsiaTheme="minorEastAsia"/>
          <w:szCs w:val="28"/>
          <w:lang w:val="zh-CN"/>
        </w:rPr>
        <w:t>依据相关标准对已建的电缆桥架进行</w:t>
      </w:r>
      <w:r>
        <w:rPr>
          <w:rFonts w:hint="eastAsia" w:eastAsiaTheme="minorEastAsia"/>
          <w:szCs w:val="28"/>
          <w:lang w:val="zh-CN"/>
        </w:rPr>
        <w:t>检查，如存在不符合要求情况，尽快修复</w:t>
      </w:r>
      <w:r>
        <w:rPr>
          <w:rFonts w:eastAsiaTheme="minorEastAsia"/>
          <w:color w:val="000000"/>
          <w:szCs w:val="28"/>
          <w:lang w:val="zh-CN"/>
        </w:rPr>
        <w:t>。</w:t>
      </w:r>
    </w:p>
    <w:p>
      <w:pPr>
        <w:numPr>
          <w:ilvl w:val="0"/>
          <w:numId w:val="11"/>
        </w:numPr>
        <w:autoSpaceDE w:val="0"/>
        <w:autoSpaceDN w:val="0"/>
        <w:ind w:firstLine="560"/>
        <w:rPr>
          <w:rFonts w:eastAsiaTheme="minorEastAsia"/>
          <w:color w:val="000000"/>
          <w:szCs w:val="28"/>
          <w:lang w:val="zh-CN"/>
        </w:rPr>
      </w:pPr>
      <w:r>
        <w:rPr>
          <w:rFonts w:eastAsiaTheme="minorEastAsia"/>
          <w:color w:val="000000"/>
          <w:szCs w:val="28"/>
          <w:lang w:val="zh-CN"/>
        </w:rPr>
        <w:t>按照油田电力专业化管理生产运</w:t>
      </w:r>
      <w:r>
        <w:rPr>
          <w:rFonts w:eastAsiaTheme="minorEastAsia"/>
          <w:color w:val="000000"/>
          <w:szCs w:val="28"/>
        </w:rPr>
        <w:t>行管控机制的要求，独立变压器</w:t>
      </w:r>
      <w:r>
        <w:rPr>
          <w:rFonts w:eastAsiaTheme="minorEastAsia"/>
          <w:color w:val="000000"/>
          <w:szCs w:val="28"/>
          <w:lang w:val="zh-CN"/>
        </w:rPr>
        <w:t>台应设置低压总开关（隔离开关+断路器）。</w:t>
      </w:r>
    </w:p>
    <w:p>
      <w:pPr>
        <w:numPr>
          <w:ilvl w:val="0"/>
          <w:numId w:val="11"/>
        </w:numPr>
        <w:autoSpaceDE w:val="0"/>
        <w:autoSpaceDN w:val="0"/>
        <w:ind w:firstLine="560"/>
        <w:rPr>
          <w:rFonts w:eastAsiaTheme="minorEastAsia"/>
          <w:color w:val="000000"/>
          <w:szCs w:val="28"/>
          <w:lang w:val="zh-CN"/>
        </w:rPr>
      </w:pPr>
      <w:r>
        <w:rPr>
          <w:rFonts w:eastAsiaTheme="minorEastAsia"/>
          <w:color w:val="000000"/>
          <w:szCs w:val="28"/>
          <w:lang w:val="zh-CN"/>
        </w:rPr>
        <w:t>根据《油田油气集输设计规范》（GB50350-2015）第10.1.9条的规定，仪表配管、配线设计，应符合国家现行标准《石油化工仪表管道线路设计规范》SH/T3019的规定。</w:t>
      </w:r>
    </w:p>
    <w:p>
      <w:pPr>
        <w:numPr>
          <w:ilvl w:val="0"/>
          <w:numId w:val="11"/>
        </w:numPr>
        <w:autoSpaceDE w:val="0"/>
        <w:autoSpaceDN w:val="0"/>
        <w:ind w:firstLine="560"/>
        <w:rPr>
          <w:rFonts w:eastAsiaTheme="minorEastAsia"/>
          <w:color w:val="000000"/>
          <w:szCs w:val="28"/>
          <w:lang w:val="zh-CN"/>
        </w:rPr>
      </w:pPr>
      <w:r>
        <w:rPr>
          <w:rFonts w:eastAsiaTheme="minorEastAsia"/>
          <w:color w:val="000000"/>
          <w:szCs w:val="28"/>
          <w:lang w:val="zh-CN"/>
        </w:rPr>
        <w:t>管线碰头、试压过程中应做好安全防护，现场设置警示标志，两端应设置盲板封堵。</w:t>
      </w:r>
    </w:p>
    <w:p>
      <w:pPr>
        <w:numPr>
          <w:ilvl w:val="0"/>
          <w:numId w:val="11"/>
        </w:numPr>
        <w:autoSpaceDE w:val="0"/>
        <w:autoSpaceDN w:val="0"/>
        <w:ind w:firstLine="560"/>
        <w:rPr>
          <w:rFonts w:eastAsiaTheme="minorEastAsia"/>
          <w:color w:val="000000"/>
          <w:szCs w:val="28"/>
          <w:lang w:val="zh-CN"/>
        </w:rPr>
      </w:pPr>
      <w:r>
        <w:rPr>
          <w:rFonts w:eastAsiaTheme="minorEastAsia"/>
          <w:color w:val="000000"/>
          <w:szCs w:val="28"/>
          <w:lang w:val="zh-CN"/>
        </w:rPr>
        <w:t>根据工程特点，依据《生产经营单位生产安全事故应急预案编制导则》（GB/T29639-2020），制定各类生产安全事故的应急程序，并统一到东辛采油厂的总体应急救援体系中，定期演练，做好记录。建立应急救援队伍，配备应急救援装备、器材，并定期进行维护、保养和检测。</w:t>
      </w:r>
    </w:p>
    <w:p>
      <w:pPr>
        <w:numPr>
          <w:ilvl w:val="0"/>
          <w:numId w:val="11"/>
        </w:numPr>
        <w:autoSpaceDE w:val="0"/>
        <w:autoSpaceDN w:val="0"/>
        <w:ind w:firstLine="560"/>
        <w:rPr>
          <w:rFonts w:eastAsiaTheme="minorEastAsia"/>
          <w:color w:val="000000"/>
          <w:szCs w:val="28"/>
        </w:rPr>
      </w:pPr>
      <w:r>
        <w:rPr>
          <w:rFonts w:eastAsiaTheme="minorEastAsia"/>
          <w:color w:val="000000"/>
          <w:szCs w:val="28"/>
          <w:lang w:val="zh-CN"/>
        </w:rPr>
        <w:t>依据《石油天然气开发注二氧化碳安全规范》（</w:t>
      </w:r>
      <w:r>
        <w:rPr>
          <w:rFonts w:eastAsiaTheme="minorEastAsia"/>
          <w:color w:val="000000"/>
          <w:szCs w:val="28"/>
        </w:rPr>
        <w:t>SY/T6565-2018</w:t>
      </w:r>
      <w:r>
        <w:rPr>
          <w:rFonts w:eastAsiaTheme="minorEastAsia"/>
          <w:color w:val="000000"/>
          <w:szCs w:val="28"/>
          <w:lang w:val="zh-CN"/>
        </w:rPr>
        <w:t>）</w:t>
      </w:r>
      <w:r>
        <w:rPr>
          <w:rFonts w:eastAsiaTheme="minorEastAsia"/>
          <w:color w:val="000000"/>
          <w:szCs w:val="28"/>
        </w:rPr>
        <w:t>8.3规定：应急物资与应急预案相匹配，应急物资应确保完好，（医疗器材急救包内应包含防冻伤药品）。</w:t>
      </w:r>
    </w:p>
    <w:p>
      <w:pPr>
        <w:numPr>
          <w:ilvl w:val="0"/>
          <w:numId w:val="11"/>
        </w:numPr>
        <w:autoSpaceDE w:val="0"/>
        <w:autoSpaceDN w:val="0"/>
        <w:ind w:firstLine="560"/>
        <w:rPr>
          <w:rFonts w:eastAsiaTheme="minorEastAsia"/>
          <w:szCs w:val="28"/>
        </w:rPr>
      </w:pPr>
      <w:r>
        <w:rPr>
          <w:rFonts w:eastAsiaTheme="minorEastAsia"/>
          <w:color w:val="000000"/>
          <w:szCs w:val="28"/>
        </w:rPr>
        <w:t>油管及工具下井前应通井，检查螺纹、胶套是否损坏，油管及工具下井时应控制管柱下放速度不大于10m/min。</w:t>
      </w:r>
    </w:p>
    <w:p>
      <w:pPr>
        <w:numPr>
          <w:ilvl w:val="0"/>
          <w:numId w:val="11"/>
        </w:numPr>
        <w:autoSpaceDE w:val="0"/>
        <w:autoSpaceDN w:val="0"/>
        <w:ind w:firstLine="560"/>
        <w:rPr>
          <w:rFonts w:eastAsiaTheme="minorEastAsia"/>
          <w:szCs w:val="28"/>
        </w:rPr>
      </w:pPr>
      <w:r>
        <w:rPr>
          <w:rFonts w:hint="eastAsia" w:eastAsiaTheme="minorEastAsia"/>
          <w:szCs w:val="28"/>
        </w:rPr>
        <w:t>营二采油管理区多名管理人员资格证已临期，建议尽快组织培训学习。</w:t>
      </w:r>
    </w:p>
    <w:p>
      <w:pPr>
        <w:numPr>
          <w:ilvl w:val="0"/>
          <w:numId w:val="11"/>
        </w:numPr>
        <w:autoSpaceDE w:val="0"/>
        <w:autoSpaceDN w:val="0"/>
        <w:ind w:firstLine="560"/>
        <w:rPr>
          <w:rFonts w:eastAsiaTheme="minorEastAsia"/>
          <w:szCs w:val="28"/>
        </w:rPr>
      </w:pPr>
      <w:r>
        <w:rPr>
          <w:rFonts w:hint="eastAsia" w:eastAsiaTheme="minorEastAsia"/>
          <w:color w:val="000000"/>
          <w:szCs w:val="28"/>
        </w:rPr>
        <w:t>规范营二采油管理区安全生产（</w:t>
      </w:r>
      <w:r>
        <w:rPr>
          <w:color w:val="000000"/>
        </w:rPr>
        <w:t>QHSE</w:t>
      </w:r>
      <w:r>
        <w:rPr>
          <w:rFonts w:hint="eastAsia" w:eastAsiaTheme="minorEastAsia"/>
          <w:color w:val="000000"/>
          <w:szCs w:val="28"/>
        </w:rPr>
        <w:t>）</w:t>
      </w:r>
      <w:r>
        <w:rPr>
          <w:color w:val="000000"/>
        </w:rPr>
        <w:t>管理组织机构</w:t>
      </w:r>
      <w:r>
        <w:rPr>
          <w:rFonts w:hint="eastAsia"/>
          <w:color w:val="000000"/>
        </w:rPr>
        <w:t>网络图。</w:t>
      </w:r>
    </w:p>
    <w:p>
      <w:pPr>
        <w:pStyle w:val="3"/>
        <w:rPr>
          <w:rFonts w:eastAsiaTheme="minorEastAsia"/>
          <w:bCs w:val="0"/>
        </w:rPr>
      </w:pPr>
      <w:bookmarkStart w:id="263" w:name="_Toc23797"/>
      <w:bookmarkStart w:id="264" w:name="_Toc522018287"/>
      <w:bookmarkStart w:id="265" w:name="_Toc341963442"/>
      <w:bookmarkStart w:id="266" w:name="_Toc41742654"/>
      <w:r>
        <w:rPr>
          <w:rFonts w:eastAsiaTheme="minorEastAsia"/>
        </w:rPr>
        <w:t>7.3  本次评价提出的安全管理建议</w:t>
      </w:r>
      <w:bookmarkEnd w:id="263"/>
      <w:bookmarkEnd w:id="264"/>
      <w:bookmarkEnd w:id="265"/>
      <w:bookmarkEnd w:id="266"/>
    </w:p>
    <w:p>
      <w:pPr>
        <w:pStyle w:val="5"/>
        <w:rPr>
          <w:rFonts w:eastAsiaTheme="minorEastAsia"/>
        </w:rPr>
      </w:pPr>
      <w:r>
        <w:rPr>
          <w:rFonts w:eastAsiaTheme="minorEastAsia"/>
        </w:rPr>
        <w:t>7.3.1  施工阶段的安全管理建议</w:t>
      </w:r>
    </w:p>
    <w:p>
      <w:pPr>
        <w:ind w:firstLine="560"/>
        <w:rPr>
          <w:rFonts w:eastAsiaTheme="minorEastAsia"/>
          <w:szCs w:val="28"/>
        </w:rPr>
      </w:pPr>
      <w:r>
        <w:rPr>
          <w:rFonts w:eastAsiaTheme="minorEastAsia"/>
          <w:szCs w:val="28"/>
        </w:rPr>
        <w:t>1）检查核实工程设计单位、施工单位、监理单位是否具备相应的资质。</w:t>
      </w:r>
    </w:p>
    <w:p>
      <w:pPr>
        <w:ind w:firstLine="560"/>
        <w:rPr>
          <w:rFonts w:eastAsiaTheme="minorEastAsia"/>
          <w:szCs w:val="28"/>
        </w:rPr>
      </w:pPr>
      <w:r>
        <w:rPr>
          <w:rFonts w:eastAsiaTheme="minorEastAsia"/>
          <w:szCs w:val="28"/>
        </w:rPr>
        <w:t>2）落实施工人员是否持有相应的资格证书。</w:t>
      </w:r>
    </w:p>
    <w:p>
      <w:pPr>
        <w:ind w:firstLine="560"/>
        <w:rPr>
          <w:rFonts w:eastAsiaTheme="minorEastAsia"/>
          <w:szCs w:val="28"/>
        </w:rPr>
      </w:pPr>
      <w:r>
        <w:rPr>
          <w:rFonts w:eastAsiaTheme="minorEastAsia"/>
          <w:szCs w:val="28"/>
        </w:rPr>
        <w:t>3）对承包商施工人员进行施工前的培训教育。</w:t>
      </w:r>
    </w:p>
    <w:p>
      <w:pPr>
        <w:ind w:firstLine="560"/>
        <w:rPr>
          <w:rFonts w:eastAsiaTheme="minorEastAsia"/>
          <w:szCs w:val="28"/>
        </w:rPr>
      </w:pPr>
      <w:r>
        <w:rPr>
          <w:rFonts w:eastAsiaTheme="minorEastAsia"/>
          <w:szCs w:val="28"/>
        </w:rPr>
        <w:t>4）签订相关的安全生产协议。</w:t>
      </w:r>
    </w:p>
    <w:p>
      <w:pPr>
        <w:tabs>
          <w:tab w:val="left" w:pos="0"/>
          <w:tab w:val="left" w:pos="1050"/>
        </w:tabs>
        <w:ind w:firstLine="560"/>
        <w:rPr>
          <w:rFonts w:eastAsiaTheme="minorEastAsia"/>
          <w:szCs w:val="28"/>
        </w:rPr>
      </w:pPr>
      <w:r>
        <w:rPr>
          <w:rFonts w:eastAsiaTheme="minorEastAsia"/>
          <w:szCs w:val="28"/>
        </w:rPr>
        <w:t>5）工程施工前，建设单位应当对有关安全施工的技术要求向施工单位进行交底，施工单位负责项目管理的技术人员应当向施工作业班组、作业人员进行交底。</w:t>
      </w:r>
    </w:p>
    <w:p>
      <w:pPr>
        <w:ind w:firstLine="560"/>
        <w:rPr>
          <w:rFonts w:eastAsiaTheme="minorEastAsia"/>
          <w:szCs w:val="28"/>
        </w:rPr>
      </w:pPr>
      <w:r>
        <w:rPr>
          <w:rFonts w:eastAsiaTheme="minorEastAsia"/>
          <w:szCs w:val="28"/>
        </w:rPr>
        <w:t>6）</w:t>
      </w:r>
      <w:r>
        <w:rPr>
          <w:rFonts w:eastAsiaTheme="minorEastAsia"/>
          <w:spacing w:val="15"/>
          <w:szCs w:val="28"/>
        </w:rPr>
        <w:t>施工单位必须按照批准的安全设施设计施工，并对安全设施的工程质量负责。</w:t>
      </w:r>
    </w:p>
    <w:p>
      <w:pPr>
        <w:ind w:firstLine="560"/>
        <w:rPr>
          <w:rFonts w:eastAsiaTheme="minorEastAsia"/>
          <w:szCs w:val="28"/>
        </w:rPr>
      </w:pPr>
      <w:r>
        <w:rPr>
          <w:rFonts w:eastAsiaTheme="minorEastAsia"/>
          <w:szCs w:val="28"/>
        </w:rPr>
        <w:t>7）管道与其他建设工程相遇时，应当按照后开工建设的工程项目服从先开工建设和已建成的工程项目的原则，由双方共同协商一致后，方可开工建设。</w:t>
      </w:r>
    </w:p>
    <w:p>
      <w:pPr>
        <w:ind w:firstLine="560"/>
        <w:rPr>
          <w:rFonts w:eastAsiaTheme="minorEastAsia"/>
          <w:szCs w:val="28"/>
        </w:rPr>
      </w:pPr>
      <w:r>
        <w:rPr>
          <w:rFonts w:eastAsiaTheme="minorEastAsia"/>
          <w:szCs w:val="28"/>
        </w:rPr>
        <w:t>8）本工程属新建项目，涉及到受限空间作业，受限空间作业必须办理作业许可证，涉及动火、临时用电、高处等作业时，必须办理相应的作业许可证。</w:t>
      </w:r>
    </w:p>
    <w:p>
      <w:pPr>
        <w:ind w:firstLine="560"/>
        <w:rPr>
          <w:rFonts w:eastAsiaTheme="minorEastAsia"/>
          <w:szCs w:val="28"/>
        </w:rPr>
      </w:pPr>
      <w:r>
        <w:rPr>
          <w:rFonts w:eastAsiaTheme="minorEastAsia"/>
          <w:szCs w:val="28"/>
        </w:rPr>
        <w:t>9）施工单位应针对施工过程中可能出现起重伤害、物体打击、机械伤害、触电、车辆伤害等事故编制相应的应急救援措施，并对施工人员进行培训。</w:t>
      </w:r>
    </w:p>
    <w:p>
      <w:pPr>
        <w:tabs>
          <w:tab w:val="left" w:pos="0"/>
          <w:tab w:val="left" w:pos="1050"/>
        </w:tabs>
        <w:ind w:firstLine="560"/>
        <w:rPr>
          <w:rFonts w:eastAsiaTheme="minorEastAsia"/>
          <w:szCs w:val="28"/>
        </w:rPr>
      </w:pPr>
      <w:r>
        <w:rPr>
          <w:rFonts w:eastAsiaTheme="minorEastAsia"/>
          <w:szCs w:val="28"/>
        </w:rPr>
        <w:t>10）加强施工过程监督管理，及时检查施工过程中出现的设计、技术和质量问题，确保本质安全。</w:t>
      </w:r>
    </w:p>
    <w:p>
      <w:pPr>
        <w:autoSpaceDE w:val="0"/>
        <w:autoSpaceDN w:val="0"/>
        <w:ind w:firstLine="560"/>
        <w:rPr>
          <w:rFonts w:eastAsiaTheme="minorEastAsia"/>
          <w:szCs w:val="28"/>
          <w:lang w:val="zh-CN"/>
        </w:rPr>
      </w:pPr>
      <w:r>
        <w:rPr>
          <w:rFonts w:eastAsiaTheme="minorEastAsia"/>
          <w:szCs w:val="28"/>
        </w:rPr>
        <w:t>11）</w:t>
      </w:r>
      <w:r>
        <w:rPr>
          <w:rFonts w:hint="eastAsia" w:eastAsiaTheme="minorEastAsia"/>
          <w:szCs w:val="28"/>
          <w:lang w:val="zh-CN"/>
        </w:rPr>
        <w:t>动火</w:t>
      </w:r>
      <w:r>
        <w:rPr>
          <w:rFonts w:eastAsiaTheme="minorEastAsia"/>
          <w:szCs w:val="28"/>
          <w:lang w:val="zh-CN"/>
        </w:rPr>
        <w:t>的管线经吹扫、清洗后应无易燃物，</w:t>
      </w:r>
      <w:r>
        <w:rPr>
          <w:rFonts w:hint="eastAsia" w:eastAsiaTheme="minorEastAsia"/>
          <w:szCs w:val="28"/>
          <w:lang w:val="zh-CN"/>
        </w:rPr>
        <w:t>动火</w:t>
      </w:r>
      <w:r>
        <w:rPr>
          <w:rFonts w:eastAsiaTheme="minorEastAsia"/>
          <w:szCs w:val="28"/>
          <w:lang w:val="zh-CN"/>
        </w:rPr>
        <w:t>现场的管线内和坑内的可燃气体浓度必须低于爆炸下限的25%。</w:t>
      </w:r>
    </w:p>
    <w:p>
      <w:pPr>
        <w:autoSpaceDE w:val="0"/>
        <w:autoSpaceDN w:val="0"/>
        <w:ind w:firstLine="560"/>
        <w:rPr>
          <w:rFonts w:eastAsiaTheme="minorEastAsia"/>
          <w:szCs w:val="28"/>
          <w:lang w:val="zh-CN"/>
        </w:rPr>
      </w:pPr>
      <w:r>
        <w:rPr>
          <w:rFonts w:eastAsiaTheme="minorEastAsia"/>
          <w:szCs w:val="28"/>
          <w:lang w:val="zh-CN"/>
        </w:rPr>
        <w:t>12）特种作业（</w:t>
      </w:r>
      <w:r>
        <w:rPr>
          <w:rFonts w:hint="eastAsia" w:eastAsiaTheme="minorEastAsia"/>
          <w:szCs w:val="28"/>
          <w:lang w:val="zh-CN"/>
        </w:rPr>
        <w:t>动火</w:t>
      </w:r>
      <w:r>
        <w:rPr>
          <w:rFonts w:eastAsiaTheme="minorEastAsia"/>
          <w:szCs w:val="28"/>
          <w:lang w:val="zh-CN"/>
        </w:rPr>
        <w:t>、</w:t>
      </w:r>
      <w:r>
        <w:rPr>
          <w:rFonts w:hint="eastAsia" w:eastAsiaTheme="minorEastAsia"/>
          <w:szCs w:val="28"/>
          <w:lang w:val="zh-CN"/>
        </w:rPr>
        <w:t>动土</w:t>
      </w:r>
      <w:r>
        <w:rPr>
          <w:rFonts w:eastAsiaTheme="minorEastAsia"/>
          <w:szCs w:val="28"/>
          <w:lang w:val="zh-CN"/>
        </w:rPr>
        <w:t>、高处作业、临时用电、吊装作业等）严格按相关要求进行监督管理。</w:t>
      </w:r>
    </w:p>
    <w:p>
      <w:pPr>
        <w:autoSpaceDE w:val="0"/>
        <w:autoSpaceDN w:val="0"/>
        <w:ind w:firstLine="560"/>
        <w:rPr>
          <w:rFonts w:eastAsiaTheme="minorEastAsia"/>
          <w:szCs w:val="28"/>
          <w:lang w:val="zh-CN"/>
        </w:rPr>
      </w:pPr>
      <w:r>
        <w:rPr>
          <w:rFonts w:eastAsiaTheme="minorEastAsia"/>
          <w:szCs w:val="28"/>
          <w:lang w:val="zh-CN"/>
        </w:rPr>
        <w:t>13）安全警示牌、职业卫生告知牌及警戒线按要求进行设置。</w:t>
      </w:r>
    </w:p>
    <w:p>
      <w:pPr>
        <w:autoSpaceDE w:val="0"/>
        <w:autoSpaceDN w:val="0"/>
        <w:ind w:firstLine="560"/>
        <w:rPr>
          <w:rFonts w:eastAsiaTheme="minorEastAsia"/>
          <w:szCs w:val="28"/>
          <w:lang w:val="zh-CN"/>
        </w:rPr>
      </w:pPr>
      <w:r>
        <w:rPr>
          <w:rFonts w:eastAsiaTheme="minorEastAsia"/>
          <w:szCs w:val="28"/>
          <w:lang w:val="zh-CN"/>
        </w:rPr>
        <w:t>14）按要求监督检查施工人员劳保用品的佩戴情况。</w:t>
      </w:r>
    </w:p>
    <w:p>
      <w:pPr>
        <w:pStyle w:val="5"/>
        <w:rPr>
          <w:rFonts w:eastAsiaTheme="minorEastAsia"/>
        </w:rPr>
      </w:pPr>
      <w:r>
        <w:rPr>
          <w:rFonts w:eastAsiaTheme="minorEastAsia"/>
        </w:rPr>
        <w:t>7.3.2  钻井过程的安全管理建议</w:t>
      </w:r>
    </w:p>
    <w:p>
      <w:pPr>
        <w:numPr>
          <w:ilvl w:val="0"/>
          <w:numId w:val="12"/>
        </w:numPr>
        <w:tabs>
          <w:tab w:val="left" w:pos="420"/>
        </w:tabs>
        <w:ind w:left="0" w:firstLine="560"/>
        <w:rPr>
          <w:rFonts w:eastAsiaTheme="minorEastAsia"/>
          <w:szCs w:val="28"/>
          <w:lang w:val="zh-CN"/>
        </w:rPr>
      </w:pPr>
      <w:r>
        <w:rPr>
          <w:rFonts w:eastAsiaTheme="minorEastAsia"/>
          <w:szCs w:val="28"/>
          <w:lang w:val="zh-CN"/>
        </w:rPr>
        <w:t>钻井设备搬迁安装作业成立现场搬迁安装领导小组，制定搬迁安装计划，明确安全措施，直接作业环节应严格执行中石化及胜利油田相关规定。</w:t>
      </w:r>
    </w:p>
    <w:p>
      <w:pPr>
        <w:numPr>
          <w:ilvl w:val="0"/>
          <w:numId w:val="12"/>
        </w:numPr>
        <w:tabs>
          <w:tab w:val="left" w:pos="420"/>
        </w:tabs>
        <w:ind w:left="0" w:firstLine="560"/>
        <w:rPr>
          <w:rFonts w:eastAsiaTheme="minorEastAsia"/>
          <w:szCs w:val="28"/>
          <w:lang w:val="zh-CN"/>
        </w:rPr>
      </w:pPr>
      <w:r>
        <w:rPr>
          <w:rFonts w:eastAsiaTheme="minorEastAsia"/>
          <w:szCs w:val="28"/>
          <w:lang w:val="zh-CN"/>
        </w:rPr>
        <w:t>钻井作业井场布置应符合</w:t>
      </w:r>
      <w:r>
        <w:rPr>
          <w:rFonts w:eastAsiaTheme="minorEastAsia"/>
          <w:szCs w:val="28"/>
        </w:rPr>
        <w:t>《钻井井场设备作业安全技术规程》（SY/T5974-2020）</w:t>
      </w:r>
      <w:r>
        <w:rPr>
          <w:rFonts w:eastAsiaTheme="minorEastAsia"/>
          <w:szCs w:val="28"/>
          <w:lang w:val="zh-CN"/>
        </w:rPr>
        <w:t>的规定。钻井现场安全标志设置应符合《钻井现场安全标志的设置》（Q/SH1020 0995-2010）的要求。</w:t>
      </w:r>
    </w:p>
    <w:p>
      <w:pPr>
        <w:numPr>
          <w:ilvl w:val="0"/>
          <w:numId w:val="12"/>
        </w:numPr>
        <w:tabs>
          <w:tab w:val="left" w:pos="420"/>
        </w:tabs>
        <w:ind w:left="0" w:firstLine="560"/>
        <w:rPr>
          <w:rFonts w:eastAsiaTheme="minorEastAsia"/>
          <w:szCs w:val="28"/>
          <w:lang w:val="zh-CN"/>
        </w:rPr>
      </w:pPr>
      <w:r>
        <w:rPr>
          <w:rFonts w:eastAsiaTheme="minorEastAsia"/>
          <w:szCs w:val="28"/>
          <w:lang w:val="zh-CN"/>
        </w:rPr>
        <w:t>各次开钻前都应进行检查和验收，获得批准后方可进行下一步作业。</w:t>
      </w:r>
    </w:p>
    <w:p>
      <w:pPr>
        <w:numPr>
          <w:ilvl w:val="0"/>
          <w:numId w:val="12"/>
        </w:numPr>
        <w:tabs>
          <w:tab w:val="left" w:pos="420"/>
        </w:tabs>
        <w:ind w:left="0" w:firstLine="560"/>
        <w:rPr>
          <w:rFonts w:eastAsiaTheme="minorEastAsia"/>
          <w:szCs w:val="28"/>
          <w:lang w:val="zh-CN"/>
        </w:rPr>
      </w:pPr>
      <w:r>
        <w:rPr>
          <w:rFonts w:eastAsiaTheme="minorEastAsia"/>
          <w:szCs w:val="28"/>
          <w:lang w:val="zh-CN"/>
        </w:rPr>
        <w:t>井控装置的压力等级应符合钻井工程井控设计的要求，使用前进行试压合格。</w:t>
      </w:r>
    </w:p>
    <w:p>
      <w:pPr>
        <w:numPr>
          <w:ilvl w:val="0"/>
          <w:numId w:val="12"/>
        </w:numPr>
        <w:tabs>
          <w:tab w:val="left" w:pos="420"/>
        </w:tabs>
        <w:ind w:left="0" w:firstLine="560"/>
        <w:rPr>
          <w:rFonts w:eastAsiaTheme="minorEastAsia"/>
          <w:szCs w:val="28"/>
          <w:lang w:val="zh-CN"/>
        </w:rPr>
      </w:pPr>
      <w:r>
        <w:rPr>
          <w:rFonts w:eastAsiaTheme="minorEastAsia"/>
          <w:szCs w:val="28"/>
        </w:rPr>
        <w:t>加强井控技术培训与井控演练，提高职工井控意识、现场技术操作水平、事故应急处理能力。</w:t>
      </w:r>
    </w:p>
    <w:p>
      <w:pPr>
        <w:numPr>
          <w:ilvl w:val="0"/>
          <w:numId w:val="12"/>
        </w:numPr>
        <w:tabs>
          <w:tab w:val="left" w:pos="420"/>
        </w:tabs>
        <w:ind w:left="0" w:firstLine="560"/>
        <w:rPr>
          <w:rFonts w:eastAsiaTheme="minorEastAsia"/>
          <w:szCs w:val="28"/>
          <w:lang w:val="zh-CN"/>
        </w:rPr>
      </w:pPr>
      <w:r>
        <w:rPr>
          <w:rFonts w:eastAsiaTheme="minorEastAsia"/>
          <w:szCs w:val="28"/>
          <w:lang w:val="zh-CN"/>
        </w:rPr>
        <w:t>钻开油气层前应进行技术交底，进行防喷、防火演练，严格执行</w:t>
      </w:r>
      <w:r>
        <w:rPr>
          <w:rFonts w:hint="eastAsia" w:eastAsiaTheme="minorEastAsia"/>
          <w:szCs w:val="28"/>
          <w:lang w:val="zh-CN"/>
        </w:rPr>
        <w:t>“</w:t>
      </w:r>
      <w:r>
        <w:rPr>
          <w:rFonts w:eastAsiaTheme="minorEastAsia"/>
          <w:szCs w:val="28"/>
          <w:lang w:val="zh-CN"/>
        </w:rPr>
        <w:t>坐岗</w:t>
      </w:r>
      <w:r>
        <w:rPr>
          <w:rFonts w:hint="eastAsia" w:eastAsiaTheme="minorEastAsia"/>
          <w:szCs w:val="28"/>
          <w:lang w:val="zh-CN"/>
        </w:rPr>
        <w:t>”</w:t>
      </w:r>
      <w:r>
        <w:rPr>
          <w:rFonts w:eastAsiaTheme="minorEastAsia"/>
          <w:szCs w:val="28"/>
          <w:lang w:val="zh-CN"/>
        </w:rPr>
        <w:t>制度，现场应按工程设计要求储备足量加重钻井液和加重材料。</w:t>
      </w:r>
    </w:p>
    <w:p>
      <w:pPr>
        <w:numPr>
          <w:ilvl w:val="0"/>
          <w:numId w:val="12"/>
        </w:numPr>
        <w:tabs>
          <w:tab w:val="left" w:pos="420"/>
        </w:tabs>
        <w:ind w:left="0" w:firstLine="560"/>
        <w:rPr>
          <w:rFonts w:eastAsiaTheme="minorEastAsia"/>
        </w:rPr>
      </w:pPr>
      <w:r>
        <w:rPr>
          <w:rFonts w:eastAsiaTheme="minorEastAsia"/>
          <w:szCs w:val="28"/>
        </w:rPr>
        <w:t>钻开目的层，根据实钻油气显示及全烃值变化，及时调整钻井液密度及性能；每次起钻前，要充分循环好钻井液，根据油气上窜速度，起钻前打好封井浆；起钻时控制好起钻速度，及时灌浆，预防抽吸诱发井喷。</w:t>
      </w:r>
    </w:p>
    <w:p>
      <w:pPr>
        <w:numPr>
          <w:ilvl w:val="0"/>
          <w:numId w:val="12"/>
        </w:numPr>
        <w:tabs>
          <w:tab w:val="left" w:pos="420"/>
        </w:tabs>
        <w:ind w:left="0" w:firstLine="560"/>
        <w:rPr>
          <w:rFonts w:eastAsiaTheme="minorEastAsia"/>
        </w:rPr>
      </w:pPr>
      <w:r>
        <w:rPr>
          <w:szCs w:val="28"/>
          <w:lang w:val="zh-CN"/>
        </w:rPr>
        <w:t>钻井施工前应查清周边注水、注汽情况，钻开油气层之前应采取相应的停注、泄压和停抽等措施。</w:t>
      </w:r>
      <w:r>
        <w:rPr>
          <w:szCs w:val="28"/>
        </w:rPr>
        <w:t>注水、注气、注汽和采油井的停注执行Q/SH1020 2162-2013《已开发油田钻调整井过程中停注水、气、汽</w:t>
      </w:r>
      <w:r>
        <w:rPr>
          <w:rFonts w:hint="eastAsia"/>
          <w:szCs w:val="28"/>
          <w:lang w:eastAsia="zh-CN"/>
        </w:rPr>
        <w:t>井</w:t>
      </w:r>
      <w:r>
        <w:rPr>
          <w:szCs w:val="28"/>
        </w:rPr>
        <w:t>和采油井的要求》，不停注不准钻开相应层位</w:t>
      </w:r>
      <w:r>
        <w:rPr>
          <w:rFonts w:hint="eastAsia"/>
          <w:szCs w:val="28"/>
        </w:rPr>
        <w:t>。</w:t>
      </w:r>
    </w:p>
    <w:p>
      <w:pPr>
        <w:pStyle w:val="5"/>
        <w:rPr>
          <w:rFonts w:eastAsiaTheme="minorEastAsia"/>
        </w:rPr>
      </w:pPr>
      <w:r>
        <w:rPr>
          <w:rFonts w:eastAsiaTheme="minorEastAsia"/>
        </w:rPr>
        <w:t>7.3.3  井下作业安全管理建议</w:t>
      </w:r>
    </w:p>
    <w:p>
      <w:pPr>
        <w:autoSpaceDE w:val="0"/>
        <w:autoSpaceDN w:val="0"/>
        <w:ind w:firstLine="560"/>
        <w:rPr>
          <w:rFonts w:eastAsiaTheme="minorEastAsia"/>
          <w:szCs w:val="28"/>
        </w:rPr>
      </w:pPr>
      <w:r>
        <w:rPr>
          <w:rFonts w:eastAsiaTheme="minorEastAsia"/>
          <w:szCs w:val="28"/>
        </w:rPr>
        <w:t>井下作业需要众多的设备，各种不同的设备操作复杂，比如修井机、起升设备、循环设备、修井辅助设备等。井下作业具有非常复杂、繁冗的工艺，包括前线的检泵、打捞、压裂等，后线主要包括机械加工和准备服务工作，作业施工地点多、面广，涉及到各种不同的施工，有可能发生严重、损失巨大的灾难性事故，如井喷、井喷失控、着火爆炸等。因此，应积极采取各种措施做好井下作业的安全工作，实现企业的安全生产。</w:t>
      </w:r>
    </w:p>
    <w:p>
      <w:pPr>
        <w:autoSpaceDE w:val="0"/>
        <w:autoSpaceDN w:val="0"/>
        <w:ind w:firstLine="560"/>
        <w:rPr>
          <w:rFonts w:eastAsiaTheme="minorEastAsia"/>
          <w:szCs w:val="28"/>
        </w:rPr>
      </w:pPr>
      <w:r>
        <w:rPr>
          <w:rFonts w:eastAsiaTheme="minorEastAsia"/>
          <w:szCs w:val="28"/>
        </w:rPr>
        <w:t>1）加强井控管理制度建设，明确各部门各岗位井控岗位责任制，从制度上进一步规范井控管理行为。</w:t>
      </w:r>
    </w:p>
    <w:p>
      <w:pPr>
        <w:autoSpaceDE w:val="0"/>
        <w:autoSpaceDN w:val="0"/>
        <w:ind w:firstLine="565" w:firstLineChars="202"/>
        <w:rPr>
          <w:rFonts w:eastAsiaTheme="minorEastAsia"/>
          <w:szCs w:val="28"/>
        </w:rPr>
      </w:pPr>
      <w:r>
        <w:rPr>
          <w:rFonts w:eastAsiaTheme="minorEastAsia"/>
          <w:szCs w:val="28"/>
        </w:rPr>
        <w:t>2）加强井控技术培训与井控演练，提高职工井控意识、现场技术操作水平、事故应急处理能力。</w:t>
      </w:r>
    </w:p>
    <w:p>
      <w:pPr>
        <w:autoSpaceDE w:val="0"/>
        <w:autoSpaceDN w:val="0"/>
        <w:ind w:firstLine="565" w:firstLineChars="202"/>
        <w:rPr>
          <w:rFonts w:eastAsiaTheme="minorEastAsia"/>
          <w:szCs w:val="28"/>
          <w:lang w:val="zh-CN"/>
        </w:rPr>
      </w:pPr>
      <w:r>
        <w:rPr>
          <w:rFonts w:eastAsiaTheme="minorEastAsia"/>
          <w:szCs w:val="28"/>
        </w:rPr>
        <w:t>3）抓好设计审核环节，确保井控本质安全。</w:t>
      </w:r>
    </w:p>
    <w:p>
      <w:pPr>
        <w:autoSpaceDE w:val="0"/>
        <w:autoSpaceDN w:val="0"/>
        <w:ind w:firstLine="565" w:firstLineChars="202"/>
        <w:rPr>
          <w:rFonts w:eastAsiaTheme="minorEastAsia"/>
          <w:szCs w:val="28"/>
          <w:lang w:val="zh-CN"/>
        </w:rPr>
      </w:pPr>
      <w:r>
        <w:rPr>
          <w:rFonts w:eastAsiaTheme="minorEastAsia"/>
          <w:szCs w:val="28"/>
        </w:rPr>
        <w:t>4）加强井控装备配备，加强井控装备运行管理，设立专业施工人员负责作业井试压，达到第三方试压要求。</w:t>
      </w:r>
    </w:p>
    <w:p>
      <w:pPr>
        <w:autoSpaceDE w:val="0"/>
        <w:autoSpaceDN w:val="0"/>
        <w:ind w:firstLine="565" w:firstLineChars="202"/>
        <w:rPr>
          <w:rFonts w:eastAsiaTheme="minorEastAsia"/>
          <w:szCs w:val="28"/>
        </w:rPr>
      </w:pPr>
      <w:r>
        <w:rPr>
          <w:rFonts w:eastAsiaTheme="minorEastAsia"/>
          <w:szCs w:val="28"/>
        </w:rPr>
        <w:t>5）完善石油井下作业HSE风险管理控制。</w:t>
      </w:r>
    </w:p>
    <w:p>
      <w:pPr>
        <w:autoSpaceDE w:val="0"/>
        <w:autoSpaceDN w:val="0"/>
        <w:ind w:firstLine="565" w:firstLineChars="202"/>
        <w:rPr>
          <w:rFonts w:eastAsiaTheme="minorEastAsia"/>
          <w:szCs w:val="28"/>
        </w:rPr>
      </w:pPr>
      <w:r>
        <w:rPr>
          <w:rFonts w:eastAsiaTheme="minorEastAsia"/>
          <w:szCs w:val="28"/>
        </w:rPr>
        <w:t>6）本项目在钻井、井下作业过程中，如果周边也存在施工作业活动，会对本项目产生影响，为此应加强安全管理，明确双方的职责，避免相互产生影响。另外本项目内部井场设施布置、间距也会影响钻井、井下作业过程，施工中应加强警戒，避免相互影响产生不良后果。</w:t>
      </w:r>
    </w:p>
    <w:p>
      <w:pPr>
        <w:ind w:firstLine="560"/>
      </w:pPr>
      <w:r>
        <w:t>7）注入过程中应随时检测油套压变化情况，对环空带压井应分析原因，并采取相应控制措施。</w:t>
      </w:r>
    </w:p>
    <w:p>
      <w:pPr>
        <w:ind w:firstLine="560"/>
      </w:pPr>
      <w:r>
        <w:t>8）本区块无生产井可以参考，井下作业时，应做好硫化氢中毒和窒息的防护措施。</w:t>
      </w:r>
    </w:p>
    <w:p>
      <w:pPr>
        <w:pStyle w:val="5"/>
        <w:rPr>
          <w:rFonts w:eastAsiaTheme="minorEastAsia"/>
        </w:rPr>
      </w:pPr>
      <w:r>
        <w:rPr>
          <w:rFonts w:eastAsiaTheme="minorEastAsia"/>
        </w:rPr>
        <w:t>7.3.4  运行过程的安全管理建议</w:t>
      </w:r>
    </w:p>
    <w:p>
      <w:pPr>
        <w:pStyle w:val="226"/>
        <w:numPr>
          <w:ilvl w:val="0"/>
          <w:numId w:val="13"/>
        </w:numPr>
        <w:spacing w:line="360" w:lineRule="auto"/>
        <w:ind w:left="0" w:firstLine="560"/>
        <w:rPr>
          <w:rFonts w:eastAsiaTheme="minorEastAsia"/>
          <w:sz w:val="28"/>
          <w:szCs w:val="28"/>
        </w:rPr>
      </w:pPr>
      <w:r>
        <w:rPr>
          <w:rFonts w:eastAsiaTheme="minorEastAsia"/>
          <w:sz w:val="28"/>
          <w:szCs w:val="28"/>
        </w:rPr>
        <w:t>生产经营单位必须对安全设备进行经常性维护、保养，并定期检测，保证正常运转。维护、保养、检测应当作好记录，并由有关人员签字。</w:t>
      </w:r>
    </w:p>
    <w:p>
      <w:pPr>
        <w:pStyle w:val="226"/>
        <w:numPr>
          <w:ilvl w:val="0"/>
          <w:numId w:val="13"/>
        </w:numPr>
        <w:spacing w:line="360" w:lineRule="auto"/>
        <w:ind w:left="0" w:firstLine="560"/>
        <w:rPr>
          <w:rFonts w:eastAsiaTheme="minorEastAsia"/>
          <w:sz w:val="28"/>
          <w:szCs w:val="28"/>
        </w:rPr>
      </w:pPr>
      <w:r>
        <w:rPr>
          <w:rFonts w:eastAsiaTheme="minorEastAsia"/>
          <w:sz w:val="28"/>
          <w:szCs w:val="28"/>
        </w:rPr>
        <w:t>管道投产前运行前应进行强度和密封性试验，运行后应对密封、焊接部位进行全面检查，发现问题，应及时处理。</w:t>
      </w:r>
    </w:p>
    <w:p>
      <w:pPr>
        <w:pStyle w:val="226"/>
        <w:numPr>
          <w:ilvl w:val="0"/>
          <w:numId w:val="13"/>
        </w:numPr>
        <w:spacing w:line="360" w:lineRule="auto"/>
        <w:ind w:left="0" w:firstLine="560"/>
        <w:rPr>
          <w:rFonts w:eastAsiaTheme="minorEastAsia"/>
          <w:sz w:val="28"/>
          <w:szCs w:val="28"/>
        </w:rPr>
      </w:pPr>
      <w:r>
        <w:rPr>
          <w:rFonts w:eastAsiaTheme="minorEastAsia"/>
          <w:sz w:val="28"/>
          <w:szCs w:val="28"/>
        </w:rPr>
        <w:t>自控系统投入运行前应进行有效性试验，并做好记录；自控系统应采取专职人员操作和专业维护。</w:t>
      </w:r>
    </w:p>
    <w:p>
      <w:pPr>
        <w:pStyle w:val="226"/>
        <w:numPr>
          <w:ilvl w:val="0"/>
          <w:numId w:val="13"/>
        </w:numPr>
        <w:spacing w:line="360" w:lineRule="auto"/>
        <w:ind w:left="0" w:firstLine="560"/>
        <w:rPr>
          <w:rFonts w:eastAsiaTheme="minorEastAsia"/>
          <w:sz w:val="28"/>
          <w:szCs w:val="28"/>
        </w:rPr>
      </w:pPr>
      <w:r>
        <w:rPr>
          <w:rFonts w:eastAsiaTheme="minorEastAsia"/>
          <w:sz w:val="28"/>
          <w:szCs w:val="28"/>
        </w:rPr>
        <w:t>建立健全各项安全管理制度，按照新增设备、岗位特点制定安全作业规程，在装置投产前对职工进行专门的培训；特种作业人员必须经过具备相应培训资质的单位进行专门的培训、考核合格，取得相操作证，持证上岗；操作工人要严格按操作规程操作，杜绝违章操作现象。</w:t>
      </w:r>
    </w:p>
    <w:p>
      <w:pPr>
        <w:pStyle w:val="226"/>
        <w:numPr>
          <w:ilvl w:val="0"/>
          <w:numId w:val="13"/>
        </w:numPr>
        <w:spacing w:line="360" w:lineRule="auto"/>
        <w:ind w:left="0" w:firstLine="560"/>
        <w:rPr>
          <w:rFonts w:eastAsiaTheme="minorEastAsia"/>
          <w:sz w:val="40"/>
          <w:szCs w:val="28"/>
        </w:rPr>
      </w:pPr>
      <w:r>
        <w:rPr>
          <w:rFonts w:eastAsiaTheme="minorEastAsia"/>
          <w:sz w:val="28"/>
          <w:szCs w:val="28"/>
        </w:rPr>
        <w:t>加强设备管理，及时发现问题，消除隐患，做好设备的日常维护、定期检查保养工作，杜绝设备带病运行；加强各类安全装置（防雷防静电接地、承压管道等）的日常检查、定期检测，确保设备的安全防护装置、安全设施可靠、齐全、有效。</w:t>
      </w:r>
    </w:p>
    <w:p>
      <w:pPr>
        <w:pStyle w:val="226"/>
        <w:numPr>
          <w:ilvl w:val="0"/>
          <w:numId w:val="13"/>
        </w:numPr>
        <w:spacing w:line="360" w:lineRule="auto"/>
        <w:ind w:left="0" w:firstLine="560"/>
        <w:rPr>
          <w:rFonts w:eastAsiaTheme="minorEastAsia"/>
          <w:sz w:val="28"/>
          <w:szCs w:val="28"/>
        </w:rPr>
      </w:pPr>
      <w:r>
        <w:rPr>
          <w:rFonts w:eastAsiaTheme="minorEastAsia"/>
          <w:sz w:val="28"/>
          <w:szCs w:val="28"/>
        </w:rPr>
        <w:t>生产经营单位必须为从业人员提供符合国家标准或者行业标准的劳动防护用品，并监督、教育从业人员按照使用规则佩戴、使用。</w:t>
      </w:r>
    </w:p>
    <w:p>
      <w:pPr>
        <w:pStyle w:val="226"/>
        <w:numPr>
          <w:ilvl w:val="0"/>
          <w:numId w:val="13"/>
        </w:numPr>
        <w:spacing w:line="360" w:lineRule="auto"/>
        <w:ind w:left="0" w:firstLine="560"/>
        <w:rPr>
          <w:rFonts w:eastAsiaTheme="minorEastAsia"/>
          <w:sz w:val="28"/>
          <w:szCs w:val="28"/>
        </w:rPr>
      </w:pPr>
      <w:r>
        <w:rPr>
          <w:rFonts w:eastAsiaTheme="minorEastAsia"/>
          <w:sz w:val="28"/>
          <w:szCs w:val="28"/>
        </w:rPr>
        <w:t>设备设施建设标准达到胜利油田</w:t>
      </w:r>
      <w:r>
        <w:rPr>
          <w:rFonts w:hint="eastAsia" w:eastAsiaTheme="minorEastAsia"/>
          <w:sz w:val="28"/>
          <w:szCs w:val="28"/>
        </w:rPr>
        <w:t>“</w:t>
      </w:r>
      <w:r>
        <w:rPr>
          <w:rFonts w:eastAsiaTheme="minorEastAsia"/>
          <w:sz w:val="28"/>
          <w:szCs w:val="28"/>
        </w:rPr>
        <w:t>四化</w:t>
      </w:r>
      <w:r>
        <w:rPr>
          <w:rFonts w:hint="eastAsia" w:eastAsiaTheme="minorEastAsia"/>
          <w:sz w:val="28"/>
          <w:szCs w:val="28"/>
        </w:rPr>
        <w:t>”</w:t>
      </w:r>
      <w:r>
        <w:rPr>
          <w:rFonts w:eastAsiaTheme="minorEastAsia"/>
          <w:sz w:val="28"/>
          <w:szCs w:val="28"/>
        </w:rPr>
        <w:t>标准要求。</w:t>
      </w:r>
    </w:p>
    <w:p>
      <w:pPr>
        <w:pStyle w:val="226"/>
        <w:numPr>
          <w:ilvl w:val="0"/>
          <w:numId w:val="13"/>
        </w:numPr>
        <w:autoSpaceDE w:val="0"/>
        <w:autoSpaceDN w:val="0"/>
        <w:spacing w:line="360" w:lineRule="auto"/>
        <w:ind w:left="0" w:firstLine="560"/>
        <w:rPr>
          <w:rFonts w:eastAsiaTheme="minorEastAsia"/>
          <w:sz w:val="28"/>
          <w:szCs w:val="28"/>
          <w:lang w:val="zh-CN"/>
        </w:rPr>
      </w:pPr>
      <w:r>
        <w:rPr>
          <w:rFonts w:eastAsiaTheme="minorEastAsia"/>
          <w:sz w:val="28"/>
          <w:szCs w:val="28"/>
        </w:rPr>
        <w:t>压力表等需要定期检验的设施，应委托有资质的部门定期校验、标定。</w:t>
      </w:r>
    </w:p>
    <w:p>
      <w:pPr>
        <w:pStyle w:val="226"/>
        <w:numPr>
          <w:ilvl w:val="0"/>
          <w:numId w:val="13"/>
        </w:numPr>
        <w:autoSpaceDE w:val="0"/>
        <w:autoSpaceDN w:val="0"/>
        <w:spacing w:line="360" w:lineRule="auto"/>
        <w:ind w:left="0" w:firstLine="560"/>
        <w:rPr>
          <w:rFonts w:eastAsiaTheme="minorEastAsia"/>
          <w:sz w:val="28"/>
          <w:szCs w:val="28"/>
          <w:lang w:val="zh-CN"/>
        </w:rPr>
      </w:pPr>
      <w:r>
        <w:rPr>
          <w:rFonts w:eastAsiaTheme="minorEastAsia"/>
          <w:sz w:val="28"/>
          <w:szCs w:val="28"/>
          <w:lang w:val="zh-CN"/>
        </w:rPr>
        <w:t>依据《石油天然气开发注二氧化碳安全规范》（</w:t>
      </w:r>
      <w:r>
        <w:rPr>
          <w:rFonts w:eastAsiaTheme="minorEastAsia"/>
          <w:sz w:val="28"/>
          <w:szCs w:val="28"/>
        </w:rPr>
        <w:t>SY/T6565-2018</w:t>
      </w:r>
      <w:r>
        <w:rPr>
          <w:rFonts w:eastAsiaTheme="minorEastAsia"/>
          <w:sz w:val="28"/>
          <w:szCs w:val="28"/>
          <w:lang w:val="zh-CN"/>
        </w:rPr>
        <w:t>）</w:t>
      </w:r>
      <w:r>
        <w:rPr>
          <w:rFonts w:eastAsiaTheme="minorEastAsia"/>
          <w:sz w:val="28"/>
          <w:szCs w:val="28"/>
        </w:rPr>
        <w:t>6.2.1.2规定：</w:t>
      </w:r>
      <w:r>
        <w:rPr>
          <w:rFonts w:eastAsiaTheme="minorEastAsia"/>
          <w:sz w:val="28"/>
          <w:szCs w:val="28"/>
          <w:lang w:val="zh-CN"/>
        </w:rPr>
        <w:t>移动式注入施工前，现场应设立风向标，施工现场应设置警戒线、紧急集合点。应在施工井井口上风向侧或侧风向布车，不应井车辆停放在低洼地带。</w:t>
      </w:r>
    </w:p>
    <w:p>
      <w:pPr>
        <w:pStyle w:val="226"/>
        <w:numPr>
          <w:ilvl w:val="0"/>
          <w:numId w:val="13"/>
        </w:numPr>
        <w:autoSpaceDE w:val="0"/>
        <w:autoSpaceDN w:val="0"/>
        <w:spacing w:line="360" w:lineRule="auto"/>
        <w:ind w:left="0" w:firstLine="560"/>
        <w:rPr>
          <w:rFonts w:eastAsiaTheme="minorEastAsia"/>
          <w:sz w:val="28"/>
          <w:szCs w:val="28"/>
          <w:lang w:val="zh-CN"/>
        </w:rPr>
      </w:pPr>
      <w:r>
        <w:rPr>
          <w:rFonts w:eastAsiaTheme="minorEastAsia"/>
          <w:sz w:val="28"/>
          <w:szCs w:val="28"/>
          <w:lang w:val="zh-CN"/>
        </w:rPr>
        <w:t>注入</w:t>
      </w:r>
      <w:r>
        <w:rPr>
          <w:rFonts w:eastAsiaTheme="minorEastAsia"/>
          <w:sz w:val="28"/>
          <w:szCs w:val="28"/>
        </w:rPr>
        <w:t>CO</w:t>
      </w:r>
      <w:r>
        <w:rPr>
          <w:rFonts w:eastAsiaTheme="minorEastAsia"/>
          <w:sz w:val="28"/>
          <w:szCs w:val="28"/>
          <w:vertAlign w:val="subscript"/>
        </w:rPr>
        <w:t>2</w:t>
      </w:r>
      <w:r>
        <w:rPr>
          <w:rFonts w:eastAsiaTheme="minorEastAsia"/>
          <w:sz w:val="28"/>
          <w:szCs w:val="28"/>
        </w:rPr>
        <w:t>作业前，应检查高压软管检测情况及报废年限，外观无破损，接头无裂痕，连接部位无变形，高压软管固定连接件无松动。</w:t>
      </w:r>
    </w:p>
    <w:p>
      <w:pPr>
        <w:pStyle w:val="226"/>
        <w:numPr>
          <w:ilvl w:val="0"/>
          <w:numId w:val="13"/>
        </w:numPr>
        <w:autoSpaceDE w:val="0"/>
        <w:autoSpaceDN w:val="0"/>
        <w:spacing w:line="360" w:lineRule="auto"/>
        <w:ind w:left="0" w:firstLine="560"/>
        <w:rPr>
          <w:rFonts w:eastAsiaTheme="minorEastAsia"/>
          <w:sz w:val="28"/>
          <w:szCs w:val="28"/>
          <w:lang w:val="zh-CN"/>
        </w:rPr>
      </w:pPr>
      <w:r>
        <w:rPr>
          <w:rFonts w:eastAsiaTheme="minorEastAsia"/>
          <w:sz w:val="28"/>
          <w:szCs w:val="28"/>
        </w:rPr>
        <w:t>采油过程中应定期对本项目内的油样和气样进行化验，及时调整应急物资。</w:t>
      </w:r>
    </w:p>
    <w:p>
      <w:pPr>
        <w:pStyle w:val="226"/>
        <w:numPr>
          <w:ilvl w:val="0"/>
          <w:numId w:val="13"/>
        </w:numPr>
        <w:autoSpaceDE w:val="0"/>
        <w:autoSpaceDN w:val="0"/>
        <w:spacing w:line="360" w:lineRule="auto"/>
        <w:ind w:left="0" w:firstLine="560"/>
        <w:rPr>
          <w:rFonts w:eastAsiaTheme="minorEastAsia"/>
          <w:sz w:val="28"/>
          <w:szCs w:val="28"/>
          <w:lang w:val="zh-CN"/>
        </w:rPr>
      </w:pPr>
      <w:r>
        <w:rPr>
          <w:rFonts w:eastAsiaTheme="minorEastAsia"/>
          <w:sz w:val="28"/>
          <w:szCs w:val="28"/>
          <w:lang w:val="zh-CN"/>
        </w:rPr>
        <w:t>依据《胜利油田承包商HSSE监督管理办法》（胜油局发〔2021〕43号）要求，注CO</w:t>
      </w:r>
      <w:r>
        <w:rPr>
          <w:rFonts w:eastAsiaTheme="minorEastAsia"/>
          <w:sz w:val="28"/>
          <w:szCs w:val="28"/>
          <w:vertAlign w:val="subscript"/>
          <w:lang w:val="zh-CN"/>
        </w:rPr>
        <w:t>2</w:t>
      </w:r>
      <w:r>
        <w:rPr>
          <w:rFonts w:eastAsiaTheme="minorEastAsia"/>
          <w:sz w:val="28"/>
          <w:szCs w:val="28"/>
          <w:lang w:val="zh-CN"/>
        </w:rPr>
        <w:t>作业过程中应加强对承包商的安全管理</w:t>
      </w:r>
      <w:r>
        <w:rPr>
          <w:rFonts w:hint="eastAsia" w:eastAsiaTheme="minorEastAsia"/>
          <w:sz w:val="28"/>
          <w:szCs w:val="28"/>
          <w:lang w:val="zh-CN"/>
        </w:rPr>
        <w:t>。</w:t>
      </w:r>
    </w:p>
    <w:p>
      <w:pPr>
        <w:pStyle w:val="226"/>
        <w:numPr>
          <w:ilvl w:val="0"/>
          <w:numId w:val="13"/>
        </w:numPr>
        <w:autoSpaceDE w:val="0"/>
        <w:autoSpaceDN w:val="0"/>
        <w:spacing w:line="360" w:lineRule="auto"/>
        <w:ind w:left="0" w:firstLine="560"/>
        <w:rPr>
          <w:rFonts w:eastAsiaTheme="minorEastAsia"/>
          <w:sz w:val="28"/>
          <w:szCs w:val="28"/>
          <w:lang w:val="zh-CN"/>
        </w:rPr>
      </w:pPr>
      <w:r>
        <w:rPr>
          <w:rFonts w:eastAsiaTheme="minorEastAsia"/>
          <w:sz w:val="28"/>
          <w:szCs w:val="28"/>
          <w:lang w:val="zh-CN"/>
        </w:rPr>
        <w:t>定期对油井槽内的可燃气体、有毒气体报警器进行检测，报警器报警时应尽快查明原因，进入油井槽内作业时要配备正压式空气呼吸器。</w:t>
      </w:r>
    </w:p>
    <w:p>
      <w:pPr>
        <w:pStyle w:val="226"/>
        <w:numPr>
          <w:ilvl w:val="0"/>
          <w:numId w:val="13"/>
        </w:numPr>
        <w:autoSpaceDE w:val="0"/>
        <w:autoSpaceDN w:val="0"/>
        <w:spacing w:line="360" w:lineRule="auto"/>
        <w:ind w:left="0" w:firstLine="560"/>
        <w:rPr>
          <w:rFonts w:eastAsiaTheme="minorEastAsia"/>
          <w:sz w:val="28"/>
          <w:szCs w:val="28"/>
          <w:lang w:val="zh-CN"/>
        </w:rPr>
      </w:pPr>
      <w:r>
        <w:rPr>
          <w:rFonts w:eastAsiaTheme="minorEastAsia"/>
          <w:sz w:val="28"/>
          <w:szCs w:val="28"/>
          <w:lang w:val="zh-CN"/>
        </w:rPr>
        <w:t>《胜利油田受限空间作业安全管理实施细则》（胜油局发〔2022〕96号）进入油井槽内作业时，应办理相应作业许可票</w:t>
      </w:r>
      <w:r>
        <w:rPr>
          <w:rFonts w:hint="eastAsia" w:eastAsiaTheme="minorEastAsia"/>
          <w:sz w:val="28"/>
          <w:szCs w:val="28"/>
          <w:lang w:val="zh-CN"/>
        </w:rPr>
        <w:t>证</w:t>
      </w:r>
      <w:r>
        <w:rPr>
          <w:rFonts w:eastAsiaTheme="minorEastAsia"/>
          <w:sz w:val="28"/>
          <w:szCs w:val="28"/>
          <w:lang w:val="zh-CN"/>
        </w:rPr>
        <w:t>。</w:t>
      </w:r>
    </w:p>
    <w:p>
      <w:pPr>
        <w:pStyle w:val="226"/>
        <w:numPr>
          <w:ilvl w:val="0"/>
          <w:numId w:val="13"/>
        </w:numPr>
        <w:autoSpaceDE w:val="0"/>
        <w:autoSpaceDN w:val="0"/>
        <w:spacing w:line="360" w:lineRule="auto"/>
        <w:ind w:left="0" w:firstLine="560"/>
        <w:rPr>
          <w:rFonts w:eastAsiaTheme="minorEastAsia"/>
          <w:sz w:val="28"/>
          <w:szCs w:val="28"/>
          <w:lang w:val="zh-CN"/>
        </w:rPr>
      </w:pPr>
      <w:r>
        <w:rPr>
          <w:sz w:val="28"/>
          <w:szCs w:val="28"/>
        </w:rPr>
        <w:t>建议定期检测硫化氢的含量，一旦硫化氢浓度超过安全限值，应按要求配备相应的应急物资，并加强员工的硫化氢防护知识培训，做好硫化氢应急预案，配备便携式硫化氢气体检测仪等设备。应在可能发生硫化氢泄漏的场所应设置醒目的中文警示标识，存在硫化氢的工作场所应在醒目位置设置硫化氢告知牌，装置醒目位置应设置风向标</w:t>
      </w:r>
      <w:r>
        <w:rPr>
          <w:rFonts w:hint="eastAsia"/>
          <w:sz w:val="28"/>
          <w:szCs w:val="28"/>
        </w:rPr>
        <w:t>。</w:t>
      </w:r>
    </w:p>
    <w:p>
      <w:pPr>
        <w:pStyle w:val="5"/>
        <w:rPr>
          <w:rFonts w:eastAsiaTheme="minorEastAsia"/>
        </w:rPr>
      </w:pPr>
      <w:r>
        <w:rPr>
          <w:rFonts w:eastAsiaTheme="minorEastAsia"/>
        </w:rPr>
        <w:t>7.3.5  井控安全管理建议</w:t>
      </w:r>
    </w:p>
    <w:p>
      <w:pPr>
        <w:autoSpaceDE w:val="0"/>
        <w:autoSpaceDN w:val="0"/>
        <w:ind w:firstLine="560"/>
        <w:rPr>
          <w:rFonts w:eastAsiaTheme="minorEastAsia"/>
          <w:color w:val="000000"/>
          <w:szCs w:val="28"/>
        </w:rPr>
      </w:pPr>
      <w:r>
        <w:rPr>
          <w:rFonts w:eastAsiaTheme="minorEastAsia"/>
          <w:color w:val="000000"/>
          <w:szCs w:val="28"/>
        </w:rPr>
        <w:t>1）井口装置齐全，性能可靠，防盗措施到位。采油井的开井、关井、日常管理及一般性维护措施要严格执行井口及其它井控装置的操作规程。</w:t>
      </w:r>
    </w:p>
    <w:p>
      <w:pPr>
        <w:autoSpaceDE w:val="0"/>
        <w:autoSpaceDN w:val="0"/>
        <w:ind w:firstLine="560"/>
        <w:rPr>
          <w:rFonts w:eastAsiaTheme="minorEastAsia"/>
          <w:color w:val="000000"/>
          <w:szCs w:val="28"/>
        </w:rPr>
      </w:pPr>
      <w:r>
        <w:rPr>
          <w:rFonts w:eastAsiaTheme="minorEastAsia"/>
          <w:color w:val="000000"/>
          <w:szCs w:val="28"/>
        </w:rPr>
        <w:t>2）油井生产过程中和油井关井后，严格执行巡检制度，定期检测录取油压、套压、油气比等数据资料，有异常及时向上级报告。</w:t>
      </w:r>
    </w:p>
    <w:p>
      <w:pPr>
        <w:autoSpaceDE w:val="0"/>
        <w:autoSpaceDN w:val="0"/>
        <w:ind w:firstLine="560"/>
        <w:rPr>
          <w:rFonts w:eastAsiaTheme="minorEastAsia"/>
          <w:color w:val="000000"/>
          <w:szCs w:val="28"/>
        </w:rPr>
      </w:pPr>
      <w:r>
        <w:rPr>
          <w:rFonts w:eastAsiaTheme="minorEastAsia"/>
          <w:color w:val="000000"/>
          <w:szCs w:val="28"/>
        </w:rPr>
        <w:t>3）油井清蜡、洗井、气举诱喷、生产测试、更换光杆及密封器等进行拆卸井口采油树的施工前，应对可能发生的压力变化进行预测，并编制相应井控安全要求及预防井喷措施。</w:t>
      </w:r>
    </w:p>
    <w:p>
      <w:pPr>
        <w:autoSpaceDE w:val="0"/>
        <w:autoSpaceDN w:val="0"/>
        <w:ind w:firstLine="560"/>
        <w:rPr>
          <w:rFonts w:eastAsiaTheme="minorEastAsia"/>
          <w:color w:val="000000"/>
          <w:szCs w:val="28"/>
        </w:rPr>
      </w:pPr>
      <w:r>
        <w:rPr>
          <w:rFonts w:eastAsiaTheme="minorEastAsia"/>
          <w:color w:val="000000"/>
          <w:szCs w:val="28"/>
        </w:rPr>
        <w:t>4）防喷器、节流压井管汇、内防喷工具（旋塞阀等）使用期满6个月或使用中出现问题，应由具有资质的井控车间进行维护、检测；使用期满3年应由具有资质的井控检测部门进行全面检测。检测部门出具合格证后方可使用。并对检测防喷器、旋塞阀打钢号。施工单位做好建立发放、使用及回检台帐。</w:t>
      </w:r>
    </w:p>
    <w:p>
      <w:pPr>
        <w:autoSpaceDE w:val="0"/>
        <w:autoSpaceDN w:val="0"/>
        <w:ind w:firstLine="560"/>
        <w:rPr>
          <w:rFonts w:eastAsiaTheme="minorEastAsia"/>
          <w:color w:val="000000"/>
          <w:szCs w:val="28"/>
        </w:rPr>
      </w:pPr>
      <w:r>
        <w:rPr>
          <w:rFonts w:eastAsiaTheme="minorEastAsia"/>
          <w:color w:val="000000"/>
          <w:szCs w:val="28"/>
        </w:rPr>
        <w:t>5）采油厂、井下作业管理中心、作业基层队应有专人负责井控装备管理，建立井控装备管理台帐，每月更新一次，内容包括：型号、使用队伍名称、投产日期、单位内编号、检测维修、报废与否等。作业班组每周对井控装备进行检查、保养、清洁一次，有记录。</w:t>
      </w:r>
    </w:p>
    <w:p>
      <w:pPr>
        <w:autoSpaceDE w:val="0"/>
        <w:autoSpaceDN w:val="0"/>
        <w:ind w:firstLine="560"/>
        <w:rPr>
          <w:rFonts w:eastAsiaTheme="minorEastAsia"/>
          <w:color w:val="000000"/>
          <w:szCs w:val="28"/>
        </w:rPr>
      </w:pPr>
      <w:r>
        <w:rPr>
          <w:rFonts w:eastAsiaTheme="minorEastAsia"/>
          <w:color w:val="000000"/>
          <w:szCs w:val="28"/>
        </w:rPr>
        <w:t>7）从事井下作业各级管理人员，设计编写、审核、审批人员，作业工程、技术人员、安全管理人员、现场施工、监督人员等必须进行井控培训，并持有中国石油化工集团公司井控培训机构颁发的相应级别</w:t>
      </w:r>
      <w:r>
        <w:rPr>
          <w:rFonts w:hint="eastAsia" w:eastAsiaTheme="minorEastAsia"/>
          <w:color w:val="000000"/>
          <w:szCs w:val="28"/>
        </w:rPr>
        <w:t>“</w:t>
      </w:r>
      <w:r>
        <w:rPr>
          <w:rFonts w:eastAsiaTheme="minorEastAsia"/>
          <w:color w:val="000000"/>
          <w:szCs w:val="28"/>
        </w:rPr>
        <w:t>井控培训合格证</w:t>
      </w:r>
      <w:r>
        <w:rPr>
          <w:rFonts w:hint="eastAsia" w:eastAsiaTheme="minorEastAsia"/>
          <w:color w:val="000000"/>
          <w:szCs w:val="28"/>
        </w:rPr>
        <w:t>”</w:t>
      </w:r>
      <w:r>
        <w:rPr>
          <w:rFonts w:eastAsiaTheme="minorEastAsia"/>
          <w:color w:val="000000"/>
          <w:szCs w:val="28"/>
        </w:rPr>
        <w:t>。</w:t>
      </w:r>
      <w:r>
        <w:rPr>
          <w:rFonts w:hint="eastAsia" w:eastAsiaTheme="minorEastAsia"/>
          <w:color w:val="000000"/>
          <w:szCs w:val="28"/>
        </w:rPr>
        <w:t>“</w:t>
      </w:r>
      <w:r>
        <w:rPr>
          <w:rFonts w:eastAsiaTheme="minorEastAsia"/>
          <w:color w:val="000000"/>
          <w:szCs w:val="28"/>
        </w:rPr>
        <w:t>井控培训合格证</w:t>
      </w:r>
      <w:r>
        <w:rPr>
          <w:rFonts w:hint="eastAsia" w:eastAsiaTheme="minorEastAsia"/>
          <w:color w:val="000000"/>
          <w:szCs w:val="28"/>
        </w:rPr>
        <w:t>”</w:t>
      </w:r>
      <w:r>
        <w:rPr>
          <w:rFonts w:eastAsiaTheme="minorEastAsia"/>
          <w:color w:val="000000"/>
          <w:szCs w:val="28"/>
        </w:rPr>
        <w:t>有效期为两年，到期应复审培训。</w:t>
      </w:r>
    </w:p>
    <w:p>
      <w:pPr>
        <w:autoSpaceDE w:val="0"/>
        <w:autoSpaceDN w:val="0"/>
        <w:ind w:firstLine="560"/>
        <w:rPr>
          <w:rFonts w:eastAsiaTheme="minorEastAsia"/>
          <w:color w:val="000000"/>
          <w:szCs w:val="28"/>
        </w:rPr>
      </w:pPr>
      <w:r>
        <w:rPr>
          <w:rFonts w:eastAsiaTheme="minorEastAsia"/>
          <w:color w:val="000000"/>
          <w:szCs w:val="28"/>
        </w:rPr>
        <w:t>8）按照《中国石油化工集团公司石油与天然气井井控管理规定》的要求，对井控管理提出以下建议：</w:t>
      </w:r>
    </w:p>
    <w:p>
      <w:pPr>
        <w:autoSpaceDE w:val="0"/>
        <w:autoSpaceDN w:val="0"/>
        <w:ind w:firstLine="560"/>
        <w:rPr>
          <w:rFonts w:eastAsiaTheme="minorEastAsia"/>
          <w:color w:val="000000"/>
          <w:szCs w:val="28"/>
        </w:rPr>
      </w:pPr>
      <w:r>
        <w:rPr>
          <w:rFonts w:eastAsiaTheme="minorEastAsia"/>
          <w:color w:val="000000"/>
          <w:szCs w:val="28"/>
        </w:rPr>
        <w:t>（1）进一步加大对井控工作的管理</w:t>
      </w:r>
    </w:p>
    <w:p>
      <w:pPr>
        <w:autoSpaceDE w:val="0"/>
        <w:autoSpaceDN w:val="0"/>
        <w:ind w:firstLine="560"/>
        <w:rPr>
          <w:rFonts w:eastAsiaTheme="minorEastAsia"/>
          <w:color w:val="000000"/>
          <w:szCs w:val="28"/>
        </w:rPr>
      </w:pPr>
      <w:r>
        <w:rPr>
          <w:rFonts w:eastAsiaTheme="minorEastAsia"/>
          <w:color w:val="000000"/>
          <w:szCs w:val="28"/>
        </w:rPr>
        <w:t>按照中石化和油田对井控工作的要求，公司应进一步建立健全井控管理制度，树立大井控的理念，要意识到井控不只是井下作业的井控，而是含盖勘探、地质、采油的井控，并应加大对井控管理工作的考核力度，促使井控管理工作落到实处。</w:t>
      </w:r>
    </w:p>
    <w:p>
      <w:pPr>
        <w:autoSpaceDE w:val="0"/>
        <w:autoSpaceDN w:val="0"/>
        <w:ind w:firstLine="560"/>
        <w:rPr>
          <w:rFonts w:eastAsiaTheme="minorEastAsia"/>
          <w:color w:val="000000"/>
          <w:szCs w:val="28"/>
        </w:rPr>
      </w:pPr>
      <w:r>
        <w:rPr>
          <w:rFonts w:eastAsiaTheme="minorEastAsia"/>
          <w:color w:val="000000"/>
          <w:szCs w:val="28"/>
        </w:rPr>
        <w:t>（2）全面落实年度计划，将井控管理工作落实到实处。</w:t>
      </w:r>
    </w:p>
    <w:p>
      <w:pPr>
        <w:autoSpaceDE w:val="0"/>
        <w:autoSpaceDN w:val="0"/>
        <w:ind w:firstLine="560"/>
        <w:rPr>
          <w:rFonts w:eastAsiaTheme="minorEastAsia"/>
          <w:color w:val="000000"/>
          <w:szCs w:val="28"/>
        </w:rPr>
      </w:pPr>
      <w:r>
        <w:rPr>
          <w:rFonts w:eastAsiaTheme="minorEastAsia"/>
          <w:color w:val="000000"/>
          <w:szCs w:val="28"/>
        </w:rPr>
        <w:t>公司应根据年度制定的人员培训、井控装备检测、井控应急演练、废弃井治理等年度计划，促进度，抓落实，将各项工作严格按照年度计划进行执行，加强考核，使公司井控管理工作落实到具体工作中。</w:t>
      </w:r>
    </w:p>
    <w:p>
      <w:pPr>
        <w:autoSpaceDE w:val="0"/>
        <w:autoSpaceDN w:val="0"/>
        <w:ind w:firstLine="560"/>
        <w:rPr>
          <w:rFonts w:eastAsiaTheme="minorEastAsia"/>
          <w:color w:val="000000"/>
          <w:szCs w:val="28"/>
        </w:rPr>
      </w:pPr>
      <w:r>
        <w:rPr>
          <w:rFonts w:eastAsiaTheme="minorEastAsia"/>
          <w:color w:val="000000"/>
          <w:szCs w:val="28"/>
        </w:rPr>
        <w:t>（3）加大对托管和外部作业队井控管理</w:t>
      </w:r>
    </w:p>
    <w:p>
      <w:pPr>
        <w:autoSpaceDE w:val="0"/>
        <w:autoSpaceDN w:val="0"/>
        <w:ind w:firstLine="560"/>
        <w:rPr>
          <w:rFonts w:eastAsiaTheme="minorEastAsia"/>
          <w:color w:val="000000"/>
          <w:szCs w:val="28"/>
        </w:rPr>
      </w:pPr>
      <w:r>
        <w:rPr>
          <w:rFonts w:eastAsiaTheme="minorEastAsia"/>
          <w:color w:val="000000"/>
          <w:szCs w:val="28"/>
        </w:rPr>
        <w:t>公司应坚持</w:t>
      </w:r>
      <w:r>
        <w:rPr>
          <w:rFonts w:hint="eastAsia" w:eastAsiaTheme="minorEastAsia"/>
          <w:color w:val="000000"/>
          <w:szCs w:val="28"/>
        </w:rPr>
        <w:t>“</w:t>
      </w:r>
      <w:r>
        <w:rPr>
          <w:rFonts w:eastAsiaTheme="minorEastAsia"/>
          <w:color w:val="000000"/>
          <w:szCs w:val="28"/>
        </w:rPr>
        <w:t>谁主管，谁负责</w:t>
      </w:r>
      <w:r>
        <w:rPr>
          <w:rFonts w:hint="eastAsia" w:eastAsiaTheme="minorEastAsia"/>
          <w:color w:val="000000"/>
          <w:szCs w:val="28"/>
        </w:rPr>
        <w:t>”</w:t>
      </w:r>
      <w:r>
        <w:rPr>
          <w:rFonts w:eastAsiaTheme="minorEastAsia"/>
          <w:color w:val="000000"/>
          <w:szCs w:val="28"/>
        </w:rPr>
        <w:t>、</w:t>
      </w:r>
      <w:r>
        <w:rPr>
          <w:rFonts w:hint="eastAsia" w:eastAsiaTheme="minorEastAsia"/>
          <w:color w:val="000000"/>
          <w:szCs w:val="28"/>
        </w:rPr>
        <w:t>“</w:t>
      </w:r>
      <w:r>
        <w:rPr>
          <w:rFonts w:eastAsiaTheme="minorEastAsia"/>
          <w:color w:val="000000"/>
          <w:szCs w:val="28"/>
        </w:rPr>
        <w:t>谁引进，谁负责</w:t>
      </w:r>
      <w:r>
        <w:rPr>
          <w:rFonts w:hint="eastAsia" w:eastAsiaTheme="minorEastAsia"/>
          <w:color w:val="000000"/>
          <w:szCs w:val="28"/>
        </w:rPr>
        <w:t>”</w:t>
      </w:r>
      <w:r>
        <w:rPr>
          <w:rFonts w:eastAsiaTheme="minorEastAsia"/>
          <w:color w:val="000000"/>
          <w:szCs w:val="28"/>
        </w:rPr>
        <w:t>的原则，在监督检查、考核上进一步加强，认真做好托管单位和外部作业队的井控管理工作。对托管和外部作业队要进一步强化实战演练水平，在井控检查过程中，突出各种工况条件下的井控演练，提高职工的井控意识和操作能力。</w:t>
      </w:r>
    </w:p>
    <w:p>
      <w:pPr>
        <w:autoSpaceDE w:val="0"/>
        <w:autoSpaceDN w:val="0"/>
        <w:ind w:firstLine="560"/>
        <w:rPr>
          <w:rFonts w:eastAsiaTheme="minorEastAsia"/>
          <w:color w:val="000000"/>
          <w:szCs w:val="28"/>
        </w:rPr>
      </w:pPr>
      <w:r>
        <w:rPr>
          <w:rFonts w:eastAsiaTheme="minorEastAsia"/>
          <w:color w:val="000000"/>
          <w:szCs w:val="28"/>
        </w:rPr>
        <w:t>（4）组织《胜利油田分公司井控管理规定》宣贯学习，深刻领会规程、规范的精髓。进一步规范井控资料管理，加大采油井控应急演练的力度，落实采油井控措施到位等内容，建立井控管理长效工作机制，努力规范井控管理工作，提高井控管理水平，杜绝井控事故发生，保障公司安全生产。</w:t>
      </w:r>
    </w:p>
    <w:p>
      <w:pPr>
        <w:spacing w:before="60" w:beforeLines="25" w:after="60" w:afterLines="25"/>
        <w:ind w:firstLine="560"/>
        <w:rPr>
          <w:rFonts w:eastAsiaTheme="minorEastAsia"/>
          <w:szCs w:val="28"/>
        </w:rPr>
        <w:sectPr>
          <w:footerReference r:id="rId19" w:type="default"/>
          <w:pgSz w:w="11906" w:h="16838"/>
          <w:pgMar w:top="1985" w:right="1814" w:bottom="1985" w:left="1814" w:header="1389" w:footer="992" w:gutter="0"/>
          <w:pgBorders>
            <w:top w:val="none" w:sz="0" w:space="0"/>
            <w:left w:val="none" w:sz="0" w:space="0"/>
            <w:bottom w:val="none" w:sz="0" w:space="0"/>
            <w:right w:val="none" w:sz="0" w:space="0"/>
          </w:pgBorders>
          <w:cols w:space="720" w:num="1"/>
          <w:docGrid w:linePitch="381" w:charSpace="0"/>
        </w:sectPr>
      </w:pPr>
    </w:p>
    <w:p>
      <w:pPr>
        <w:pStyle w:val="2"/>
        <w:rPr>
          <w:rFonts w:eastAsiaTheme="minorEastAsia"/>
        </w:rPr>
      </w:pPr>
      <w:bookmarkStart w:id="267" w:name="_Toc341963444"/>
      <w:bookmarkStart w:id="268" w:name="_Toc522018288"/>
      <w:bookmarkStart w:id="269" w:name="_Toc41742655"/>
      <w:bookmarkStart w:id="270" w:name="_Toc9602"/>
      <w:r>
        <w:rPr>
          <w:rFonts w:eastAsiaTheme="minorEastAsia"/>
        </w:rPr>
        <w:t>8  评价结论</w:t>
      </w:r>
      <w:bookmarkEnd w:id="267"/>
      <w:bookmarkEnd w:id="268"/>
      <w:bookmarkEnd w:id="269"/>
      <w:bookmarkEnd w:id="270"/>
    </w:p>
    <w:p>
      <w:pPr>
        <w:ind w:firstLine="560"/>
        <w:rPr>
          <w:rFonts w:eastAsiaTheme="minorEastAsia"/>
          <w:szCs w:val="28"/>
        </w:rPr>
      </w:pPr>
      <w:r>
        <w:rPr>
          <w:rFonts w:eastAsiaTheme="minorEastAsia"/>
          <w:szCs w:val="28"/>
        </w:rPr>
        <w:t>评价项目组在对东辛采油厂东辛油田营1-斜118块馆三产能建设工程存在的危险、有害因素进行全面分析的基础上，运用了安全检查表法、预先危险性分析法分别对工程进行了分析评价，并提出了减少危险发生的相应对策措施。</w:t>
      </w:r>
    </w:p>
    <w:p>
      <w:pPr>
        <w:pStyle w:val="3"/>
        <w:rPr>
          <w:rFonts w:eastAsiaTheme="minorEastAsia"/>
          <w:bCs w:val="0"/>
        </w:rPr>
      </w:pPr>
      <w:bookmarkStart w:id="271" w:name="_Toc341963445"/>
      <w:bookmarkStart w:id="272" w:name="_Toc29017"/>
      <w:bookmarkStart w:id="273" w:name="_Toc522018289"/>
      <w:bookmarkStart w:id="274" w:name="_Toc41742656"/>
      <w:r>
        <w:rPr>
          <w:rFonts w:eastAsiaTheme="minorEastAsia"/>
        </w:rPr>
        <w:t>8.1  安全评价结果</w:t>
      </w:r>
      <w:bookmarkEnd w:id="271"/>
      <w:bookmarkEnd w:id="272"/>
      <w:bookmarkEnd w:id="273"/>
      <w:bookmarkEnd w:id="274"/>
    </w:p>
    <w:p>
      <w:pPr>
        <w:ind w:firstLine="560"/>
        <w:rPr>
          <w:rFonts w:eastAsiaTheme="minorEastAsia"/>
        </w:rPr>
      </w:pPr>
      <w:r>
        <w:rPr>
          <w:rFonts w:eastAsiaTheme="minorEastAsia"/>
        </w:rPr>
        <w:t>1）本项目涉及的主要物质有原油、天然气、二氧化碳等。</w:t>
      </w:r>
    </w:p>
    <w:p>
      <w:pPr>
        <w:ind w:firstLine="560"/>
        <w:rPr>
          <w:rFonts w:eastAsiaTheme="minorEastAsia"/>
          <w:szCs w:val="28"/>
        </w:rPr>
      </w:pPr>
      <w:r>
        <w:rPr>
          <w:rFonts w:eastAsiaTheme="minorEastAsia"/>
          <w:szCs w:val="28"/>
        </w:rPr>
        <w:t>2）本工程在钻井过程中可能发生井喷失控、车辆伤害、物体打击、机械伤害、触电、起重伤害、高处坠落、中毒和窒息等；</w:t>
      </w:r>
    </w:p>
    <w:p>
      <w:pPr>
        <w:ind w:firstLine="560"/>
        <w:rPr>
          <w:rFonts w:eastAsiaTheme="minorEastAsia"/>
          <w:szCs w:val="28"/>
        </w:rPr>
      </w:pPr>
      <w:r>
        <w:rPr>
          <w:rFonts w:eastAsiaTheme="minorEastAsia"/>
          <w:szCs w:val="28"/>
        </w:rPr>
        <w:t>在井下作业过程中可能发生井喷、火灾、爆炸、机械伤害、物体打击、高处坠落、中毒和窒息、触电、车辆伤害、起重伤害、坍塌等；</w:t>
      </w:r>
    </w:p>
    <w:p>
      <w:pPr>
        <w:ind w:firstLine="560"/>
        <w:rPr>
          <w:rFonts w:eastAsiaTheme="minorEastAsia"/>
          <w:szCs w:val="28"/>
        </w:rPr>
      </w:pPr>
      <w:r>
        <w:rPr>
          <w:rFonts w:eastAsiaTheme="minorEastAsia"/>
          <w:szCs w:val="28"/>
        </w:rPr>
        <w:t>在地面工程施工过程中可能发生火灾、爆炸、物体打击、触电、机械伤害、高处坠落、起重伤害、车辆伤害等；</w:t>
      </w:r>
    </w:p>
    <w:p>
      <w:pPr>
        <w:ind w:firstLine="560"/>
        <w:rPr>
          <w:rFonts w:eastAsiaTheme="minorEastAsia"/>
          <w:szCs w:val="28"/>
        </w:rPr>
      </w:pPr>
      <w:r>
        <w:rPr>
          <w:rFonts w:eastAsiaTheme="minorEastAsia"/>
          <w:szCs w:val="28"/>
        </w:rPr>
        <w:t>在生产过程中可能发生井喷、火灾、爆炸、物体打击、机械伤害、触电、高处坠落、中毒和窒息等。</w:t>
      </w:r>
    </w:p>
    <w:p>
      <w:pPr>
        <w:ind w:firstLine="560"/>
        <w:rPr>
          <w:rFonts w:eastAsiaTheme="minorEastAsia"/>
          <w:bCs/>
          <w:szCs w:val="28"/>
        </w:rPr>
      </w:pPr>
      <w:r>
        <w:rPr>
          <w:rFonts w:eastAsiaTheme="minorEastAsia"/>
          <w:szCs w:val="28"/>
        </w:rPr>
        <w:t>3）</w:t>
      </w:r>
      <w:r>
        <w:rPr>
          <w:rFonts w:eastAsiaTheme="minorEastAsia"/>
          <w:bCs/>
          <w:szCs w:val="28"/>
        </w:rPr>
        <w:t>自然环境中存在的主要危险有害因素为气温、地震和腐蚀等，</w:t>
      </w:r>
      <w:r>
        <w:rPr>
          <w:rFonts w:eastAsiaTheme="minorEastAsia"/>
          <w:szCs w:val="28"/>
        </w:rPr>
        <w:t>自然条件中的不利因素在本区无明显突出现象，均可通过一定的技术和管理措施得到有效控制。社会环境中可能存在的第三方破坏会对本项目造成影响，本项目的原油、天然气以及设备设施等也会对周边人员产生影响。</w:t>
      </w:r>
    </w:p>
    <w:p>
      <w:pPr>
        <w:ind w:firstLine="560"/>
        <w:rPr>
          <w:rFonts w:eastAsiaTheme="minorEastAsia"/>
          <w:bCs/>
          <w:szCs w:val="28"/>
        </w:rPr>
      </w:pPr>
      <w:r>
        <w:rPr>
          <w:rFonts w:eastAsiaTheme="minorEastAsia"/>
          <w:szCs w:val="28"/>
        </w:rPr>
        <w:t>4）经过重大危险源辨识，本工程不涉及重大危险源</w:t>
      </w:r>
    </w:p>
    <w:p>
      <w:pPr>
        <w:ind w:firstLine="560"/>
        <w:rPr>
          <w:rFonts w:eastAsiaTheme="minorEastAsia"/>
          <w:szCs w:val="28"/>
        </w:rPr>
      </w:pPr>
      <w:r>
        <w:rPr>
          <w:rFonts w:eastAsiaTheme="minorEastAsia"/>
          <w:szCs w:val="28"/>
        </w:rPr>
        <w:t>5）运用安全检查表法对该工程进行检查，各检查项符合标准规范的要求，设备选型合理，管线路由，安全管理规范，对于可研未提及到的内容本报告在安全对策措施中提出了建议。</w:t>
      </w:r>
    </w:p>
    <w:p>
      <w:pPr>
        <w:ind w:firstLine="560"/>
        <w:rPr>
          <w:rFonts w:eastAsiaTheme="minorEastAsia"/>
          <w:szCs w:val="28"/>
        </w:rPr>
      </w:pPr>
      <w:r>
        <w:rPr>
          <w:rFonts w:eastAsiaTheme="minorEastAsia"/>
          <w:szCs w:val="28"/>
        </w:rPr>
        <w:t>6）</w:t>
      </w:r>
      <w:r>
        <w:rPr>
          <w:rFonts w:eastAsiaTheme="minorEastAsia"/>
          <w:bCs/>
          <w:szCs w:val="28"/>
        </w:rPr>
        <w:t>根据预先危险性分析结果，本工程可能发生的事故类别有</w:t>
      </w:r>
      <w:r>
        <w:rPr>
          <w:rFonts w:eastAsiaTheme="minorEastAsia"/>
          <w:color w:val="000000"/>
          <w:szCs w:val="28"/>
        </w:rPr>
        <w:t>井喷、井喷失控、井喷失控着火、高压管汇事故、受力物故障事故、钻具脱扣断裂、卡钻顿钻、放射性危险、测井仪器卡或落井、</w:t>
      </w:r>
      <w:r>
        <w:rPr>
          <w:rFonts w:eastAsiaTheme="minorEastAsia"/>
          <w:bCs/>
          <w:color w:val="000000"/>
          <w:szCs w:val="28"/>
        </w:rPr>
        <w:t>机械伤害、高处坠落、火灾爆炸、物体打击、中毒和窒息、管线凝管、</w:t>
      </w:r>
      <w:r>
        <w:rPr>
          <w:rFonts w:eastAsiaTheme="minorEastAsia"/>
          <w:color w:val="000000"/>
          <w:szCs w:val="28"/>
        </w:rPr>
        <w:t>触电、电气火灾、坍塌、车辆伤害、起重伤害</w:t>
      </w:r>
      <w:r>
        <w:rPr>
          <w:rFonts w:eastAsiaTheme="minorEastAsia"/>
          <w:bCs/>
          <w:color w:val="000000"/>
          <w:szCs w:val="28"/>
        </w:rPr>
        <w:t>等</w:t>
      </w:r>
      <w:r>
        <w:rPr>
          <w:rFonts w:eastAsiaTheme="minorEastAsia"/>
          <w:bCs/>
          <w:szCs w:val="28"/>
        </w:rPr>
        <w:t>。</w:t>
      </w:r>
      <w:r>
        <w:rPr>
          <w:rFonts w:eastAsiaTheme="minorEastAsia"/>
          <w:szCs w:val="28"/>
        </w:rPr>
        <w:t>事故后果最严重的是</w:t>
      </w:r>
      <w:r>
        <w:rPr>
          <w:rFonts w:eastAsiaTheme="minorEastAsia"/>
          <w:color w:val="000000"/>
          <w:szCs w:val="28"/>
        </w:rPr>
        <w:t>井喷、井喷失控、</w:t>
      </w:r>
      <w:r>
        <w:rPr>
          <w:rFonts w:eastAsiaTheme="minorEastAsia"/>
          <w:szCs w:val="28"/>
        </w:rPr>
        <w:t>火灾爆炸、物体打击，其危险性等级均为Ⅲ级，一旦发生，可能会造成个别人员的伤亡和较大的经济损失，应当作为本工程安全防范的重点。</w:t>
      </w:r>
    </w:p>
    <w:p>
      <w:pPr>
        <w:pStyle w:val="3"/>
        <w:rPr>
          <w:rFonts w:eastAsiaTheme="minorEastAsia"/>
          <w:bCs w:val="0"/>
        </w:rPr>
      </w:pPr>
      <w:bookmarkStart w:id="275" w:name="_Toc41742657"/>
      <w:bookmarkStart w:id="276" w:name="_Toc522018290"/>
      <w:bookmarkStart w:id="277" w:name="_Toc341963446"/>
      <w:bookmarkStart w:id="278" w:name="_Toc10127"/>
      <w:r>
        <w:rPr>
          <w:rFonts w:eastAsiaTheme="minorEastAsia"/>
        </w:rPr>
        <w:t>8.2  安全评价结论</w:t>
      </w:r>
      <w:bookmarkEnd w:id="275"/>
      <w:bookmarkEnd w:id="276"/>
      <w:bookmarkEnd w:id="277"/>
      <w:bookmarkEnd w:id="278"/>
    </w:p>
    <w:p>
      <w:pPr>
        <w:ind w:firstLine="560"/>
        <w:rPr>
          <w:rFonts w:eastAsiaTheme="minorEastAsia"/>
          <w:szCs w:val="28"/>
        </w:rPr>
      </w:pPr>
      <w:r>
        <w:rPr>
          <w:rFonts w:eastAsiaTheme="minorEastAsia"/>
          <w:szCs w:val="28"/>
        </w:rPr>
        <w:t>该工程选用工艺成熟、井场区域位置合理、设备选型符合要求，可行性研究报告中提出了部分安全设施的设计内容及设计原则，但内容还不完善，在下一步的设计中应结合本报告第七章提出的安全对策措施，进行补充与完善。这些安全对策措施的全面落实，将为安全生产创造必要的物质技术条件，生产过程中应重点防范井口槽的风险、重视安全对策措施，建设项目潜在的危险、有害因素可以得到控制。</w:t>
      </w:r>
    </w:p>
    <w:p>
      <w:pPr>
        <w:ind w:firstLine="560"/>
        <w:rPr>
          <w:rFonts w:eastAsiaTheme="minorEastAsia"/>
          <w:color w:val="000000" w:themeColor="text1"/>
          <w14:textFill>
            <w14:solidFill>
              <w14:schemeClr w14:val="tx1"/>
            </w14:solidFill>
          </w14:textFill>
        </w:rPr>
      </w:pPr>
      <w:r>
        <w:rPr>
          <w:rFonts w:eastAsiaTheme="minorEastAsia"/>
          <w:color w:val="000000" w:themeColor="text1"/>
          <w14:textFill>
            <w14:solidFill>
              <w14:schemeClr w14:val="tx1"/>
            </w14:solidFill>
          </w14:textFill>
        </w:rPr>
        <w:t>综上所述，本评价报告认为在落实和完善可研和评价报告中提出的安全措施和建议后，安全生产条件符合法律、法规、标准、规范的相关要求。</w:t>
      </w:r>
    </w:p>
    <w:p>
      <w:pPr>
        <w:ind w:firstLine="560"/>
        <w:rPr>
          <w:rFonts w:eastAsiaTheme="minorEastAsia"/>
          <w:color w:val="000000" w:themeColor="text1"/>
          <w14:textFill>
            <w14:solidFill>
              <w14:schemeClr w14:val="tx1"/>
            </w14:solidFill>
          </w14:textFill>
        </w:rPr>
      </w:pPr>
    </w:p>
    <w:p>
      <w:pPr>
        <w:ind w:firstLine="560"/>
        <w:rPr>
          <w:rFonts w:eastAsiaTheme="minorEastAsia"/>
          <w:szCs w:val="28"/>
        </w:rPr>
        <w:sectPr>
          <w:footerReference r:id="rId20" w:type="default"/>
          <w:pgSz w:w="11906" w:h="16838"/>
          <w:pgMar w:top="1985" w:right="1814" w:bottom="1985" w:left="1814" w:header="1389" w:footer="992" w:gutter="0"/>
          <w:pgBorders>
            <w:top w:val="none" w:sz="0" w:space="0"/>
            <w:left w:val="none" w:sz="0" w:space="0"/>
            <w:bottom w:val="none" w:sz="0" w:space="0"/>
            <w:right w:val="none" w:sz="0" w:space="0"/>
          </w:pgBorders>
          <w:cols w:space="720" w:num="1"/>
          <w:docGrid w:linePitch="381" w:charSpace="0"/>
        </w:sectPr>
      </w:pPr>
    </w:p>
    <w:p>
      <w:pPr>
        <w:ind w:firstLine="0" w:firstLineChars="0"/>
        <w:jc w:val="center"/>
        <w:outlineLvl w:val="0"/>
        <w:rPr>
          <w:rFonts w:eastAsiaTheme="minorEastAsia"/>
          <w:b/>
          <w:snapToGrid/>
          <w:kern w:val="2"/>
          <w:sz w:val="36"/>
        </w:rPr>
      </w:pPr>
      <w:bookmarkStart w:id="279" w:name="_Toc438039477"/>
      <w:bookmarkStart w:id="280" w:name="_Toc22832"/>
      <w:r>
        <w:rPr>
          <w:rFonts w:eastAsiaTheme="minorEastAsia"/>
          <w:b/>
          <w:snapToGrid/>
          <w:kern w:val="2"/>
          <w:sz w:val="36"/>
        </w:rPr>
        <w:t>附表1  原油的</w:t>
      </w:r>
      <w:bookmarkEnd w:id="279"/>
      <w:r>
        <w:rPr>
          <w:rFonts w:eastAsiaTheme="minorEastAsia"/>
          <w:b/>
          <w:snapToGrid/>
          <w:kern w:val="2"/>
          <w:sz w:val="36"/>
        </w:rPr>
        <w:t>危险特性表</w:t>
      </w:r>
      <w:bookmarkEnd w:id="280"/>
    </w:p>
    <w:tbl>
      <w:tblPr>
        <w:tblStyle w:val="45"/>
        <w:tblW w:w="8494" w:type="dxa"/>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1167"/>
        <w:gridCol w:w="1879"/>
        <w:gridCol w:w="195"/>
        <w:gridCol w:w="505"/>
        <w:gridCol w:w="600"/>
        <w:gridCol w:w="690"/>
        <w:gridCol w:w="2183"/>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275" w:type="dxa"/>
            <w:vMerge w:val="restart"/>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标识</w:t>
            </w:r>
          </w:p>
        </w:tc>
        <w:tc>
          <w:tcPr>
            <w:tcW w:w="3241" w:type="dxa"/>
            <w:gridSpan w:val="3"/>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中文名：原油</w:t>
            </w:r>
          </w:p>
        </w:tc>
        <w:tc>
          <w:tcPr>
            <w:tcW w:w="397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英文名称crude oil；Petroleum</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5"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3241" w:type="dxa"/>
            <w:gridSpan w:val="3"/>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p>
        </w:tc>
        <w:tc>
          <w:tcPr>
            <w:tcW w:w="1795" w:type="dxa"/>
            <w:gridSpan w:val="3"/>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UN编号：1267</w:t>
            </w:r>
          </w:p>
        </w:tc>
        <w:tc>
          <w:tcPr>
            <w:tcW w:w="2183" w:type="dxa"/>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CAS NO.： 8002-05-9</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75" w:type="dxa"/>
            <w:vMerge w:val="restart"/>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理化性质</w:t>
            </w:r>
          </w:p>
        </w:tc>
        <w:tc>
          <w:tcPr>
            <w:tcW w:w="7219" w:type="dxa"/>
            <w:gridSpan w:val="7"/>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外观与气味：黄色乃至黑色，有绿色荧光的稠厚性油状液体。</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275"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3241" w:type="dxa"/>
            <w:gridSpan w:val="3"/>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熔点（℃）：无资料</w:t>
            </w:r>
          </w:p>
        </w:tc>
        <w:tc>
          <w:tcPr>
            <w:tcW w:w="397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溶解性：不溶于水，溶于多种有机溶剂</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275"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3241" w:type="dxa"/>
            <w:gridSpan w:val="3"/>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沸点（℃）：自常温至500℃以上</w:t>
            </w:r>
          </w:p>
        </w:tc>
        <w:tc>
          <w:tcPr>
            <w:tcW w:w="397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相对密度（水=1）：0.78～0.97</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5"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3241" w:type="dxa"/>
            <w:gridSpan w:val="3"/>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燃烧热（kj/mol）:无资料</w:t>
            </w:r>
          </w:p>
        </w:tc>
        <w:tc>
          <w:tcPr>
            <w:tcW w:w="397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相对密度（空气=1）：无资料</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75" w:type="dxa"/>
            <w:vMerge w:val="restart"/>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燃烧爆炸危险性</w:t>
            </w:r>
          </w:p>
        </w:tc>
        <w:tc>
          <w:tcPr>
            <w:tcW w:w="3241" w:type="dxa"/>
            <w:gridSpan w:val="3"/>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燃烧性：易燃</w:t>
            </w:r>
          </w:p>
        </w:tc>
        <w:tc>
          <w:tcPr>
            <w:tcW w:w="397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燃烧分解产物：CO、CO</w:t>
            </w:r>
            <w:r>
              <w:rPr>
                <w:rFonts w:eastAsiaTheme="minorEastAsia"/>
                <w:snapToGrid/>
                <w:kern w:val="2"/>
                <w:sz w:val="21"/>
                <w:szCs w:val="21"/>
                <w:vertAlign w:val="subscript"/>
              </w:rPr>
              <w:t>2</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275"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3241" w:type="dxa"/>
            <w:gridSpan w:val="3"/>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闪点（℃）：--</w:t>
            </w:r>
          </w:p>
        </w:tc>
        <w:tc>
          <w:tcPr>
            <w:tcW w:w="397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聚合危害：不能出现</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275"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3241" w:type="dxa"/>
            <w:gridSpan w:val="3"/>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爆炸极限）V%）：1.1～8.7</w:t>
            </w:r>
          </w:p>
        </w:tc>
        <w:tc>
          <w:tcPr>
            <w:tcW w:w="397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自燃温度（℃）：350</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275"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3241" w:type="dxa"/>
            <w:gridSpan w:val="3"/>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火灾危险性分类：甲</w:t>
            </w:r>
            <w:r>
              <w:rPr>
                <w:rFonts w:eastAsiaTheme="minorEastAsia"/>
                <w:snapToGrid/>
                <w:kern w:val="2"/>
                <w:sz w:val="21"/>
                <w:szCs w:val="21"/>
                <w:vertAlign w:val="subscript"/>
              </w:rPr>
              <w:t>B</w:t>
            </w:r>
          </w:p>
        </w:tc>
        <w:tc>
          <w:tcPr>
            <w:tcW w:w="397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物质危险性类别：中闪点易燃液体</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275"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7219" w:type="dxa"/>
            <w:gridSpan w:val="7"/>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危险特性：其蒸气与空气形成爆炸性混合物，遇明火、高热能引起燃烧爆炸。若遇高热分解出有毒的烟雾。其燃烧、爆炸危险性与轻汽油相似。</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275"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7219" w:type="dxa"/>
            <w:gridSpan w:val="7"/>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灭火剂：泡沫、干粉、二氧化碳、砂土，用水灭火无效。</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275" w:type="dxa"/>
            <w:vMerge w:val="restart"/>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健康危害</w:t>
            </w:r>
          </w:p>
        </w:tc>
        <w:tc>
          <w:tcPr>
            <w:tcW w:w="3746"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毒性：500～5000mg/kg（哺乳动物吸入）</w:t>
            </w:r>
          </w:p>
        </w:tc>
        <w:tc>
          <w:tcPr>
            <w:tcW w:w="3473" w:type="dxa"/>
            <w:gridSpan w:val="3"/>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毒物侵入途径：吸入、食入、经皮吸收</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1275"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7219" w:type="dxa"/>
            <w:gridSpan w:val="7"/>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原油本身无明显毒性。其不同的产品和中间产品表现出不同的毒性。遇热分解释出有毒的烟雾。吸入大量蒸气能引起神经麻痹。</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1275" w:type="dxa"/>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操作处置</w:t>
            </w:r>
          </w:p>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注意事项</w:t>
            </w:r>
          </w:p>
        </w:tc>
        <w:tc>
          <w:tcPr>
            <w:tcW w:w="7219" w:type="dxa"/>
            <w:gridSpan w:val="7"/>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生产过程密闭，全面通风。提供安全淋浴和洗眼设备。高浓度环境中，应该佩戴防毒口罩。紧急事态抢救或撤离时，建议佩戴自给式呼吸器。戴化学安全防护眼镜，穿防腐工作服，戴橡胶手套。工作后淋浴更衣，注意个人清洁卫生。</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1708" w:hRule="atLeast"/>
        </w:trPr>
        <w:tc>
          <w:tcPr>
            <w:tcW w:w="1275" w:type="dxa"/>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泄漏紧急</w:t>
            </w:r>
          </w:p>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处理</w:t>
            </w:r>
          </w:p>
        </w:tc>
        <w:tc>
          <w:tcPr>
            <w:tcW w:w="7219" w:type="dxa"/>
            <w:gridSpan w:val="7"/>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迅速撤离泄漏污染区人员至安全区，禁止无关人员进入污染区，切断火源。应急处理人员戴自给正压式呼吸器，穿一般消防防护服。在确保安全情况下堵漏。喷水雾可减少蒸发。用活性炭或其它惰性材料吸收，然后收集运至废物处理场所。也可以用大量水冲洗，经稀释的洗液放入废水系统。如大量泄漏，利用围堤收容，然后收集、转移、回收或无害处理后废弃。</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1275" w:type="dxa"/>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储存注意</w:t>
            </w:r>
          </w:p>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事项</w:t>
            </w:r>
          </w:p>
        </w:tc>
        <w:tc>
          <w:tcPr>
            <w:tcW w:w="7219" w:type="dxa"/>
            <w:gridSpan w:val="7"/>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储存于阴凉、通风仓间内。远离火种、热源。仓温不宜超过30度。防止阳光直射。保持容器密封，应与氧化剂分开存放，储存间内的照明、通风等设施应采用防爆型。配备相应品种和数量的消防器材。罐储时要有防火防爆技术措施。禁止使用易产生火花的机械设备和工具。灌装时注意流速）不超过3m／s），且有接地装置，防止静电积聚。搬运时要轻装轻卸，防止包装及容器损坏。</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5" w:type="dxa"/>
            <w:vMerge w:val="restart"/>
            <w:vAlign w:val="center"/>
          </w:tcPr>
          <w:p>
            <w:pPr>
              <w:spacing w:before="60" w:beforeLines="25" w:after="60" w:afterLines="25" w:line="240" w:lineRule="auto"/>
              <w:ind w:firstLine="0" w:firstLineChars="0"/>
              <w:jc w:val="center"/>
              <w:rPr>
                <w:rFonts w:eastAsiaTheme="minorEastAsia"/>
                <w:snapToGrid/>
                <w:color w:val="000000"/>
                <w:kern w:val="2"/>
                <w:sz w:val="21"/>
                <w:szCs w:val="21"/>
              </w:rPr>
            </w:pPr>
            <w:r>
              <w:rPr>
                <w:rFonts w:eastAsiaTheme="minorEastAsia"/>
                <w:snapToGrid/>
                <w:color w:val="000000"/>
                <w:kern w:val="2"/>
                <w:sz w:val="21"/>
                <w:szCs w:val="21"/>
              </w:rPr>
              <w:t>个体防护</w:t>
            </w:r>
          </w:p>
        </w:tc>
        <w:tc>
          <w:tcPr>
            <w:tcW w:w="1167" w:type="dxa"/>
            <w:vAlign w:val="center"/>
          </w:tcPr>
          <w:p>
            <w:pPr>
              <w:spacing w:before="60" w:beforeLines="25" w:after="60" w:afterLines="25" w:line="240" w:lineRule="auto"/>
              <w:ind w:firstLine="0" w:firstLineChars="0"/>
              <w:rPr>
                <w:rFonts w:eastAsiaTheme="minorEastAsia"/>
                <w:snapToGrid/>
                <w:color w:val="000000"/>
                <w:kern w:val="2"/>
                <w:sz w:val="21"/>
                <w:szCs w:val="21"/>
              </w:rPr>
            </w:pPr>
            <w:r>
              <w:rPr>
                <w:rFonts w:eastAsiaTheme="minorEastAsia"/>
                <w:snapToGrid/>
                <w:color w:val="000000"/>
                <w:kern w:val="2"/>
                <w:sz w:val="21"/>
                <w:szCs w:val="21"/>
              </w:rPr>
              <w:t>工程控制</w:t>
            </w:r>
          </w:p>
        </w:tc>
        <w:tc>
          <w:tcPr>
            <w:tcW w:w="1879" w:type="dxa"/>
            <w:vAlign w:val="center"/>
          </w:tcPr>
          <w:p>
            <w:pPr>
              <w:spacing w:before="60" w:beforeLines="25" w:after="60" w:afterLines="25" w:line="240" w:lineRule="auto"/>
              <w:ind w:firstLine="0" w:firstLineChars="0"/>
              <w:rPr>
                <w:rFonts w:eastAsiaTheme="minorEastAsia"/>
                <w:snapToGrid/>
                <w:color w:val="000000"/>
                <w:kern w:val="2"/>
                <w:sz w:val="21"/>
                <w:szCs w:val="21"/>
              </w:rPr>
            </w:pPr>
            <w:r>
              <w:rPr>
                <w:rFonts w:eastAsiaTheme="minorEastAsia"/>
                <w:snapToGrid/>
                <w:color w:val="000000"/>
                <w:kern w:val="2"/>
                <w:sz w:val="21"/>
                <w:szCs w:val="21"/>
              </w:rPr>
              <w:t>生产过程密闭，全面通风。</w:t>
            </w:r>
          </w:p>
        </w:tc>
        <w:tc>
          <w:tcPr>
            <w:tcW w:w="1300" w:type="dxa"/>
            <w:gridSpan w:val="3"/>
            <w:vAlign w:val="center"/>
          </w:tcPr>
          <w:p>
            <w:pPr>
              <w:spacing w:before="60" w:beforeLines="25" w:after="60" w:afterLines="25" w:line="240" w:lineRule="auto"/>
              <w:ind w:firstLine="0" w:firstLineChars="0"/>
              <w:rPr>
                <w:rFonts w:eastAsiaTheme="minorEastAsia"/>
                <w:snapToGrid/>
                <w:color w:val="000000"/>
                <w:kern w:val="2"/>
                <w:sz w:val="21"/>
                <w:szCs w:val="21"/>
              </w:rPr>
            </w:pPr>
            <w:r>
              <w:rPr>
                <w:rFonts w:eastAsiaTheme="minorEastAsia"/>
                <w:snapToGrid/>
                <w:color w:val="000000"/>
                <w:kern w:val="2"/>
                <w:sz w:val="21"/>
                <w:szCs w:val="21"/>
              </w:rPr>
              <w:t>呼吸系统防护</w:t>
            </w:r>
          </w:p>
        </w:tc>
        <w:tc>
          <w:tcPr>
            <w:tcW w:w="2873" w:type="dxa"/>
            <w:gridSpan w:val="2"/>
            <w:vAlign w:val="center"/>
          </w:tcPr>
          <w:p>
            <w:pPr>
              <w:spacing w:before="60" w:beforeLines="25" w:after="60" w:afterLines="25" w:line="240" w:lineRule="auto"/>
              <w:ind w:firstLine="0" w:firstLineChars="0"/>
              <w:rPr>
                <w:rFonts w:eastAsiaTheme="minorEastAsia"/>
                <w:snapToGrid/>
                <w:color w:val="000000"/>
                <w:kern w:val="2"/>
                <w:sz w:val="21"/>
                <w:szCs w:val="21"/>
              </w:rPr>
            </w:pPr>
            <w:r>
              <w:rPr>
                <w:rFonts w:eastAsiaTheme="minorEastAsia"/>
                <w:snapToGrid/>
                <w:color w:val="000000"/>
                <w:kern w:val="2"/>
                <w:sz w:val="21"/>
                <w:szCs w:val="21"/>
              </w:rPr>
              <w:t>高浓度环境中，应该佩戴防毒口罩。必要时建议佩戴自给式呼吸器。</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5" w:type="dxa"/>
            <w:vMerge w:val="continue"/>
          </w:tcPr>
          <w:p>
            <w:pPr>
              <w:spacing w:before="60" w:beforeLines="25" w:after="60" w:afterLines="25" w:line="240" w:lineRule="auto"/>
              <w:ind w:firstLine="0" w:firstLineChars="0"/>
              <w:rPr>
                <w:rFonts w:eastAsiaTheme="minorEastAsia"/>
                <w:snapToGrid/>
                <w:color w:val="000000"/>
                <w:kern w:val="2"/>
                <w:sz w:val="21"/>
                <w:szCs w:val="21"/>
              </w:rPr>
            </w:pPr>
          </w:p>
        </w:tc>
        <w:tc>
          <w:tcPr>
            <w:tcW w:w="1167" w:type="dxa"/>
            <w:vAlign w:val="center"/>
          </w:tcPr>
          <w:p>
            <w:pPr>
              <w:spacing w:before="60" w:beforeLines="25" w:after="60" w:afterLines="25" w:line="240" w:lineRule="auto"/>
              <w:ind w:firstLine="0" w:firstLineChars="0"/>
              <w:rPr>
                <w:rFonts w:eastAsiaTheme="minorEastAsia"/>
                <w:snapToGrid/>
                <w:color w:val="000000"/>
                <w:kern w:val="2"/>
                <w:sz w:val="21"/>
                <w:szCs w:val="21"/>
              </w:rPr>
            </w:pPr>
            <w:r>
              <w:rPr>
                <w:rFonts w:eastAsiaTheme="minorEastAsia"/>
                <w:snapToGrid/>
                <w:color w:val="000000"/>
                <w:kern w:val="2"/>
                <w:sz w:val="21"/>
                <w:szCs w:val="21"/>
              </w:rPr>
              <w:t>眼睛防护</w:t>
            </w:r>
          </w:p>
        </w:tc>
        <w:tc>
          <w:tcPr>
            <w:tcW w:w="1879" w:type="dxa"/>
            <w:vAlign w:val="center"/>
          </w:tcPr>
          <w:p>
            <w:pPr>
              <w:spacing w:before="60" w:beforeLines="25" w:after="60" w:afterLines="25" w:line="240" w:lineRule="auto"/>
              <w:ind w:firstLine="0" w:firstLineChars="0"/>
              <w:rPr>
                <w:rFonts w:eastAsiaTheme="minorEastAsia"/>
                <w:snapToGrid/>
                <w:color w:val="000000"/>
                <w:kern w:val="2"/>
                <w:sz w:val="21"/>
                <w:szCs w:val="21"/>
              </w:rPr>
            </w:pPr>
            <w:r>
              <w:rPr>
                <w:rFonts w:eastAsiaTheme="minorEastAsia"/>
                <w:snapToGrid/>
                <w:color w:val="000000"/>
                <w:kern w:val="2"/>
                <w:sz w:val="21"/>
                <w:szCs w:val="21"/>
              </w:rPr>
              <w:t>戴安全防护眼镜。</w:t>
            </w:r>
          </w:p>
        </w:tc>
        <w:tc>
          <w:tcPr>
            <w:tcW w:w="1300" w:type="dxa"/>
            <w:gridSpan w:val="3"/>
            <w:vAlign w:val="center"/>
          </w:tcPr>
          <w:p>
            <w:pPr>
              <w:spacing w:before="60" w:beforeLines="25" w:after="60" w:afterLines="25" w:line="240" w:lineRule="auto"/>
              <w:ind w:firstLine="0" w:firstLineChars="0"/>
              <w:rPr>
                <w:rFonts w:eastAsiaTheme="minorEastAsia"/>
                <w:snapToGrid/>
                <w:color w:val="000000"/>
                <w:kern w:val="2"/>
                <w:sz w:val="21"/>
                <w:szCs w:val="21"/>
              </w:rPr>
            </w:pPr>
            <w:r>
              <w:rPr>
                <w:rFonts w:eastAsiaTheme="minorEastAsia"/>
                <w:snapToGrid/>
                <w:color w:val="000000"/>
                <w:kern w:val="2"/>
                <w:sz w:val="21"/>
                <w:szCs w:val="21"/>
              </w:rPr>
              <w:t>身体防护</w:t>
            </w:r>
          </w:p>
        </w:tc>
        <w:tc>
          <w:tcPr>
            <w:tcW w:w="2873" w:type="dxa"/>
            <w:gridSpan w:val="2"/>
            <w:vAlign w:val="center"/>
          </w:tcPr>
          <w:p>
            <w:pPr>
              <w:spacing w:before="60" w:beforeLines="25" w:after="60" w:afterLines="25" w:line="240" w:lineRule="auto"/>
              <w:ind w:firstLine="0" w:firstLineChars="0"/>
              <w:rPr>
                <w:rFonts w:eastAsiaTheme="minorEastAsia"/>
                <w:snapToGrid/>
                <w:color w:val="000000"/>
                <w:kern w:val="2"/>
                <w:sz w:val="21"/>
                <w:szCs w:val="21"/>
              </w:rPr>
            </w:pPr>
            <w:r>
              <w:rPr>
                <w:rFonts w:eastAsiaTheme="minorEastAsia"/>
                <w:snapToGrid/>
                <w:color w:val="000000"/>
                <w:kern w:val="2"/>
                <w:sz w:val="21"/>
                <w:szCs w:val="21"/>
              </w:rPr>
              <w:t>穿相应的防护服。</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5" w:type="dxa"/>
            <w:vMerge w:val="continue"/>
          </w:tcPr>
          <w:p>
            <w:pPr>
              <w:spacing w:before="60" w:beforeLines="25" w:after="60" w:afterLines="25" w:line="240" w:lineRule="auto"/>
              <w:ind w:firstLine="0" w:firstLineChars="0"/>
              <w:rPr>
                <w:rFonts w:eastAsiaTheme="minorEastAsia"/>
                <w:snapToGrid/>
                <w:color w:val="000000"/>
                <w:kern w:val="2"/>
                <w:sz w:val="21"/>
                <w:szCs w:val="21"/>
              </w:rPr>
            </w:pPr>
          </w:p>
        </w:tc>
        <w:tc>
          <w:tcPr>
            <w:tcW w:w="1167" w:type="dxa"/>
            <w:vAlign w:val="center"/>
          </w:tcPr>
          <w:p>
            <w:pPr>
              <w:spacing w:before="60" w:beforeLines="25" w:after="60" w:afterLines="25" w:line="240" w:lineRule="auto"/>
              <w:ind w:firstLine="0" w:firstLineChars="0"/>
              <w:rPr>
                <w:rFonts w:eastAsiaTheme="minorEastAsia"/>
                <w:snapToGrid/>
                <w:color w:val="000000"/>
                <w:kern w:val="2"/>
                <w:sz w:val="21"/>
                <w:szCs w:val="21"/>
              </w:rPr>
            </w:pPr>
            <w:r>
              <w:rPr>
                <w:rFonts w:eastAsiaTheme="minorEastAsia"/>
                <w:snapToGrid/>
                <w:color w:val="000000"/>
                <w:kern w:val="2"/>
                <w:sz w:val="21"/>
                <w:szCs w:val="21"/>
              </w:rPr>
              <w:t>手防护</w:t>
            </w:r>
          </w:p>
        </w:tc>
        <w:tc>
          <w:tcPr>
            <w:tcW w:w="1879" w:type="dxa"/>
            <w:vAlign w:val="center"/>
          </w:tcPr>
          <w:p>
            <w:pPr>
              <w:spacing w:before="60" w:beforeLines="25" w:after="60" w:afterLines="25" w:line="240" w:lineRule="auto"/>
              <w:ind w:firstLine="0" w:firstLineChars="0"/>
              <w:rPr>
                <w:rFonts w:eastAsiaTheme="minorEastAsia"/>
                <w:snapToGrid/>
                <w:color w:val="000000"/>
                <w:kern w:val="2"/>
                <w:sz w:val="21"/>
                <w:szCs w:val="21"/>
              </w:rPr>
            </w:pPr>
            <w:r>
              <w:rPr>
                <w:rFonts w:eastAsiaTheme="minorEastAsia"/>
                <w:snapToGrid/>
                <w:color w:val="000000"/>
                <w:kern w:val="2"/>
                <w:sz w:val="21"/>
                <w:szCs w:val="21"/>
              </w:rPr>
              <w:t>戴防护手套。</w:t>
            </w:r>
          </w:p>
        </w:tc>
        <w:tc>
          <w:tcPr>
            <w:tcW w:w="1300" w:type="dxa"/>
            <w:gridSpan w:val="3"/>
            <w:vAlign w:val="center"/>
          </w:tcPr>
          <w:p>
            <w:pPr>
              <w:spacing w:before="60" w:beforeLines="25" w:after="60" w:afterLines="25" w:line="240" w:lineRule="auto"/>
              <w:ind w:firstLine="0" w:firstLineChars="0"/>
              <w:rPr>
                <w:rFonts w:eastAsiaTheme="minorEastAsia"/>
                <w:snapToGrid/>
                <w:color w:val="000000"/>
                <w:kern w:val="2"/>
                <w:sz w:val="21"/>
                <w:szCs w:val="21"/>
              </w:rPr>
            </w:pPr>
            <w:r>
              <w:rPr>
                <w:rFonts w:eastAsiaTheme="minorEastAsia"/>
                <w:snapToGrid/>
                <w:color w:val="000000"/>
                <w:kern w:val="2"/>
                <w:sz w:val="21"/>
                <w:szCs w:val="21"/>
              </w:rPr>
              <w:t>其他防护</w:t>
            </w:r>
          </w:p>
        </w:tc>
        <w:tc>
          <w:tcPr>
            <w:tcW w:w="2873" w:type="dxa"/>
            <w:gridSpan w:val="2"/>
            <w:vAlign w:val="center"/>
          </w:tcPr>
          <w:p>
            <w:pPr>
              <w:spacing w:before="60" w:beforeLines="25" w:after="60" w:afterLines="25" w:line="240" w:lineRule="auto"/>
              <w:ind w:firstLine="0" w:firstLineChars="0"/>
              <w:rPr>
                <w:rFonts w:eastAsiaTheme="minorEastAsia"/>
                <w:snapToGrid/>
                <w:color w:val="000000"/>
                <w:kern w:val="2"/>
                <w:sz w:val="21"/>
                <w:szCs w:val="21"/>
              </w:rPr>
            </w:pPr>
            <w:r>
              <w:rPr>
                <w:rFonts w:eastAsiaTheme="minorEastAsia"/>
                <w:snapToGrid/>
                <w:color w:val="000000"/>
                <w:kern w:val="2"/>
                <w:sz w:val="21"/>
                <w:szCs w:val="21"/>
              </w:rPr>
              <w:t>工作现场严禁吸烟。工作后，淋浴更衣。注意个人清洁卫生。</w:t>
            </w:r>
          </w:p>
        </w:tc>
      </w:tr>
    </w:tbl>
    <w:p>
      <w:pPr>
        <w:ind w:firstLine="560"/>
        <w:rPr>
          <w:rFonts w:eastAsiaTheme="minorEastAsia"/>
          <w:szCs w:val="28"/>
        </w:rPr>
      </w:pPr>
    </w:p>
    <w:p>
      <w:pPr>
        <w:ind w:firstLine="560"/>
        <w:rPr>
          <w:rFonts w:eastAsiaTheme="minorEastAsia"/>
          <w:szCs w:val="28"/>
        </w:rPr>
      </w:pPr>
    </w:p>
    <w:p>
      <w:pPr>
        <w:widowControl/>
        <w:adjustRightInd/>
        <w:snapToGrid/>
        <w:spacing w:line="240" w:lineRule="auto"/>
        <w:ind w:firstLine="0" w:firstLineChars="0"/>
        <w:jc w:val="left"/>
        <w:rPr>
          <w:rFonts w:eastAsiaTheme="minorEastAsia"/>
          <w:b/>
          <w:bCs/>
          <w:snapToGrid/>
          <w:color w:val="000000"/>
          <w:kern w:val="2"/>
          <w:sz w:val="24"/>
          <w:szCs w:val="24"/>
        </w:rPr>
      </w:pPr>
      <w:bookmarkStart w:id="281" w:name="_Toc438039478"/>
      <w:r>
        <w:rPr>
          <w:rFonts w:eastAsiaTheme="minorEastAsia"/>
          <w:b/>
          <w:bCs/>
          <w:snapToGrid/>
          <w:color w:val="000000"/>
          <w:kern w:val="2"/>
          <w:sz w:val="24"/>
          <w:szCs w:val="24"/>
        </w:rPr>
        <w:br w:type="page"/>
      </w:r>
    </w:p>
    <w:p>
      <w:pPr>
        <w:adjustRightInd/>
        <w:snapToGrid/>
        <w:ind w:firstLine="0" w:firstLineChars="0"/>
        <w:jc w:val="center"/>
        <w:outlineLvl w:val="0"/>
        <w:rPr>
          <w:rFonts w:eastAsiaTheme="minorEastAsia"/>
          <w:b/>
          <w:bCs/>
          <w:snapToGrid/>
          <w:color w:val="000000"/>
          <w:kern w:val="2"/>
          <w:sz w:val="36"/>
          <w:szCs w:val="36"/>
        </w:rPr>
      </w:pPr>
      <w:bookmarkStart w:id="282" w:name="_Toc9011"/>
      <w:r>
        <w:rPr>
          <w:rFonts w:eastAsiaTheme="minorEastAsia"/>
          <w:b/>
          <w:bCs/>
          <w:snapToGrid/>
          <w:color w:val="000000"/>
          <w:kern w:val="2"/>
          <w:sz w:val="36"/>
          <w:szCs w:val="36"/>
        </w:rPr>
        <w:t>附表2  天然气的</w:t>
      </w:r>
      <w:bookmarkEnd w:id="281"/>
      <w:r>
        <w:rPr>
          <w:rFonts w:eastAsiaTheme="minorEastAsia"/>
          <w:b/>
          <w:bCs/>
          <w:snapToGrid/>
          <w:color w:val="000000"/>
          <w:kern w:val="2"/>
          <w:sz w:val="36"/>
          <w:szCs w:val="36"/>
        </w:rPr>
        <w:t>危险特性表</w:t>
      </w:r>
      <w:bookmarkEnd w:id="282"/>
    </w:p>
    <w:tbl>
      <w:tblPr>
        <w:tblStyle w:val="45"/>
        <w:tblW w:w="8494" w:type="dxa"/>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3241"/>
        <w:gridCol w:w="505"/>
        <w:gridCol w:w="1289"/>
        <w:gridCol w:w="2183"/>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276" w:type="dxa"/>
            <w:vMerge w:val="restart"/>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标识</w:t>
            </w:r>
          </w:p>
        </w:tc>
        <w:tc>
          <w:tcPr>
            <w:tcW w:w="3241" w:type="dxa"/>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中文名：天然气；沼气</w:t>
            </w:r>
          </w:p>
        </w:tc>
        <w:tc>
          <w:tcPr>
            <w:tcW w:w="3977" w:type="dxa"/>
            <w:gridSpan w:val="3"/>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英文名称natural gas</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76"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3241" w:type="dxa"/>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p>
        </w:tc>
        <w:tc>
          <w:tcPr>
            <w:tcW w:w="1794"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UN编号：1971</w:t>
            </w:r>
          </w:p>
        </w:tc>
        <w:tc>
          <w:tcPr>
            <w:tcW w:w="2183" w:type="dxa"/>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CAS NO.： 8006-14-2</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76" w:type="dxa"/>
            <w:vMerge w:val="restart"/>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理化性质</w:t>
            </w:r>
          </w:p>
        </w:tc>
        <w:tc>
          <w:tcPr>
            <w:tcW w:w="721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外观与气味：无色、无味气体。</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76"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721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成份：主要是低分子量烷烃混合物，如甲烷、乙烷、丁烷、戊烷等未净化的天然气，常含有二氧化碳、少量硫化氢、氮和氦等。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276"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3746"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熔点（℃）</w:t>
            </w:r>
          </w:p>
        </w:tc>
        <w:tc>
          <w:tcPr>
            <w:tcW w:w="3472"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溶解性</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276"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3746"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沸点（℃）：-160</w:t>
            </w:r>
          </w:p>
        </w:tc>
        <w:tc>
          <w:tcPr>
            <w:tcW w:w="3472"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相对密度（水=1）：约0.45（液化）</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6"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3746"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燃烧热（kj/mol）</w:t>
            </w:r>
          </w:p>
        </w:tc>
        <w:tc>
          <w:tcPr>
            <w:tcW w:w="3472"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相对密度（空气=1）</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76" w:type="dxa"/>
            <w:vMerge w:val="restart"/>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燃烧爆炸危险性</w:t>
            </w:r>
          </w:p>
        </w:tc>
        <w:tc>
          <w:tcPr>
            <w:tcW w:w="3746"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燃烧性：易燃</w:t>
            </w:r>
          </w:p>
        </w:tc>
        <w:tc>
          <w:tcPr>
            <w:tcW w:w="3472"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燃烧分解产物：CO、CO</w:t>
            </w:r>
            <w:r>
              <w:rPr>
                <w:rFonts w:eastAsiaTheme="minorEastAsia"/>
                <w:snapToGrid/>
                <w:kern w:val="2"/>
                <w:sz w:val="21"/>
                <w:szCs w:val="21"/>
                <w:vertAlign w:val="subscript"/>
              </w:rPr>
              <w:t>2</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276"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3746"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闪点（℃）甲烷：-188；乙烷＜-50；丙烷：-104</w:t>
            </w:r>
          </w:p>
        </w:tc>
        <w:tc>
          <w:tcPr>
            <w:tcW w:w="3472"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聚合危害：不能出现</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276"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3746"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爆炸极限）V%）：5～14</w:t>
            </w:r>
          </w:p>
        </w:tc>
        <w:tc>
          <w:tcPr>
            <w:tcW w:w="3472"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自燃温度（℃）：482～632</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276"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3746"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火灾危险性分类：甲</w:t>
            </w:r>
            <w:r>
              <w:rPr>
                <w:rFonts w:eastAsiaTheme="minorEastAsia"/>
                <w:snapToGrid/>
                <w:kern w:val="2"/>
                <w:sz w:val="21"/>
                <w:szCs w:val="21"/>
                <w:vertAlign w:val="subscript"/>
              </w:rPr>
              <w:t>B</w:t>
            </w:r>
          </w:p>
        </w:tc>
        <w:tc>
          <w:tcPr>
            <w:tcW w:w="3472"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危险性类别：易燃气体</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276"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721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危险特性：易燃，与空气形成爆炸性混合物，遇明火、高热能引起燃烧爆炸。与五氧化溴、氯气、次氯酸、三氟化氮、液氧、二氟化氧及其他强氧化剂接触剧烈反应。</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276"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721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灭火剂：雾状水、泡沫、二氧化碳、干粉。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276" w:type="dxa"/>
            <w:vMerge w:val="restart"/>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健康危害</w:t>
            </w:r>
          </w:p>
        </w:tc>
        <w:tc>
          <w:tcPr>
            <w:tcW w:w="3746"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毒性：无资料</w:t>
            </w:r>
          </w:p>
        </w:tc>
        <w:tc>
          <w:tcPr>
            <w:tcW w:w="3472" w:type="dxa"/>
            <w:gridSpan w:val="2"/>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毒物侵入途径：吸入</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1276" w:type="dxa"/>
            <w:vMerge w:val="continue"/>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p>
        </w:tc>
        <w:tc>
          <w:tcPr>
            <w:tcW w:w="721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天然气对人基本无毒，但浓度过高时，使空气中氧含量明显降低，使人窒息。当空气中甲烷达25%～30%时，可引起头痛、头晕、乏力、注意力不集中、呼吸和心跳加速、共济失调。若不及时脱离，可致窒息死亡。</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1276" w:type="dxa"/>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急救</w:t>
            </w:r>
          </w:p>
        </w:tc>
        <w:tc>
          <w:tcPr>
            <w:tcW w:w="721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吸入：迅速脱离现场至空气新鲜处，保持呼吸道通畅。如呼吸困难，给输氧；如呼吸停止，立即进行人工呼吸，就医。</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76" w:type="dxa"/>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防护措施</w:t>
            </w:r>
          </w:p>
        </w:tc>
        <w:tc>
          <w:tcPr>
            <w:tcW w:w="721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工程控制：生产过程密闭，全面通风。</w:t>
            </w:r>
          </w:p>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呼吸系统防护：一般不需要特殊防护，但建议在特殊情况下，佩戴自吸过滤式防毒面具（半面罩）。</w:t>
            </w:r>
          </w:p>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眼睛防护：一般不需要特殊防护，高浓度接触时可戴安全防护眼镜。</w:t>
            </w:r>
          </w:p>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身体防护：穿防静电工作服。</w:t>
            </w:r>
          </w:p>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手防护：戴一般作业防护手套。</w:t>
            </w:r>
          </w:p>
          <w:p>
            <w:pPr>
              <w:adjustRightInd/>
              <w:snapToGrid/>
              <w:spacing w:before="48" w:beforeLines="20" w:after="48" w:afterLines="20" w:line="240" w:lineRule="auto"/>
              <w:ind w:firstLine="0" w:firstLineChars="0"/>
              <w:rPr>
                <w:rFonts w:eastAsiaTheme="minorEastAsia"/>
                <w:snapToGrid/>
                <w:kern w:val="2"/>
                <w:sz w:val="21"/>
                <w:szCs w:val="21"/>
              </w:rPr>
            </w:pPr>
            <w:r>
              <w:rPr>
                <w:rFonts w:eastAsiaTheme="minorEastAsia"/>
                <w:snapToGrid/>
                <w:kern w:val="2"/>
                <w:sz w:val="21"/>
                <w:szCs w:val="21"/>
              </w:rPr>
              <w:t>其他：工作现场严禁吸烟，避免长期反复接触。进入罐、限制性空间或其它高浓度区作业，须有人监护。</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1708" w:hRule="atLeast"/>
        </w:trPr>
        <w:tc>
          <w:tcPr>
            <w:tcW w:w="1276" w:type="dxa"/>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泄漏紧急</w:t>
            </w:r>
          </w:p>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处理</w:t>
            </w:r>
          </w:p>
        </w:tc>
        <w:tc>
          <w:tcPr>
            <w:tcW w:w="721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color w:val="FF00FF"/>
                <w:kern w:val="2"/>
                <w:sz w:val="21"/>
                <w:szCs w:val="21"/>
              </w:rPr>
            </w:pPr>
            <w:r>
              <w:rPr>
                <w:rFonts w:eastAsiaTheme="minorEastAsia"/>
                <w:snapToGrid/>
                <w:kern w:val="2"/>
                <w:sz w:val="21"/>
                <w:szCs w:val="21"/>
              </w:rPr>
              <w:t>迅速撤离泄漏污染区人员至上风向，并进行隔离，禁止无关人员进入污染区，切断火源。应急处理人员戴自给正压式呼吸器，穿一般消防防护服。合理通风，加速扩散。喷水雾稀释、溶解，构筑物围堤或挖坑收容产生的大量废水。如有可能，将漏出气用排风机送至空旷地方或装设适当喷头烧掉，也可将漏气的容器移至空旷处，注意通风。漏气容器要妥善处理，修复、检验后再用。</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1276" w:type="dxa"/>
            <w:shd w:val="clear" w:color="auto" w:fill="auto"/>
            <w:vAlign w:val="center"/>
          </w:tcPr>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储存注意</w:t>
            </w:r>
          </w:p>
          <w:p>
            <w:pPr>
              <w:adjustRightInd/>
              <w:snapToGrid/>
              <w:spacing w:before="48" w:beforeLines="20" w:after="48" w:afterLines="20" w:line="240" w:lineRule="auto"/>
              <w:ind w:firstLine="0" w:firstLineChars="0"/>
              <w:jc w:val="center"/>
              <w:rPr>
                <w:rFonts w:eastAsiaTheme="minorEastAsia"/>
                <w:snapToGrid/>
                <w:kern w:val="2"/>
                <w:sz w:val="21"/>
                <w:szCs w:val="21"/>
              </w:rPr>
            </w:pPr>
            <w:r>
              <w:rPr>
                <w:rFonts w:eastAsiaTheme="minorEastAsia"/>
                <w:snapToGrid/>
                <w:kern w:val="2"/>
                <w:sz w:val="21"/>
                <w:szCs w:val="21"/>
              </w:rPr>
              <w:t>事项</w:t>
            </w:r>
          </w:p>
        </w:tc>
        <w:tc>
          <w:tcPr>
            <w:tcW w:w="7218" w:type="dxa"/>
            <w:gridSpan w:val="4"/>
            <w:shd w:val="clear" w:color="auto" w:fill="auto"/>
            <w:vAlign w:val="center"/>
          </w:tcPr>
          <w:p>
            <w:pPr>
              <w:adjustRightInd/>
              <w:snapToGrid/>
              <w:spacing w:before="48" w:beforeLines="20" w:after="48" w:afterLines="20" w:line="240" w:lineRule="auto"/>
              <w:ind w:firstLine="0" w:firstLineChars="0"/>
              <w:rPr>
                <w:rFonts w:eastAsiaTheme="minorEastAsia"/>
                <w:snapToGrid/>
                <w:color w:val="FF00FF"/>
                <w:kern w:val="2"/>
                <w:sz w:val="21"/>
                <w:szCs w:val="21"/>
              </w:rPr>
            </w:pPr>
            <w:r>
              <w:rPr>
                <w:rFonts w:eastAsiaTheme="minorEastAsia"/>
                <w:snapToGrid/>
                <w:kern w:val="2"/>
                <w:sz w:val="21"/>
                <w:szCs w:val="21"/>
              </w:rPr>
              <w:t>储存于阴凉、干燥、通风良好的不燃库房内。远离火种、热源。仓温不宜超过30度。防止阳光直射。保持容器密封，应与氧气、压缩空气、卤素等分开存放。切忌混储混运。库房内的照明、通风等设施应采用防爆型，开关设在仓库外。配备相应品种和数量的消防器材。罐储时要有防火防爆技术措施。露天储罐夏季要有降温措施。禁止使用易产生火花的机械设备和工具。</w:t>
            </w:r>
          </w:p>
        </w:tc>
      </w:tr>
    </w:tbl>
    <w:p>
      <w:pPr>
        <w:ind w:firstLine="560"/>
        <w:jc w:val="left"/>
        <w:rPr>
          <w:rFonts w:eastAsiaTheme="minorEastAsia"/>
          <w:szCs w:val="28"/>
        </w:rPr>
      </w:pPr>
    </w:p>
    <w:p>
      <w:pPr>
        <w:ind w:firstLine="560"/>
        <w:rPr>
          <w:rFonts w:eastAsiaTheme="minorEastAsia"/>
        </w:rPr>
      </w:pPr>
      <w:r>
        <w:rPr>
          <w:rFonts w:eastAsiaTheme="minorEastAsia"/>
        </w:rPr>
        <w:br w:type="page"/>
      </w:r>
    </w:p>
    <w:p>
      <w:pPr>
        <w:pStyle w:val="2"/>
        <w:rPr>
          <w:rFonts w:eastAsiaTheme="minorEastAsia"/>
        </w:rPr>
      </w:pPr>
      <w:bookmarkStart w:id="283" w:name="_Toc21863"/>
      <w:bookmarkStart w:id="284" w:name="_Toc41742659"/>
      <w:r>
        <w:rPr>
          <w:rFonts w:eastAsiaTheme="minorEastAsia"/>
        </w:rPr>
        <w:t>附件1  可行性研究报告的批复</w:t>
      </w:r>
      <w:bookmarkEnd w:id="283"/>
      <w:bookmarkEnd w:id="284"/>
    </w:p>
    <w:p>
      <w:pPr>
        <w:pStyle w:val="251"/>
        <w:spacing w:line="360" w:lineRule="auto"/>
        <w:rPr>
          <w:rFonts w:eastAsiaTheme="minorEastAsia"/>
        </w:rPr>
      </w:pPr>
      <w:r>
        <w:drawing>
          <wp:inline distT="0" distB="0" distL="114300" distR="114300">
            <wp:extent cx="5196840" cy="686562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2"/>
                    <a:stretch>
                      <a:fillRect/>
                    </a:stretch>
                  </pic:blipFill>
                  <pic:spPr>
                    <a:xfrm>
                      <a:off x="0" y="0"/>
                      <a:ext cx="5196840" cy="6865620"/>
                    </a:xfrm>
                    <a:prstGeom prst="rect">
                      <a:avLst/>
                    </a:prstGeom>
                    <a:noFill/>
                    <a:ln>
                      <a:noFill/>
                    </a:ln>
                  </pic:spPr>
                </pic:pic>
              </a:graphicData>
            </a:graphic>
          </wp:inline>
        </w:drawing>
      </w:r>
      <w:r>
        <w:drawing>
          <wp:inline distT="0" distB="0" distL="114300" distR="114300">
            <wp:extent cx="5357495" cy="7109460"/>
            <wp:effectExtent l="0" t="0" r="6985"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3"/>
                    <a:stretch>
                      <a:fillRect/>
                    </a:stretch>
                  </pic:blipFill>
                  <pic:spPr>
                    <a:xfrm>
                      <a:off x="0" y="0"/>
                      <a:ext cx="5357495" cy="7109460"/>
                    </a:xfrm>
                    <a:prstGeom prst="rect">
                      <a:avLst/>
                    </a:prstGeom>
                    <a:noFill/>
                    <a:ln>
                      <a:noFill/>
                    </a:ln>
                  </pic:spPr>
                </pic:pic>
              </a:graphicData>
            </a:graphic>
          </wp:inline>
        </w:drawing>
      </w:r>
    </w:p>
    <w:p>
      <w:pPr>
        <w:pStyle w:val="251"/>
        <w:spacing w:line="360" w:lineRule="auto"/>
        <w:rPr>
          <w:rFonts w:eastAsiaTheme="minorEastAsia"/>
        </w:rPr>
      </w:pPr>
      <w:r>
        <w:drawing>
          <wp:inline distT="0" distB="0" distL="114300" distR="114300">
            <wp:extent cx="5196840" cy="6896100"/>
            <wp:effectExtent l="0" t="0" r="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4"/>
                    <a:stretch>
                      <a:fillRect/>
                    </a:stretch>
                  </pic:blipFill>
                  <pic:spPr>
                    <a:xfrm>
                      <a:off x="0" y="0"/>
                      <a:ext cx="5196840" cy="6896100"/>
                    </a:xfrm>
                    <a:prstGeom prst="rect">
                      <a:avLst/>
                    </a:prstGeom>
                    <a:noFill/>
                    <a:ln>
                      <a:noFill/>
                    </a:ln>
                  </pic:spPr>
                </pic:pic>
              </a:graphicData>
            </a:graphic>
          </wp:inline>
        </w:drawing>
      </w:r>
    </w:p>
    <w:p>
      <w:pPr>
        <w:pStyle w:val="2"/>
        <w:rPr>
          <w:rFonts w:eastAsiaTheme="minorEastAsia"/>
        </w:rPr>
      </w:pPr>
      <w:bookmarkStart w:id="285" w:name="_Toc18246"/>
      <w:r>
        <w:rPr>
          <w:rFonts w:eastAsiaTheme="minorEastAsia"/>
        </w:rPr>
        <w:t>附件2  应急物资清单</w:t>
      </w:r>
      <w:bookmarkEnd w:id="285"/>
    </w:p>
    <w:tbl>
      <w:tblPr>
        <w:tblStyle w:val="45"/>
        <w:tblW w:w="5000" w:type="pct"/>
        <w:jc w:val="center"/>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Layout w:type="fixed"/>
        <w:tblCellMar>
          <w:top w:w="0" w:type="dxa"/>
          <w:left w:w="108" w:type="dxa"/>
          <w:bottom w:w="0" w:type="dxa"/>
          <w:right w:w="108" w:type="dxa"/>
        </w:tblCellMar>
      </w:tblPr>
      <w:tblGrid>
        <w:gridCol w:w="652"/>
        <w:gridCol w:w="676"/>
        <w:gridCol w:w="1304"/>
        <w:gridCol w:w="1436"/>
        <w:gridCol w:w="1352"/>
        <w:gridCol w:w="746"/>
        <w:gridCol w:w="926"/>
        <w:gridCol w:w="1403"/>
      </w:tblGrid>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tblHeader/>
          <w:jc w:val="center"/>
        </w:trPr>
        <w:tc>
          <w:tcPr>
            <w:tcW w:w="383" w:type="pct"/>
            <w:noWrap/>
            <w:vAlign w:val="center"/>
          </w:tcPr>
          <w:p>
            <w:pPr>
              <w:pStyle w:val="33"/>
              <w:rPr>
                <w:rFonts w:ascii="Times New Roman" w:hAnsi="Times New Roman"/>
                <w:b/>
                <w:bCs/>
              </w:rPr>
            </w:pPr>
            <w:r>
              <w:rPr>
                <w:rFonts w:ascii="Times New Roman" w:hAnsi="Times New Roman"/>
                <w:b/>
                <w:bCs/>
              </w:rPr>
              <w:t>序号</w:t>
            </w:r>
          </w:p>
        </w:tc>
        <w:tc>
          <w:tcPr>
            <w:tcW w:w="397" w:type="pct"/>
            <w:noWrap/>
            <w:vAlign w:val="center"/>
          </w:tcPr>
          <w:p>
            <w:pPr>
              <w:pStyle w:val="33"/>
              <w:rPr>
                <w:rFonts w:ascii="Times New Roman" w:hAnsi="Times New Roman"/>
                <w:b/>
                <w:bCs/>
              </w:rPr>
            </w:pPr>
            <w:r>
              <w:rPr>
                <w:rFonts w:ascii="Times New Roman" w:hAnsi="Times New Roman"/>
                <w:b/>
                <w:bCs/>
              </w:rPr>
              <w:t>器材类型</w:t>
            </w:r>
          </w:p>
        </w:tc>
        <w:tc>
          <w:tcPr>
            <w:tcW w:w="767" w:type="pct"/>
            <w:noWrap/>
            <w:vAlign w:val="center"/>
          </w:tcPr>
          <w:p>
            <w:pPr>
              <w:pStyle w:val="33"/>
              <w:rPr>
                <w:rFonts w:ascii="Times New Roman" w:hAnsi="Times New Roman"/>
                <w:b/>
                <w:bCs/>
              </w:rPr>
            </w:pPr>
            <w:r>
              <w:rPr>
                <w:rFonts w:ascii="Times New Roman" w:hAnsi="Times New Roman"/>
                <w:b/>
                <w:bCs/>
              </w:rPr>
              <w:t>器材名称</w:t>
            </w:r>
          </w:p>
        </w:tc>
        <w:tc>
          <w:tcPr>
            <w:tcW w:w="844" w:type="pct"/>
            <w:noWrap/>
            <w:vAlign w:val="center"/>
          </w:tcPr>
          <w:p>
            <w:pPr>
              <w:pStyle w:val="33"/>
              <w:rPr>
                <w:rFonts w:ascii="Times New Roman" w:hAnsi="Times New Roman"/>
                <w:b/>
                <w:bCs/>
              </w:rPr>
            </w:pPr>
            <w:r>
              <w:rPr>
                <w:rFonts w:ascii="Times New Roman" w:hAnsi="Times New Roman"/>
                <w:b/>
                <w:bCs/>
              </w:rPr>
              <w:t>型号</w:t>
            </w:r>
          </w:p>
        </w:tc>
        <w:tc>
          <w:tcPr>
            <w:tcW w:w="796" w:type="pct"/>
            <w:noWrap/>
            <w:vAlign w:val="center"/>
          </w:tcPr>
          <w:p>
            <w:pPr>
              <w:pStyle w:val="33"/>
              <w:rPr>
                <w:rFonts w:ascii="Times New Roman" w:hAnsi="Times New Roman"/>
                <w:b/>
                <w:bCs/>
              </w:rPr>
            </w:pPr>
            <w:r>
              <w:rPr>
                <w:rFonts w:ascii="Times New Roman" w:hAnsi="Times New Roman"/>
                <w:b/>
                <w:bCs/>
              </w:rPr>
              <w:t>参数</w:t>
            </w:r>
          </w:p>
        </w:tc>
        <w:tc>
          <w:tcPr>
            <w:tcW w:w="439" w:type="pct"/>
            <w:noWrap/>
            <w:vAlign w:val="center"/>
          </w:tcPr>
          <w:p>
            <w:pPr>
              <w:pStyle w:val="33"/>
              <w:rPr>
                <w:rFonts w:ascii="Times New Roman" w:hAnsi="Times New Roman"/>
                <w:b/>
                <w:bCs/>
              </w:rPr>
            </w:pPr>
            <w:r>
              <w:rPr>
                <w:rFonts w:ascii="Times New Roman" w:hAnsi="Times New Roman"/>
                <w:b/>
                <w:bCs/>
              </w:rPr>
              <w:t>数量</w:t>
            </w:r>
          </w:p>
        </w:tc>
        <w:tc>
          <w:tcPr>
            <w:tcW w:w="545" w:type="pct"/>
            <w:noWrap/>
            <w:vAlign w:val="center"/>
          </w:tcPr>
          <w:p>
            <w:pPr>
              <w:pStyle w:val="33"/>
              <w:rPr>
                <w:rFonts w:ascii="Times New Roman" w:hAnsi="Times New Roman"/>
                <w:b/>
                <w:bCs/>
              </w:rPr>
            </w:pPr>
            <w:r>
              <w:rPr>
                <w:rFonts w:ascii="Times New Roman" w:hAnsi="Times New Roman"/>
                <w:b/>
                <w:bCs/>
              </w:rPr>
              <w:t>负责人</w:t>
            </w:r>
          </w:p>
        </w:tc>
        <w:tc>
          <w:tcPr>
            <w:tcW w:w="826" w:type="pct"/>
            <w:noWrap/>
            <w:vAlign w:val="center"/>
          </w:tcPr>
          <w:p>
            <w:pPr>
              <w:pStyle w:val="33"/>
              <w:rPr>
                <w:rFonts w:ascii="Times New Roman" w:hAnsi="Times New Roman"/>
                <w:b/>
                <w:bCs/>
              </w:rPr>
            </w:pPr>
            <w:r>
              <w:rPr>
                <w:rFonts w:ascii="Times New Roman" w:hAnsi="Times New Roman"/>
                <w:b/>
                <w:bCs/>
              </w:rPr>
              <w:t>联系电话</w:t>
            </w: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restart"/>
            <w:noWrap/>
            <w:vAlign w:val="center"/>
          </w:tcPr>
          <w:p>
            <w:pPr>
              <w:pStyle w:val="33"/>
              <w:rPr>
                <w:rFonts w:ascii="Times New Roman" w:hAnsi="Times New Roman"/>
              </w:rPr>
            </w:pPr>
            <w:r>
              <w:rPr>
                <w:rFonts w:ascii="Times New Roman" w:hAnsi="Times New Roman"/>
              </w:rPr>
              <w:t>井控物资</w:t>
            </w:r>
          </w:p>
        </w:tc>
        <w:tc>
          <w:tcPr>
            <w:tcW w:w="767" w:type="pct"/>
            <w:vMerge w:val="restart"/>
            <w:noWrap/>
            <w:vAlign w:val="center"/>
          </w:tcPr>
          <w:p>
            <w:pPr>
              <w:pStyle w:val="33"/>
              <w:rPr>
                <w:rFonts w:ascii="Times New Roman" w:hAnsi="Times New Roman"/>
              </w:rPr>
            </w:pPr>
            <w:r>
              <w:rPr>
                <w:rFonts w:ascii="Times New Roman" w:hAnsi="Times New Roman"/>
              </w:rPr>
              <w:t>抢喷工具</w:t>
            </w:r>
          </w:p>
        </w:tc>
        <w:tc>
          <w:tcPr>
            <w:tcW w:w="844" w:type="pct"/>
            <w:noWrap/>
            <w:vAlign w:val="center"/>
          </w:tcPr>
          <w:p>
            <w:pPr>
              <w:pStyle w:val="33"/>
              <w:rPr>
                <w:rFonts w:ascii="Times New Roman" w:hAnsi="Times New Roman"/>
              </w:rPr>
            </w:pPr>
            <w:r>
              <w:rPr>
                <w:rFonts w:ascii="Times New Roman" w:hAnsi="Times New Roman"/>
              </w:rPr>
              <w:t>HK-4F</w:t>
            </w:r>
          </w:p>
        </w:tc>
        <w:tc>
          <w:tcPr>
            <w:tcW w:w="796" w:type="pct"/>
            <w:noWrap/>
            <w:vAlign w:val="center"/>
          </w:tcPr>
          <w:p>
            <w:pPr>
              <w:pStyle w:val="33"/>
              <w:rPr>
                <w:rFonts w:ascii="Times New Roman" w:hAnsi="Times New Roman"/>
              </w:rPr>
            </w:pPr>
            <w:r>
              <w:rPr>
                <w:rFonts w:ascii="Times New Roman" w:hAnsi="Times New Roman"/>
              </w:rPr>
              <w:t>井口螺母剪切</w:t>
            </w:r>
          </w:p>
          <w:p>
            <w:pPr>
              <w:pStyle w:val="33"/>
              <w:rPr>
                <w:rFonts w:ascii="Times New Roman" w:hAnsi="Times New Roman"/>
              </w:rPr>
            </w:pPr>
            <w:r>
              <w:rPr>
                <w:rFonts w:ascii="Times New Roman" w:hAnsi="Times New Roman"/>
              </w:rPr>
              <w:t>装置</w:t>
            </w:r>
          </w:p>
        </w:tc>
        <w:tc>
          <w:tcPr>
            <w:tcW w:w="439" w:type="pct"/>
            <w:noWrap/>
            <w:vAlign w:val="center"/>
          </w:tcPr>
          <w:p>
            <w:pPr>
              <w:pStyle w:val="33"/>
              <w:rPr>
                <w:rFonts w:ascii="Times New Roman" w:hAnsi="Times New Roman"/>
              </w:rPr>
            </w:pPr>
            <w:r>
              <w:rPr>
                <w:rFonts w:ascii="Times New Roman" w:hAnsi="Times New Roman"/>
              </w:rPr>
              <w:t>1套</w:t>
            </w:r>
          </w:p>
        </w:tc>
        <w:tc>
          <w:tcPr>
            <w:tcW w:w="545" w:type="pct"/>
            <w:vMerge w:val="restart"/>
            <w:noWrap/>
            <w:vAlign w:val="center"/>
          </w:tcPr>
          <w:p>
            <w:pPr>
              <w:pStyle w:val="33"/>
              <w:rPr>
                <w:rFonts w:ascii="Times New Roman" w:hAnsi="Times New Roman"/>
              </w:rPr>
            </w:pPr>
            <w:r>
              <w:rPr>
                <w:rFonts w:ascii="Times New Roman" w:hAnsi="Times New Roman"/>
              </w:rPr>
              <w:t>王德平</w:t>
            </w:r>
          </w:p>
        </w:tc>
        <w:tc>
          <w:tcPr>
            <w:tcW w:w="826" w:type="pct"/>
            <w:vMerge w:val="restart"/>
            <w:noWrap/>
            <w:vAlign w:val="center"/>
          </w:tcPr>
          <w:p>
            <w:pPr>
              <w:pStyle w:val="33"/>
              <w:rPr>
                <w:rFonts w:ascii="Times New Roman" w:hAnsi="Times New Roman"/>
              </w:rPr>
            </w:pPr>
            <w:r>
              <w:rPr>
                <w:rFonts w:ascii="Times New Roman" w:hAnsi="Times New Roman"/>
              </w:rPr>
              <w:t>18706663651</w:t>
            </w: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vMerge w:val="continue"/>
            <w:noWrap/>
            <w:vAlign w:val="center"/>
          </w:tcPr>
          <w:p>
            <w:pPr>
              <w:pStyle w:val="33"/>
              <w:rPr>
                <w:rFonts w:ascii="Times New Roman" w:hAnsi="Times New Roman"/>
              </w:rPr>
            </w:pPr>
          </w:p>
        </w:tc>
        <w:tc>
          <w:tcPr>
            <w:tcW w:w="844" w:type="pct"/>
            <w:noWrap/>
            <w:vAlign w:val="center"/>
          </w:tcPr>
          <w:p>
            <w:pPr>
              <w:pStyle w:val="33"/>
              <w:rPr>
                <w:rFonts w:ascii="Times New Roman" w:hAnsi="Times New Roman"/>
              </w:rPr>
            </w:pPr>
            <w:r>
              <w:rPr>
                <w:rFonts w:ascii="Times New Roman" w:hAnsi="Times New Roman"/>
              </w:rPr>
              <w:t>HK-4A</w:t>
            </w:r>
          </w:p>
        </w:tc>
        <w:tc>
          <w:tcPr>
            <w:tcW w:w="796" w:type="pct"/>
            <w:noWrap/>
            <w:vAlign w:val="center"/>
          </w:tcPr>
          <w:p>
            <w:pPr>
              <w:pStyle w:val="33"/>
              <w:rPr>
                <w:rFonts w:ascii="Times New Roman" w:hAnsi="Times New Roman"/>
              </w:rPr>
            </w:pPr>
            <w:r>
              <w:rPr>
                <w:rFonts w:ascii="Times New Roman" w:hAnsi="Times New Roman"/>
              </w:rPr>
              <w:t>光杆抢喷装置</w:t>
            </w:r>
          </w:p>
        </w:tc>
        <w:tc>
          <w:tcPr>
            <w:tcW w:w="439" w:type="pct"/>
            <w:noWrap/>
            <w:vAlign w:val="center"/>
          </w:tcPr>
          <w:p>
            <w:pPr>
              <w:pStyle w:val="33"/>
              <w:rPr>
                <w:rFonts w:ascii="Times New Roman" w:hAnsi="Times New Roman"/>
              </w:rPr>
            </w:pPr>
            <w:r>
              <w:rPr>
                <w:rFonts w:ascii="Times New Roman" w:hAnsi="Times New Roman"/>
              </w:rPr>
              <w:t>1套</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井口</w:t>
            </w:r>
          </w:p>
        </w:tc>
        <w:tc>
          <w:tcPr>
            <w:tcW w:w="844" w:type="pct"/>
            <w:noWrap/>
            <w:vAlign w:val="center"/>
          </w:tcPr>
          <w:p>
            <w:pPr>
              <w:pStyle w:val="33"/>
              <w:rPr>
                <w:rFonts w:ascii="Times New Roman" w:hAnsi="Times New Roman"/>
              </w:rPr>
            </w:pPr>
            <w:r>
              <w:rPr>
                <w:rFonts w:ascii="Times New Roman" w:hAnsi="Times New Roman"/>
              </w:rPr>
              <w:t>250型</w:t>
            </w:r>
          </w:p>
        </w:tc>
        <w:tc>
          <w:tcPr>
            <w:tcW w:w="796" w:type="pct"/>
            <w:noWrap/>
            <w:vAlign w:val="center"/>
          </w:tcPr>
          <w:p>
            <w:pPr>
              <w:pStyle w:val="33"/>
              <w:rPr>
                <w:rFonts w:ascii="Times New Roman" w:hAnsi="Times New Roman"/>
              </w:rPr>
            </w:pPr>
            <w:r>
              <w:rPr>
                <w:rFonts w:ascii="Times New Roman" w:hAnsi="Times New Roman"/>
              </w:rPr>
              <w:t>KY25/65</w:t>
            </w:r>
          </w:p>
        </w:tc>
        <w:tc>
          <w:tcPr>
            <w:tcW w:w="439" w:type="pct"/>
            <w:noWrap/>
            <w:vAlign w:val="center"/>
          </w:tcPr>
          <w:p>
            <w:pPr>
              <w:pStyle w:val="33"/>
              <w:rPr>
                <w:rFonts w:ascii="Times New Roman" w:hAnsi="Times New Roman"/>
              </w:rPr>
            </w:pPr>
            <w:r>
              <w:rPr>
                <w:rFonts w:ascii="Times New Roman" w:hAnsi="Times New Roman"/>
              </w:rPr>
              <w:t>1套</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卡箍总成</w:t>
            </w:r>
          </w:p>
        </w:tc>
        <w:tc>
          <w:tcPr>
            <w:tcW w:w="844" w:type="pct"/>
            <w:noWrap/>
            <w:vAlign w:val="center"/>
          </w:tcPr>
          <w:p>
            <w:pPr>
              <w:pStyle w:val="33"/>
              <w:rPr>
                <w:rFonts w:ascii="Times New Roman" w:hAnsi="Times New Roman"/>
              </w:rPr>
            </w:pPr>
            <w:r>
              <w:rPr>
                <w:rFonts w:ascii="Times New Roman" w:hAnsi="Times New Roman"/>
              </w:rPr>
              <w:t>250型</w:t>
            </w:r>
          </w:p>
        </w:tc>
        <w:tc>
          <w:tcPr>
            <w:tcW w:w="796" w:type="pct"/>
            <w:noWrap/>
            <w:vAlign w:val="center"/>
          </w:tcPr>
          <w:p>
            <w:pPr>
              <w:pStyle w:val="33"/>
              <w:rPr>
                <w:rFonts w:ascii="Times New Roman" w:hAnsi="Times New Roman"/>
              </w:rPr>
            </w:pPr>
            <w:r>
              <w:rPr>
                <w:rFonts w:ascii="Times New Roman" w:hAnsi="Times New Roman"/>
              </w:rPr>
              <w:t>KY65/25</w:t>
            </w:r>
          </w:p>
        </w:tc>
        <w:tc>
          <w:tcPr>
            <w:tcW w:w="439" w:type="pct"/>
            <w:noWrap/>
            <w:vAlign w:val="center"/>
          </w:tcPr>
          <w:p>
            <w:pPr>
              <w:pStyle w:val="33"/>
              <w:rPr>
                <w:rFonts w:ascii="Times New Roman" w:hAnsi="Times New Roman"/>
              </w:rPr>
            </w:pPr>
            <w:r>
              <w:rPr>
                <w:rFonts w:ascii="Times New Roman" w:hAnsi="Times New Roman"/>
              </w:rPr>
              <w:t>2套</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卡箍阀门</w:t>
            </w:r>
          </w:p>
        </w:tc>
        <w:tc>
          <w:tcPr>
            <w:tcW w:w="844" w:type="pct"/>
            <w:noWrap/>
            <w:vAlign w:val="center"/>
          </w:tcPr>
          <w:p>
            <w:pPr>
              <w:pStyle w:val="33"/>
              <w:rPr>
                <w:rFonts w:ascii="Times New Roman" w:hAnsi="Times New Roman"/>
              </w:rPr>
            </w:pPr>
            <w:r>
              <w:rPr>
                <w:rFonts w:ascii="Times New Roman" w:hAnsi="Times New Roman"/>
              </w:rPr>
              <w:t>250型</w:t>
            </w:r>
          </w:p>
        </w:tc>
        <w:tc>
          <w:tcPr>
            <w:tcW w:w="796" w:type="pct"/>
            <w:noWrap/>
            <w:vAlign w:val="center"/>
          </w:tcPr>
          <w:p>
            <w:pPr>
              <w:pStyle w:val="33"/>
              <w:rPr>
                <w:rFonts w:ascii="Times New Roman" w:hAnsi="Times New Roman"/>
              </w:rPr>
            </w:pPr>
            <w:r>
              <w:rPr>
                <w:rFonts w:ascii="Times New Roman" w:hAnsi="Times New Roman"/>
              </w:rPr>
              <w:t>KY65/25</w:t>
            </w:r>
          </w:p>
        </w:tc>
        <w:tc>
          <w:tcPr>
            <w:tcW w:w="439" w:type="pct"/>
            <w:noWrap/>
            <w:vAlign w:val="center"/>
          </w:tcPr>
          <w:p>
            <w:pPr>
              <w:pStyle w:val="33"/>
              <w:rPr>
                <w:rFonts w:ascii="Times New Roman" w:hAnsi="Times New Roman"/>
              </w:rPr>
            </w:pPr>
            <w:r>
              <w:rPr>
                <w:rFonts w:ascii="Times New Roman" w:hAnsi="Times New Roman"/>
              </w:rPr>
              <w:t>2个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套管短节</w:t>
            </w:r>
          </w:p>
        </w:tc>
        <w:tc>
          <w:tcPr>
            <w:tcW w:w="844" w:type="pct"/>
            <w:noWrap/>
            <w:vAlign w:val="center"/>
          </w:tcPr>
          <w:p>
            <w:pPr>
              <w:pStyle w:val="33"/>
              <w:rPr>
                <w:rFonts w:ascii="Times New Roman" w:hAnsi="Times New Roman"/>
              </w:rPr>
            </w:pPr>
            <w:r>
              <w:rPr>
                <w:rFonts w:ascii="Times New Roman" w:hAnsi="Times New Roman"/>
              </w:rPr>
              <w:t>139.7</w:t>
            </w:r>
          </w:p>
        </w:tc>
        <w:tc>
          <w:tcPr>
            <w:tcW w:w="796" w:type="pct"/>
            <w:noWrap/>
            <w:vAlign w:val="center"/>
          </w:tcPr>
          <w:p>
            <w:pPr>
              <w:pStyle w:val="33"/>
              <w:rPr>
                <w:rFonts w:ascii="Times New Roman" w:hAnsi="Times New Roman"/>
              </w:rPr>
            </w:pPr>
            <w:r>
              <w:rPr>
                <w:rFonts w:ascii="Times New Roman" w:hAnsi="Times New Roman"/>
              </w:rPr>
              <w:t>井口配件</w:t>
            </w:r>
          </w:p>
        </w:tc>
        <w:tc>
          <w:tcPr>
            <w:tcW w:w="439" w:type="pct"/>
            <w:noWrap/>
            <w:vAlign w:val="center"/>
          </w:tcPr>
          <w:p>
            <w:pPr>
              <w:pStyle w:val="33"/>
              <w:rPr>
                <w:rFonts w:ascii="Times New Roman" w:hAnsi="Times New Roman"/>
              </w:rPr>
            </w:pPr>
            <w:r>
              <w:rPr>
                <w:rFonts w:ascii="Times New Roman" w:hAnsi="Times New Roman"/>
              </w:rPr>
              <w:t>1个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250型井口上法兰</w:t>
            </w:r>
          </w:p>
        </w:tc>
        <w:tc>
          <w:tcPr>
            <w:tcW w:w="844" w:type="pct"/>
            <w:noWrap/>
            <w:vAlign w:val="center"/>
          </w:tcPr>
          <w:p>
            <w:pPr>
              <w:pStyle w:val="33"/>
              <w:rPr>
                <w:rFonts w:ascii="Times New Roman" w:hAnsi="Times New Roman"/>
              </w:rPr>
            </w:pPr>
            <w:r>
              <w:rPr>
                <w:rFonts w:ascii="Times New Roman" w:hAnsi="Times New Roman"/>
              </w:rPr>
              <w:t>139.7</w:t>
            </w:r>
          </w:p>
        </w:tc>
        <w:tc>
          <w:tcPr>
            <w:tcW w:w="796" w:type="pct"/>
            <w:noWrap/>
            <w:vAlign w:val="center"/>
          </w:tcPr>
          <w:p>
            <w:pPr>
              <w:pStyle w:val="33"/>
              <w:rPr>
                <w:rFonts w:ascii="Times New Roman" w:hAnsi="Times New Roman"/>
              </w:rPr>
            </w:pPr>
            <w:r>
              <w:rPr>
                <w:rFonts w:ascii="Times New Roman" w:hAnsi="Times New Roman"/>
              </w:rPr>
              <w:t>井口配件</w:t>
            </w:r>
          </w:p>
        </w:tc>
        <w:tc>
          <w:tcPr>
            <w:tcW w:w="439" w:type="pct"/>
            <w:noWrap/>
            <w:vAlign w:val="center"/>
          </w:tcPr>
          <w:p>
            <w:pPr>
              <w:pStyle w:val="33"/>
              <w:rPr>
                <w:rFonts w:ascii="Times New Roman" w:hAnsi="Times New Roman"/>
              </w:rPr>
            </w:pPr>
            <w:r>
              <w:rPr>
                <w:rFonts w:ascii="Times New Roman" w:hAnsi="Times New Roman"/>
              </w:rPr>
              <w:t>1个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井口法兰</w:t>
            </w:r>
          </w:p>
          <w:p>
            <w:pPr>
              <w:pStyle w:val="33"/>
              <w:rPr>
                <w:rFonts w:ascii="Times New Roman" w:hAnsi="Times New Roman"/>
              </w:rPr>
            </w:pPr>
            <w:r>
              <w:rPr>
                <w:rFonts w:ascii="Times New Roman" w:hAnsi="Times New Roman"/>
              </w:rPr>
              <w:t>螺丝</w:t>
            </w:r>
          </w:p>
        </w:tc>
        <w:tc>
          <w:tcPr>
            <w:tcW w:w="844" w:type="pct"/>
            <w:noWrap/>
            <w:vAlign w:val="center"/>
          </w:tcPr>
          <w:p>
            <w:pPr>
              <w:pStyle w:val="33"/>
              <w:rPr>
                <w:rFonts w:ascii="Times New Roman" w:hAnsi="Times New Roman"/>
              </w:rPr>
            </w:pPr>
            <w:r>
              <w:rPr>
                <w:rFonts w:ascii="Times New Roman" w:hAnsi="Times New Roman"/>
              </w:rPr>
              <w:t>250型</w:t>
            </w:r>
          </w:p>
        </w:tc>
        <w:tc>
          <w:tcPr>
            <w:tcW w:w="796" w:type="pct"/>
            <w:noWrap/>
            <w:vAlign w:val="center"/>
          </w:tcPr>
          <w:p>
            <w:pPr>
              <w:pStyle w:val="33"/>
              <w:rPr>
                <w:rFonts w:ascii="Times New Roman" w:hAnsi="Times New Roman"/>
              </w:rPr>
            </w:pPr>
            <w:r>
              <w:rPr>
                <w:rFonts w:ascii="Times New Roman" w:hAnsi="Times New Roman"/>
              </w:rPr>
              <w:t>井口配件</w:t>
            </w:r>
          </w:p>
        </w:tc>
        <w:tc>
          <w:tcPr>
            <w:tcW w:w="439" w:type="pct"/>
            <w:noWrap/>
            <w:vAlign w:val="center"/>
          </w:tcPr>
          <w:p>
            <w:pPr>
              <w:pStyle w:val="33"/>
              <w:rPr>
                <w:rFonts w:ascii="Times New Roman" w:hAnsi="Times New Roman"/>
              </w:rPr>
            </w:pPr>
            <w:r>
              <w:rPr>
                <w:rFonts w:ascii="Times New Roman" w:hAnsi="Times New Roman"/>
              </w:rPr>
              <w:t>12条</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丝堵</w:t>
            </w:r>
          </w:p>
        </w:tc>
        <w:tc>
          <w:tcPr>
            <w:tcW w:w="844" w:type="pct"/>
            <w:noWrap/>
            <w:vAlign w:val="center"/>
          </w:tcPr>
          <w:p>
            <w:pPr>
              <w:pStyle w:val="33"/>
              <w:rPr>
                <w:rFonts w:ascii="Times New Roman" w:hAnsi="Times New Roman"/>
              </w:rPr>
            </w:pPr>
            <w:r>
              <w:rPr>
                <w:rFonts w:ascii="Times New Roman" w:hAnsi="Times New Roman"/>
              </w:rPr>
              <w:t>65mm</w:t>
            </w:r>
          </w:p>
        </w:tc>
        <w:tc>
          <w:tcPr>
            <w:tcW w:w="796" w:type="pct"/>
            <w:noWrap/>
            <w:vAlign w:val="center"/>
          </w:tcPr>
          <w:p>
            <w:pPr>
              <w:pStyle w:val="33"/>
              <w:rPr>
                <w:rFonts w:ascii="Times New Roman" w:hAnsi="Times New Roman"/>
              </w:rPr>
            </w:pPr>
            <w:r>
              <w:rPr>
                <w:rFonts w:ascii="Times New Roman" w:hAnsi="Times New Roman"/>
              </w:rPr>
              <w:t>井口配件</w:t>
            </w:r>
          </w:p>
        </w:tc>
        <w:tc>
          <w:tcPr>
            <w:tcW w:w="439" w:type="pct"/>
            <w:noWrap/>
            <w:vAlign w:val="center"/>
          </w:tcPr>
          <w:p>
            <w:pPr>
              <w:pStyle w:val="33"/>
              <w:rPr>
                <w:rFonts w:ascii="Times New Roman" w:hAnsi="Times New Roman"/>
              </w:rPr>
            </w:pPr>
            <w:r>
              <w:rPr>
                <w:rFonts w:ascii="Times New Roman" w:hAnsi="Times New Roman"/>
              </w:rPr>
              <w:t>2个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压力表</w:t>
            </w:r>
          </w:p>
        </w:tc>
        <w:tc>
          <w:tcPr>
            <w:tcW w:w="844" w:type="pct"/>
            <w:noWrap/>
            <w:vAlign w:val="center"/>
          </w:tcPr>
          <w:p>
            <w:pPr>
              <w:pStyle w:val="33"/>
              <w:rPr>
                <w:rFonts w:ascii="Times New Roman" w:hAnsi="Times New Roman"/>
              </w:rPr>
            </w:pPr>
            <w:r>
              <w:rPr>
                <w:rFonts w:ascii="Times New Roman" w:hAnsi="Times New Roman"/>
              </w:rPr>
              <w:t>25mpa</w:t>
            </w:r>
          </w:p>
        </w:tc>
        <w:tc>
          <w:tcPr>
            <w:tcW w:w="796" w:type="pct"/>
            <w:noWrap/>
            <w:vAlign w:val="center"/>
          </w:tcPr>
          <w:p>
            <w:pPr>
              <w:pStyle w:val="33"/>
              <w:rPr>
                <w:rFonts w:ascii="Times New Roman" w:hAnsi="Times New Roman"/>
              </w:rPr>
            </w:pPr>
            <w:r>
              <w:rPr>
                <w:rFonts w:ascii="Times New Roman" w:hAnsi="Times New Roman"/>
              </w:rPr>
              <w:t>井口配件</w:t>
            </w:r>
          </w:p>
        </w:tc>
        <w:tc>
          <w:tcPr>
            <w:tcW w:w="439" w:type="pct"/>
            <w:noWrap/>
            <w:vAlign w:val="center"/>
          </w:tcPr>
          <w:p>
            <w:pPr>
              <w:pStyle w:val="33"/>
              <w:rPr>
                <w:rFonts w:ascii="Times New Roman" w:hAnsi="Times New Roman"/>
              </w:rPr>
            </w:pPr>
            <w:r>
              <w:rPr>
                <w:rFonts w:ascii="Times New Roman" w:hAnsi="Times New Roman"/>
              </w:rPr>
              <w:t>2个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压力表考克</w:t>
            </w:r>
          </w:p>
        </w:tc>
        <w:tc>
          <w:tcPr>
            <w:tcW w:w="844" w:type="pct"/>
            <w:noWrap/>
            <w:vAlign w:val="center"/>
          </w:tcPr>
          <w:p>
            <w:pPr>
              <w:pStyle w:val="33"/>
              <w:rPr>
                <w:rFonts w:ascii="Times New Roman" w:hAnsi="Times New Roman"/>
              </w:rPr>
            </w:pPr>
            <w:r>
              <w:rPr>
                <w:rFonts w:ascii="Times New Roman" w:hAnsi="Times New Roman"/>
              </w:rPr>
              <w:t>65mm</w:t>
            </w:r>
          </w:p>
        </w:tc>
        <w:tc>
          <w:tcPr>
            <w:tcW w:w="796" w:type="pct"/>
            <w:noWrap/>
            <w:vAlign w:val="center"/>
          </w:tcPr>
          <w:p>
            <w:pPr>
              <w:pStyle w:val="33"/>
              <w:rPr>
                <w:rFonts w:ascii="Times New Roman" w:hAnsi="Times New Roman"/>
              </w:rPr>
            </w:pPr>
            <w:r>
              <w:rPr>
                <w:rFonts w:ascii="Times New Roman" w:hAnsi="Times New Roman"/>
              </w:rPr>
              <w:t>井口配件</w:t>
            </w:r>
          </w:p>
        </w:tc>
        <w:tc>
          <w:tcPr>
            <w:tcW w:w="439" w:type="pct"/>
            <w:noWrap/>
            <w:vAlign w:val="center"/>
          </w:tcPr>
          <w:p>
            <w:pPr>
              <w:pStyle w:val="33"/>
              <w:rPr>
                <w:rFonts w:ascii="Times New Roman" w:hAnsi="Times New Roman"/>
              </w:rPr>
            </w:pPr>
            <w:r>
              <w:rPr>
                <w:rFonts w:ascii="Times New Roman" w:hAnsi="Times New Roman"/>
              </w:rPr>
              <w:t>2个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restart"/>
            <w:noWrap/>
            <w:vAlign w:val="center"/>
          </w:tcPr>
          <w:p>
            <w:pPr>
              <w:pStyle w:val="33"/>
              <w:rPr>
                <w:rFonts w:ascii="Times New Roman" w:hAnsi="Times New Roman"/>
              </w:rPr>
            </w:pPr>
            <w:r>
              <w:rPr>
                <w:rFonts w:ascii="Times New Roman" w:hAnsi="Times New Roman"/>
              </w:rPr>
              <w:t>管道泄漏物资</w:t>
            </w:r>
          </w:p>
        </w:tc>
        <w:tc>
          <w:tcPr>
            <w:tcW w:w="767" w:type="pct"/>
            <w:noWrap/>
            <w:vAlign w:val="center"/>
          </w:tcPr>
          <w:p>
            <w:pPr>
              <w:pStyle w:val="33"/>
              <w:rPr>
                <w:rFonts w:ascii="Times New Roman" w:hAnsi="Times New Roman"/>
              </w:rPr>
            </w:pPr>
            <w:r>
              <w:rPr>
                <w:rFonts w:ascii="Times New Roman" w:hAnsi="Times New Roman"/>
              </w:rPr>
              <w:t>防爆轴流风机</w:t>
            </w:r>
          </w:p>
        </w:tc>
        <w:tc>
          <w:tcPr>
            <w:tcW w:w="844" w:type="pct"/>
            <w:noWrap/>
            <w:vAlign w:val="center"/>
          </w:tcPr>
          <w:p>
            <w:pPr>
              <w:pStyle w:val="33"/>
              <w:rPr>
                <w:rFonts w:ascii="Times New Roman" w:hAnsi="Times New Roman"/>
              </w:rPr>
            </w:pPr>
            <w:r>
              <w:rPr>
                <w:rFonts w:ascii="Times New Roman" w:hAnsi="Times New Roman"/>
              </w:rPr>
              <w:t>BAF-600</w:t>
            </w:r>
          </w:p>
        </w:tc>
        <w:tc>
          <w:tcPr>
            <w:tcW w:w="796" w:type="pct"/>
            <w:noWrap/>
            <w:vAlign w:val="center"/>
          </w:tcPr>
          <w:p>
            <w:pPr>
              <w:pStyle w:val="33"/>
              <w:rPr>
                <w:rFonts w:ascii="Times New Roman" w:hAnsi="Times New Roman"/>
              </w:rPr>
            </w:pPr>
            <w:r>
              <w:rPr>
                <w:rFonts w:ascii="Times New Roman" w:hAnsi="Times New Roman"/>
              </w:rPr>
              <w:t>通风</w:t>
            </w:r>
          </w:p>
        </w:tc>
        <w:tc>
          <w:tcPr>
            <w:tcW w:w="439" w:type="pct"/>
            <w:noWrap/>
            <w:vAlign w:val="center"/>
          </w:tcPr>
          <w:p>
            <w:pPr>
              <w:pStyle w:val="33"/>
              <w:rPr>
                <w:rFonts w:ascii="Times New Roman" w:hAnsi="Times New Roman"/>
              </w:rPr>
            </w:pPr>
            <w:r>
              <w:rPr>
                <w:rFonts w:ascii="Times New Roman" w:hAnsi="Times New Roman"/>
              </w:rPr>
              <w:t>1个</w:t>
            </w:r>
          </w:p>
        </w:tc>
        <w:tc>
          <w:tcPr>
            <w:tcW w:w="545" w:type="pct"/>
            <w:vMerge w:val="restart"/>
            <w:noWrap/>
            <w:vAlign w:val="center"/>
          </w:tcPr>
          <w:p>
            <w:pPr>
              <w:pStyle w:val="33"/>
              <w:rPr>
                <w:rFonts w:ascii="Times New Roman" w:hAnsi="Times New Roman"/>
              </w:rPr>
            </w:pPr>
            <w:r>
              <w:rPr>
                <w:rFonts w:ascii="Times New Roman" w:hAnsi="Times New Roman"/>
              </w:rPr>
              <w:t>李建新</w:t>
            </w:r>
          </w:p>
        </w:tc>
        <w:tc>
          <w:tcPr>
            <w:tcW w:w="826" w:type="pct"/>
            <w:vMerge w:val="restart"/>
            <w:noWrap/>
            <w:vAlign w:val="center"/>
          </w:tcPr>
          <w:p>
            <w:pPr>
              <w:pStyle w:val="33"/>
              <w:rPr>
                <w:rFonts w:ascii="Times New Roman" w:hAnsi="Times New Roman"/>
              </w:rPr>
            </w:pPr>
            <w:r>
              <w:rPr>
                <w:rFonts w:ascii="Times New Roman" w:hAnsi="Times New Roman"/>
              </w:rPr>
              <w:t>18706663928</w:t>
            </w: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吸油粘</w:t>
            </w:r>
          </w:p>
        </w:tc>
        <w:tc>
          <w:tcPr>
            <w:tcW w:w="844" w:type="pct"/>
            <w:noWrap/>
            <w:vAlign w:val="center"/>
          </w:tcPr>
          <w:p>
            <w:pPr>
              <w:pStyle w:val="33"/>
              <w:rPr>
                <w:rFonts w:ascii="Times New Roman" w:hAnsi="Times New Roman"/>
              </w:rPr>
            </w:pPr>
            <w:r>
              <w:rPr>
                <w:rFonts w:ascii="Times New Roman" w:hAnsi="Times New Roman"/>
              </w:rPr>
              <w:t>20KG/包</w:t>
            </w:r>
          </w:p>
        </w:tc>
        <w:tc>
          <w:tcPr>
            <w:tcW w:w="796" w:type="pct"/>
            <w:noWrap/>
            <w:vAlign w:val="center"/>
          </w:tcPr>
          <w:p>
            <w:pPr>
              <w:pStyle w:val="33"/>
              <w:rPr>
                <w:rFonts w:ascii="Times New Roman" w:hAnsi="Times New Roman"/>
              </w:rPr>
            </w:pPr>
            <w:r>
              <w:rPr>
                <w:rFonts w:ascii="Times New Roman" w:hAnsi="Times New Roman"/>
              </w:rPr>
              <w:t>污染清理</w:t>
            </w:r>
          </w:p>
        </w:tc>
        <w:tc>
          <w:tcPr>
            <w:tcW w:w="439" w:type="pct"/>
            <w:noWrap/>
            <w:vAlign w:val="center"/>
          </w:tcPr>
          <w:p>
            <w:pPr>
              <w:pStyle w:val="33"/>
              <w:rPr>
                <w:rFonts w:ascii="Times New Roman" w:hAnsi="Times New Roman"/>
              </w:rPr>
            </w:pPr>
            <w:r>
              <w:rPr>
                <w:rFonts w:ascii="Times New Roman" w:hAnsi="Times New Roman"/>
              </w:rPr>
              <w:t>3包</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下水裤</w:t>
            </w:r>
          </w:p>
        </w:tc>
        <w:tc>
          <w:tcPr>
            <w:tcW w:w="844" w:type="pct"/>
            <w:noWrap/>
            <w:vAlign w:val="center"/>
          </w:tcPr>
          <w:p>
            <w:pPr>
              <w:pStyle w:val="33"/>
              <w:rPr>
                <w:rFonts w:ascii="Times New Roman" w:hAnsi="Times New Roman"/>
              </w:rPr>
            </w:pPr>
          </w:p>
        </w:tc>
        <w:tc>
          <w:tcPr>
            <w:tcW w:w="796" w:type="pct"/>
            <w:noWrap/>
            <w:vAlign w:val="center"/>
          </w:tcPr>
          <w:p>
            <w:pPr>
              <w:pStyle w:val="33"/>
              <w:rPr>
                <w:rFonts w:ascii="Times New Roman" w:hAnsi="Times New Roman"/>
              </w:rPr>
            </w:pPr>
            <w:r>
              <w:rPr>
                <w:rFonts w:ascii="Times New Roman" w:hAnsi="Times New Roman"/>
              </w:rPr>
              <w:t>清污工具</w:t>
            </w:r>
          </w:p>
        </w:tc>
        <w:tc>
          <w:tcPr>
            <w:tcW w:w="439" w:type="pct"/>
            <w:noWrap/>
            <w:vAlign w:val="center"/>
          </w:tcPr>
          <w:p>
            <w:pPr>
              <w:pStyle w:val="33"/>
              <w:rPr>
                <w:rFonts w:ascii="Times New Roman" w:hAnsi="Times New Roman"/>
              </w:rPr>
            </w:pPr>
            <w:r>
              <w:rPr>
                <w:rFonts w:ascii="Times New Roman" w:hAnsi="Times New Roman"/>
              </w:rPr>
              <w:t>5套</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架线杆</w:t>
            </w:r>
          </w:p>
        </w:tc>
        <w:tc>
          <w:tcPr>
            <w:tcW w:w="844" w:type="pct"/>
            <w:noWrap/>
            <w:vAlign w:val="center"/>
          </w:tcPr>
          <w:p>
            <w:pPr>
              <w:pStyle w:val="33"/>
              <w:rPr>
                <w:rFonts w:ascii="Times New Roman" w:hAnsi="Times New Roman"/>
              </w:rPr>
            </w:pPr>
          </w:p>
        </w:tc>
        <w:tc>
          <w:tcPr>
            <w:tcW w:w="796" w:type="pct"/>
            <w:noWrap/>
            <w:vAlign w:val="center"/>
          </w:tcPr>
          <w:p>
            <w:pPr>
              <w:pStyle w:val="33"/>
              <w:rPr>
                <w:rFonts w:ascii="Times New Roman" w:hAnsi="Times New Roman"/>
              </w:rPr>
            </w:pPr>
            <w:r>
              <w:rPr>
                <w:rFonts w:ascii="Times New Roman" w:hAnsi="Times New Roman"/>
              </w:rPr>
              <w:t>清污工具</w:t>
            </w:r>
          </w:p>
        </w:tc>
        <w:tc>
          <w:tcPr>
            <w:tcW w:w="439" w:type="pct"/>
            <w:noWrap/>
            <w:vAlign w:val="center"/>
          </w:tcPr>
          <w:p>
            <w:pPr>
              <w:pStyle w:val="33"/>
              <w:rPr>
                <w:rFonts w:ascii="Times New Roman" w:hAnsi="Times New Roman"/>
              </w:rPr>
            </w:pPr>
            <w:r>
              <w:rPr>
                <w:rFonts w:ascii="Times New Roman" w:hAnsi="Times New Roman"/>
              </w:rPr>
              <w:t>7根</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橡套软电缆</w:t>
            </w:r>
          </w:p>
        </w:tc>
        <w:tc>
          <w:tcPr>
            <w:tcW w:w="844" w:type="pct"/>
            <w:noWrap/>
            <w:vAlign w:val="center"/>
          </w:tcPr>
          <w:p>
            <w:pPr>
              <w:pStyle w:val="33"/>
              <w:rPr>
                <w:rFonts w:ascii="Times New Roman" w:hAnsi="Times New Roman"/>
              </w:rPr>
            </w:pPr>
          </w:p>
        </w:tc>
        <w:tc>
          <w:tcPr>
            <w:tcW w:w="796" w:type="pct"/>
            <w:noWrap/>
            <w:vAlign w:val="center"/>
          </w:tcPr>
          <w:p>
            <w:pPr>
              <w:pStyle w:val="33"/>
              <w:rPr>
                <w:rFonts w:ascii="Times New Roman" w:hAnsi="Times New Roman"/>
              </w:rPr>
            </w:pPr>
            <w:r>
              <w:rPr>
                <w:rFonts w:ascii="Times New Roman" w:hAnsi="Times New Roman"/>
              </w:rPr>
              <w:t>清污工具</w:t>
            </w:r>
          </w:p>
        </w:tc>
        <w:tc>
          <w:tcPr>
            <w:tcW w:w="439" w:type="pct"/>
            <w:noWrap/>
            <w:vAlign w:val="center"/>
          </w:tcPr>
          <w:p>
            <w:pPr>
              <w:pStyle w:val="33"/>
              <w:rPr>
                <w:rFonts w:ascii="Times New Roman" w:hAnsi="Times New Roman"/>
              </w:rPr>
            </w:pPr>
            <w:r>
              <w:rPr>
                <w:rFonts w:ascii="Times New Roman" w:hAnsi="Times New Roman"/>
              </w:rPr>
              <w:t>200米</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潜水泵</w:t>
            </w:r>
          </w:p>
        </w:tc>
        <w:tc>
          <w:tcPr>
            <w:tcW w:w="844" w:type="pct"/>
            <w:noWrap/>
            <w:vAlign w:val="center"/>
          </w:tcPr>
          <w:p>
            <w:pPr>
              <w:pStyle w:val="33"/>
              <w:rPr>
                <w:rFonts w:ascii="Times New Roman" w:hAnsi="Times New Roman"/>
              </w:rPr>
            </w:pPr>
            <w:r>
              <w:rPr>
                <w:rFonts w:ascii="Times New Roman" w:hAnsi="Times New Roman"/>
              </w:rPr>
              <w:t>QY100-4.5-2.2</w:t>
            </w:r>
          </w:p>
        </w:tc>
        <w:tc>
          <w:tcPr>
            <w:tcW w:w="796" w:type="pct"/>
            <w:noWrap/>
            <w:vAlign w:val="center"/>
          </w:tcPr>
          <w:p>
            <w:pPr>
              <w:pStyle w:val="33"/>
              <w:rPr>
                <w:rFonts w:ascii="Times New Roman" w:hAnsi="Times New Roman"/>
              </w:rPr>
            </w:pPr>
            <w:r>
              <w:rPr>
                <w:rFonts w:ascii="Times New Roman" w:hAnsi="Times New Roman"/>
              </w:rPr>
              <w:t>清污工具</w:t>
            </w:r>
          </w:p>
        </w:tc>
        <w:tc>
          <w:tcPr>
            <w:tcW w:w="439" w:type="pct"/>
            <w:noWrap/>
            <w:vAlign w:val="center"/>
          </w:tcPr>
          <w:p>
            <w:pPr>
              <w:pStyle w:val="33"/>
              <w:rPr>
                <w:rFonts w:ascii="Times New Roman" w:hAnsi="Times New Roman"/>
              </w:rPr>
            </w:pPr>
            <w:r>
              <w:rPr>
                <w:rFonts w:ascii="Times New Roman" w:hAnsi="Times New Roman"/>
              </w:rPr>
              <w:t>4台</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编织袋</w:t>
            </w:r>
          </w:p>
        </w:tc>
        <w:tc>
          <w:tcPr>
            <w:tcW w:w="844" w:type="pct"/>
            <w:noWrap/>
            <w:vAlign w:val="center"/>
          </w:tcPr>
          <w:p>
            <w:pPr>
              <w:pStyle w:val="33"/>
              <w:rPr>
                <w:rFonts w:ascii="Times New Roman" w:hAnsi="Times New Roman"/>
              </w:rPr>
            </w:pPr>
          </w:p>
        </w:tc>
        <w:tc>
          <w:tcPr>
            <w:tcW w:w="796" w:type="pct"/>
            <w:noWrap/>
            <w:vAlign w:val="center"/>
          </w:tcPr>
          <w:p>
            <w:pPr>
              <w:pStyle w:val="33"/>
              <w:rPr>
                <w:rFonts w:ascii="Times New Roman" w:hAnsi="Times New Roman"/>
              </w:rPr>
            </w:pPr>
            <w:r>
              <w:rPr>
                <w:rFonts w:ascii="Times New Roman" w:hAnsi="Times New Roman"/>
              </w:rPr>
              <w:t>清污工具</w:t>
            </w:r>
          </w:p>
        </w:tc>
        <w:tc>
          <w:tcPr>
            <w:tcW w:w="439" w:type="pct"/>
            <w:noWrap/>
            <w:vAlign w:val="center"/>
          </w:tcPr>
          <w:p>
            <w:pPr>
              <w:pStyle w:val="33"/>
              <w:rPr>
                <w:rFonts w:ascii="Times New Roman" w:hAnsi="Times New Roman"/>
              </w:rPr>
            </w:pPr>
            <w:r>
              <w:rPr>
                <w:rFonts w:ascii="Times New Roman" w:hAnsi="Times New Roman"/>
              </w:rPr>
              <w:t>150个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restart"/>
            <w:noWrap/>
            <w:vAlign w:val="center"/>
          </w:tcPr>
          <w:p>
            <w:pPr>
              <w:pStyle w:val="33"/>
              <w:rPr>
                <w:rFonts w:ascii="Times New Roman" w:hAnsi="Times New Roman"/>
              </w:rPr>
            </w:pPr>
            <w:r>
              <w:rPr>
                <w:rFonts w:ascii="Times New Roman" w:hAnsi="Times New Roman"/>
              </w:rPr>
              <w:t>个体防护器具</w:t>
            </w:r>
          </w:p>
        </w:tc>
        <w:tc>
          <w:tcPr>
            <w:tcW w:w="767" w:type="pct"/>
            <w:noWrap/>
            <w:vAlign w:val="center"/>
          </w:tcPr>
          <w:p>
            <w:pPr>
              <w:pStyle w:val="33"/>
              <w:rPr>
                <w:rFonts w:ascii="Times New Roman" w:hAnsi="Times New Roman"/>
              </w:rPr>
            </w:pPr>
            <w:r>
              <w:rPr>
                <w:rFonts w:ascii="Times New Roman" w:hAnsi="Times New Roman"/>
              </w:rPr>
              <w:t>正压式空气呼吸器</w:t>
            </w:r>
          </w:p>
        </w:tc>
        <w:tc>
          <w:tcPr>
            <w:tcW w:w="844" w:type="pct"/>
            <w:noWrap/>
            <w:vAlign w:val="center"/>
          </w:tcPr>
          <w:p>
            <w:pPr>
              <w:pStyle w:val="33"/>
              <w:rPr>
                <w:rFonts w:ascii="Times New Roman" w:hAnsi="Times New Roman"/>
              </w:rPr>
            </w:pPr>
            <w:r>
              <w:rPr>
                <w:rFonts w:ascii="Times New Roman" w:hAnsi="Times New Roman"/>
              </w:rPr>
              <w:t>霍尼韦尔</w:t>
            </w:r>
          </w:p>
        </w:tc>
        <w:tc>
          <w:tcPr>
            <w:tcW w:w="796" w:type="pct"/>
            <w:noWrap/>
            <w:vAlign w:val="center"/>
          </w:tcPr>
          <w:p>
            <w:pPr>
              <w:pStyle w:val="33"/>
              <w:rPr>
                <w:rFonts w:ascii="Times New Roman" w:hAnsi="Times New Roman"/>
              </w:rPr>
            </w:pPr>
            <w:r>
              <w:rPr>
                <w:rFonts w:ascii="Times New Roman" w:hAnsi="Times New Roman"/>
              </w:rPr>
              <w:t>X-F-20.G-F-20</w:t>
            </w:r>
          </w:p>
        </w:tc>
        <w:tc>
          <w:tcPr>
            <w:tcW w:w="439" w:type="pct"/>
            <w:noWrap/>
            <w:vAlign w:val="center"/>
          </w:tcPr>
          <w:p>
            <w:pPr>
              <w:pStyle w:val="33"/>
              <w:rPr>
                <w:rFonts w:ascii="Times New Roman" w:hAnsi="Times New Roman"/>
              </w:rPr>
            </w:pPr>
            <w:r>
              <w:rPr>
                <w:rFonts w:ascii="Times New Roman" w:hAnsi="Times New Roman"/>
              </w:rPr>
              <w:t>2个</w:t>
            </w:r>
          </w:p>
        </w:tc>
        <w:tc>
          <w:tcPr>
            <w:tcW w:w="545" w:type="pct"/>
            <w:vMerge w:val="restart"/>
            <w:noWrap/>
            <w:vAlign w:val="center"/>
          </w:tcPr>
          <w:p>
            <w:pPr>
              <w:pStyle w:val="33"/>
              <w:rPr>
                <w:rFonts w:ascii="Times New Roman" w:hAnsi="Times New Roman"/>
              </w:rPr>
            </w:pPr>
            <w:r>
              <w:rPr>
                <w:rFonts w:ascii="Times New Roman" w:hAnsi="Times New Roman"/>
              </w:rPr>
              <w:t>李建新</w:t>
            </w:r>
          </w:p>
        </w:tc>
        <w:tc>
          <w:tcPr>
            <w:tcW w:w="826" w:type="pct"/>
            <w:vMerge w:val="restart"/>
            <w:noWrap/>
            <w:vAlign w:val="center"/>
          </w:tcPr>
          <w:p>
            <w:pPr>
              <w:pStyle w:val="33"/>
              <w:rPr>
                <w:rFonts w:ascii="Times New Roman" w:hAnsi="Times New Roman"/>
              </w:rPr>
            </w:pPr>
            <w:r>
              <w:rPr>
                <w:rFonts w:ascii="Times New Roman" w:hAnsi="Times New Roman"/>
              </w:rPr>
              <w:t>18706663928</w:t>
            </w: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正压式空气呼吸器</w:t>
            </w:r>
          </w:p>
        </w:tc>
        <w:tc>
          <w:tcPr>
            <w:tcW w:w="844" w:type="pct"/>
            <w:noWrap/>
            <w:vAlign w:val="center"/>
          </w:tcPr>
          <w:p>
            <w:pPr>
              <w:pStyle w:val="33"/>
              <w:rPr>
                <w:rFonts w:ascii="Times New Roman" w:hAnsi="Times New Roman"/>
              </w:rPr>
            </w:pPr>
            <w:r>
              <w:rPr>
                <w:rFonts w:ascii="Times New Roman" w:hAnsi="Times New Roman"/>
              </w:rPr>
              <w:t>上海方展</w:t>
            </w:r>
          </w:p>
        </w:tc>
        <w:tc>
          <w:tcPr>
            <w:tcW w:w="796" w:type="pct"/>
            <w:noWrap/>
            <w:vAlign w:val="center"/>
          </w:tcPr>
          <w:p>
            <w:pPr>
              <w:pStyle w:val="33"/>
              <w:rPr>
                <w:rFonts w:ascii="Times New Roman" w:hAnsi="Times New Roman"/>
              </w:rPr>
            </w:pPr>
            <w:r>
              <w:rPr>
                <w:rFonts w:ascii="Times New Roman" w:hAnsi="Times New Roman"/>
              </w:rPr>
              <w:t>RHZK6.8CT</w:t>
            </w:r>
          </w:p>
        </w:tc>
        <w:tc>
          <w:tcPr>
            <w:tcW w:w="439" w:type="pct"/>
            <w:noWrap/>
            <w:vAlign w:val="center"/>
          </w:tcPr>
          <w:p>
            <w:pPr>
              <w:pStyle w:val="33"/>
              <w:rPr>
                <w:rFonts w:ascii="Times New Roman" w:hAnsi="Times New Roman"/>
              </w:rPr>
            </w:pPr>
            <w:r>
              <w:rPr>
                <w:rFonts w:ascii="Times New Roman" w:hAnsi="Times New Roman"/>
              </w:rPr>
              <w:t>8个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气瓶</w:t>
            </w:r>
          </w:p>
        </w:tc>
        <w:tc>
          <w:tcPr>
            <w:tcW w:w="844" w:type="pct"/>
            <w:noWrap/>
            <w:vAlign w:val="center"/>
          </w:tcPr>
          <w:p>
            <w:pPr>
              <w:pStyle w:val="33"/>
              <w:rPr>
                <w:rFonts w:ascii="Times New Roman" w:hAnsi="Times New Roman"/>
              </w:rPr>
            </w:pPr>
            <w:r>
              <w:rPr>
                <w:rFonts w:ascii="Times New Roman" w:hAnsi="Times New Roman"/>
              </w:rPr>
              <w:t>上海方展</w:t>
            </w:r>
          </w:p>
        </w:tc>
        <w:tc>
          <w:tcPr>
            <w:tcW w:w="796" w:type="pct"/>
            <w:noWrap/>
            <w:vAlign w:val="center"/>
          </w:tcPr>
          <w:p>
            <w:pPr>
              <w:pStyle w:val="33"/>
              <w:rPr>
                <w:rFonts w:ascii="Times New Roman" w:hAnsi="Times New Roman"/>
              </w:rPr>
            </w:pPr>
            <w:r>
              <w:rPr>
                <w:rFonts w:ascii="Times New Roman" w:hAnsi="Times New Roman"/>
              </w:rPr>
              <w:t>CRPIII-144-6.8-30-T</w:t>
            </w:r>
          </w:p>
        </w:tc>
        <w:tc>
          <w:tcPr>
            <w:tcW w:w="439" w:type="pct"/>
            <w:noWrap/>
            <w:vAlign w:val="center"/>
          </w:tcPr>
          <w:p>
            <w:pPr>
              <w:pStyle w:val="33"/>
              <w:rPr>
                <w:rFonts w:ascii="Times New Roman" w:hAnsi="Times New Roman"/>
              </w:rPr>
            </w:pPr>
            <w:r>
              <w:rPr>
                <w:rFonts w:ascii="Times New Roman" w:hAnsi="Times New Roman"/>
              </w:rPr>
              <w:t>10个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防毒面具</w:t>
            </w:r>
          </w:p>
        </w:tc>
        <w:tc>
          <w:tcPr>
            <w:tcW w:w="844" w:type="pct"/>
            <w:noWrap/>
            <w:vAlign w:val="center"/>
          </w:tcPr>
          <w:p>
            <w:pPr>
              <w:pStyle w:val="33"/>
              <w:rPr>
                <w:rFonts w:ascii="Times New Roman" w:hAnsi="Times New Roman"/>
              </w:rPr>
            </w:pPr>
            <w:r>
              <w:rPr>
                <w:rFonts w:ascii="Times New Roman" w:hAnsi="Times New Roman"/>
              </w:rPr>
              <w:t>半面罩</w:t>
            </w:r>
          </w:p>
        </w:tc>
        <w:tc>
          <w:tcPr>
            <w:tcW w:w="796" w:type="pct"/>
            <w:noWrap/>
            <w:vAlign w:val="center"/>
          </w:tcPr>
          <w:p>
            <w:pPr>
              <w:pStyle w:val="33"/>
              <w:rPr>
                <w:rFonts w:ascii="Times New Roman" w:hAnsi="Times New Roman"/>
              </w:rPr>
            </w:pPr>
            <w:r>
              <w:rPr>
                <w:rFonts w:ascii="Times New Roman" w:hAnsi="Times New Roman"/>
              </w:rPr>
              <w:t>自吸过滤式</w:t>
            </w:r>
          </w:p>
        </w:tc>
        <w:tc>
          <w:tcPr>
            <w:tcW w:w="439" w:type="pct"/>
            <w:noWrap/>
            <w:vAlign w:val="center"/>
          </w:tcPr>
          <w:p>
            <w:pPr>
              <w:pStyle w:val="33"/>
              <w:rPr>
                <w:rFonts w:ascii="Times New Roman" w:hAnsi="Times New Roman"/>
              </w:rPr>
            </w:pPr>
            <w:r>
              <w:rPr>
                <w:rFonts w:ascii="Times New Roman" w:hAnsi="Times New Roman"/>
              </w:rPr>
              <w:t>5个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救生衣</w:t>
            </w:r>
          </w:p>
        </w:tc>
        <w:tc>
          <w:tcPr>
            <w:tcW w:w="844" w:type="pct"/>
            <w:noWrap/>
            <w:vAlign w:val="center"/>
          </w:tcPr>
          <w:p>
            <w:pPr>
              <w:pStyle w:val="33"/>
              <w:rPr>
                <w:rFonts w:ascii="Times New Roman" w:hAnsi="Times New Roman"/>
              </w:rPr>
            </w:pPr>
            <w:r>
              <w:rPr>
                <w:rFonts w:ascii="Times New Roman" w:hAnsi="Times New Roman"/>
              </w:rPr>
              <w:t>XY5564-1</w:t>
            </w:r>
          </w:p>
        </w:tc>
        <w:tc>
          <w:tcPr>
            <w:tcW w:w="796" w:type="pct"/>
            <w:noWrap/>
            <w:vAlign w:val="center"/>
          </w:tcPr>
          <w:p>
            <w:pPr>
              <w:pStyle w:val="33"/>
              <w:rPr>
                <w:rFonts w:ascii="Times New Roman" w:hAnsi="Times New Roman"/>
              </w:rPr>
            </w:pPr>
            <w:r>
              <w:rPr>
                <w:rFonts w:ascii="Times New Roman" w:hAnsi="Times New Roman"/>
              </w:rPr>
              <w:t>防淹溺</w:t>
            </w:r>
          </w:p>
        </w:tc>
        <w:tc>
          <w:tcPr>
            <w:tcW w:w="439" w:type="pct"/>
            <w:noWrap/>
            <w:vAlign w:val="center"/>
          </w:tcPr>
          <w:p>
            <w:pPr>
              <w:pStyle w:val="33"/>
              <w:rPr>
                <w:rFonts w:ascii="Times New Roman" w:hAnsi="Times New Roman"/>
              </w:rPr>
            </w:pPr>
            <w:r>
              <w:rPr>
                <w:rFonts w:ascii="Times New Roman" w:hAnsi="Times New Roman"/>
              </w:rPr>
              <w:t>30个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安全绳</w:t>
            </w:r>
          </w:p>
        </w:tc>
        <w:tc>
          <w:tcPr>
            <w:tcW w:w="844" w:type="pct"/>
            <w:noWrap/>
            <w:vAlign w:val="center"/>
          </w:tcPr>
          <w:p>
            <w:pPr>
              <w:pStyle w:val="33"/>
              <w:rPr>
                <w:rFonts w:ascii="Times New Roman" w:hAnsi="Times New Roman"/>
              </w:rPr>
            </w:pPr>
            <w:r>
              <w:rPr>
                <w:rFonts w:ascii="Times New Roman" w:hAnsi="Times New Roman"/>
              </w:rPr>
              <w:t>代尔塔</w:t>
            </w:r>
          </w:p>
        </w:tc>
        <w:tc>
          <w:tcPr>
            <w:tcW w:w="796" w:type="pct"/>
            <w:noWrap/>
            <w:vAlign w:val="center"/>
          </w:tcPr>
          <w:p>
            <w:pPr>
              <w:pStyle w:val="33"/>
              <w:rPr>
                <w:rFonts w:ascii="Times New Roman" w:hAnsi="Times New Roman"/>
              </w:rPr>
            </w:pPr>
            <w:r>
              <w:rPr>
                <w:rFonts w:ascii="Times New Roman" w:hAnsi="Times New Roman"/>
              </w:rPr>
              <w:t>10米/根</w:t>
            </w:r>
          </w:p>
        </w:tc>
        <w:tc>
          <w:tcPr>
            <w:tcW w:w="439" w:type="pct"/>
            <w:noWrap/>
            <w:vAlign w:val="center"/>
          </w:tcPr>
          <w:p>
            <w:pPr>
              <w:pStyle w:val="33"/>
              <w:rPr>
                <w:rFonts w:ascii="Times New Roman" w:hAnsi="Times New Roman"/>
              </w:rPr>
            </w:pPr>
            <w:r>
              <w:rPr>
                <w:rFonts w:ascii="Times New Roman" w:hAnsi="Times New Roman"/>
              </w:rPr>
              <w:t>2根</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安全帽</w:t>
            </w:r>
          </w:p>
        </w:tc>
        <w:tc>
          <w:tcPr>
            <w:tcW w:w="844" w:type="pct"/>
            <w:noWrap/>
            <w:vAlign w:val="center"/>
          </w:tcPr>
          <w:p>
            <w:pPr>
              <w:pStyle w:val="33"/>
              <w:rPr>
                <w:rFonts w:ascii="Times New Roman" w:hAnsi="Times New Roman"/>
              </w:rPr>
            </w:pPr>
            <w:r>
              <w:rPr>
                <w:rFonts w:ascii="Times New Roman" w:hAnsi="Times New Roman"/>
              </w:rPr>
              <w:t>梅思安</w:t>
            </w:r>
          </w:p>
        </w:tc>
        <w:tc>
          <w:tcPr>
            <w:tcW w:w="796" w:type="pct"/>
            <w:noWrap/>
            <w:vAlign w:val="center"/>
          </w:tcPr>
          <w:p>
            <w:pPr>
              <w:pStyle w:val="33"/>
              <w:rPr>
                <w:rFonts w:ascii="Times New Roman" w:hAnsi="Times New Roman"/>
              </w:rPr>
            </w:pPr>
            <w:r>
              <w:rPr>
                <w:rFonts w:ascii="Times New Roman" w:hAnsi="Times New Roman"/>
              </w:rPr>
              <w:t>头部防护</w:t>
            </w:r>
          </w:p>
        </w:tc>
        <w:tc>
          <w:tcPr>
            <w:tcW w:w="439" w:type="pct"/>
            <w:noWrap/>
            <w:vAlign w:val="center"/>
          </w:tcPr>
          <w:p>
            <w:pPr>
              <w:pStyle w:val="33"/>
              <w:rPr>
                <w:rFonts w:ascii="Times New Roman" w:hAnsi="Times New Roman"/>
              </w:rPr>
            </w:pPr>
            <w:r>
              <w:rPr>
                <w:rFonts w:ascii="Times New Roman" w:hAnsi="Times New Roman"/>
              </w:rPr>
              <w:t>20个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安全带</w:t>
            </w:r>
          </w:p>
        </w:tc>
        <w:tc>
          <w:tcPr>
            <w:tcW w:w="844" w:type="pct"/>
            <w:noWrap/>
            <w:vAlign w:val="center"/>
          </w:tcPr>
          <w:p>
            <w:pPr>
              <w:pStyle w:val="33"/>
              <w:rPr>
                <w:rFonts w:ascii="Times New Roman" w:hAnsi="Times New Roman"/>
              </w:rPr>
            </w:pPr>
            <w:r>
              <w:rPr>
                <w:rFonts w:ascii="Times New Roman" w:hAnsi="Times New Roman"/>
              </w:rPr>
              <w:t>建设牌</w:t>
            </w:r>
          </w:p>
        </w:tc>
        <w:tc>
          <w:tcPr>
            <w:tcW w:w="796" w:type="pct"/>
            <w:noWrap/>
            <w:vAlign w:val="center"/>
          </w:tcPr>
          <w:p>
            <w:pPr>
              <w:pStyle w:val="33"/>
              <w:rPr>
                <w:rFonts w:ascii="Times New Roman" w:hAnsi="Times New Roman"/>
              </w:rPr>
            </w:pPr>
            <w:r>
              <w:rPr>
                <w:rFonts w:ascii="Times New Roman" w:hAnsi="Times New Roman"/>
              </w:rPr>
              <w:t>防坠落</w:t>
            </w:r>
          </w:p>
        </w:tc>
        <w:tc>
          <w:tcPr>
            <w:tcW w:w="439" w:type="pct"/>
            <w:noWrap/>
            <w:vAlign w:val="center"/>
          </w:tcPr>
          <w:p>
            <w:pPr>
              <w:pStyle w:val="33"/>
              <w:rPr>
                <w:rFonts w:ascii="Times New Roman" w:hAnsi="Times New Roman"/>
              </w:rPr>
            </w:pPr>
            <w:r>
              <w:rPr>
                <w:rFonts w:ascii="Times New Roman" w:hAnsi="Times New Roman"/>
              </w:rPr>
              <w:t>6个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防护手套</w:t>
            </w:r>
          </w:p>
        </w:tc>
        <w:tc>
          <w:tcPr>
            <w:tcW w:w="844" w:type="pct"/>
            <w:noWrap/>
            <w:vAlign w:val="center"/>
          </w:tcPr>
          <w:p>
            <w:pPr>
              <w:pStyle w:val="33"/>
              <w:rPr>
                <w:rFonts w:ascii="Times New Roman" w:hAnsi="Times New Roman"/>
              </w:rPr>
            </w:pPr>
          </w:p>
        </w:tc>
        <w:tc>
          <w:tcPr>
            <w:tcW w:w="796" w:type="pct"/>
            <w:noWrap/>
            <w:vAlign w:val="center"/>
          </w:tcPr>
          <w:p>
            <w:pPr>
              <w:pStyle w:val="33"/>
              <w:rPr>
                <w:rFonts w:ascii="Times New Roman" w:hAnsi="Times New Roman"/>
              </w:rPr>
            </w:pPr>
          </w:p>
        </w:tc>
        <w:tc>
          <w:tcPr>
            <w:tcW w:w="439" w:type="pct"/>
            <w:noWrap/>
            <w:vAlign w:val="center"/>
          </w:tcPr>
          <w:p>
            <w:pPr>
              <w:pStyle w:val="33"/>
              <w:rPr>
                <w:rFonts w:ascii="Times New Roman" w:hAnsi="Times New Roman"/>
              </w:rPr>
            </w:pPr>
            <w:r>
              <w:rPr>
                <w:rFonts w:ascii="Times New Roman" w:hAnsi="Times New Roman"/>
              </w:rPr>
              <w:t>20副</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noWrap/>
            <w:vAlign w:val="center"/>
          </w:tcPr>
          <w:p>
            <w:pPr>
              <w:pStyle w:val="33"/>
              <w:rPr>
                <w:rFonts w:ascii="Times New Roman" w:hAnsi="Times New Roman"/>
              </w:rPr>
            </w:pPr>
            <w:r>
              <w:rPr>
                <w:rFonts w:ascii="Times New Roman" w:hAnsi="Times New Roman"/>
              </w:rPr>
              <w:t>安全监测</w:t>
            </w:r>
          </w:p>
        </w:tc>
        <w:tc>
          <w:tcPr>
            <w:tcW w:w="767" w:type="pct"/>
            <w:noWrap/>
            <w:vAlign w:val="center"/>
          </w:tcPr>
          <w:p>
            <w:pPr>
              <w:pStyle w:val="33"/>
              <w:rPr>
                <w:rFonts w:ascii="Times New Roman" w:hAnsi="Times New Roman"/>
              </w:rPr>
            </w:pPr>
            <w:r>
              <w:rPr>
                <w:rFonts w:ascii="Times New Roman" w:hAnsi="Times New Roman"/>
              </w:rPr>
              <w:t>便携式H</w:t>
            </w:r>
            <w:r>
              <w:rPr>
                <w:rFonts w:ascii="Times New Roman" w:hAnsi="Times New Roman"/>
                <w:vertAlign w:val="subscript"/>
              </w:rPr>
              <w:t>2</w:t>
            </w:r>
            <w:r>
              <w:rPr>
                <w:rFonts w:ascii="Times New Roman" w:hAnsi="Times New Roman"/>
              </w:rPr>
              <w:t>S检测仪</w:t>
            </w:r>
          </w:p>
        </w:tc>
        <w:tc>
          <w:tcPr>
            <w:tcW w:w="844" w:type="pct"/>
            <w:noWrap/>
            <w:vAlign w:val="center"/>
          </w:tcPr>
          <w:p>
            <w:pPr>
              <w:pStyle w:val="33"/>
              <w:rPr>
                <w:rFonts w:ascii="Times New Roman" w:hAnsi="Times New Roman"/>
              </w:rPr>
            </w:pPr>
            <w:r>
              <w:rPr>
                <w:rFonts w:ascii="Times New Roman" w:hAnsi="Times New Roman"/>
              </w:rPr>
              <w:t>梅思安</w:t>
            </w:r>
          </w:p>
        </w:tc>
        <w:tc>
          <w:tcPr>
            <w:tcW w:w="796" w:type="pct"/>
            <w:noWrap/>
            <w:vAlign w:val="center"/>
          </w:tcPr>
          <w:p>
            <w:pPr>
              <w:pStyle w:val="33"/>
              <w:rPr>
                <w:rFonts w:ascii="Times New Roman" w:hAnsi="Times New Roman"/>
              </w:rPr>
            </w:pPr>
            <w:r>
              <w:rPr>
                <w:rFonts w:ascii="Times New Roman" w:hAnsi="Times New Roman"/>
              </w:rPr>
              <w:t>硫化氢气体检测</w:t>
            </w:r>
          </w:p>
        </w:tc>
        <w:tc>
          <w:tcPr>
            <w:tcW w:w="439" w:type="pct"/>
            <w:noWrap/>
            <w:vAlign w:val="center"/>
          </w:tcPr>
          <w:p>
            <w:pPr>
              <w:pStyle w:val="33"/>
              <w:rPr>
                <w:rFonts w:ascii="Times New Roman" w:hAnsi="Times New Roman"/>
              </w:rPr>
            </w:pPr>
            <w:r>
              <w:rPr>
                <w:rFonts w:ascii="Times New Roman" w:hAnsi="Times New Roman"/>
              </w:rPr>
              <w:t>2个</w:t>
            </w:r>
          </w:p>
        </w:tc>
        <w:tc>
          <w:tcPr>
            <w:tcW w:w="545" w:type="pct"/>
            <w:noWrap/>
            <w:vAlign w:val="center"/>
          </w:tcPr>
          <w:p>
            <w:pPr>
              <w:pStyle w:val="33"/>
              <w:rPr>
                <w:rFonts w:ascii="Times New Roman" w:hAnsi="Times New Roman"/>
              </w:rPr>
            </w:pPr>
            <w:r>
              <w:rPr>
                <w:rFonts w:ascii="Times New Roman" w:hAnsi="Times New Roman"/>
              </w:rPr>
              <w:t>李建新</w:t>
            </w:r>
          </w:p>
        </w:tc>
        <w:tc>
          <w:tcPr>
            <w:tcW w:w="826" w:type="pct"/>
            <w:noWrap/>
            <w:vAlign w:val="center"/>
          </w:tcPr>
          <w:p>
            <w:pPr>
              <w:pStyle w:val="33"/>
              <w:rPr>
                <w:rFonts w:ascii="Times New Roman" w:hAnsi="Times New Roman"/>
              </w:rPr>
            </w:pPr>
            <w:r>
              <w:rPr>
                <w:rFonts w:ascii="Times New Roman" w:hAnsi="Times New Roman"/>
              </w:rPr>
              <w:t>18706663928</w:t>
            </w: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restart"/>
            <w:noWrap/>
            <w:vAlign w:val="center"/>
          </w:tcPr>
          <w:p>
            <w:pPr>
              <w:pStyle w:val="33"/>
              <w:rPr>
                <w:rFonts w:ascii="Times New Roman" w:hAnsi="Times New Roman"/>
              </w:rPr>
            </w:pPr>
            <w:r>
              <w:rPr>
                <w:rFonts w:ascii="Times New Roman" w:hAnsi="Times New Roman"/>
              </w:rPr>
              <w:t>消防器材</w:t>
            </w:r>
          </w:p>
        </w:tc>
        <w:tc>
          <w:tcPr>
            <w:tcW w:w="767" w:type="pct"/>
            <w:noWrap/>
            <w:vAlign w:val="center"/>
          </w:tcPr>
          <w:p>
            <w:pPr>
              <w:pStyle w:val="33"/>
              <w:rPr>
                <w:rFonts w:ascii="Times New Roman" w:hAnsi="Times New Roman"/>
              </w:rPr>
            </w:pPr>
            <w:r>
              <w:rPr>
                <w:rFonts w:ascii="Times New Roman" w:hAnsi="Times New Roman"/>
              </w:rPr>
              <w:t>手提灭火器</w:t>
            </w:r>
          </w:p>
        </w:tc>
        <w:tc>
          <w:tcPr>
            <w:tcW w:w="844" w:type="pct"/>
            <w:noWrap/>
            <w:vAlign w:val="center"/>
          </w:tcPr>
          <w:p>
            <w:pPr>
              <w:pStyle w:val="33"/>
              <w:rPr>
                <w:rFonts w:ascii="Times New Roman" w:hAnsi="Times New Roman"/>
              </w:rPr>
            </w:pPr>
            <w:r>
              <w:rPr>
                <w:rFonts w:ascii="Times New Roman" w:hAnsi="Times New Roman"/>
              </w:rPr>
              <w:t>MFZ/ABC8A</w:t>
            </w:r>
          </w:p>
        </w:tc>
        <w:tc>
          <w:tcPr>
            <w:tcW w:w="796" w:type="pct"/>
            <w:noWrap/>
            <w:vAlign w:val="center"/>
          </w:tcPr>
          <w:p>
            <w:pPr>
              <w:pStyle w:val="33"/>
              <w:rPr>
                <w:rFonts w:ascii="Times New Roman" w:hAnsi="Times New Roman"/>
              </w:rPr>
            </w:pPr>
            <w:r>
              <w:rPr>
                <w:rFonts w:ascii="Times New Roman" w:hAnsi="Times New Roman"/>
              </w:rPr>
              <w:t>干粉灭火器</w:t>
            </w:r>
          </w:p>
        </w:tc>
        <w:tc>
          <w:tcPr>
            <w:tcW w:w="439" w:type="pct"/>
            <w:noWrap/>
            <w:vAlign w:val="center"/>
          </w:tcPr>
          <w:p>
            <w:pPr>
              <w:pStyle w:val="33"/>
              <w:rPr>
                <w:rFonts w:ascii="Times New Roman" w:hAnsi="Times New Roman"/>
              </w:rPr>
            </w:pPr>
            <w:r>
              <w:rPr>
                <w:rFonts w:ascii="Times New Roman" w:hAnsi="Times New Roman"/>
              </w:rPr>
              <w:t>10个</w:t>
            </w:r>
          </w:p>
        </w:tc>
        <w:tc>
          <w:tcPr>
            <w:tcW w:w="545" w:type="pct"/>
            <w:vMerge w:val="restart"/>
            <w:noWrap/>
            <w:vAlign w:val="center"/>
          </w:tcPr>
          <w:p>
            <w:pPr>
              <w:pStyle w:val="33"/>
              <w:rPr>
                <w:rFonts w:ascii="Times New Roman" w:hAnsi="Times New Roman"/>
              </w:rPr>
            </w:pPr>
            <w:r>
              <w:rPr>
                <w:rFonts w:ascii="Times New Roman" w:hAnsi="Times New Roman"/>
              </w:rPr>
              <w:t>李建新</w:t>
            </w:r>
          </w:p>
        </w:tc>
        <w:tc>
          <w:tcPr>
            <w:tcW w:w="826" w:type="pct"/>
            <w:vMerge w:val="restart"/>
            <w:noWrap/>
            <w:vAlign w:val="center"/>
          </w:tcPr>
          <w:p>
            <w:pPr>
              <w:pStyle w:val="33"/>
              <w:rPr>
                <w:rFonts w:ascii="Times New Roman" w:hAnsi="Times New Roman"/>
              </w:rPr>
            </w:pPr>
            <w:r>
              <w:rPr>
                <w:rFonts w:ascii="Times New Roman" w:hAnsi="Times New Roman"/>
              </w:rPr>
              <w:t>18706663928</w:t>
            </w: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推车灭火器</w:t>
            </w:r>
          </w:p>
        </w:tc>
        <w:tc>
          <w:tcPr>
            <w:tcW w:w="844" w:type="pct"/>
            <w:noWrap/>
            <w:vAlign w:val="center"/>
          </w:tcPr>
          <w:p>
            <w:pPr>
              <w:pStyle w:val="33"/>
              <w:rPr>
                <w:rFonts w:ascii="Times New Roman" w:hAnsi="Times New Roman"/>
              </w:rPr>
            </w:pPr>
            <w:r>
              <w:rPr>
                <w:rFonts w:ascii="Times New Roman" w:hAnsi="Times New Roman"/>
              </w:rPr>
              <w:t>MFZ/ABC35</w:t>
            </w:r>
          </w:p>
        </w:tc>
        <w:tc>
          <w:tcPr>
            <w:tcW w:w="796" w:type="pct"/>
            <w:noWrap/>
            <w:vAlign w:val="center"/>
          </w:tcPr>
          <w:p>
            <w:pPr>
              <w:pStyle w:val="33"/>
              <w:rPr>
                <w:rFonts w:ascii="Times New Roman" w:hAnsi="Times New Roman"/>
              </w:rPr>
            </w:pPr>
            <w:r>
              <w:rPr>
                <w:rFonts w:ascii="Times New Roman" w:hAnsi="Times New Roman"/>
              </w:rPr>
              <w:t>干粉灭火器</w:t>
            </w:r>
          </w:p>
        </w:tc>
        <w:tc>
          <w:tcPr>
            <w:tcW w:w="439" w:type="pct"/>
            <w:noWrap/>
            <w:vAlign w:val="center"/>
          </w:tcPr>
          <w:p>
            <w:pPr>
              <w:pStyle w:val="33"/>
              <w:rPr>
                <w:rFonts w:ascii="Times New Roman" w:hAnsi="Times New Roman"/>
              </w:rPr>
            </w:pPr>
            <w:r>
              <w:rPr>
                <w:rFonts w:ascii="Times New Roman" w:hAnsi="Times New Roman"/>
              </w:rPr>
              <w:t>2个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消防锹</w:t>
            </w:r>
          </w:p>
        </w:tc>
        <w:tc>
          <w:tcPr>
            <w:tcW w:w="844" w:type="pct"/>
            <w:noWrap/>
            <w:vAlign w:val="center"/>
          </w:tcPr>
          <w:p>
            <w:pPr>
              <w:pStyle w:val="33"/>
              <w:rPr>
                <w:rFonts w:ascii="Times New Roman" w:hAnsi="Times New Roman"/>
              </w:rPr>
            </w:pPr>
          </w:p>
        </w:tc>
        <w:tc>
          <w:tcPr>
            <w:tcW w:w="796" w:type="pct"/>
            <w:noWrap/>
            <w:vAlign w:val="center"/>
          </w:tcPr>
          <w:p>
            <w:pPr>
              <w:pStyle w:val="33"/>
              <w:rPr>
                <w:rFonts w:ascii="Times New Roman" w:hAnsi="Times New Roman"/>
              </w:rPr>
            </w:pPr>
          </w:p>
        </w:tc>
        <w:tc>
          <w:tcPr>
            <w:tcW w:w="439" w:type="pct"/>
            <w:noWrap/>
            <w:vAlign w:val="center"/>
          </w:tcPr>
          <w:p>
            <w:pPr>
              <w:pStyle w:val="33"/>
              <w:rPr>
                <w:rFonts w:ascii="Times New Roman" w:hAnsi="Times New Roman"/>
              </w:rPr>
            </w:pPr>
            <w:r>
              <w:rPr>
                <w:rFonts w:ascii="Times New Roman" w:hAnsi="Times New Roman"/>
              </w:rPr>
              <w:t>10个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消防斧</w:t>
            </w:r>
          </w:p>
        </w:tc>
        <w:tc>
          <w:tcPr>
            <w:tcW w:w="844" w:type="pct"/>
            <w:noWrap/>
            <w:vAlign w:val="center"/>
          </w:tcPr>
          <w:p>
            <w:pPr>
              <w:pStyle w:val="33"/>
              <w:rPr>
                <w:rFonts w:ascii="Times New Roman" w:hAnsi="Times New Roman"/>
              </w:rPr>
            </w:pPr>
          </w:p>
        </w:tc>
        <w:tc>
          <w:tcPr>
            <w:tcW w:w="796" w:type="pct"/>
            <w:noWrap/>
            <w:vAlign w:val="center"/>
          </w:tcPr>
          <w:p>
            <w:pPr>
              <w:pStyle w:val="33"/>
              <w:rPr>
                <w:rFonts w:ascii="Times New Roman" w:hAnsi="Times New Roman"/>
              </w:rPr>
            </w:pPr>
          </w:p>
        </w:tc>
        <w:tc>
          <w:tcPr>
            <w:tcW w:w="439" w:type="pct"/>
            <w:noWrap/>
            <w:vAlign w:val="center"/>
          </w:tcPr>
          <w:p>
            <w:pPr>
              <w:pStyle w:val="33"/>
              <w:rPr>
                <w:rFonts w:ascii="Times New Roman" w:hAnsi="Times New Roman"/>
              </w:rPr>
            </w:pPr>
            <w:r>
              <w:rPr>
                <w:rFonts w:ascii="Times New Roman" w:hAnsi="Times New Roman"/>
              </w:rPr>
              <w:t>2个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消防钩</w:t>
            </w:r>
          </w:p>
        </w:tc>
        <w:tc>
          <w:tcPr>
            <w:tcW w:w="844" w:type="pct"/>
            <w:noWrap/>
            <w:vAlign w:val="center"/>
          </w:tcPr>
          <w:p>
            <w:pPr>
              <w:pStyle w:val="33"/>
              <w:rPr>
                <w:rFonts w:ascii="Times New Roman" w:hAnsi="Times New Roman"/>
              </w:rPr>
            </w:pPr>
          </w:p>
        </w:tc>
        <w:tc>
          <w:tcPr>
            <w:tcW w:w="796" w:type="pct"/>
            <w:noWrap/>
            <w:vAlign w:val="center"/>
          </w:tcPr>
          <w:p>
            <w:pPr>
              <w:pStyle w:val="33"/>
              <w:rPr>
                <w:rFonts w:ascii="Times New Roman" w:hAnsi="Times New Roman"/>
              </w:rPr>
            </w:pPr>
          </w:p>
        </w:tc>
        <w:tc>
          <w:tcPr>
            <w:tcW w:w="439" w:type="pct"/>
            <w:noWrap/>
            <w:vAlign w:val="center"/>
          </w:tcPr>
          <w:p>
            <w:pPr>
              <w:pStyle w:val="33"/>
              <w:rPr>
                <w:rFonts w:ascii="Times New Roman" w:hAnsi="Times New Roman"/>
              </w:rPr>
            </w:pPr>
            <w:r>
              <w:rPr>
                <w:rFonts w:ascii="Times New Roman" w:hAnsi="Times New Roman"/>
              </w:rPr>
              <w:t>2个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消防桶</w:t>
            </w:r>
          </w:p>
        </w:tc>
        <w:tc>
          <w:tcPr>
            <w:tcW w:w="844" w:type="pct"/>
            <w:noWrap/>
            <w:vAlign w:val="center"/>
          </w:tcPr>
          <w:p>
            <w:pPr>
              <w:pStyle w:val="33"/>
              <w:rPr>
                <w:rFonts w:ascii="Times New Roman" w:hAnsi="Times New Roman"/>
              </w:rPr>
            </w:pPr>
          </w:p>
        </w:tc>
        <w:tc>
          <w:tcPr>
            <w:tcW w:w="796" w:type="pct"/>
            <w:noWrap/>
            <w:vAlign w:val="center"/>
          </w:tcPr>
          <w:p>
            <w:pPr>
              <w:pStyle w:val="33"/>
              <w:rPr>
                <w:rFonts w:ascii="Times New Roman" w:hAnsi="Times New Roman"/>
              </w:rPr>
            </w:pPr>
          </w:p>
        </w:tc>
        <w:tc>
          <w:tcPr>
            <w:tcW w:w="439" w:type="pct"/>
            <w:noWrap/>
            <w:vAlign w:val="center"/>
          </w:tcPr>
          <w:p>
            <w:pPr>
              <w:pStyle w:val="33"/>
              <w:rPr>
                <w:rFonts w:ascii="Times New Roman" w:hAnsi="Times New Roman"/>
              </w:rPr>
            </w:pPr>
            <w:r>
              <w:rPr>
                <w:rFonts w:ascii="Times New Roman" w:hAnsi="Times New Roman"/>
              </w:rPr>
              <w:t>10个</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restart"/>
            <w:noWrap/>
            <w:vAlign w:val="center"/>
          </w:tcPr>
          <w:p>
            <w:pPr>
              <w:pStyle w:val="33"/>
              <w:rPr>
                <w:rFonts w:ascii="Times New Roman" w:hAnsi="Times New Roman"/>
              </w:rPr>
            </w:pPr>
            <w:r>
              <w:rPr>
                <w:rFonts w:ascii="Times New Roman" w:hAnsi="Times New Roman"/>
              </w:rPr>
              <w:t>防爆工具</w:t>
            </w:r>
          </w:p>
        </w:tc>
        <w:tc>
          <w:tcPr>
            <w:tcW w:w="767" w:type="pct"/>
            <w:noWrap/>
            <w:vAlign w:val="center"/>
          </w:tcPr>
          <w:p>
            <w:pPr>
              <w:pStyle w:val="33"/>
              <w:rPr>
                <w:rFonts w:ascii="Times New Roman" w:hAnsi="Times New Roman"/>
              </w:rPr>
            </w:pPr>
            <w:r>
              <w:rPr>
                <w:rFonts w:ascii="Times New Roman" w:hAnsi="Times New Roman"/>
              </w:rPr>
              <w:t>管钳</w:t>
            </w:r>
          </w:p>
        </w:tc>
        <w:tc>
          <w:tcPr>
            <w:tcW w:w="844" w:type="pct"/>
            <w:noWrap/>
            <w:vAlign w:val="center"/>
          </w:tcPr>
          <w:p>
            <w:pPr>
              <w:pStyle w:val="33"/>
              <w:rPr>
                <w:rFonts w:ascii="Times New Roman" w:hAnsi="Times New Roman"/>
              </w:rPr>
            </w:pPr>
            <w:r>
              <w:rPr>
                <w:rFonts w:ascii="Times New Roman" w:hAnsi="Times New Roman"/>
              </w:rPr>
              <w:t>350mm</w:t>
            </w:r>
          </w:p>
        </w:tc>
        <w:tc>
          <w:tcPr>
            <w:tcW w:w="796" w:type="pct"/>
            <w:noWrap/>
            <w:vAlign w:val="center"/>
          </w:tcPr>
          <w:p>
            <w:pPr>
              <w:pStyle w:val="33"/>
              <w:rPr>
                <w:rFonts w:ascii="Times New Roman" w:hAnsi="Times New Roman"/>
              </w:rPr>
            </w:pPr>
            <w:r>
              <w:rPr>
                <w:rFonts w:ascii="Times New Roman" w:hAnsi="Times New Roman"/>
              </w:rPr>
              <w:t>防爆工具</w:t>
            </w:r>
          </w:p>
        </w:tc>
        <w:tc>
          <w:tcPr>
            <w:tcW w:w="439" w:type="pct"/>
            <w:noWrap/>
            <w:vAlign w:val="center"/>
          </w:tcPr>
          <w:p>
            <w:pPr>
              <w:pStyle w:val="33"/>
              <w:rPr>
                <w:rFonts w:ascii="Times New Roman" w:hAnsi="Times New Roman"/>
              </w:rPr>
            </w:pPr>
            <w:r>
              <w:rPr>
                <w:rFonts w:ascii="Times New Roman" w:hAnsi="Times New Roman"/>
              </w:rPr>
              <w:t>1把</w:t>
            </w:r>
          </w:p>
        </w:tc>
        <w:tc>
          <w:tcPr>
            <w:tcW w:w="545" w:type="pct"/>
            <w:vMerge w:val="restart"/>
            <w:noWrap/>
            <w:vAlign w:val="center"/>
          </w:tcPr>
          <w:p>
            <w:pPr>
              <w:pStyle w:val="33"/>
              <w:rPr>
                <w:rFonts w:ascii="Times New Roman" w:hAnsi="Times New Roman"/>
              </w:rPr>
            </w:pPr>
            <w:r>
              <w:rPr>
                <w:rFonts w:ascii="Times New Roman" w:hAnsi="Times New Roman"/>
              </w:rPr>
              <w:t>李建新</w:t>
            </w:r>
          </w:p>
        </w:tc>
        <w:tc>
          <w:tcPr>
            <w:tcW w:w="826" w:type="pct"/>
            <w:vMerge w:val="restart"/>
            <w:noWrap/>
            <w:vAlign w:val="center"/>
          </w:tcPr>
          <w:p>
            <w:pPr>
              <w:pStyle w:val="33"/>
              <w:rPr>
                <w:rFonts w:ascii="Times New Roman" w:hAnsi="Times New Roman"/>
              </w:rPr>
            </w:pPr>
            <w:r>
              <w:rPr>
                <w:rFonts w:ascii="Times New Roman" w:hAnsi="Times New Roman"/>
              </w:rPr>
              <w:t>18706663928</w:t>
            </w: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管钳</w:t>
            </w:r>
          </w:p>
        </w:tc>
        <w:tc>
          <w:tcPr>
            <w:tcW w:w="844" w:type="pct"/>
            <w:noWrap/>
            <w:vAlign w:val="center"/>
          </w:tcPr>
          <w:p>
            <w:pPr>
              <w:pStyle w:val="33"/>
              <w:rPr>
                <w:rFonts w:ascii="Times New Roman" w:hAnsi="Times New Roman"/>
              </w:rPr>
            </w:pPr>
            <w:r>
              <w:rPr>
                <w:rFonts w:ascii="Times New Roman" w:hAnsi="Times New Roman"/>
              </w:rPr>
              <w:t>600mm</w:t>
            </w:r>
          </w:p>
        </w:tc>
        <w:tc>
          <w:tcPr>
            <w:tcW w:w="796" w:type="pct"/>
            <w:noWrap/>
            <w:vAlign w:val="center"/>
          </w:tcPr>
          <w:p>
            <w:pPr>
              <w:pStyle w:val="33"/>
              <w:rPr>
                <w:rFonts w:ascii="Times New Roman" w:hAnsi="Times New Roman"/>
              </w:rPr>
            </w:pPr>
            <w:r>
              <w:rPr>
                <w:rFonts w:ascii="Times New Roman" w:hAnsi="Times New Roman"/>
              </w:rPr>
              <w:t>防爆工具</w:t>
            </w:r>
          </w:p>
        </w:tc>
        <w:tc>
          <w:tcPr>
            <w:tcW w:w="439" w:type="pct"/>
            <w:noWrap/>
            <w:vAlign w:val="center"/>
          </w:tcPr>
          <w:p>
            <w:pPr>
              <w:pStyle w:val="33"/>
              <w:rPr>
                <w:rFonts w:ascii="Times New Roman" w:hAnsi="Times New Roman"/>
              </w:rPr>
            </w:pPr>
            <w:r>
              <w:rPr>
                <w:rFonts w:ascii="Times New Roman" w:hAnsi="Times New Roman"/>
              </w:rPr>
              <w:t>1把</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管钳</w:t>
            </w:r>
          </w:p>
        </w:tc>
        <w:tc>
          <w:tcPr>
            <w:tcW w:w="844" w:type="pct"/>
            <w:noWrap/>
            <w:vAlign w:val="center"/>
          </w:tcPr>
          <w:p>
            <w:pPr>
              <w:pStyle w:val="33"/>
              <w:rPr>
                <w:rFonts w:ascii="Times New Roman" w:hAnsi="Times New Roman"/>
              </w:rPr>
            </w:pPr>
            <w:r>
              <w:rPr>
                <w:rFonts w:ascii="Times New Roman" w:hAnsi="Times New Roman"/>
              </w:rPr>
              <w:t>1200mm</w:t>
            </w:r>
          </w:p>
        </w:tc>
        <w:tc>
          <w:tcPr>
            <w:tcW w:w="796" w:type="pct"/>
            <w:noWrap/>
            <w:vAlign w:val="center"/>
          </w:tcPr>
          <w:p>
            <w:pPr>
              <w:pStyle w:val="33"/>
              <w:rPr>
                <w:rFonts w:ascii="Times New Roman" w:hAnsi="Times New Roman"/>
              </w:rPr>
            </w:pPr>
            <w:r>
              <w:rPr>
                <w:rFonts w:ascii="Times New Roman" w:hAnsi="Times New Roman"/>
              </w:rPr>
              <w:t>防爆工具</w:t>
            </w:r>
          </w:p>
        </w:tc>
        <w:tc>
          <w:tcPr>
            <w:tcW w:w="439" w:type="pct"/>
            <w:noWrap/>
            <w:vAlign w:val="center"/>
          </w:tcPr>
          <w:p>
            <w:pPr>
              <w:pStyle w:val="33"/>
              <w:rPr>
                <w:rFonts w:ascii="Times New Roman" w:hAnsi="Times New Roman"/>
              </w:rPr>
            </w:pPr>
            <w:r>
              <w:rPr>
                <w:rFonts w:ascii="Times New Roman" w:hAnsi="Times New Roman"/>
              </w:rPr>
              <w:t>1把</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活动扳手</w:t>
            </w:r>
          </w:p>
        </w:tc>
        <w:tc>
          <w:tcPr>
            <w:tcW w:w="844" w:type="pct"/>
            <w:noWrap/>
            <w:vAlign w:val="center"/>
          </w:tcPr>
          <w:p>
            <w:pPr>
              <w:pStyle w:val="33"/>
              <w:rPr>
                <w:rFonts w:ascii="Times New Roman" w:hAnsi="Times New Roman"/>
              </w:rPr>
            </w:pPr>
            <w:r>
              <w:rPr>
                <w:rFonts w:ascii="Times New Roman" w:hAnsi="Times New Roman"/>
              </w:rPr>
              <w:t>450mm</w:t>
            </w:r>
          </w:p>
        </w:tc>
        <w:tc>
          <w:tcPr>
            <w:tcW w:w="796" w:type="pct"/>
            <w:noWrap/>
            <w:vAlign w:val="center"/>
          </w:tcPr>
          <w:p>
            <w:pPr>
              <w:pStyle w:val="33"/>
              <w:rPr>
                <w:rFonts w:ascii="Times New Roman" w:hAnsi="Times New Roman"/>
              </w:rPr>
            </w:pPr>
            <w:r>
              <w:rPr>
                <w:rFonts w:ascii="Times New Roman" w:hAnsi="Times New Roman"/>
              </w:rPr>
              <w:t>防爆工具</w:t>
            </w:r>
          </w:p>
        </w:tc>
        <w:tc>
          <w:tcPr>
            <w:tcW w:w="439" w:type="pct"/>
            <w:noWrap/>
            <w:vAlign w:val="center"/>
          </w:tcPr>
          <w:p>
            <w:pPr>
              <w:pStyle w:val="33"/>
              <w:rPr>
                <w:rFonts w:ascii="Times New Roman" w:hAnsi="Times New Roman"/>
              </w:rPr>
            </w:pPr>
            <w:r>
              <w:rPr>
                <w:rFonts w:ascii="Times New Roman" w:hAnsi="Times New Roman"/>
              </w:rPr>
              <w:t>1把</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活动扳手</w:t>
            </w:r>
          </w:p>
        </w:tc>
        <w:tc>
          <w:tcPr>
            <w:tcW w:w="844" w:type="pct"/>
            <w:noWrap/>
            <w:vAlign w:val="center"/>
          </w:tcPr>
          <w:p>
            <w:pPr>
              <w:pStyle w:val="33"/>
              <w:rPr>
                <w:rFonts w:ascii="Times New Roman" w:hAnsi="Times New Roman"/>
              </w:rPr>
            </w:pPr>
            <w:r>
              <w:rPr>
                <w:rFonts w:ascii="Times New Roman" w:hAnsi="Times New Roman"/>
              </w:rPr>
              <w:t>600mm</w:t>
            </w:r>
          </w:p>
        </w:tc>
        <w:tc>
          <w:tcPr>
            <w:tcW w:w="796" w:type="pct"/>
            <w:noWrap/>
            <w:vAlign w:val="center"/>
          </w:tcPr>
          <w:p>
            <w:pPr>
              <w:pStyle w:val="33"/>
              <w:rPr>
                <w:rFonts w:ascii="Times New Roman" w:hAnsi="Times New Roman"/>
              </w:rPr>
            </w:pPr>
            <w:r>
              <w:rPr>
                <w:rFonts w:ascii="Times New Roman" w:hAnsi="Times New Roman"/>
              </w:rPr>
              <w:t>防爆工具</w:t>
            </w:r>
          </w:p>
        </w:tc>
        <w:tc>
          <w:tcPr>
            <w:tcW w:w="439" w:type="pct"/>
            <w:noWrap/>
            <w:vAlign w:val="center"/>
          </w:tcPr>
          <w:p>
            <w:pPr>
              <w:pStyle w:val="33"/>
              <w:rPr>
                <w:rFonts w:ascii="Times New Roman" w:hAnsi="Times New Roman"/>
              </w:rPr>
            </w:pPr>
            <w:r>
              <w:rPr>
                <w:rFonts w:ascii="Times New Roman" w:hAnsi="Times New Roman"/>
              </w:rPr>
              <w:t>1把</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敲击扳手</w:t>
            </w:r>
          </w:p>
        </w:tc>
        <w:tc>
          <w:tcPr>
            <w:tcW w:w="844" w:type="pct"/>
            <w:noWrap/>
            <w:vAlign w:val="center"/>
          </w:tcPr>
          <w:p>
            <w:pPr>
              <w:pStyle w:val="33"/>
              <w:rPr>
                <w:rFonts w:ascii="Times New Roman" w:hAnsi="Times New Roman"/>
              </w:rPr>
            </w:pPr>
            <w:r>
              <w:rPr>
                <w:rFonts w:ascii="Times New Roman" w:hAnsi="Times New Roman"/>
              </w:rPr>
              <w:t>50mm</w:t>
            </w:r>
          </w:p>
        </w:tc>
        <w:tc>
          <w:tcPr>
            <w:tcW w:w="796" w:type="pct"/>
            <w:noWrap/>
            <w:vAlign w:val="center"/>
          </w:tcPr>
          <w:p>
            <w:pPr>
              <w:pStyle w:val="33"/>
              <w:rPr>
                <w:rFonts w:ascii="Times New Roman" w:hAnsi="Times New Roman"/>
              </w:rPr>
            </w:pPr>
            <w:r>
              <w:rPr>
                <w:rFonts w:ascii="Times New Roman" w:hAnsi="Times New Roman"/>
              </w:rPr>
              <w:t>防爆工具</w:t>
            </w:r>
          </w:p>
        </w:tc>
        <w:tc>
          <w:tcPr>
            <w:tcW w:w="439" w:type="pct"/>
            <w:noWrap/>
            <w:vAlign w:val="center"/>
          </w:tcPr>
          <w:p>
            <w:pPr>
              <w:pStyle w:val="33"/>
              <w:rPr>
                <w:rFonts w:ascii="Times New Roman" w:hAnsi="Times New Roman"/>
              </w:rPr>
            </w:pPr>
            <w:r>
              <w:rPr>
                <w:rFonts w:ascii="Times New Roman" w:hAnsi="Times New Roman"/>
              </w:rPr>
              <w:t>1把</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敲击扳手</w:t>
            </w:r>
          </w:p>
        </w:tc>
        <w:tc>
          <w:tcPr>
            <w:tcW w:w="844" w:type="pct"/>
            <w:noWrap/>
            <w:vAlign w:val="center"/>
          </w:tcPr>
          <w:p>
            <w:pPr>
              <w:pStyle w:val="33"/>
              <w:rPr>
                <w:rFonts w:ascii="Times New Roman" w:hAnsi="Times New Roman"/>
              </w:rPr>
            </w:pPr>
            <w:r>
              <w:rPr>
                <w:rFonts w:ascii="Times New Roman" w:hAnsi="Times New Roman"/>
              </w:rPr>
              <w:t>70mm</w:t>
            </w:r>
          </w:p>
        </w:tc>
        <w:tc>
          <w:tcPr>
            <w:tcW w:w="796" w:type="pct"/>
            <w:noWrap/>
            <w:vAlign w:val="center"/>
          </w:tcPr>
          <w:p>
            <w:pPr>
              <w:pStyle w:val="33"/>
              <w:rPr>
                <w:rFonts w:ascii="Times New Roman" w:hAnsi="Times New Roman"/>
              </w:rPr>
            </w:pPr>
            <w:r>
              <w:rPr>
                <w:rFonts w:ascii="Times New Roman" w:hAnsi="Times New Roman"/>
              </w:rPr>
              <w:t>防爆工具</w:t>
            </w:r>
          </w:p>
        </w:tc>
        <w:tc>
          <w:tcPr>
            <w:tcW w:w="439" w:type="pct"/>
            <w:noWrap/>
            <w:vAlign w:val="center"/>
          </w:tcPr>
          <w:p>
            <w:pPr>
              <w:pStyle w:val="33"/>
              <w:rPr>
                <w:rFonts w:ascii="Times New Roman" w:hAnsi="Times New Roman"/>
              </w:rPr>
            </w:pPr>
            <w:r>
              <w:rPr>
                <w:rFonts w:ascii="Times New Roman" w:hAnsi="Times New Roman"/>
              </w:rPr>
              <w:t>1把</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noWrap/>
            <w:vAlign w:val="center"/>
          </w:tcPr>
          <w:p>
            <w:pPr>
              <w:pStyle w:val="33"/>
              <w:rPr>
                <w:rFonts w:ascii="Times New Roman" w:hAnsi="Times New Roman"/>
              </w:rPr>
            </w:pPr>
          </w:p>
        </w:tc>
        <w:tc>
          <w:tcPr>
            <w:tcW w:w="767" w:type="pct"/>
            <w:noWrap/>
            <w:vAlign w:val="center"/>
          </w:tcPr>
          <w:p>
            <w:pPr>
              <w:pStyle w:val="33"/>
              <w:rPr>
                <w:rFonts w:ascii="Times New Roman" w:hAnsi="Times New Roman"/>
              </w:rPr>
            </w:pPr>
            <w:r>
              <w:rPr>
                <w:rFonts w:ascii="Times New Roman" w:hAnsi="Times New Roman"/>
              </w:rPr>
              <w:t>八角锤</w:t>
            </w:r>
          </w:p>
        </w:tc>
        <w:tc>
          <w:tcPr>
            <w:tcW w:w="844" w:type="pct"/>
            <w:noWrap/>
            <w:vAlign w:val="center"/>
          </w:tcPr>
          <w:p>
            <w:pPr>
              <w:pStyle w:val="33"/>
              <w:rPr>
                <w:rFonts w:ascii="Times New Roman" w:hAnsi="Times New Roman"/>
              </w:rPr>
            </w:pPr>
            <w:r>
              <w:rPr>
                <w:rFonts w:ascii="Times New Roman" w:hAnsi="Times New Roman"/>
              </w:rPr>
              <w:t>10LB</w:t>
            </w:r>
          </w:p>
        </w:tc>
        <w:tc>
          <w:tcPr>
            <w:tcW w:w="796" w:type="pct"/>
            <w:noWrap/>
            <w:vAlign w:val="center"/>
          </w:tcPr>
          <w:p>
            <w:pPr>
              <w:pStyle w:val="33"/>
              <w:rPr>
                <w:rFonts w:ascii="Times New Roman" w:hAnsi="Times New Roman"/>
              </w:rPr>
            </w:pPr>
            <w:r>
              <w:rPr>
                <w:rFonts w:ascii="Times New Roman" w:hAnsi="Times New Roman"/>
              </w:rPr>
              <w:t>防爆工具</w:t>
            </w:r>
          </w:p>
        </w:tc>
        <w:tc>
          <w:tcPr>
            <w:tcW w:w="439" w:type="pct"/>
            <w:noWrap/>
            <w:vAlign w:val="center"/>
          </w:tcPr>
          <w:p>
            <w:pPr>
              <w:pStyle w:val="33"/>
              <w:rPr>
                <w:rFonts w:ascii="Times New Roman" w:hAnsi="Times New Roman"/>
              </w:rPr>
            </w:pPr>
            <w:r>
              <w:rPr>
                <w:rFonts w:ascii="Times New Roman" w:hAnsi="Times New Roman"/>
              </w:rPr>
              <w:t>1把</w:t>
            </w:r>
          </w:p>
        </w:tc>
        <w:tc>
          <w:tcPr>
            <w:tcW w:w="545" w:type="pct"/>
            <w:vMerge w:val="continue"/>
            <w:noWrap/>
            <w:vAlign w:val="center"/>
          </w:tcPr>
          <w:p>
            <w:pPr>
              <w:pStyle w:val="33"/>
              <w:rPr>
                <w:rFonts w:ascii="Times New Roman" w:hAnsi="Times New Roman"/>
              </w:rPr>
            </w:pPr>
          </w:p>
        </w:tc>
        <w:tc>
          <w:tcPr>
            <w:tcW w:w="826" w:type="pct"/>
            <w:vMerge w:val="continue"/>
            <w:noWrap/>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restart"/>
            <w:noWrap/>
            <w:vAlign w:val="center"/>
          </w:tcPr>
          <w:p>
            <w:pPr>
              <w:pStyle w:val="33"/>
              <w:rPr>
                <w:rFonts w:ascii="Times New Roman" w:hAnsi="Times New Roman"/>
              </w:rPr>
            </w:pPr>
            <w:r>
              <w:rPr>
                <w:rFonts w:ascii="Times New Roman" w:hAnsi="Times New Roman"/>
              </w:rPr>
              <w:t>普通工具</w:t>
            </w:r>
          </w:p>
        </w:tc>
        <w:tc>
          <w:tcPr>
            <w:tcW w:w="767" w:type="pct"/>
            <w:noWrap/>
            <w:vAlign w:val="center"/>
          </w:tcPr>
          <w:p>
            <w:pPr>
              <w:pStyle w:val="33"/>
              <w:rPr>
                <w:rFonts w:ascii="Times New Roman" w:hAnsi="Times New Roman"/>
              </w:rPr>
            </w:pPr>
            <w:r>
              <w:rPr>
                <w:rFonts w:ascii="Times New Roman" w:hAnsi="Times New Roman"/>
              </w:rPr>
              <w:t>管钳</w:t>
            </w:r>
          </w:p>
        </w:tc>
        <w:tc>
          <w:tcPr>
            <w:tcW w:w="844" w:type="pct"/>
            <w:noWrap/>
            <w:vAlign w:val="center"/>
          </w:tcPr>
          <w:p>
            <w:pPr>
              <w:pStyle w:val="33"/>
              <w:rPr>
                <w:rFonts w:ascii="Times New Roman" w:hAnsi="Times New Roman"/>
              </w:rPr>
            </w:pPr>
            <w:r>
              <w:rPr>
                <w:rFonts w:ascii="Times New Roman" w:hAnsi="Times New Roman"/>
              </w:rPr>
              <w:t>450mm</w:t>
            </w:r>
          </w:p>
        </w:tc>
        <w:tc>
          <w:tcPr>
            <w:tcW w:w="796" w:type="pct"/>
            <w:noWrap/>
            <w:vAlign w:val="center"/>
          </w:tcPr>
          <w:p>
            <w:pPr>
              <w:pStyle w:val="33"/>
              <w:rPr>
                <w:rFonts w:ascii="Times New Roman" w:hAnsi="Times New Roman"/>
              </w:rPr>
            </w:pPr>
            <w:r>
              <w:rPr>
                <w:rFonts w:ascii="Times New Roman" w:hAnsi="Times New Roman"/>
              </w:rPr>
              <w:t>普通工具</w:t>
            </w:r>
          </w:p>
        </w:tc>
        <w:tc>
          <w:tcPr>
            <w:tcW w:w="439" w:type="pct"/>
            <w:noWrap/>
            <w:vAlign w:val="center"/>
          </w:tcPr>
          <w:p>
            <w:pPr>
              <w:pStyle w:val="33"/>
              <w:rPr>
                <w:rFonts w:ascii="Times New Roman" w:hAnsi="Times New Roman"/>
              </w:rPr>
            </w:pPr>
            <w:r>
              <w:rPr>
                <w:rFonts w:ascii="Times New Roman" w:hAnsi="Times New Roman"/>
              </w:rPr>
              <w:t>2把</w:t>
            </w:r>
          </w:p>
        </w:tc>
        <w:tc>
          <w:tcPr>
            <w:tcW w:w="545" w:type="pct"/>
            <w:vMerge w:val="restart"/>
            <w:noWrap/>
            <w:vAlign w:val="center"/>
          </w:tcPr>
          <w:p>
            <w:pPr>
              <w:pStyle w:val="33"/>
              <w:rPr>
                <w:rFonts w:ascii="Times New Roman" w:hAnsi="Times New Roman"/>
              </w:rPr>
            </w:pPr>
            <w:r>
              <w:rPr>
                <w:rFonts w:ascii="Times New Roman" w:hAnsi="Times New Roman"/>
              </w:rPr>
              <w:t>李建新</w:t>
            </w:r>
          </w:p>
        </w:tc>
        <w:tc>
          <w:tcPr>
            <w:tcW w:w="826" w:type="pct"/>
            <w:vMerge w:val="restart"/>
            <w:noWrap/>
            <w:vAlign w:val="center"/>
          </w:tcPr>
          <w:p>
            <w:pPr>
              <w:pStyle w:val="33"/>
              <w:rPr>
                <w:rFonts w:ascii="Times New Roman" w:hAnsi="Times New Roman"/>
              </w:rPr>
            </w:pPr>
            <w:r>
              <w:rPr>
                <w:rFonts w:ascii="Times New Roman" w:hAnsi="Times New Roman"/>
              </w:rPr>
              <w:t>18706663928</w:t>
            </w: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vAlign w:val="center"/>
          </w:tcPr>
          <w:p>
            <w:pPr>
              <w:pStyle w:val="33"/>
              <w:rPr>
                <w:rFonts w:ascii="Times New Roman" w:hAnsi="Times New Roman"/>
              </w:rPr>
            </w:pPr>
          </w:p>
        </w:tc>
        <w:tc>
          <w:tcPr>
            <w:tcW w:w="767" w:type="pct"/>
            <w:vAlign w:val="center"/>
          </w:tcPr>
          <w:p>
            <w:pPr>
              <w:pStyle w:val="33"/>
              <w:rPr>
                <w:rFonts w:ascii="Times New Roman" w:hAnsi="Times New Roman"/>
              </w:rPr>
            </w:pPr>
            <w:r>
              <w:rPr>
                <w:rFonts w:ascii="Times New Roman" w:hAnsi="Times New Roman"/>
              </w:rPr>
              <w:t>管钳</w:t>
            </w:r>
          </w:p>
        </w:tc>
        <w:tc>
          <w:tcPr>
            <w:tcW w:w="844" w:type="pct"/>
            <w:vAlign w:val="center"/>
          </w:tcPr>
          <w:p>
            <w:pPr>
              <w:pStyle w:val="33"/>
              <w:rPr>
                <w:rFonts w:ascii="Times New Roman" w:hAnsi="Times New Roman"/>
              </w:rPr>
            </w:pPr>
            <w:r>
              <w:rPr>
                <w:rFonts w:ascii="Times New Roman" w:hAnsi="Times New Roman"/>
              </w:rPr>
              <w:t>900mm</w:t>
            </w:r>
          </w:p>
        </w:tc>
        <w:tc>
          <w:tcPr>
            <w:tcW w:w="796" w:type="pct"/>
            <w:vAlign w:val="center"/>
          </w:tcPr>
          <w:p>
            <w:pPr>
              <w:pStyle w:val="33"/>
              <w:rPr>
                <w:rFonts w:ascii="Times New Roman" w:hAnsi="Times New Roman"/>
              </w:rPr>
            </w:pPr>
            <w:r>
              <w:rPr>
                <w:rFonts w:ascii="Times New Roman" w:hAnsi="Times New Roman"/>
              </w:rPr>
              <w:t>普通工具</w:t>
            </w:r>
          </w:p>
        </w:tc>
        <w:tc>
          <w:tcPr>
            <w:tcW w:w="439" w:type="pct"/>
            <w:vAlign w:val="center"/>
          </w:tcPr>
          <w:p>
            <w:pPr>
              <w:pStyle w:val="33"/>
              <w:rPr>
                <w:rFonts w:ascii="Times New Roman" w:hAnsi="Times New Roman"/>
              </w:rPr>
            </w:pPr>
            <w:r>
              <w:rPr>
                <w:rFonts w:ascii="Times New Roman" w:hAnsi="Times New Roman"/>
              </w:rPr>
              <w:t>2把</w:t>
            </w:r>
          </w:p>
        </w:tc>
        <w:tc>
          <w:tcPr>
            <w:tcW w:w="545" w:type="pct"/>
            <w:vMerge w:val="continue"/>
            <w:vAlign w:val="center"/>
          </w:tcPr>
          <w:p>
            <w:pPr>
              <w:pStyle w:val="33"/>
              <w:rPr>
                <w:rFonts w:ascii="Times New Roman" w:hAnsi="Times New Roman"/>
              </w:rPr>
            </w:pPr>
          </w:p>
        </w:tc>
        <w:tc>
          <w:tcPr>
            <w:tcW w:w="826" w:type="pct"/>
            <w:vMerge w:val="continue"/>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vAlign w:val="center"/>
          </w:tcPr>
          <w:p>
            <w:pPr>
              <w:pStyle w:val="33"/>
              <w:rPr>
                <w:rFonts w:ascii="Times New Roman" w:hAnsi="Times New Roman"/>
              </w:rPr>
            </w:pPr>
          </w:p>
        </w:tc>
        <w:tc>
          <w:tcPr>
            <w:tcW w:w="767" w:type="pct"/>
            <w:vAlign w:val="center"/>
          </w:tcPr>
          <w:p>
            <w:pPr>
              <w:pStyle w:val="33"/>
              <w:rPr>
                <w:rFonts w:ascii="Times New Roman" w:hAnsi="Times New Roman"/>
              </w:rPr>
            </w:pPr>
            <w:r>
              <w:rPr>
                <w:rFonts w:ascii="Times New Roman" w:hAnsi="Times New Roman"/>
              </w:rPr>
              <w:t>管钳</w:t>
            </w:r>
          </w:p>
        </w:tc>
        <w:tc>
          <w:tcPr>
            <w:tcW w:w="844" w:type="pct"/>
            <w:vAlign w:val="center"/>
          </w:tcPr>
          <w:p>
            <w:pPr>
              <w:pStyle w:val="33"/>
              <w:rPr>
                <w:rFonts w:ascii="Times New Roman" w:hAnsi="Times New Roman"/>
              </w:rPr>
            </w:pPr>
            <w:r>
              <w:rPr>
                <w:rFonts w:ascii="Times New Roman" w:hAnsi="Times New Roman"/>
              </w:rPr>
              <w:t>1200mm</w:t>
            </w:r>
          </w:p>
        </w:tc>
        <w:tc>
          <w:tcPr>
            <w:tcW w:w="796" w:type="pct"/>
            <w:vAlign w:val="center"/>
          </w:tcPr>
          <w:p>
            <w:pPr>
              <w:pStyle w:val="33"/>
              <w:rPr>
                <w:rFonts w:ascii="Times New Roman" w:hAnsi="Times New Roman"/>
              </w:rPr>
            </w:pPr>
            <w:r>
              <w:rPr>
                <w:rFonts w:ascii="Times New Roman" w:hAnsi="Times New Roman"/>
              </w:rPr>
              <w:t>普通工具</w:t>
            </w:r>
          </w:p>
        </w:tc>
        <w:tc>
          <w:tcPr>
            <w:tcW w:w="439" w:type="pct"/>
            <w:vAlign w:val="center"/>
          </w:tcPr>
          <w:p>
            <w:pPr>
              <w:pStyle w:val="33"/>
              <w:rPr>
                <w:rFonts w:ascii="Times New Roman" w:hAnsi="Times New Roman"/>
              </w:rPr>
            </w:pPr>
            <w:r>
              <w:rPr>
                <w:rFonts w:ascii="Times New Roman" w:hAnsi="Times New Roman"/>
              </w:rPr>
              <w:t>2把</w:t>
            </w:r>
          </w:p>
        </w:tc>
        <w:tc>
          <w:tcPr>
            <w:tcW w:w="545" w:type="pct"/>
            <w:vMerge w:val="continue"/>
            <w:vAlign w:val="center"/>
          </w:tcPr>
          <w:p>
            <w:pPr>
              <w:pStyle w:val="33"/>
              <w:rPr>
                <w:rFonts w:ascii="Times New Roman" w:hAnsi="Times New Roman"/>
              </w:rPr>
            </w:pPr>
          </w:p>
        </w:tc>
        <w:tc>
          <w:tcPr>
            <w:tcW w:w="826" w:type="pct"/>
            <w:vMerge w:val="continue"/>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vAlign w:val="center"/>
          </w:tcPr>
          <w:p>
            <w:pPr>
              <w:pStyle w:val="33"/>
              <w:rPr>
                <w:rFonts w:ascii="Times New Roman" w:hAnsi="Times New Roman"/>
              </w:rPr>
            </w:pPr>
          </w:p>
        </w:tc>
        <w:tc>
          <w:tcPr>
            <w:tcW w:w="767" w:type="pct"/>
            <w:vAlign w:val="center"/>
          </w:tcPr>
          <w:p>
            <w:pPr>
              <w:pStyle w:val="33"/>
              <w:rPr>
                <w:rFonts w:ascii="Times New Roman" w:hAnsi="Times New Roman"/>
              </w:rPr>
            </w:pPr>
            <w:r>
              <w:rPr>
                <w:rFonts w:ascii="Times New Roman" w:hAnsi="Times New Roman"/>
              </w:rPr>
              <w:t>活动扳手</w:t>
            </w:r>
          </w:p>
        </w:tc>
        <w:tc>
          <w:tcPr>
            <w:tcW w:w="844" w:type="pct"/>
            <w:vAlign w:val="center"/>
          </w:tcPr>
          <w:p>
            <w:pPr>
              <w:pStyle w:val="33"/>
              <w:rPr>
                <w:rFonts w:ascii="Times New Roman" w:hAnsi="Times New Roman"/>
              </w:rPr>
            </w:pPr>
            <w:r>
              <w:rPr>
                <w:rFonts w:ascii="Times New Roman" w:hAnsi="Times New Roman"/>
              </w:rPr>
              <w:t>300/375/450mm</w:t>
            </w:r>
          </w:p>
        </w:tc>
        <w:tc>
          <w:tcPr>
            <w:tcW w:w="796" w:type="pct"/>
            <w:vAlign w:val="center"/>
          </w:tcPr>
          <w:p>
            <w:pPr>
              <w:pStyle w:val="33"/>
              <w:rPr>
                <w:rFonts w:ascii="Times New Roman" w:hAnsi="Times New Roman"/>
              </w:rPr>
            </w:pPr>
            <w:r>
              <w:rPr>
                <w:rFonts w:ascii="Times New Roman" w:hAnsi="Times New Roman"/>
              </w:rPr>
              <w:t>普通工具</w:t>
            </w:r>
          </w:p>
        </w:tc>
        <w:tc>
          <w:tcPr>
            <w:tcW w:w="439" w:type="pct"/>
            <w:vAlign w:val="center"/>
          </w:tcPr>
          <w:p>
            <w:pPr>
              <w:pStyle w:val="33"/>
              <w:rPr>
                <w:rFonts w:ascii="Times New Roman" w:hAnsi="Times New Roman"/>
              </w:rPr>
            </w:pPr>
            <w:r>
              <w:rPr>
                <w:rFonts w:ascii="Times New Roman" w:hAnsi="Times New Roman"/>
              </w:rPr>
              <w:t>各1把</w:t>
            </w:r>
          </w:p>
        </w:tc>
        <w:tc>
          <w:tcPr>
            <w:tcW w:w="545" w:type="pct"/>
            <w:vMerge w:val="continue"/>
            <w:vAlign w:val="center"/>
          </w:tcPr>
          <w:p>
            <w:pPr>
              <w:pStyle w:val="33"/>
              <w:rPr>
                <w:rFonts w:ascii="Times New Roman" w:hAnsi="Times New Roman"/>
              </w:rPr>
            </w:pPr>
          </w:p>
        </w:tc>
        <w:tc>
          <w:tcPr>
            <w:tcW w:w="826" w:type="pct"/>
            <w:vMerge w:val="continue"/>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vAlign w:val="center"/>
          </w:tcPr>
          <w:p>
            <w:pPr>
              <w:pStyle w:val="33"/>
              <w:rPr>
                <w:rFonts w:ascii="Times New Roman" w:hAnsi="Times New Roman"/>
              </w:rPr>
            </w:pPr>
          </w:p>
        </w:tc>
        <w:tc>
          <w:tcPr>
            <w:tcW w:w="767" w:type="pct"/>
            <w:vAlign w:val="center"/>
          </w:tcPr>
          <w:p>
            <w:pPr>
              <w:pStyle w:val="33"/>
              <w:rPr>
                <w:rFonts w:ascii="Times New Roman" w:hAnsi="Times New Roman"/>
              </w:rPr>
            </w:pPr>
            <w:r>
              <w:rPr>
                <w:rFonts w:ascii="Times New Roman" w:hAnsi="Times New Roman"/>
              </w:rPr>
              <w:t>死板手</w:t>
            </w:r>
          </w:p>
        </w:tc>
        <w:tc>
          <w:tcPr>
            <w:tcW w:w="844" w:type="pct"/>
            <w:vAlign w:val="center"/>
          </w:tcPr>
          <w:p>
            <w:pPr>
              <w:pStyle w:val="33"/>
              <w:rPr>
                <w:rFonts w:ascii="Times New Roman" w:hAnsi="Times New Roman"/>
              </w:rPr>
            </w:pPr>
            <w:r>
              <w:rPr>
                <w:rFonts w:ascii="Times New Roman" w:hAnsi="Times New Roman"/>
              </w:rPr>
              <w:t>250井口法兰专用</w:t>
            </w:r>
          </w:p>
        </w:tc>
        <w:tc>
          <w:tcPr>
            <w:tcW w:w="796" w:type="pct"/>
            <w:vAlign w:val="center"/>
          </w:tcPr>
          <w:p>
            <w:pPr>
              <w:pStyle w:val="33"/>
              <w:rPr>
                <w:rFonts w:ascii="Times New Roman" w:hAnsi="Times New Roman"/>
              </w:rPr>
            </w:pPr>
            <w:r>
              <w:rPr>
                <w:rFonts w:ascii="Times New Roman" w:hAnsi="Times New Roman"/>
              </w:rPr>
              <w:t>普通工具</w:t>
            </w:r>
          </w:p>
        </w:tc>
        <w:tc>
          <w:tcPr>
            <w:tcW w:w="439" w:type="pct"/>
            <w:vAlign w:val="center"/>
          </w:tcPr>
          <w:p>
            <w:pPr>
              <w:pStyle w:val="33"/>
              <w:rPr>
                <w:rFonts w:ascii="Times New Roman" w:hAnsi="Times New Roman"/>
              </w:rPr>
            </w:pPr>
            <w:r>
              <w:rPr>
                <w:rFonts w:ascii="Times New Roman" w:hAnsi="Times New Roman"/>
              </w:rPr>
              <w:t>2把</w:t>
            </w:r>
          </w:p>
        </w:tc>
        <w:tc>
          <w:tcPr>
            <w:tcW w:w="545" w:type="pct"/>
            <w:vMerge w:val="continue"/>
            <w:vAlign w:val="center"/>
          </w:tcPr>
          <w:p>
            <w:pPr>
              <w:pStyle w:val="33"/>
              <w:rPr>
                <w:rFonts w:ascii="Times New Roman" w:hAnsi="Times New Roman"/>
              </w:rPr>
            </w:pPr>
          </w:p>
        </w:tc>
        <w:tc>
          <w:tcPr>
            <w:tcW w:w="826" w:type="pct"/>
            <w:vMerge w:val="continue"/>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vAlign w:val="center"/>
          </w:tcPr>
          <w:p>
            <w:pPr>
              <w:pStyle w:val="33"/>
              <w:rPr>
                <w:rFonts w:ascii="Times New Roman" w:hAnsi="Times New Roman"/>
              </w:rPr>
            </w:pPr>
          </w:p>
        </w:tc>
        <w:tc>
          <w:tcPr>
            <w:tcW w:w="767" w:type="pct"/>
            <w:vAlign w:val="center"/>
          </w:tcPr>
          <w:p>
            <w:pPr>
              <w:pStyle w:val="33"/>
              <w:rPr>
                <w:rFonts w:ascii="Times New Roman" w:hAnsi="Times New Roman"/>
              </w:rPr>
            </w:pPr>
            <w:r>
              <w:rPr>
                <w:rFonts w:ascii="Times New Roman" w:hAnsi="Times New Roman"/>
              </w:rPr>
              <w:t>铁锤</w:t>
            </w:r>
          </w:p>
        </w:tc>
        <w:tc>
          <w:tcPr>
            <w:tcW w:w="844" w:type="pct"/>
            <w:vAlign w:val="center"/>
          </w:tcPr>
          <w:p>
            <w:pPr>
              <w:pStyle w:val="33"/>
              <w:rPr>
                <w:rFonts w:ascii="Times New Roman" w:hAnsi="Times New Roman"/>
              </w:rPr>
            </w:pPr>
            <w:r>
              <w:rPr>
                <w:rFonts w:ascii="Times New Roman" w:hAnsi="Times New Roman"/>
              </w:rPr>
              <w:t>4kg</w:t>
            </w:r>
          </w:p>
        </w:tc>
        <w:tc>
          <w:tcPr>
            <w:tcW w:w="796" w:type="pct"/>
            <w:vAlign w:val="center"/>
          </w:tcPr>
          <w:p>
            <w:pPr>
              <w:pStyle w:val="33"/>
              <w:rPr>
                <w:rFonts w:ascii="Times New Roman" w:hAnsi="Times New Roman"/>
              </w:rPr>
            </w:pPr>
            <w:r>
              <w:rPr>
                <w:rFonts w:ascii="Times New Roman" w:hAnsi="Times New Roman"/>
              </w:rPr>
              <w:t>普通工具</w:t>
            </w:r>
          </w:p>
        </w:tc>
        <w:tc>
          <w:tcPr>
            <w:tcW w:w="439" w:type="pct"/>
            <w:vAlign w:val="center"/>
          </w:tcPr>
          <w:p>
            <w:pPr>
              <w:pStyle w:val="33"/>
              <w:rPr>
                <w:rFonts w:ascii="Times New Roman" w:hAnsi="Times New Roman"/>
              </w:rPr>
            </w:pPr>
            <w:r>
              <w:rPr>
                <w:rFonts w:ascii="Times New Roman" w:hAnsi="Times New Roman"/>
              </w:rPr>
              <w:t>2把</w:t>
            </w:r>
          </w:p>
        </w:tc>
        <w:tc>
          <w:tcPr>
            <w:tcW w:w="545" w:type="pct"/>
            <w:vMerge w:val="continue"/>
            <w:vAlign w:val="center"/>
          </w:tcPr>
          <w:p>
            <w:pPr>
              <w:pStyle w:val="33"/>
              <w:rPr>
                <w:rFonts w:ascii="Times New Roman" w:hAnsi="Times New Roman"/>
              </w:rPr>
            </w:pPr>
          </w:p>
        </w:tc>
        <w:tc>
          <w:tcPr>
            <w:tcW w:w="826" w:type="pct"/>
            <w:vMerge w:val="continue"/>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vAlign w:val="center"/>
          </w:tcPr>
          <w:p>
            <w:pPr>
              <w:pStyle w:val="33"/>
              <w:rPr>
                <w:rFonts w:ascii="Times New Roman" w:hAnsi="Times New Roman"/>
              </w:rPr>
            </w:pPr>
          </w:p>
        </w:tc>
        <w:tc>
          <w:tcPr>
            <w:tcW w:w="767" w:type="pct"/>
            <w:vAlign w:val="center"/>
          </w:tcPr>
          <w:p>
            <w:pPr>
              <w:pStyle w:val="33"/>
              <w:rPr>
                <w:rFonts w:ascii="Times New Roman" w:hAnsi="Times New Roman"/>
              </w:rPr>
            </w:pPr>
            <w:r>
              <w:rPr>
                <w:rFonts w:ascii="Times New Roman" w:hAnsi="Times New Roman"/>
              </w:rPr>
              <w:t>铁锹</w:t>
            </w:r>
          </w:p>
        </w:tc>
        <w:tc>
          <w:tcPr>
            <w:tcW w:w="844" w:type="pct"/>
            <w:vAlign w:val="center"/>
          </w:tcPr>
          <w:p>
            <w:pPr>
              <w:pStyle w:val="33"/>
              <w:rPr>
                <w:rFonts w:ascii="Times New Roman" w:hAnsi="Times New Roman"/>
              </w:rPr>
            </w:pPr>
          </w:p>
        </w:tc>
        <w:tc>
          <w:tcPr>
            <w:tcW w:w="796" w:type="pct"/>
            <w:vAlign w:val="center"/>
          </w:tcPr>
          <w:p>
            <w:pPr>
              <w:pStyle w:val="33"/>
              <w:rPr>
                <w:rFonts w:ascii="Times New Roman" w:hAnsi="Times New Roman"/>
              </w:rPr>
            </w:pPr>
            <w:r>
              <w:rPr>
                <w:rFonts w:ascii="Times New Roman" w:hAnsi="Times New Roman"/>
              </w:rPr>
              <w:t>普通工具</w:t>
            </w:r>
          </w:p>
        </w:tc>
        <w:tc>
          <w:tcPr>
            <w:tcW w:w="439" w:type="pct"/>
            <w:vAlign w:val="center"/>
          </w:tcPr>
          <w:p>
            <w:pPr>
              <w:pStyle w:val="33"/>
              <w:rPr>
                <w:rFonts w:ascii="Times New Roman" w:hAnsi="Times New Roman"/>
              </w:rPr>
            </w:pPr>
            <w:r>
              <w:rPr>
                <w:rFonts w:ascii="Times New Roman" w:hAnsi="Times New Roman"/>
              </w:rPr>
              <w:t>10把</w:t>
            </w:r>
          </w:p>
        </w:tc>
        <w:tc>
          <w:tcPr>
            <w:tcW w:w="545" w:type="pct"/>
            <w:vMerge w:val="continue"/>
            <w:vAlign w:val="center"/>
          </w:tcPr>
          <w:p>
            <w:pPr>
              <w:pStyle w:val="33"/>
              <w:rPr>
                <w:rFonts w:ascii="Times New Roman" w:hAnsi="Times New Roman"/>
              </w:rPr>
            </w:pPr>
          </w:p>
        </w:tc>
        <w:tc>
          <w:tcPr>
            <w:tcW w:w="826" w:type="pct"/>
            <w:vMerge w:val="continue"/>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vAlign w:val="center"/>
          </w:tcPr>
          <w:p>
            <w:pPr>
              <w:pStyle w:val="33"/>
              <w:rPr>
                <w:rFonts w:ascii="Times New Roman" w:hAnsi="Times New Roman"/>
              </w:rPr>
            </w:pPr>
          </w:p>
        </w:tc>
        <w:tc>
          <w:tcPr>
            <w:tcW w:w="767" w:type="pct"/>
            <w:vAlign w:val="center"/>
          </w:tcPr>
          <w:p>
            <w:pPr>
              <w:pStyle w:val="33"/>
              <w:rPr>
                <w:rFonts w:ascii="Times New Roman" w:hAnsi="Times New Roman"/>
              </w:rPr>
            </w:pPr>
            <w:r>
              <w:rPr>
                <w:rFonts w:ascii="Times New Roman" w:hAnsi="Times New Roman"/>
              </w:rPr>
              <w:t>起子</w:t>
            </w:r>
          </w:p>
        </w:tc>
        <w:tc>
          <w:tcPr>
            <w:tcW w:w="844" w:type="pct"/>
            <w:vAlign w:val="center"/>
          </w:tcPr>
          <w:p>
            <w:pPr>
              <w:pStyle w:val="33"/>
              <w:rPr>
                <w:rFonts w:ascii="Times New Roman" w:hAnsi="Times New Roman"/>
              </w:rPr>
            </w:pPr>
            <w:r>
              <w:rPr>
                <w:rFonts w:ascii="Times New Roman" w:hAnsi="Times New Roman"/>
              </w:rPr>
              <w:t>300*9</w:t>
            </w:r>
          </w:p>
        </w:tc>
        <w:tc>
          <w:tcPr>
            <w:tcW w:w="796" w:type="pct"/>
            <w:vAlign w:val="center"/>
          </w:tcPr>
          <w:p>
            <w:pPr>
              <w:pStyle w:val="33"/>
              <w:rPr>
                <w:rFonts w:ascii="Times New Roman" w:hAnsi="Times New Roman"/>
              </w:rPr>
            </w:pPr>
            <w:r>
              <w:rPr>
                <w:rFonts w:ascii="Times New Roman" w:hAnsi="Times New Roman"/>
              </w:rPr>
              <w:t>普通工具</w:t>
            </w:r>
          </w:p>
        </w:tc>
        <w:tc>
          <w:tcPr>
            <w:tcW w:w="439" w:type="pct"/>
            <w:vAlign w:val="center"/>
          </w:tcPr>
          <w:p>
            <w:pPr>
              <w:pStyle w:val="33"/>
              <w:rPr>
                <w:rFonts w:ascii="Times New Roman" w:hAnsi="Times New Roman"/>
              </w:rPr>
            </w:pPr>
            <w:r>
              <w:rPr>
                <w:rFonts w:ascii="Times New Roman" w:hAnsi="Times New Roman"/>
              </w:rPr>
              <w:t>2把</w:t>
            </w:r>
          </w:p>
        </w:tc>
        <w:tc>
          <w:tcPr>
            <w:tcW w:w="545" w:type="pct"/>
            <w:vMerge w:val="continue"/>
            <w:vAlign w:val="center"/>
          </w:tcPr>
          <w:p>
            <w:pPr>
              <w:pStyle w:val="33"/>
              <w:rPr>
                <w:rFonts w:ascii="Times New Roman" w:hAnsi="Times New Roman"/>
              </w:rPr>
            </w:pPr>
          </w:p>
        </w:tc>
        <w:tc>
          <w:tcPr>
            <w:tcW w:w="826" w:type="pct"/>
            <w:vMerge w:val="continue"/>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restart"/>
            <w:vAlign w:val="center"/>
          </w:tcPr>
          <w:p>
            <w:pPr>
              <w:pStyle w:val="33"/>
              <w:rPr>
                <w:rFonts w:ascii="Times New Roman" w:hAnsi="Times New Roman"/>
              </w:rPr>
            </w:pPr>
            <w:r>
              <w:rPr>
                <w:rFonts w:ascii="Times New Roman" w:hAnsi="Times New Roman"/>
              </w:rPr>
              <w:t>照明工具</w:t>
            </w:r>
          </w:p>
        </w:tc>
        <w:tc>
          <w:tcPr>
            <w:tcW w:w="767" w:type="pct"/>
            <w:vAlign w:val="center"/>
          </w:tcPr>
          <w:p>
            <w:pPr>
              <w:pStyle w:val="33"/>
              <w:rPr>
                <w:rFonts w:ascii="Times New Roman" w:hAnsi="Times New Roman"/>
              </w:rPr>
            </w:pPr>
            <w:r>
              <w:rPr>
                <w:rFonts w:ascii="Times New Roman" w:hAnsi="Times New Roman"/>
              </w:rPr>
              <w:t>抢修强光工作灯</w:t>
            </w:r>
          </w:p>
        </w:tc>
        <w:tc>
          <w:tcPr>
            <w:tcW w:w="844" w:type="pct"/>
            <w:vAlign w:val="center"/>
          </w:tcPr>
          <w:p>
            <w:pPr>
              <w:pStyle w:val="33"/>
              <w:rPr>
                <w:rFonts w:ascii="Times New Roman" w:hAnsi="Times New Roman"/>
              </w:rPr>
            </w:pPr>
            <w:r>
              <w:rPr>
                <w:rFonts w:ascii="Times New Roman" w:hAnsi="Times New Roman"/>
              </w:rPr>
              <w:t>本田发电机</w:t>
            </w:r>
          </w:p>
        </w:tc>
        <w:tc>
          <w:tcPr>
            <w:tcW w:w="796" w:type="pct"/>
            <w:vAlign w:val="center"/>
          </w:tcPr>
          <w:p>
            <w:pPr>
              <w:pStyle w:val="33"/>
              <w:rPr>
                <w:rFonts w:ascii="Times New Roman" w:hAnsi="Times New Roman"/>
              </w:rPr>
            </w:pPr>
            <w:r>
              <w:rPr>
                <w:rFonts w:ascii="Times New Roman" w:hAnsi="Times New Roman"/>
              </w:rPr>
              <w:t>汽油型</w:t>
            </w:r>
          </w:p>
        </w:tc>
        <w:tc>
          <w:tcPr>
            <w:tcW w:w="439" w:type="pct"/>
            <w:vAlign w:val="center"/>
          </w:tcPr>
          <w:p>
            <w:pPr>
              <w:pStyle w:val="33"/>
              <w:rPr>
                <w:rFonts w:ascii="Times New Roman" w:hAnsi="Times New Roman"/>
              </w:rPr>
            </w:pPr>
            <w:r>
              <w:rPr>
                <w:rFonts w:ascii="Times New Roman" w:hAnsi="Times New Roman"/>
              </w:rPr>
              <w:t>1个</w:t>
            </w:r>
          </w:p>
        </w:tc>
        <w:tc>
          <w:tcPr>
            <w:tcW w:w="545" w:type="pct"/>
            <w:vMerge w:val="restart"/>
            <w:vAlign w:val="center"/>
          </w:tcPr>
          <w:p>
            <w:pPr>
              <w:pStyle w:val="33"/>
              <w:rPr>
                <w:rFonts w:ascii="Times New Roman" w:hAnsi="Times New Roman"/>
              </w:rPr>
            </w:pPr>
            <w:r>
              <w:rPr>
                <w:rFonts w:ascii="Times New Roman" w:hAnsi="Times New Roman"/>
              </w:rPr>
              <w:t>李建新</w:t>
            </w:r>
          </w:p>
        </w:tc>
        <w:tc>
          <w:tcPr>
            <w:tcW w:w="826" w:type="pct"/>
            <w:vMerge w:val="restart"/>
            <w:vAlign w:val="center"/>
          </w:tcPr>
          <w:p>
            <w:pPr>
              <w:pStyle w:val="33"/>
              <w:rPr>
                <w:rFonts w:ascii="Times New Roman" w:hAnsi="Times New Roman"/>
              </w:rPr>
            </w:pPr>
            <w:r>
              <w:rPr>
                <w:rFonts w:ascii="Times New Roman" w:hAnsi="Times New Roman"/>
              </w:rPr>
              <w:t>18706663928</w:t>
            </w: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vAlign w:val="center"/>
          </w:tcPr>
          <w:p>
            <w:pPr>
              <w:pStyle w:val="33"/>
              <w:rPr>
                <w:rFonts w:ascii="Times New Roman" w:hAnsi="Times New Roman"/>
              </w:rPr>
            </w:pPr>
          </w:p>
        </w:tc>
        <w:tc>
          <w:tcPr>
            <w:tcW w:w="767" w:type="pct"/>
            <w:vAlign w:val="center"/>
          </w:tcPr>
          <w:p>
            <w:pPr>
              <w:pStyle w:val="33"/>
              <w:rPr>
                <w:rFonts w:ascii="Times New Roman" w:hAnsi="Times New Roman"/>
              </w:rPr>
            </w:pPr>
            <w:r>
              <w:rPr>
                <w:rFonts w:ascii="Times New Roman" w:hAnsi="Times New Roman"/>
              </w:rPr>
              <w:t>抢修强光工作灯</w:t>
            </w:r>
          </w:p>
        </w:tc>
        <w:tc>
          <w:tcPr>
            <w:tcW w:w="844" w:type="pct"/>
            <w:vAlign w:val="center"/>
          </w:tcPr>
          <w:p>
            <w:pPr>
              <w:pStyle w:val="33"/>
              <w:rPr>
                <w:rFonts w:ascii="Times New Roman" w:hAnsi="Times New Roman"/>
              </w:rPr>
            </w:pPr>
            <w:r>
              <w:rPr>
                <w:rFonts w:ascii="Times New Roman" w:hAnsi="Times New Roman"/>
              </w:rPr>
              <w:t>KAMA数码发电机</w:t>
            </w:r>
          </w:p>
        </w:tc>
        <w:tc>
          <w:tcPr>
            <w:tcW w:w="796" w:type="pct"/>
            <w:vAlign w:val="center"/>
          </w:tcPr>
          <w:p>
            <w:pPr>
              <w:pStyle w:val="33"/>
              <w:rPr>
                <w:rFonts w:ascii="Times New Roman" w:hAnsi="Times New Roman"/>
              </w:rPr>
            </w:pPr>
            <w:r>
              <w:rPr>
                <w:rFonts w:ascii="Times New Roman" w:hAnsi="Times New Roman"/>
              </w:rPr>
              <w:t>KCE100XL</w:t>
            </w:r>
          </w:p>
        </w:tc>
        <w:tc>
          <w:tcPr>
            <w:tcW w:w="439" w:type="pct"/>
            <w:vAlign w:val="center"/>
          </w:tcPr>
          <w:p>
            <w:pPr>
              <w:pStyle w:val="33"/>
              <w:rPr>
                <w:rFonts w:ascii="Times New Roman" w:hAnsi="Times New Roman"/>
              </w:rPr>
            </w:pPr>
            <w:r>
              <w:rPr>
                <w:rFonts w:ascii="Times New Roman" w:hAnsi="Times New Roman"/>
              </w:rPr>
              <w:t>1个</w:t>
            </w:r>
          </w:p>
        </w:tc>
        <w:tc>
          <w:tcPr>
            <w:tcW w:w="545" w:type="pct"/>
            <w:vMerge w:val="continue"/>
            <w:vAlign w:val="center"/>
          </w:tcPr>
          <w:p>
            <w:pPr>
              <w:pStyle w:val="33"/>
              <w:rPr>
                <w:rFonts w:ascii="Times New Roman" w:hAnsi="Times New Roman"/>
              </w:rPr>
            </w:pPr>
          </w:p>
        </w:tc>
        <w:tc>
          <w:tcPr>
            <w:tcW w:w="826" w:type="pct"/>
            <w:vMerge w:val="continue"/>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vAlign w:val="center"/>
          </w:tcPr>
          <w:p>
            <w:pPr>
              <w:pStyle w:val="33"/>
              <w:rPr>
                <w:rFonts w:ascii="Times New Roman" w:hAnsi="Times New Roman"/>
              </w:rPr>
            </w:pPr>
          </w:p>
        </w:tc>
        <w:tc>
          <w:tcPr>
            <w:tcW w:w="767" w:type="pct"/>
            <w:vAlign w:val="center"/>
          </w:tcPr>
          <w:p>
            <w:pPr>
              <w:pStyle w:val="33"/>
              <w:rPr>
                <w:rFonts w:ascii="Times New Roman" w:hAnsi="Times New Roman"/>
              </w:rPr>
            </w:pPr>
            <w:r>
              <w:rPr>
                <w:rFonts w:ascii="Times New Roman" w:hAnsi="Times New Roman"/>
              </w:rPr>
              <w:t>抢修强光工作灯</w:t>
            </w:r>
          </w:p>
        </w:tc>
        <w:tc>
          <w:tcPr>
            <w:tcW w:w="844" w:type="pct"/>
            <w:vAlign w:val="center"/>
          </w:tcPr>
          <w:p>
            <w:pPr>
              <w:pStyle w:val="33"/>
              <w:rPr>
                <w:rFonts w:ascii="Times New Roman" w:hAnsi="Times New Roman"/>
              </w:rPr>
            </w:pPr>
            <w:r>
              <w:rPr>
                <w:rFonts w:ascii="Times New Roman" w:hAnsi="Times New Roman"/>
              </w:rPr>
              <w:t>倬屹牌氙气</w:t>
            </w:r>
          </w:p>
        </w:tc>
        <w:tc>
          <w:tcPr>
            <w:tcW w:w="796" w:type="pct"/>
            <w:vAlign w:val="center"/>
          </w:tcPr>
          <w:p>
            <w:pPr>
              <w:pStyle w:val="33"/>
              <w:rPr>
                <w:rFonts w:ascii="Times New Roman" w:hAnsi="Times New Roman"/>
              </w:rPr>
            </w:pPr>
            <w:r>
              <w:rPr>
                <w:rFonts w:ascii="Times New Roman" w:hAnsi="Times New Roman"/>
              </w:rPr>
              <w:t>24V防爆型</w:t>
            </w:r>
          </w:p>
        </w:tc>
        <w:tc>
          <w:tcPr>
            <w:tcW w:w="439" w:type="pct"/>
            <w:vAlign w:val="center"/>
          </w:tcPr>
          <w:p>
            <w:pPr>
              <w:pStyle w:val="33"/>
              <w:rPr>
                <w:rFonts w:ascii="Times New Roman" w:hAnsi="Times New Roman"/>
              </w:rPr>
            </w:pPr>
            <w:r>
              <w:rPr>
                <w:rFonts w:ascii="Times New Roman" w:hAnsi="Times New Roman"/>
              </w:rPr>
              <w:t>2个</w:t>
            </w:r>
          </w:p>
        </w:tc>
        <w:tc>
          <w:tcPr>
            <w:tcW w:w="545" w:type="pct"/>
            <w:vMerge w:val="continue"/>
            <w:vAlign w:val="center"/>
          </w:tcPr>
          <w:p>
            <w:pPr>
              <w:pStyle w:val="33"/>
              <w:rPr>
                <w:rFonts w:ascii="Times New Roman" w:hAnsi="Times New Roman"/>
              </w:rPr>
            </w:pPr>
          </w:p>
        </w:tc>
        <w:tc>
          <w:tcPr>
            <w:tcW w:w="826" w:type="pct"/>
            <w:vMerge w:val="continue"/>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vAlign w:val="center"/>
          </w:tcPr>
          <w:p>
            <w:pPr>
              <w:pStyle w:val="33"/>
              <w:rPr>
                <w:rFonts w:ascii="Times New Roman" w:hAnsi="Times New Roman"/>
              </w:rPr>
            </w:pPr>
          </w:p>
        </w:tc>
        <w:tc>
          <w:tcPr>
            <w:tcW w:w="767" w:type="pct"/>
            <w:vAlign w:val="center"/>
          </w:tcPr>
          <w:p>
            <w:pPr>
              <w:pStyle w:val="33"/>
              <w:rPr>
                <w:rFonts w:ascii="Times New Roman" w:hAnsi="Times New Roman"/>
              </w:rPr>
            </w:pPr>
            <w:r>
              <w:rPr>
                <w:rFonts w:ascii="Times New Roman" w:hAnsi="Times New Roman"/>
              </w:rPr>
              <w:t>充电式手提灯</w:t>
            </w:r>
          </w:p>
        </w:tc>
        <w:tc>
          <w:tcPr>
            <w:tcW w:w="844" w:type="pct"/>
            <w:vAlign w:val="center"/>
          </w:tcPr>
          <w:p>
            <w:pPr>
              <w:pStyle w:val="33"/>
              <w:rPr>
                <w:rFonts w:ascii="Times New Roman" w:hAnsi="Times New Roman"/>
              </w:rPr>
            </w:pPr>
            <w:r>
              <w:rPr>
                <w:rFonts w:ascii="Times New Roman" w:hAnsi="Times New Roman"/>
              </w:rPr>
              <w:t>尚为牌LED</w:t>
            </w:r>
          </w:p>
        </w:tc>
        <w:tc>
          <w:tcPr>
            <w:tcW w:w="796" w:type="pct"/>
            <w:vAlign w:val="center"/>
          </w:tcPr>
          <w:p>
            <w:pPr>
              <w:pStyle w:val="33"/>
              <w:rPr>
                <w:rFonts w:ascii="Times New Roman" w:hAnsi="Times New Roman"/>
              </w:rPr>
            </w:pPr>
            <w:r>
              <w:rPr>
                <w:rFonts w:ascii="Times New Roman" w:hAnsi="Times New Roman"/>
              </w:rPr>
              <w:t>24V防爆型</w:t>
            </w:r>
          </w:p>
        </w:tc>
        <w:tc>
          <w:tcPr>
            <w:tcW w:w="439" w:type="pct"/>
            <w:vAlign w:val="center"/>
          </w:tcPr>
          <w:p>
            <w:pPr>
              <w:pStyle w:val="33"/>
              <w:rPr>
                <w:rFonts w:ascii="Times New Roman" w:hAnsi="Times New Roman"/>
              </w:rPr>
            </w:pPr>
            <w:r>
              <w:rPr>
                <w:rFonts w:ascii="Times New Roman" w:hAnsi="Times New Roman"/>
              </w:rPr>
              <w:t>1个</w:t>
            </w:r>
          </w:p>
        </w:tc>
        <w:tc>
          <w:tcPr>
            <w:tcW w:w="545" w:type="pct"/>
            <w:vMerge w:val="continue"/>
            <w:vAlign w:val="center"/>
          </w:tcPr>
          <w:p>
            <w:pPr>
              <w:pStyle w:val="33"/>
              <w:rPr>
                <w:rFonts w:ascii="Times New Roman" w:hAnsi="Times New Roman"/>
              </w:rPr>
            </w:pPr>
          </w:p>
        </w:tc>
        <w:tc>
          <w:tcPr>
            <w:tcW w:w="826" w:type="pct"/>
            <w:vMerge w:val="continue"/>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vAlign w:val="center"/>
          </w:tcPr>
          <w:p>
            <w:pPr>
              <w:pStyle w:val="33"/>
              <w:rPr>
                <w:rFonts w:ascii="Times New Roman" w:hAnsi="Times New Roman"/>
              </w:rPr>
            </w:pPr>
          </w:p>
        </w:tc>
        <w:tc>
          <w:tcPr>
            <w:tcW w:w="767" w:type="pct"/>
            <w:vAlign w:val="center"/>
          </w:tcPr>
          <w:p>
            <w:pPr>
              <w:pStyle w:val="33"/>
              <w:rPr>
                <w:rFonts w:ascii="Times New Roman" w:hAnsi="Times New Roman"/>
              </w:rPr>
            </w:pPr>
            <w:r>
              <w:rPr>
                <w:rFonts w:ascii="Times New Roman" w:hAnsi="Times New Roman"/>
              </w:rPr>
              <w:t>手提式防爆探照灯</w:t>
            </w:r>
          </w:p>
        </w:tc>
        <w:tc>
          <w:tcPr>
            <w:tcW w:w="844" w:type="pct"/>
            <w:vAlign w:val="center"/>
          </w:tcPr>
          <w:p>
            <w:pPr>
              <w:pStyle w:val="33"/>
              <w:rPr>
                <w:rFonts w:ascii="Times New Roman" w:hAnsi="Times New Roman"/>
              </w:rPr>
            </w:pPr>
            <w:r>
              <w:rPr>
                <w:rFonts w:ascii="Times New Roman" w:hAnsi="Times New Roman"/>
              </w:rPr>
              <w:t>华荣牌</w:t>
            </w:r>
          </w:p>
        </w:tc>
        <w:tc>
          <w:tcPr>
            <w:tcW w:w="796" w:type="pct"/>
            <w:vAlign w:val="center"/>
          </w:tcPr>
          <w:p>
            <w:pPr>
              <w:pStyle w:val="33"/>
              <w:rPr>
                <w:rFonts w:ascii="Times New Roman" w:hAnsi="Times New Roman"/>
              </w:rPr>
            </w:pPr>
            <w:r>
              <w:rPr>
                <w:rFonts w:ascii="Times New Roman" w:hAnsi="Times New Roman"/>
              </w:rPr>
              <w:t>24V防爆型</w:t>
            </w:r>
          </w:p>
        </w:tc>
        <w:tc>
          <w:tcPr>
            <w:tcW w:w="439" w:type="pct"/>
            <w:vAlign w:val="center"/>
          </w:tcPr>
          <w:p>
            <w:pPr>
              <w:pStyle w:val="33"/>
              <w:rPr>
                <w:rFonts w:ascii="Times New Roman" w:hAnsi="Times New Roman"/>
              </w:rPr>
            </w:pPr>
            <w:r>
              <w:rPr>
                <w:rFonts w:ascii="Times New Roman" w:hAnsi="Times New Roman"/>
              </w:rPr>
              <w:t>2个</w:t>
            </w:r>
          </w:p>
        </w:tc>
        <w:tc>
          <w:tcPr>
            <w:tcW w:w="545" w:type="pct"/>
            <w:vMerge w:val="continue"/>
            <w:vAlign w:val="center"/>
          </w:tcPr>
          <w:p>
            <w:pPr>
              <w:pStyle w:val="33"/>
              <w:rPr>
                <w:rFonts w:ascii="Times New Roman" w:hAnsi="Times New Roman"/>
              </w:rPr>
            </w:pPr>
          </w:p>
        </w:tc>
        <w:tc>
          <w:tcPr>
            <w:tcW w:w="826" w:type="pct"/>
            <w:vMerge w:val="continue"/>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vAlign w:val="center"/>
          </w:tcPr>
          <w:p>
            <w:pPr>
              <w:pStyle w:val="33"/>
              <w:rPr>
                <w:rFonts w:ascii="Times New Roman" w:hAnsi="Times New Roman"/>
              </w:rPr>
            </w:pPr>
          </w:p>
        </w:tc>
        <w:tc>
          <w:tcPr>
            <w:tcW w:w="767" w:type="pct"/>
            <w:vAlign w:val="center"/>
          </w:tcPr>
          <w:p>
            <w:pPr>
              <w:pStyle w:val="33"/>
              <w:rPr>
                <w:rFonts w:ascii="Times New Roman" w:hAnsi="Times New Roman"/>
              </w:rPr>
            </w:pPr>
            <w:r>
              <w:rPr>
                <w:rFonts w:ascii="Times New Roman" w:hAnsi="Times New Roman"/>
              </w:rPr>
              <w:t>防爆手电</w:t>
            </w:r>
          </w:p>
        </w:tc>
        <w:tc>
          <w:tcPr>
            <w:tcW w:w="844" w:type="pct"/>
            <w:vAlign w:val="center"/>
          </w:tcPr>
          <w:p>
            <w:pPr>
              <w:pStyle w:val="33"/>
              <w:rPr>
                <w:rFonts w:ascii="Times New Roman" w:hAnsi="Times New Roman"/>
              </w:rPr>
            </w:pPr>
            <w:r>
              <w:rPr>
                <w:rFonts w:ascii="Times New Roman" w:hAnsi="Times New Roman"/>
              </w:rPr>
              <w:t>尚为</w:t>
            </w:r>
          </w:p>
        </w:tc>
        <w:tc>
          <w:tcPr>
            <w:tcW w:w="796" w:type="pct"/>
            <w:vAlign w:val="center"/>
          </w:tcPr>
          <w:p>
            <w:pPr>
              <w:pStyle w:val="33"/>
              <w:rPr>
                <w:rFonts w:ascii="Times New Roman" w:hAnsi="Times New Roman"/>
              </w:rPr>
            </w:pPr>
            <w:r>
              <w:rPr>
                <w:rFonts w:ascii="Times New Roman" w:hAnsi="Times New Roman"/>
              </w:rPr>
              <w:t>防爆型</w:t>
            </w:r>
          </w:p>
        </w:tc>
        <w:tc>
          <w:tcPr>
            <w:tcW w:w="439" w:type="pct"/>
            <w:vAlign w:val="center"/>
          </w:tcPr>
          <w:p>
            <w:pPr>
              <w:pStyle w:val="33"/>
              <w:rPr>
                <w:rFonts w:ascii="Times New Roman" w:hAnsi="Times New Roman"/>
              </w:rPr>
            </w:pPr>
            <w:r>
              <w:rPr>
                <w:rFonts w:ascii="Times New Roman" w:hAnsi="Times New Roman"/>
              </w:rPr>
              <w:t>2个</w:t>
            </w:r>
          </w:p>
        </w:tc>
        <w:tc>
          <w:tcPr>
            <w:tcW w:w="545" w:type="pct"/>
            <w:vMerge w:val="continue"/>
            <w:vAlign w:val="center"/>
          </w:tcPr>
          <w:p>
            <w:pPr>
              <w:pStyle w:val="33"/>
              <w:rPr>
                <w:rFonts w:ascii="Times New Roman" w:hAnsi="Times New Roman"/>
              </w:rPr>
            </w:pPr>
          </w:p>
        </w:tc>
        <w:tc>
          <w:tcPr>
            <w:tcW w:w="826" w:type="pct"/>
            <w:vMerge w:val="continue"/>
            <w:vAlign w:val="center"/>
          </w:tcPr>
          <w:p>
            <w:pPr>
              <w:pStyle w:val="33"/>
              <w:rPr>
                <w:rFonts w:ascii="Times New Roman" w:hAnsi="Times New Roman"/>
              </w:rPr>
            </w:pP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restart"/>
            <w:vAlign w:val="center"/>
          </w:tcPr>
          <w:p>
            <w:pPr>
              <w:pStyle w:val="33"/>
              <w:rPr>
                <w:rFonts w:ascii="Times New Roman" w:hAnsi="Times New Roman"/>
              </w:rPr>
            </w:pPr>
            <w:r>
              <w:rPr>
                <w:rFonts w:ascii="Times New Roman" w:hAnsi="Times New Roman"/>
              </w:rPr>
              <w:t>其他</w:t>
            </w:r>
          </w:p>
        </w:tc>
        <w:tc>
          <w:tcPr>
            <w:tcW w:w="767" w:type="pct"/>
            <w:vAlign w:val="center"/>
          </w:tcPr>
          <w:p>
            <w:pPr>
              <w:pStyle w:val="33"/>
              <w:rPr>
                <w:rFonts w:ascii="Times New Roman" w:hAnsi="Times New Roman"/>
              </w:rPr>
            </w:pPr>
            <w:r>
              <w:rPr>
                <w:rFonts w:ascii="Times New Roman" w:hAnsi="Times New Roman"/>
              </w:rPr>
              <w:t>应急救援箱</w:t>
            </w:r>
          </w:p>
        </w:tc>
        <w:tc>
          <w:tcPr>
            <w:tcW w:w="844" w:type="pct"/>
            <w:vAlign w:val="center"/>
          </w:tcPr>
          <w:p>
            <w:pPr>
              <w:pStyle w:val="33"/>
              <w:rPr>
                <w:rFonts w:ascii="Times New Roman" w:hAnsi="Times New Roman"/>
              </w:rPr>
            </w:pPr>
            <w:r>
              <w:rPr>
                <w:rFonts w:ascii="Times New Roman" w:hAnsi="Times New Roman"/>
              </w:rPr>
              <w:t>蓝夫</w:t>
            </w:r>
          </w:p>
        </w:tc>
        <w:tc>
          <w:tcPr>
            <w:tcW w:w="796" w:type="pct"/>
            <w:vAlign w:val="center"/>
          </w:tcPr>
          <w:p>
            <w:pPr>
              <w:pStyle w:val="33"/>
              <w:rPr>
                <w:rFonts w:ascii="Times New Roman" w:hAnsi="Times New Roman"/>
              </w:rPr>
            </w:pPr>
          </w:p>
        </w:tc>
        <w:tc>
          <w:tcPr>
            <w:tcW w:w="439" w:type="pct"/>
            <w:vAlign w:val="center"/>
          </w:tcPr>
          <w:p>
            <w:pPr>
              <w:pStyle w:val="33"/>
              <w:rPr>
                <w:rFonts w:ascii="Times New Roman" w:hAnsi="Times New Roman"/>
              </w:rPr>
            </w:pPr>
            <w:r>
              <w:rPr>
                <w:rFonts w:ascii="Times New Roman" w:hAnsi="Times New Roman"/>
              </w:rPr>
              <w:t>2个</w:t>
            </w:r>
          </w:p>
        </w:tc>
        <w:tc>
          <w:tcPr>
            <w:tcW w:w="545" w:type="pct"/>
            <w:vMerge w:val="restart"/>
            <w:vAlign w:val="center"/>
          </w:tcPr>
          <w:p>
            <w:pPr>
              <w:pStyle w:val="33"/>
              <w:rPr>
                <w:rFonts w:ascii="Times New Roman" w:hAnsi="Times New Roman"/>
              </w:rPr>
            </w:pPr>
            <w:r>
              <w:rPr>
                <w:rFonts w:ascii="Times New Roman" w:hAnsi="Times New Roman"/>
              </w:rPr>
              <w:t>李建新</w:t>
            </w:r>
          </w:p>
        </w:tc>
        <w:tc>
          <w:tcPr>
            <w:tcW w:w="826" w:type="pct"/>
            <w:vMerge w:val="restart"/>
            <w:vAlign w:val="center"/>
          </w:tcPr>
          <w:p>
            <w:pPr>
              <w:pStyle w:val="33"/>
              <w:rPr>
                <w:rFonts w:ascii="Times New Roman" w:hAnsi="Times New Roman"/>
              </w:rPr>
            </w:pPr>
            <w:r>
              <w:rPr>
                <w:rFonts w:ascii="Times New Roman" w:hAnsi="Times New Roman"/>
              </w:rPr>
              <w:t>18706663928</w:t>
            </w:r>
          </w:p>
        </w:tc>
      </w:tr>
      <w:tr>
        <w:tblPrEx>
          <w:tblBorders>
            <w:top w:val="single" w:color="000000" w:sz="12" w:space="0"/>
            <w:left w:val="single" w:color="000000" w:sz="12" w:space="0"/>
            <w:bottom w:val="single" w:color="000000" w:sz="12" w:space="0"/>
            <w:right w:val="single" w:color="000000" w:sz="1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383" w:type="pct"/>
            <w:noWrap/>
            <w:vAlign w:val="center"/>
          </w:tcPr>
          <w:p>
            <w:pPr>
              <w:pStyle w:val="33"/>
              <w:numPr>
                <w:ilvl w:val="0"/>
                <w:numId w:val="14"/>
              </w:numPr>
              <w:rPr>
                <w:rFonts w:ascii="Times New Roman" w:hAnsi="Times New Roman"/>
              </w:rPr>
            </w:pPr>
          </w:p>
        </w:tc>
        <w:tc>
          <w:tcPr>
            <w:tcW w:w="397" w:type="pct"/>
            <w:vMerge w:val="continue"/>
            <w:vAlign w:val="center"/>
          </w:tcPr>
          <w:p>
            <w:pPr>
              <w:pStyle w:val="33"/>
              <w:rPr>
                <w:rFonts w:ascii="Times New Roman" w:hAnsi="Times New Roman"/>
              </w:rPr>
            </w:pPr>
          </w:p>
        </w:tc>
        <w:tc>
          <w:tcPr>
            <w:tcW w:w="767" w:type="pct"/>
            <w:vAlign w:val="center"/>
          </w:tcPr>
          <w:p>
            <w:pPr>
              <w:pStyle w:val="33"/>
              <w:rPr>
                <w:rFonts w:ascii="Times New Roman" w:hAnsi="Times New Roman"/>
              </w:rPr>
            </w:pPr>
            <w:r>
              <w:rPr>
                <w:rFonts w:ascii="Times New Roman" w:hAnsi="Times New Roman"/>
              </w:rPr>
              <w:t>车用充气泵</w:t>
            </w:r>
          </w:p>
        </w:tc>
        <w:tc>
          <w:tcPr>
            <w:tcW w:w="844" w:type="pct"/>
            <w:vAlign w:val="center"/>
          </w:tcPr>
          <w:p>
            <w:pPr>
              <w:pStyle w:val="33"/>
              <w:rPr>
                <w:rFonts w:ascii="Times New Roman" w:hAnsi="Times New Roman"/>
              </w:rPr>
            </w:pPr>
            <w:r>
              <w:rPr>
                <w:rFonts w:ascii="Times New Roman" w:hAnsi="Times New Roman"/>
              </w:rPr>
              <w:t>米其林</w:t>
            </w:r>
          </w:p>
        </w:tc>
        <w:tc>
          <w:tcPr>
            <w:tcW w:w="796" w:type="pct"/>
            <w:vAlign w:val="center"/>
          </w:tcPr>
          <w:p>
            <w:pPr>
              <w:pStyle w:val="33"/>
              <w:rPr>
                <w:rFonts w:ascii="Times New Roman" w:hAnsi="Times New Roman"/>
              </w:rPr>
            </w:pPr>
          </w:p>
        </w:tc>
        <w:tc>
          <w:tcPr>
            <w:tcW w:w="439" w:type="pct"/>
            <w:vAlign w:val="center"/>
          </w:tcPr>
          <w:p>
            <w:pPr>
              <w:pStyle w:val="33"/>
              <w:rPr>
                <w:rFonts w:ascii="Times New Roman" w:hAnsi="Times New Roman"/>
              </w:rPr>
            </w:pPr>
            <w:r>
              <w:rPr>
                <w:rFonts w:ascii="Times New Roman" w:hAnsi="Times New Roman"/>
              </w:rPr>
              <w:t>1个</w:t>
            </w:r>
          </w:p>
        </w:tc>
        <w:tc>
          <w:tcPr>
            <w:tcW w:w="545" w:type="pct"/>
            <w:vMerge w:val="continue"/>
            <w:vAlign w:val="center"/>
          </w:tcPr>
          <w:p>
            <w:pPr>
              <w:pStyle w:val="33"/>
              <w:rPr>
                <w:rFonts w:ascii="Times New Roman" w:hAnsi="Times New Roman"/>
              </w:rPr>
            </w:pPr>
          </w:p>
        </w:tc>
        <w:tc>
          <w:tcPr>
            <w:tcW w:w="826" w:type="pct"/>
            <w:vMerge w:val="continue"/>
            <w:vAlign w:val="center"/>
          </w:tcPr>
          <w:p>
            <w:pPr>
              <w:pStyle w:val="33"/>
              <w:rPr>
                <w:rFonts w:ascii="Times New Roman" w:hAnsi="Times New Roman"/>
              </w:rPr>
            </w:pPr>
          </w:p>
        </w:tc>
      </w:tr>
    </w:tbl>
    <w:p>
      <w:pPr>
        <w:ind w:firstLine="560"/>
        <w:rPr>
          <w:szCs w:val="28"/>
        </w:rPr>
      </w:pPr>
      <w:r>
        <w:rPr>
          <w:szCs w:val="28"/>
        </w:rPr>
        <w:br w:type="page"/>
      </w:r>
    </w:p>
    <w:p>
      <w:pPr>
        <w:ind w:firstLine="0" w:firstLineChars="0"/>
        <w:jc w:val="center"/>
        <w:outlineLvl w:val="0"/>
        <w:rPr>
          <w:rFonts w:eastAsiaTheme="minorEastAsia"/>
          <w:b/>
          <w:snapToGrid/>
          <w:kern w:val="2"/>
          <w:sz w:val="36"/>
        </w:rPr>
      </w:pPr>
      <w:bookmarkStart w:id="286" w:name="_Toc24591"/>
      <w:bookmarkStart w:id="287" w:name="_Toc9554"/>
      <w:bookmarkStart w:id="288" w:name="_Toc3628"/>
      <w:r>
        <w:rPr>
          <w:rFonts w:eastAsiaTheme="minorEastAsia"/>
          <w:b/>
          <w:snapToGrid/>
          <w:kern w:val="2"/>
          <w:sz w:val="36"/>
        </w:rPr>
        <w:t>附件</w:t>
      </w:r>
      <w:r>
        <w:rPr>
          <w:rFonts w:hint="eastAsia" w:eastAsiaTheme="minorEastAsia"/>
          <w:b/>
          <w:snapToGrid/>
          <w:kern w:val="2"/>
          <w:sz w:val="36"/>
        </w:rPr>
        <w:t>3</w:t>
      </w:r>
      <w:r>
        <w:rPr>
          <w:rFonts w:eastAsiaTheme="minorEastAsia"/>
          <w:b/>
          <w:snapToGrid/>
          <w:kern w:val="2"/>
          <w:sz w:val="36"/>
        </w:rPr>
        <w:t xml:space="preserve">  专家组名单</w:t>
      </w:r>
      <w:bookmarkEnd w:id="286"/>
      <w:bookmarkEnd w:id="287"/>
      <w:bookmarkEnd w:id="288"/>
    </w:p>
    <w:p>
      <w:pPr>
        <w:pStyle w:val="44"/>
        <w:ind w:firstLine="0" w:firstLineChars="0"/>
        <w:rPr>
          <w:rFonts w:ascii="Times New Roman" w:hAnsi="Times New Roman"/>
        </w:rPr>
      </w:pPr>
      <w:r>
        <w:rPr>
          <w:rFonts w:ascii="Times New Roman" w:hAnsi="Times New Roman"/>
        </w:rPr>
        <w:drawing>
          <wp:inline distT="0" distB="0" distL="114300" distR="114300">
            <wp:extent cx="5253355" cy="7430135"/>
            <wp:effectExtent l="0" t="0" r="4445" b="6985"/>
            <wp:docPr id="8" name="图片 8" descr="SKM_C754e23060210050_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KM_C754e23060210050_0002"/>
                    <pic:cNvPicPr>
                      <a:picLocks noChangeAspect="1"/>
                    </pic:cNvPicPr>
                  </pic:nvPicPr>
                  <pic:blipFill>
                    <a:blip r:embed="rId35"/>
                    <a:stretch>
                      <a:fillRect/>
                    </a:stretch>
                  </pic:blipFill>
                  <pic:spPr>
                    <a:xfrm>
                      <a:off x="0" y="0"/>
                      <a:ext cx="5253355" cy="7430135"/>
                    </a:xfrm>
                    <a:prstGeom prst="rect">
                      <a:avLst/>
                    </a:prstGeom>
                  </pic:spPr>
                </pic:pic>
              </a:graphicData>
            </a:graphic>
          </wp:inline>
        </w:drawing>
      </w:r>
    </w:p>
    <w:p>
      <w:pPr>
        <w:ind w:firstLine="560"/>
      </w:pPr>
      <w:r>
        <w:br w:type="page"/>
      </w:r>
    </w:p>
    <w:p>
      <w:pPr>
        <w:ind w:firstLine="0" w:firstLineChars="0"/>
        <w:jc w:val="center"/>
        <w:outlineLvl w:val="0"/>
        <w:rPr>
          <w:rFonts w:eastAsiaTheme="minorEastAsia"/>
          <w:b/>
          <w:snapToGrid/>
          <w:kern w:val="2"/>
          <w:sz w:val="36"/>
        </w:rPr>
      </w:pPr>
      <w:bookmarkStart w:id="289" w:name="_Toc12007"/>
      <w:bookmarkStart w:id="290" w:name="_Toc11405"/>
      <w:bookmarkStart w:id="291" w:name="_Toc15776"/>
      <w:r>
        <w:rPr>
          <w:rFonts w:eastAsiaTheme="minorEastAsia"/>
          <w:b/>
          <w:snapToGrid/>
          <w:kern w:val="2"/>
          <w:sz w:val="36"/>
        </w:rPr>
        <w:t>附件</w:t>
      </w:r>
      <w:r>
        <w:rPr>
          <w:rFonts w:hint="eastAsia" w:eastAsiaTheme="minorEastAsia"/>
          <w:b/>
          <w:snapToGrid/>
          <w:kern w:val="2"/>
          <w:sz w:val="36"/>
        </w:rPr>
        <w:t>4</w:t>
      </w:r>
      <w:r>
        <w:rPr>
          <w:rFonts w:eastAsiaTheme="minorEastAsia"/>
          <w:b/>
          <w:snapToGrid/>
          <w:kern w:val="2"/>
          <w:sz w:val="36"/>
        </w:rPr>
        <w:t xml:space="preserve">  专家组意见</w:t>
      </w:r>
      <w:bookmarkEnd w:id="289"/>
      <w:bookmarkEnd w:id="290"/>
      <w:bookmarkEnd w:id="291"/>
    </w:p>
    <w:p>
      <w:pPr>
        <w:pStyle w:val="44"/>
        <w:ind w:firstLine="0" w:firstLineChars="0"/>
        <w:rPr>
          <w:rFonts w:ascii="Times New Roman" w:hAnsi="Times New Roman"/>
        </w:rPr>
      </w:pPr>
      <w:r>
        <w:rPr>
          <w:rFonts w:ascii="Times New Roman" w:hAnsi="Times New Roman"/>
        </w:rPr>
        <w:drawing>
          <wp:inline distT="0" distB="0" distL="114300" distR="114300">
            <wp:extent cx="5253355" cy="7430135"/>
            <wp:effectExtent l="0" t="0" r="4445" b="6985"/>
            <wp:docPr id="7" name="图片 7" descr="SKM_C754e23060210050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KM_C754e23060210050_0001"/>
                    <pic:cNvPicPr>
                      <a:picLocks noChangeAspect="1"/>
                    </pic:cNvPicPr>
                  </pic:nvPicPr>
                  <pic:blipFill>
                    <a:blip r:embed="rId36"/>
                    <a:stretch>
                      <a:fillRect/>
                    </a:stretch>
                  </pic:blipFill>
                  <pic:spPr>
                    <a:xfrm>
                      <a:off x="0" y="0"/>
                      <a:ext cx="5253355" cy="7430135"/>
                    </a:xfrm>
                    <a:prstGeom prst="rect">
                      <a:avLst/>
                    </a:prstGeom>
                  </pic:spPr>
                </pic:pic>
              </a:graphicData>
            </a:graphic>
          </wp:inline>
        </w:drawing>
      </w:r>
    </w:p>
    <w:p>
      <w:pPr>
        <w:ind w:firstLine="560"/>
      </w:pPr>
      <w:r>
        <w:br w:type="page"/>
      </w:r>
    </w:p>
    <w:p>
      <w:pPr>
        <w:ind w:firstLine="0" w:firstLineChars="0"/>
        <w:jc w:val="center"/>
        <w:outlineLvl w:val="0"/>
        <w:rPr>
          <w:rFonts w:eastAsiaTheme="minorEastAsia"/>
          <w:b/>
          <w:snapToGrid/>
          <w:kern w:val="2"/>
          <w:sz w:val="36"/>
        </w:rPr>
      </w:pPr>
      <w:bookmarkStart w:id="292" w:name="_Toc24799"/>
      <w:bookmarkStart w:id="293" w:name="_Toc19820"/>
      <w:bookmarkStart w:id="294" w:name="_Toc3542"/>
      <w:r>
        <w:rPr>
          <w:rFonts w:eastAsiaTheme="minorEastAsia"/>
          <w:b/>
          <w:snapToGrid/>
          <w:kern w:val="2"/>
          <w:sz w:val="36"/>
        </w:rPr>
        <w:t>附件</w:t>
      </w:r>
      <w:r>
        <w:rPr>
          <w:rFonts w:hint="eastAsia" w:eastAsiaTheme="minorEastAsia"/>
          <w:b/>
          <w:snapToGrid/>
          <w:kern w:val="2"/>
          <w:sz w:val="36"/>
        </w:rPr>
        <w:t>5</w:t>
      </w:r>
      <w:r>
        <w:rPr>
          <w:rFonts w:eastAsiaTheme="minorEastAsia"/>
          <w:b/>
          <w:snapToGrid/>
          <w:kern w:val="2"/>
          <w:sz w:val="36"/>
        </w:rPr>
        <w:t xml:space="preserve">  修改说明</w:t>
      </w:r>
      <w:bookmarkEnd w:id="292"/>
      <w:bookmarkEnd w:id="293"/>
      <w:bookmarkEnd w:id="294"/>
    </w:p>
    <w:p>
      <w:pPr>
        <w:pStyle w:val="44"/>
        <w:ind w:firstLine="0" w:firstLineChars="0"/>
        <w:jc w:val="center"/>
        <w:rPr>
          <w:rFonts w:ascii="Times New Roman" w:hAnsi="Times New Roman"/>
          <w:szCs w:val="28"/>
        </w:rPr>
      </w:pPr>
    </w:p>
    <w:sectPr>
      <w:pgSz w:w="11907" w:h="16840"/>
      <w:pgMar w:top="1984" w:right="1814" w:bottom="1984" w:left="1814" w:header="1389" w:footer="992" w:gutter="0"/>
      <w:pgBorders>
        <w:top w:val="none" w:sz="0" w:space="0"/>
        <w:left w:val="none" w:sz="0" w:space="0"/>
        <w:bottom w:val="none" w:sz="0" w:space="0"/>
        <w:right w:val="none" w:sz="0" w:space="0"/>
      </w:pgBorders>
      <w:cols w:space="720"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Gulim">
    <w:panose1 w:val="020B0600000101010101"/>
    <w:charset w:val="81"/>
    <w:family w:val="auto"/>
    <w:pitch w:val="default"/>
    <w:sig w:usb0="B00002AF" w:usb1="69D77CFB" w:usb2="00000030" w:usb3="00000000" w:csb0="4008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44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ind w:firstLine="360"/>
      <w:rPr>
        <w:rStyle w:val="249"/>
      </w:rPr>
    </w:pPr>
    <w:r>
      <w:fldChar w:fldCharType="begin"/>
    </w:r>
    <w:r>
      <w:rPr>
        <w:rStyle w:val="249"/>
      </w:rPr>
      <w:instrText xml:space="preserve">PAGE  </w:instrText>
    </w:r>
    <w:r>
      <w:fldChar w:fldCharType="separate"/>
    </w:r>
    <w:r>
      <w:rPr>
        <w:rStyle w:val="249"/>
      </w:rPr>
      <w:t>26</w:t>
    </w:r>
    <w:r>
      <w:fldChar w:fldCharType="end"/>
    </w:r>
  </w:p>
  <w:p>
    <w:pPr>
      <w:pStyle w:val="29"/>
      <w:ind w:firstLine="440"/>
      <w:jc w:val="right"/>
    </w:pPr>
    <w:r>
      <w:rPr>
        <w:rFonts w:hint="eastAsia"/>
      </w:rPr>
      <w:t>北京实华油海工程技术有限公司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44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44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0" name="文本框 2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28877940"/>
                          </w:sdtPr>
                          <w:sdtContent>
                            <w:p>
                              <w:pPr>
                                <w:pStyle w:val="29"/>
                                <w:ind w:firstLine="360"/>
                                <w:jc w:val="center"/>
                              </w:pPr>
                              <w:r>
                                <w:fldChar w:fldCharType="begin"/>
                              </w:r>
                              <w:r>
                                <w:instrText xml:space="preserve">PAGE   \* MERGEFORMAT</w:instrText>
                              </w:r>
                              <w:r>
                                <w:fldChar w:fldCharType="separate"/>
                              </w:r>
                              <w:r>
                                <w:rPr>
                                  <w:lang w:val="zh-CN"/>
                                </w:rPr>
                                <w:t>II</w:t>
                              </w:r>
                              <w:r>
                                <w:fldChar w:fldCharType="end"/>
                              </w:r>
                            </w:p>
                          </w:sdtContent>
                        </w:sdt>
                        <w:p>
                          <w:pPr>
                            <w:pStyle w:val="44"/>
                            <w:ind w:firstLine="5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Raww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RawwtAgAAWQQAAA4AAAAAAAAAAQAgAAAAHwEAAGRycy9lMm9Eb2MueG1sUEsFBgAAAAAG&#10;AAYAWQEAAL4FAAAAAA==&#10;">
              <v:fill on="f" focussize="0,0"/>
              <v:stroke on="f" weight="0.5pt"/>
              <v:imagedata o:title=""/>
              <o:lock v:ext="edit" aspectratio="f"/>
              <v:textbox inset="0mm,0mm,0mm,0mm" style="mso-fit-shape-to-text:t;">
                <w:txbxContent>
                  <w:sdt>
                    <w:sdtPr>
                      <w:id w:val="-1928877940"/>
                    </w:sdtPr>
                    <w:sdtContent>
                      <w:p>
                        <w:pPr>
                          <w:pStyle w:val="29"/>
                          <w:ind w:firstLine="360"/>
                          <w:jc w:val="center"/>
                        </w:pPr>
                        <w:r>
                          <w:fldChar w:fldCharType="begin"/>
                        </w:r>
                        <w:r>
                          <w:instrText xml:space="preserve">PAGE   \* MERGEFORMAT</w:instrText>
                        </w:r>
                        <w:r>
                          <w:fldChar w:fldCharType="separate"/>
                        </w:r>
                        <w:r>
                          <w:rPr>
                            <w:lang w:val="zh-CN"/>
                          </w:rPr>
                          <w:t>II</w:t>
                        </w:r>
                        <w:r>
                          <w:fldChar w:fldCharType="end"/>
                        </w:r>
                      </w:p>
                    </w:sdtContent>
                  </w:sdt>
                  <w:p>
                    <w:pPr>
                      <w:pStyle w:val="44"/>
                      <w:ind w:firstLine="560"/>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840585433"/>
                          </w:sdtPr>
                          <w:sdtContent>
                            <w:p>
                              <w:pPr>
                                <w:pStyle w:val="29"/>
                                <w:ind w:firstLine="360"/>
                                <w:jc w:val="center"/>
                              </w:pPr>
                              <w:r>
                                <w:fldChar w:fldCharType="begin"/>
                              </w:r>
                              <w:r>
                                <w:instrText xml:space="preserve">PAGE   \* MERGEFORMAT</w:instrText>
                              </w:r>
                              <w:r>
                                <w:fldChar w:fldCharType="separate"/>
                              </w:r>
                              <w:r>
                                <w:rPr>
                                  <w:lang w:val="zh-CN"/>
                                </w:rPr>
                                <w:t>82</w:t>
                              </w:r>
                              <w:r>
                                <w:fldChar w:fldCharType="end"/>
                              </w:r>
                            </w:p>
                          </w:sdtContent>
                        </w:sdt>
                        <w:p>
                          <w:pPr>
                            <w:pStyle w:val="44"/>
                            <w:ind w:firstLine="5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sdt>
                    <w:sdtPr>
                      <w:id w:val="840585433"/>
                    </w:sdtPr>
                    <w:sdtContent>
                      <w:p>
                        <w:pPr>
                          <w:pStyle w:val="29"/>
                          <w:ind w:firstLine="360"/>
                          <w:jc w:val="center"/>
                        </w:pPr>
                        <w:r>
                          <w:fldChar w:fldCharType="begin"/>
                        </w:r>
                        <w:r>
                          <w:instrText xml:space="preserve">PAGE   \* MERGEFORMAT</w:instrText>
                        </w:r>
                        <w:r>
                          <w:fldChar w:fldCharType="separate"/>
                        </w:r>
                        <w:r>
                          <w:rPr>
                            <w:lang w:val="zh-CN"/>
                          </w:rPr>
                          <w:t>82</w:t>
                        </w:r>
                        <w:r>
                          <w:fldChar w:fldCharType="end"/>
                        </w:r>
                      </w:p>
                    </w:sdtContent>
                  </w:sdt>
                  <w:p>
                    <w:pPr>
                      <w:pStyle w:val="44"/>
                      <w:ind w:firstLine="560"/>
                    </w:pP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1" name="文本框 2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65999624"/>
                          </w:sdtPr>
                          <w:sdtContent>
                            <w:p>
                              <w:pPr>
                                <w:pStyle w:val="29"/>
                                <w:ind w:firstLine="360"/>
                                <w:jc w:val="center"/>
                              </w:pPr>
                              <w:r>
                                <w:fldChar w:fldCharType="begin"/>
                              </w:r>
                              <w:r>
                                <w:instrText xml:space="preserve">PAGE   \* MERGEFORMAT</w:instrText>
                              </w:r>
                              <w:r>
                                <w:fldChar w:fldCharType="separate"/>
                              </w:r>
                              <w:r>
                                <w:rPr>
                                  <w:lang w:val="zh-CN"/>
                                </w:rPr>
                                <w:t>133</w:t>
                              </w:r>
                              <w:r>
                                <w:fldChar w:fldCharType="end"/>
                              </w:r>
                            </w:p>
                          </w:sdtContent>
                        </w:sdt>
                        <w:p>
                          <w:pPr>
                            <w:pStyle w:val="44"/>
                            <w:ind w:firstLine="5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OR1E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NOR1EtAgAAWQQAAA4AAAAAAAAAAQAgAAAAHwEAAGRycy9lMm9Eb2MueG1sUEsFBgAAAAAG&#10;AAYAWQEAAL4FAAAAAA==&#10;">
              <v:fill on="f" focussize="0,0"/>
              <v:stroke on="f" weight="0.5pt"/>
              <v:imagedata o:title=""/>
              <o:lock v:ext="edit" aspectratio="f"/>
              <v:textbox inset="0mm,0mm,0mm,0mm" style="mso-fit-shape-to-text:t;">
                <w:txbxContent>
                  <w:sdt>
                    <w:sdtPr>
                      <w:id w:val="-265999624"/>
                    </w:sdtPr>
                    <w:sdtContent>
                      <w:p>
                        <w:pPr>
                          <w:pStyle w:val="29"/>
                          <w:ind w:firstLine="360"/>
                          <w:jc w:val="center"/>
                        </w:pPr>
                        <w:r>
                          <w:fldChar w:fldCharType="begin"/>
                        </w:r>
                        <w:r>
                          <w:instrText xml:space="preserve">PAGE   \* MERGEFORMAT</w:instrText>
                        </w:r>
                        <w:r>
                          <w:fldChar w:fldCharType="separate"/>
                        </w:r>
                        <w:r>
                          <w:rPr>
                            <w:lang w:val="zh-CN"/>
                          </w:rPr>
                          <w:t>133</w:t>
                        </w:r>
                        <w:r>
                          <w:fldChar w:fldCharType="end"/>
                        </w:r>
                      </w:p>
                    </w:sdtContent>
                  </w:sdt>
                  <w:p>
                    <w:pPr>
                      <w:pStyle w:val="44"/>
                      <w:ind w:firstLine="560"/>
                    </w:pP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2" name="文本框 2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ind w:firstLine="360"/>
                            <w:jc w:val="center"/>
                          </w:pPr>
                          <w:r>
                            <w:fldChar w:fldCharType="begin"/>
                          </w:r>
                          <w:r>
                            <w:instrText xml:space="preserve">PAGE   \* MERGEFORMAT</w:instrText>
                          </w:r>
                          <w:r>
                            <w:fldChar w:fldCharType="separate"/>
                          </w:r>
                          <w:r>
                            <w:rPr>
                              <w:lang w:val="zh-CN"/>
                            </w:rPr>
                            <w:t>137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GuM7Yu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NJWO7QAAAABQEAAA8AAAAAAAAAAQAgAAAAIgAAAGRycy9kb3ducmV2LnhtbFBLAQIUABQAAAAI&#10;AIdO4kBxrjO2LgIAAFkEAAAOAAAAAAAAAAEAIAAAAB8BAABkcnMvZTJvRG9jLnhtbFBLBQYAAAAA&#10;BgAGAFkBAAC/BQAAAAA=&#10;">
              <v:fill on="f" focussize="0,0"/>
              <v:stroke on="f" weight="0.5pt"/>
              <v:imagedata o:title=""/>
              <o:lock v:ext="edit" aspectratio="f"/>
              <v:textbox inset="0mm,0mm,0mm,0mm" style="mso-fit-shape-to-text:t;">
                <w:txbxContent>
                  <w:p>
                    <w:pPr>
                      <w:pStyle w:val="29"/>
                      <w:ind w:firstLine="360"/>
                      <w:jc w:val="center"/>
                    </w:pPr>
                    <w:r>
                      <w:fldChar w:fldCharType="begin"/>
                    </w:r>
                    <w:r>
                      <w:instrText xml:space="preserve">PAGE   \* MERGEFORMAT</w:instrText>
                    </w:r>
                    <w:r>
                      <w:fldChar w:fldCharType="separate"/>
                    </w:r>
                    <w:r>
                      <w:rPr>
                        <w:lang w:val="zh-CN"/>
                      </w:rPr>
                      <w:t>137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3" name="文本框 2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ind w:firstLine="360"/>
                            <w:jc w:val="center"/>
                          </w:pPr>
                          <w:r>
                            <w:fldChar w:fldCharType="begin"/>
                          </w:r>
                          <w:r>
                            <w:instrText xml:space="preserve">PAGE   \* MERGEFORMAT</w:instrText>
                          </w:r>
                          <w:r>
                            <w:fldChar w:fldCharType="separate"/>
                          </w:r>
                          <w:r>
                            <w:rPr>
                              <w:lang w:val="zh-CN"/>
                            </w:rPr>
                            <w:t>148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xH+su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NJWO7QAAAABQEAAA8AAAAAAAAAAQAgAAAAIgAAAGRycy9kb3ducmV2LnhtbFBLAQIUABQAAAAI&#10;AIdO4kCf8R/rLgIAAFkEAAAOAAAAAAAAAAEAIAAAAB8BAABkcnMvZTJvRG9jLnhtbFBLBQYAAAAA&#10;BgAGAFkBAAC/BQAAAAA=&#10;">
              <v:fill on="f" focussize="0,0"/>
              <v:stroke on="f" weight="0.5pt"/>
              <v:imagedata o:title=""/>
              <o:lock v:ext="edit" aspectratio="f"/>
              <v:textbox inset="0mm,0mm,0mm,0mm" style="mso-fit-shape-to-text:t;">
                <w:txbxContent>
                  <w:p>
                    <w:pPr>
                      <w:pStyle w:val="29"/>
                      <w:ind w:firstLine="360"/>
                      <w:jc w:val="center"/>
                    </w:pPr>
                    <w:r>
                      <w:fldChar w:fldCharType="begin"/>
                    </w:r>
                    <w:r>
                      <w:instrText xml:space="preserve">PAGE   \* MERGEFORMAT</w:instrText>
                    </w:r>
                    <w:r>
                      <w:fldChar w:fldCharType="separate"/>
                    </w:r>
                    <w:r>
                      <w:rPr>
                        <w:lang w:val="zh-CN"/>
                      </w:rPr>
                      <w:t>148</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jc w:val="cente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4" name="文本框 2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ind w:firstLine="360"/>
                            <w:jc w:val="center"/>
                          </w:pPr>
                          <w:r>
                            <w:fldChar w:fldCharType="begin"/>
                          </w:r>
                          <w:r>
                            <w:instrText xml:space="preserve"> PAGE   \* MERGEFORMAT </w:instrText>
                          </w:r>
                          <w:r>
                            <w:fldChar w:fldCharType="separate"/>
                          </w:r>
                          <w:r>
                            <w:rPr>
                              <w:lang w:val="zh-CN"/>
                            </w:rPr>
                            <w:t>162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oq6Mu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NJWO7QAAAABQEAAA8AAAAAAAAAAQAgAAAAIgAAAGRycy9kb3ducmV2LnhtbFBLAQIUABQAAAAI&#10;AIdO4kBUaKujLgIAAFkEAAAOAAAAAAAAAAEAIAAAAB8BAABkcnMvZTJvRG9jLnhtbFBLBQYAAAAA&#10;BgAGAFkBAAC/BQAAAAA=&#10;">
              <v:fill on="f" focussize="0,0"/>
              <v:stroke on="f" weight="0.5pt"/>
              <v:imagedata o:title=""/>
              <o:lock v:ext="edit" aspectratio="f"/>
              <v:textbox inset="0mm,0mm,0mm,0mm" style="mso-fit-shape-to-text:t;">
                <w:txbxContent>
                  <w:p>
                    <w:pPr>
                      <w:pStyle w:val="29"/>
                      <w:ind w:firstLine="360"/>
                      <w:jc w:val="center"/>
                    </w:pPr>
                    <w:r>
                      <w:fldChar w:fldCharType="begin"/>
                    </w:r>
                    <w:r>
                      <w:instrText xml:space="preserve"> PAGE   \* MERGEFORMAT </w:instrText>
                    </w:r>
                    <w:r>
                      <w:fldChar w:fldCharType="separate"/>
                    </w:r>
                    <w:r>
                      <w:rPr>
                        <w:lang w:val="zh-CN"/>
                      </w:rPr>
                      <w:t>162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360"/>
    </w:pPr>
    <w:r>
      <w:rPr>
        <w:rFonts w:hint="eastAsia"/>
      </w:rPr>
      <w:t>胜利油田石化总厂汽油产品质量升级技改工程                                         设立安全评价报告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spacing w:line="240" w:lineRule="auto"/>
      <w:ind w:firstLine="360"/>
    </w:pPr>
    <w:r>
      <w:rPr>
        <w:rFonts w:hint="eastAsia"/>
      </w:rPr>
      <w:t>东辛油田营1-斜118块馆三产能建设工程安全预评价报告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spacing w:line="240" w:lineRule="auto"/>
      <w:ind w:firstLine="360"/>
    </w:pPr>
    <w:r>
      <w:rPr>
        <w:rFonts w:hint="eastAsia"/>
      </w:rPr>
      <w:t>东辛油田营1-斜118块馆三产能建设工程安全预评价报告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spacing w:line="240" w:lineRule="auto"/>
      <w:ind w:firstLine="360"/>
    </w:pPr>
    <w:r>
      <w:rPr>
        <w:rFonts w:hint="eastAsia"/>
      </w:rPr>
      <w:t>东辛油田营1-斜118块馆三产能建设工程安全预评价报告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D1637A"/>
    <w:multiLevelType w:val="singleLevel"/>
    <w:tmpl w:val="92D1637A"/>
    <w:lvl w:ilvl="0" w:tentative="0">
      <w:start w:val="1"/>
      <w:numFmt w:val="decimal"/>
      <w:lvlText w:val="%1."/>
      <w:lvlJc w:val="left"/>
      <w:pPr>
        <w:ind w:left="425" w:hanging="425"/>
      </w:pPr>
      <w:rPr>
        <w:rFonts w:hint="default"/>
      </w:rPr>
    </w:lvl>
  </w:abstractNum>
  <w:abstractNum w:abstractNumId="1">
    <w:nsid w:val="B4145808"/>
    <w:multiLevelType w:val="singleLevel"/>
    <w:tmpl w:val="B4145808"/>
    <w:lvl w:ilvl="0" w:tentative="0">
      <w:start w:val="1"/>
      <w:numFmt w:val="decimal"/>
      <w:suff w:val="nothing"/>
      <w:lvlText w:val="%1）"/>
      <w:lvlJc w:val="left"/>
    </w:lvl>
  </w:abstractNum>
  <w:abstractNum w:abstractNumId="2">
    <w:nsid w:val="B46F96D0"/>
    <w:multiLevelType w:val="singleLevel"/>
    <w:tmpl w:val="B46F96D0"/>
    <w:lvl w:ilvl="0" w:tentative="0">
      <w:start w:val="1"/>
      <w:numFmt w:val="decimal"/>
      <w:suff w:val="nothing"/>
      <w:lvlText w:val="%1）"/>
      <w:lvlJc w:val="left"/>
      <w:pPr>
        <w:ind w:left="2978"/>
      </w:pPr>
    </w:lvl>
  </w:abstractNum>
  <w:abstractNum w:abstractNumId="3">
    <w:nsid w:val="BB13F02E"/>
    <w:multiLevelType w:val="singleLevel"/>
    <w:tmpl w:val="BB13F02E"/>
    <w:lvl w:ilvl="0" w:tentative="0">
      <w:start w:val="2"/>
      <w:numFmt w:val="decimal"/>
      <w:suff w:val="nothing"/>
      <w:lvlText w:val="（%1）"/>
      <w:lvlJc w:val="left"/>
    </w:lvl>
  </w:abstractNum>
  <w:abstractNum w:abstractNumId="4">
    <w:nsid w:val="E92ACDB5"/>
    <w:multiLevelType w:val="singleLevel"/>
    <w:tmpl w:val="E92ACDB5"/>
    <w:lvl w:ilvl="0" w:tentative="0">
      <w:start w:val="1"/>
      <w:numFmt w:val="decimal"/>
      <w:suff w:val="nothing"/>
      <w:lvlText w:val="%1）"/>
      <w:lvlJc w:val="left"/>
      <w:pPr>
        <w:ind w:left="2978"/>
      </w:pPr>
    </w:lvl>
  </w:abstractNum>
  <w:abstractNum w:abstractNumId="5">
    <w:nsid w:val="FAA597B3"/>
    <w:multiLevelType w:val="singleLevel"/>
    <w:tmpl w:val="FAA597B3"/>
    <w:lvl w:ilvl="0" w:tentative="0">
      <w:start w:val="1"/>
      <w:numFmt w:val="decimal"/>
      <w:suff w:val="nothing"/>
      <w:lvlText w:val="%1）"/>
      <w:lvlJc w:val="left"/>
      <w:pPr>
        <w:ind w:left="560"/>
      </w:pPr>
    </w:lvl>
  </w:abstractNum>
  <w:abstractNum w:abstractNumId="6">
    <w:nsid w:val="FE0D7997"/>
    <w:multiLevelType w:val="singleLevel"/>
    <w:tmpl w:val="FE0D7997"/>
    <w:lvl w:ilvl="0" w:tentative="0">
      <w:start w:val="1"/>
      <w:numFmt w:val="decimal"/>
      <w:lvlText w:val="%1."/>
      <w:lvlJc w:val="left"/>
      <w:pPr>
        <w:ind w:left="425" w:hanging="425"/>
      </w:pPr>
      <w:rPr>
        <w:rFonts w:hint="default"/>
      </w:rPr>
    </w:lvl>
  </w:abstractNum>
  <w:abstractNum w:abstractNumId="7">
    <w:nsid w:val="0B667A01"/>
    <w:multiLevelType w:val="multilevel"/>
    <w:tmpl w:val="0B667A01"/>
    <w:lvl w:ilvl="0" w:tentative="0">
      <w:start w:val="1"/>
      <w:numFmt w:val="decimal"/>
      <w:suff w:val="nothing"/>
      <w:lvlText w:val="%1）"/>
      <w:lvlJc w:val="left"/>
      <w:pPr>
        <w:ind w:left="2547" w:hanging="420"/>
      </w:pPr>
      <w:rPr>
        <w:rFonts w:hint="default" w:ascii="Times New Roman" w:hAnsi="Times New Roman" w:cs="Times New Roman"/>
        <w:sz w:val="28"/>
        <w:szCs w:val="28"/>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8">
    <w:nsid w:val="3A667D54"/>
    <w:multiLevelType w:val="singleLevel"/>
    <w:tmpl w:val="3A667D54"/>
    <w:lvl w:ilvl="0" w:tentative="0">
      <w:start w:val="1"/>
      <w:numFmt w:val="decimal"/>
      <w:suff w:val="nothing"/>
      <w:lvlText w:val="%1）"/>
      <w:lvlJc w:val="left"/>
      <w:pPr>
        <w:ind w:left="560"/>
      </w:pPr>
    </w:lvl>
  </w:abstractNum>
  <w:abstractNum w:abstractNumId="9">
    <w:nsid w:val="45764327"/>
    <w:multiLevelType w:val="singleLevel"/>
    <w:tmpl w:val="45764327"/>
    <w:lvl w:ilvl="0" w:tentative="0">
      <w:start w:val="1"/>
      <w:numFmt w:val="decimal"/>
      <w:lvlText w:val="%1."/>
      <w:lvlJc w:val="left"/>
      <w:pPr>
        <w:ind w:left="705" w:hanging="425"/>
      </w:pPr>
      <w:rPr>
        <w:rFonts w:hint="default"/>
      </w:rPr>
    </w:lvl>
  </w:abstractNum>
  <w:abstractNum w:abstractNumId="10">
    <w:nsid w:val="4C085F27"/>
    <w:multiLevelType w:val="singleLevel"/>
    <w:tmpl w:val="4C085F27"/>
    <w:lvl w:ilvl="0" w:tentative="0">
      <w:start w:val="1"/>
      <w:numFmt w:val="decimal"/>
      <w:lvlText w:val="%1."/>
      <w:lvlJc w:val="left"/>
      <w:pPr>
        <w:ind w:left="425" w:hanging="425"/>
      </w:pPr>
      <w:rPr>
        <w:rFonts w:hint="default"/>
      </w:rPr>
    </w:lvl>
  </w:abstractNum>
  <w:abstractNum w:abstractNumId="11">
    <w:nsid w:val="6581FB34"/>
    <w:multiLevelType w:val="singleLevel"/>
    <w:tmpl w:val="6581FB34"/>
    <w:lvl w:ilvl="0" w:tentative="0">
      <w:start w:val="1"/>
      <w:numFmt w:val="decimal"/>
      <w:suff w:val="nothing"/>
      <w:lvlText w:val="%1）"/>
      <w:lvlJc w:val="left"/>
    </w:lvl>
  </w:abstractNum>
  <w:abstractNum w:abstractNumId="12">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163"/>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3">
    <w:nsid w:val="76933334"/>
    <w:multiLevelType w:val="multilevel"/>
    <w:tmpl w:val="76933334"/>
    <w:lvl w:ilvl="0" w:tentative="0">
      <w:start w:val="1"/>
      <w:numFmt w:val="none"/>
      <w:pStyle w:val="82"/>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3"/>
  </w:num>
  <w:num w:numId="2">
    <w:abstractNumId w:val="12"/>
  </w:num>
  <w:num w:numId="3">
    <w:abstractNumId w:val="2"/>
  </w:num>
  <w:num w:numId="4">
    <w:abstractNumId w:val="8"/>
  </w:num>
  <w:num w:numId="5">
    <w:abstractNumId w:val="5"/>
  </w:num>
  <w:num w:numId="6">
    <w:abstractNumId w:val="11"/>
  </w:num>
  <w:num w:numId="7">
    <w:abstractNumId w:val="0"/>
  </w:num>
  <w:num w:numId="8">
    <w:abstractNumId w:val="9"/>
  </w:num>
  <w:num w:numId="9">
    <w:abstractNumId w:val="3"/>
  </w:num>
  <w:num w:numId="10">
    <w:abstractNumId w:val="6"/>
  </w:num>
  <w:num w:numId="11">
    <w:abstractNumId w:val="1"/>
  </w:num>
  <w:num w:numId="12">
    <w:abstractNumId w:val="4"/>
  </w:num>
  <w:num w:numId="13">
    <w:abstractNumId w:val="7"/>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displayBackgroundShape w:val="1"/>
  <w:bordersDoNotSurroundHeader w:val="1"/>
  <w:bordersDoNotSurroundFooter w:val="1"/>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hN2IwZjAyMWFjYWE3ZTI2MDE0OTkwOWY5YjQwOGUifQ=="/>
  </w:docVars>
  <w:rsids>
    <w:rsidRoot w:val="00172A27"/>
    <w:rsid w:val="000014F3"/>
    <w:rsid w:val="00002AFA"/>
    <w:rsid w:val="00002BEA"/>
    <w:rsid w:val="00003447"/>
    <w:rsid w:val="00004CE4"/>
    <w:rsid w:val="00010925"/>
    <w:rsid w:val="00010A4B"/>
    <w:rsid w:val="00010BE6"/>
    <w:rsid w:val="00011BF4"/>
    <w:rsid w:val="00011CBE"/>
    <w:rsid w:val="0001213A"/>
    <w:rsid w:val="0001287E"/>
    <w:rsid w:val="00013092"/>
    <w:rsid w:val="0001513E"/>
    <w:rsid w:val="000165A2"/>
    <w:rsid w:val="00016B25"/>
    <w:rsid w:val="00017176"/>
    <w:rsid w:val="00017C16"/>
    <w:rsid w:val="0002006B"/>
    <w:rsid w:val="0002028F"/>
    <w:rsid w:val="00020CF4"/>
    <w:rsid w:val="0002167F"/>
    <w:rsid w:val="0002210F"/>
    <w:rsid w:val="00022F2C"/>
    <w:rsid w:val="00023D4A"/>
    <w:rsid w:val="00024F17"/>
    <w:rsid w:val="00025772"/>
    <w:rsid w:val="00026EC3"/>
    <w:rsid w:val="00027150"/>
    <w:rsid w:val="00027A7C"/>
    <w:rsid w:val="00030092"/>
    <w:rsid w:val="000301DB"/>
    <w:rsid w:val="00030EB6"/>
    <w:rsid w:val="0003235B"/>
    <w:rsid w:val="00032F7A"/>
    <w:rsid w:val="00034787"/>
    <w:rsid w:val="00035839"/>
    <w:rsid w:val="00035BD4"/>
    <w:rsid w:val="00036A76"/>
    <w:rsid w:val="00040338"/>
    <w:rsid w:val="0004137E"/>
    <w:rsid w:val="000413A8"/>
    <w:rsid w:val="0004338E"/>
    <w:rsid w:val="00044C7E"/>
    <w:rsid w:val="0004521B"/>
    <w:rsid w:val="00050092"/>
    <w:rsid w:val="00051059"/>
    <w:rsid w:val="00051E76"/>
    <w:rsid w:val="000524DA"/>
    <w:rsid w:val="0005399B"/>
    <w:rsid w:val="000548CD"/>
    <w:rsid w:val="00054929"/>
    <w:rsid w:val="0005511B"/>
    <w:rsid w:val="000553A1"/>
    <w:rsid w:val="0005750C"/>
    <w:rsid w:val="000614D7"/>
    <w:rsid w:val="000618A4"/>
    <w:rsid w:val="000621DA"/>
    <w:rsid w:val="00062371"/>
    <w:rsid w:val="0006265B"/>
    <w:rsid w:val="00063697"/>
    <w:rsid w:val="00063E49"/>
    <w:rsid w:val="0006448D"/>
    <w:rsid w:val="00064BFC"/>
    <w:rsid w:val="0006539B"/>
    <w:rsid w:val="00066C8E"/>
    <w:rsid w:val="0006740B"/>
    <w:rsid w:val="0006795E"/>
    <w:rsid w:val="000704D5"/>
    <w:rsid w:val="000708BD"/>
    <w:rsid w:val="00071D83"/>
    <w:rsid w:val="000723C6"/>
    <w:rsid w:val="00072465"/>
    <w:rsid w:val="00073E93"/>
    <w:rsid w:val="0007484E"/>
    <w:rsid w:val="00075D7F"/>
    <w:rsid w:val="000764A3"/>
    <w:rsid w:val="000766E9"/>
    <w:rsid w:val="0007771B"/>
    <w:rsid w:val="00081BA2"/>
    <w:rsid w:val="00081BCD"/>
    <w:rsid w:val="0008206A"/>
    <w:rsid w:val="0008303E"/>
    <w:rsid w:val="00083C98"/>
    <w:rsid w:val="000840AC"/>
    <w:rsid w:val="00084209"/>
    <w:rsid w:val="00084EBA"/>
    <w:rsid w:val="00085313"/>
    <w:rsid w:val="0008647C"/>
    <w:rsid w:val="00086813"/>
    <w:rsid w:val="00086EB6"/>
    <w:rsid w:val="00090529"/>
    <w:rsid w:val="000909FD"/>
    <w:rsid w:val="00090D3D"/>
    <w:rsid w:val="00091374"/>
    <w:rsid w:val="00091C55"/>
    <w:rsid w:val="00092081"/>
    <w:rsid w:val="000938D1"/>
    <w:rsid w:val="00093FF3"/>
    <w:rsid w:val="000943C7"/>
    <w:rsid w:val="00094DD2"/>
    <w:rsid w:val="000955E2"/>
    <w:rsid w:val="00095686"/>
    <w:rsid w:val="00096641"/>
    <w:rsid w:val="00096669"/>
    <w:rsid w:val="0009711E"/>
    <w:rsid w:val="0009760C"/>
    <w:rsid w:val="00097713"/>
    <w:rsid w:val="000A008D"/>
    <w:rsid w:val="000A00CE"/>
    <w:rsid w:val="000A16AD"/>
    <w:rsid w:val="000A1D94"/>
    <w:rsid w:val="000A287A"/>
    <w:rsid w:val="000A2CED"/>
    <w:rsid w:val="000A3DDB"/>
    <w:rsid w:val="000A5283"/>
    <w:rsid w:val="000A568B"/>
    <w:rsid w:val="000A5910"/>
    <w:rsid w:val="000A5AC4"/>
    <w:rsid w:val="000A5C52"/>
    <w:rsid w:val="000A5C69"/>
    <w:rsid w:val="000A6CCD"/>
    <w:rsid w:val="000A7E4C"/>
    <w:rsid w:val="000B069B"/>
    <w:rsid w:val="000B14D3"/>
    <w:rsid w:val="000B1DFE"/>
    <w:rsid w:val="000B2069"/>
    <w:rsid w:val="000B28BB"/>
    <w:rsid w:val="000B6DC6"/>
    <w:rsid w:val="000B751A"/>
    <w:rsid w:val="000B75E7"/>
    <w:rsid w:val="000C0B2D"/>
    <w:rsid w:val="000C18D6"/>
    <w:rsid w:val="000C2478"/>
    <w:rsid w:val="000C2E55"/>
    <w:rsid w:val="000C30DB"/>
    <w:rsid w:val="000C32A0"/>
    <w:rsid w:val="000C39FB"/>
    <w:rsid w:val="000C493A"/>
    <w:rsid w:val="000C55B5"/>
    <w:rsid w:val="000C57D3"/>
    <w:rsid w:val="000C62E0"/>
    <w:rsid w:val="000C633C"/>
    <w:rsid w:val="000C64C3"/>
    <w:rsid w:val="000D086D"/>
    <w:rsid w:val="000D1AB5"/>
    <w:rsid w:val="000D3A7D"/>
    <w:rsid w:val="000D3B20"/>
    <w:rsid w:val="000D40D3"/>
    <w:rsid w:val="000D4686"/>
    <w:rsid w:val="000D5094"/>
    <w:rsid w:val="000D627C"/>
    <w:rsid w:val="000D67D9"/>
    <w:rsid w:val="000D6A35"/>
    <w:rsid w:val="000D7C01"/>
    <w:rsid w:val="000D7C9A"/>
    <w:rsid w:val="000E0308"/>
    <w:rsid w:val="000E101C"/>
    <w:rsid w:val="000E1473"/>
    <w:rsid w:val="000E2D4D"/>
    <w:rsid w:val="000E4286"/>
    <w:rsid w:val="000E51DE"/>
    <w:rsid w:val="000E5497"/>
    <w:rsid w:val="000E5C45"/>
    <w:rsid w:val="000E62D6"/>
    <w:rsid w:val="000E6884"/>
    <w:rsid w:val="000E6B1E"/>
    <w:rsid w:val="000E6D7C"/>
    <w:rsid w:val="000E6F3A"/>
    <w:rsid w:val="000E7DCF"/>
    <w:rsid w:val="000F0E1A"/>
    <w:rsid w:val="000F2395"/>
    <w:rsid w:val="000F24B3"/>
    <w:rsid w:val="000F2B10"/>
    <w:rsid w:val="000F322A"/>
    <w:rsid w:val="000F36C5"/>
    <w:rsid w:val="000F3D8C"/>
    <w:rsid w:val="000F4306"/>
    <w:rsid w:val="000F5410"/>
    <w:rsid w:val="000F60EB"/>
    <w:rsid w:val="000F6134"/>
    <w:rsid w:val="000F64E0"/>
    <w:rsid w:val="000F6879"/>
    <w:rsid w:val="000F7DDD"/>
    <w:rsid w:val="00100684"/>
    <w:rsid w:val="001012FB"/>
    <w:rsid w:val="00101D98"/>
    <w:rsid w:val="0010303F"/>
    <w:rsid w:val="00103227"/>
    <w:rsid w:val="001036DF"/>
    <w:rsid w:val="0010480A"/>
    <w:rsid w:val="001054D5"/>
    <w:rsid w:val="00105735"/>
    <w:rsid w:val="00105B9E"/>
    <w:rsid w:val="0010695C"/>
    <w:rsid w:val="0010705F"/>
    <w:rsid w:val="00107594"/>
    <w:rsid w:val="00107634"/>
    <w:rsid w:val="00107FAC"/>
    <w:rsid w:val="0011008F"/>
    <w:rsid w:val="00111A75"/>
    <w:rsid w:val="00111AC6"/>
    <w:rsid w:val="00111F48"/>
    <w:rsid w:val="00112F15"/>
    <w:rsid w:val="00113218"/>
    <w:rsid w:val="00113B62"/>
    <w:rsid w:val="001152A1"/>
    <w:rsid w:val="00115A43"/>
    <w:rsid w:val="00115C18"/>
    <w:rsid w:val="00116D36"/>
    <w:rsid w:val="001217E1"/>
    <w:rsid w:val="00121BFA"/>
    <w:rsid w:val="00121D12"/>
    <w:rsid w:val="00122105"/>
    <w:rsid w:val="00123794"/>
    <w:rsid w:val="001239A6"/>
    <w:rsid w:val="00123E1D"/>
    <w:rsid w:val="00124B09"/>
    <w:rsid w:val="00124EBE"/>
    <w:rsid w:val="00125637"/>
    <w:rsid w:val="0012565B"/>
    <w:rsid w:val="0012599A"/>
    <w:rsid w:val="00125FE9"/>
    <w:rsid w:val="0012631B"/>
    <w:rsid w:val="001277ED"/>
    <w:rsid w:val="001279CB"/>
    <w:rsid w:val="001300D6"/>
    <w:rsid w:val="00131195"/>
    <w:rsid w:val="0013200C"/>
    <w:rsid w:val="00132C7B"/>
    <w:rsid w:val="0013335C"/>
    <w:rsid w:val="00133A9F"/>
    <w:rsid w:val="00133CFF"/>
    <w:rsid w:val="001342EC"/>
    <w:rsid w:val="00135211"/>
    <w:rsid w:val="0013599A"/>
    <w:rsid w:val="00135D5C"/>
    <w:rsid w:val="00136C65"/>
    <w:rsid w:val="001376B3"/>
    <w:rsid w:val="00137977"/>
    <w:rsid w:val="00137D06"/>
    <w:rsid w:val="00140134"/>
    <w:rsid w:val="001401B6"/>
    <w:rsid w:val="00140644"/>
    <w:rsid w:val="00140C9E"/>
    <w:rsid w:val="0014264D"/>
    <w:rsid w:val="0014380F"/>
    <w:rsid w:val="00144465"/>
    <w:rsid w:val="00144AD3"/>
    <w:rsid w:val="00144C12"/>
    <w:rsid w:val="00146D52"/>
    <w:rsid w:val="00146F5B"/>
    <w:rsid w:val="0014700B"/>
    <w:rsid w:val="001470A6"/>
    <w:rsid w:val="001474E9"/>
    <w:rsid w:val="001476CE"/>
    <w:rsid w:val="00151005"/>
    <w:rsid w:val="001516AF"/>
    <w:rsid w:val="00151B34"/>
    <w:rsid w:val="00151D12"/>
    <w:rsid w:val="001521BE"/>
    <w:rsid w:val="001523E5"/>
    <w:rsid w:val="001523FD"/>
    <w:rsid w:val="00152994"/>
    <w:rsid w:val="00152FA4"/>
    <w:rsid w:val="001530A5"/>
    <w:rsid w:val="00153825"/>
    <w:rsid w:val="0015394B"/>
    <w:rsid w:val="00153FFC"/>
    <w:rsid w:val="00154BD3"/>
    <w:rsid w:val="00154CD4"/>
    <w:rsid w:val="00155405"/>
    <w:rsid w:val="00156B15"/>
    <w:rsid w:val="00157CA1"/>
    <w:rsid w:val="0016041D"/>
    <w:rsid w:val="00160F9A"/>
    <w:rsid w:val="00161420"/>
    <w:rsid w:val="00161D3A"/>
    <w:rsid w:val="00162C36"/>
    <w:rsid w:val="00162D6B"/>
    <w:rsid w:val="001643E3"/>
    <w:rsid w:val="0016474D"/>
    <w:rsid w:val="00164C98"/>
    <w:rsid w:val="00164DAB"/>
    <w:rsid w:val="00166712"/>
    <w:rsid w:val="00167319"/>
    <w:rsid w:val="00167536"/>
    <w:rsid w:val="001676CC"/>
    <w:rsid w:val="001700BB"/>
    <w:rsid w:val="00171561"/>
    <w:rsid w:val="0017179C"/>
    <w:rsid w:val="00172773"/>
    <w:rsid w:val="00172A27"/>
    <w:rsid w:val="00174047"/>
    <w:rsid w:val="00174383"/>
    <w:rsid w:val="0017462C"/>
    <w:rsid w:val="00174ABB"/>
    <w:rsid w:val="00176EAA"/>
    <w:rsid w:val="00177A26"/>
    <w:rsid w:val="00180C49"/>
    <w:rsid w:val="00181CE1"/>
    <w:rsid w:val="0018211A"/>
    <w:rsid w:val="001831AA"/>
    <w:rsid w:val="00183E2A"/>
    <w:rsid w:val="00183FC0"/>
    <w:rsid w:val="00184902"/>
    <w:rsid w:val="0018522C"/>
    <w:rsid w:val="001857F5"/>
    <w:rsid w:val="0018596E"/>
    <w:rsid w:val="00185AB4"/>
    <w:rsid w:val="00186ED2"/>
    <w:rsid w:val="00190513"/>
    <w:rsid w:val="00190C12"/>
    <w:rsid w:val="0019182C"/>
    <w:rsid w:val="0019294A"/>
    <w:rsid w:val="0019371E"/>
    <w:rsid w:val="001945AC"/>
    <w:rsid w:val="00194C50"/>
    <w:rsid w:val="00195B3F"/>
    <w:rsid w:val="00196222"/>
    <w:rsid w:val="00196663"/>
    <w:rsid w:val="00196920"/>
    <w:rsid w:val="001974FC"/>
    <w:rsid w:val="001A00D4"/>
    <w:rsid w:val="001A0220"/>
    <w:rsid w:val="001A0A3E"/>
    <w:rsid w:val="001A1356"/>
    <w:rsid w:val="001A19AB"/>
    <w:rsid w:val="001A20D8"/>
    <w:rsid w:val="001A3C8B"/>
    <w:rsid w:val="001A493F"/>
    <w:rsid w:val="001A5025"/>
    <w:rsid w:val="001A5653"/>
    <w:rsid w:val="001A5700"/>
    <w:rsid w:val="001A59F6"/>
    <w:rsid w:val="001A6DFA"/>
    <w:rsid w:val="001A755D"/>
    <w:rsid w:val="001B04D2"/>
    <w:rsid w:val="001B0E8A"/>
    <w:rsid w:val="001B1509"/>
    <w:rsid w:val="001B2168"/>
    <w:rsid w:val="001B2AF1"/>
    <w:rsid w:val="001B3A16"/>
    <w:rsid w:val="001B40D6"/>
    <w:rsid w:val="001B4A2B"/>
    <w:rsid w:val="001B5362"/>
    <w:rsid w:val="001B63C0"/>
    <w:rsid w:val="001B650A"/>
    <w:rsid w:val="001B6A1C"/>
    <w:rsid w:val="001B760A"/>
    <w:rsid w:val="001C00B6"/>
    <w:rsid w:val="001C19E3"/>
    <w:rsid w:val="001C2035"/>
    <w:rsid w:val="001C27AC"/>
    <w:rsid w:val="001C3689"/>
    <w:rsid w:val="001C5BED"/>
    <w:rsid w:val="001C61D4"/>
    <w:rsid w:val="001C6A96"/>
    <w:rsid w:val="001C716B"/>
    <w:rsid w:val="001D0A73"/>
    <w:rsid w:val="001D0C20"/>
    <w:rsid w:val="001D0D13"/>
    <w:rsid w:val="001D33FC"/>
    <w:rsid w:val="001D3742"/>
    <w:rsid w:val="001D5AFF"/>
    <w:rsid w:val="001D5B35"/>
    <w:rsid w:val="001D613A"/>
    <w:rsid w:val="001D62BC"/>
    <w:rsid w:val="001D7420"/>
    <w:rsid w:val="001E001E"/>
    <w:rsid w:val="001E01AF"/>
    <w:rsid w:val="001E080B"/>
    <w:rsid w:val="001E13CF"/>
    <w:rsid w:val="001E15B4"/>
    <w:rsid w:val="001E1A97"/>
    <w:rsid w:val="001E2A17"/>
    <w:rsid w:val="001E3AB5"/>
    <w:rsid w:val="001E43C4"/>
    <w:rsid w:val="001E4B52"/>
    <w:rsid w:val="001E4CF2"/>
    <w:rsid w:val="001E5878"/>
    <w:rsid w:val="001E7811"/>
    <w:rsid w:val="001F018A"/>
    <w:rsid w:val="001F0E41"/>
    <w:rsid w:val="001F20CF"/>
    <w:rsid w:val="001F21A4"/>
    <w:rsid w:val="001F223D"/>
    <w:rsid w:val="001F22F8"/>
    <w:rsid w:val="001F2459"/>
    <w:rsid w:val="001F2736"/>
    <w:rsid w:val="001F39EC"/>
    <w:rsid w:val="001F3DC5"/>
    <w:rsid w:val="001F4647"/>
    <w:rsid w:val="001F4B53"/>
    <w:rsid w:val="001F50BC"/>
    <w:rsid w:val="001F728F"/>
    <w:rsid w:val="0020022E"/>
    <w:rsid w:val="002007C1"/>
    <w:rsid w:val="00200DD5"/>
    <w:rsid w:val="00200EE1"/>
    <w:rsid w:val="0020212A"/>
    <w:rsid w:val="002028A8"/>
    <w:rsid w:val="00202C50"/>
    <w:rsid w:val="002039D7"/>
    <w:rsid w:val="00203C74"/>
    <w:rsid w:val="00203EA4"/>
    <w:rsid w:val="00204B16"/>
    <w:rsid w:val="00206155"/>
    <w:rsid w:val="00206CF7"/>
    <w:rsid w:val="002070F0"/>
    <w:rsid w:val="00207FAB"/>
    <w:rsid w:val="002102B3"/>
    <w:rsid w:val="002104C2"/>
    <w:rsid w:val="00210595"/>
    <w:rsid w:val="002108AD"/>
    <w:rsid w:val="002119C6"/>
    <w:rsid w:val="00212077"/>
    <w:rsid w:val="002134C4"/>
    <w:rsid w:val="002144A5"/>
    <w:rsid w:val="00214689"/>
    <w:rsid w:val="00214990"/>
    <w:rsid w:val="002160FA"/>
    <w:rsid w:val="00216560"/>
    <w:rsid w:val="002173FB"/>
    <w:rsid w:val="002207AC"/>
    <w:rsid w:val="0022184B"/>
    <w:rsid w:val="00221B99"/>
    <w:rsid w:val="0022253D"/>
    <w:rsid w:val="002225BD"/>
    <w:rsid w:val="00222ACC"/>
    <w:rsid w:val="00222C10"/>
    <w:rsid w:val="00223E2B"/>
    <w:rsid w:val="002245D6"/>
    <w:rsid w:val="00225626"/>
    <w:rsid w:val="00226DFE"/>
    <w:rsid w:val="002272DA"/>
    <w:rsid w:val="00227908"/>
    <w:rsid w:val="0022798D"/>
    <w:rsid w:val="002310CC"/>
    <w:rsid w:val="0023142F"/>
    <w:rsid w:val="00231607"/>
    <w:rsid w:val="00231C6E"/>
    <w:rsid w:val="002326D4"/>
    <w:rsid w:val="0023459D"/>
    <w:rsid w:val="00234C5B"/>
    <w:rsid w:val="00235358"/>
    <w:rsid w:val="00235822"/>
    <w:rsid w:val="0023600B"/>
    <w:rsid w:val="00236A70"/>
    <w:rsid w:val="00236A89"/>
    <w:rsid w:val="0023753A"/>
    <w:rsid w:val="00237F6A"/>
    <w:rsid w:val="00240326"/>
    <w:rsid w:val="002419EF"/>
    <w:rsid w:val="00242972"/>
    <w:rsid w:val="00243E58"/>
    <w:rsid w:val="002441C2"/>
    <w:rsid w:val="00245211"/>
    <w:rsid w:val="002455A3"/>
    <w:rsid w:val="00246A42"/>
    <w:rsid w:val="00246DC1"/>
    <w:rsid w:val="0025081E"/>
    <w:rsid w:val="00250E95"/>
    <w:rsid w:val="00251B8C"/>
    <w:rsid w:val="002521B9"/>
    <w:rsid w:val="00252C4A"/>
    <w:rsid w:val="00253129"/>
    <w:rsid w:val="00253341"/>
    <w:rsid w:val="00253CA2"/>
    <w:rsid w:val="0025425C"/>
    <w:rsid w:val="00254979"/>
    <w:rsid w:val="002558C7"/>
    <w:rsid w:val="00256FA8"/>
    <w:rsid w:val="00261EC9"/>
    <w:rsid w:val="00261EE5"/>
    <w:rsid w:val="002632A5"/>
    <w:rsid w:val="0026405A"/>
    <w:rsid w:val="00264274"/>
    <w:rsid w:val="002648BD"/>
    <w:rsid w:val="00265FF4"/>
    <w:rsid w:val="00267329"/>
    <w:rsid w:val="002674BD"/>
    <w:rsid w:val="002734B0"/>
    <w:rsid w:val="002739E2"/>
    <w:rsid w:val="00274494"/>
    <w:rsid w:val="00275A3F"/>
    <w:rsid w:val="00276FD4"/>
    <w:rsid w:val="00277F1C"/>
    <w:rsid w:val="002810EB"/>
    <w:rsid w:val="00281A00"/>
    <w:rsid w:val="002820AD"/>
    <w:rsid w:val="002821E7"/>
    <w:rsid w:val="00282C0D"/>
    <w:rsid w:val="0028449B"/>
    <w:rsid w:val="00284C12"/>
    <w:rsid w:val="002857BC"/>
    <w:rsid w:val="00286734"/>
    <w:rsid w:val="00287003"/>
    <w:rsid w:val="00287403"/>
    <w:rsid w:val="00287C10"/>
    <w:rsid w:val="00287DA6"/>
    <w:rsid w:val="00287E8C"/>
    <w:rsid w:val="00290DD3"/>
    <w:rsid w:val="00290F86"/>
    <w:rsid w:val="00291A21"/>
    <w:rsid w:val="00291AA6"/>
    <w:rsid w:val="00291F40"/>
    <w:rsid w:val="0029211B"/>
    <w:rsid w:val="002924F0"/>
    <w:rsid w:val="00292B3D"/>
    <w:rsid w:val="002940D9"/>
    <w:rsid w:val="0029432B"/>
    <w:rsid w:val="002948FE"/>
    <w:rsid w:val="00296E7D"/>
    <w:rsid w:val="0029744B"/>
    <w:rsid w:val="002A090C"/>
    <w:rsid w:val="002A176C"/>
    <w:rsid w:val="002A20CB"/>
    <w:rsid w:val="002A288F"/>
    <w:rsid w:val="002A315F"/>
    <w:rsid w:val="002A36FB"/>
    <w:rsid w:val="002A3AFD"/>
    <w:rsid w:val="002A4224"/>
    <w:rsid w:val="002A4BDA"/>
    <w:rsid w:val="002A4C85"/>
    <w:rsid w:val="002A4F59"/>
    <w:rsid w:val="002A6F65"/>
    <w:rsid w:val="002B14B8"/>
    <w:rsid w:val="002B3624"/>
    <w:rsid w:val="002B39A9"/>
    <w:rsid w:val="002B48EB"/>
    <w:rsid w:val="002B4F13"/>
    <w:rsid w:val="002B65D9"/>
    <w:rsid w:val="002B79C1"/>
    <w:rsid w:val="002B7C56"/>
    <w:rsid w:val="002C0A6F"/>
    <w:rsid w:val="002C272A"/>
    <w:rsid w:val="002C32BF"/>
    <w:rsid w:val="002C3E8D"/>
    <w:rsid w:val="002C4D6B"/>
    <w:rsid w:val="002C54B2"/>
    <w:rsid w:val="002C5AD5"/>
    <w:rsid w:val="002C7600"/>
    <w:rsid w:val="002D018E"/>
    <w:rsid w:val="002D0273"/>
    <w:rsid w:val="002D041E"/>
    <w:rsid w:val="002D264A"/>
    <w:rsid w:val="002D2829"/>
    <w:rsid w:val="002D2FBB"/>
    <w:rsid w:val="002D3F24"/>
    <w:rsid w:val="002D414F"/>
    <w:rsid w:val="002D46E9"/>
    <w:rsid w:val="002D4885"/>
    <w:rsid w:val="002D4E1D"/>
    <w:rsid w:val="002D4FA2"/>
    <w:rsid w:val="002D4FEE"/>
    <w:rsid w:val="002D5566"/>
    <w:rsid w:val="002D5D47"/>
    <w:rsid w:val="002D635E"/>
    <w:rsid w:val="002D6D85"/>
    <w:rsid w:val="002D7E30"/>
    <w:rsid w:val="002E055F"/>
    <w:rsid w:val="002E0E17"/>
    <w:rsid w:val="002E11C3"/>
    <w:rsid w:val="002E12F4"/>
    <w:rsid w:val="002E16B6"/>
    <w:rsid w:val="002E1DC9"/>
    <w:rsid w:val="002E249C"/>
    <w:rsid w:val="002E2661"/>
    <w:rsid w:val="002E3496"/>
    <w:rsid w:val="002E38B7"/>
    <w:rsid w:val="002E3A0E"/>
    <w:rsid w:val="002E3CCA"/>
    <w:rsid w:val="002E48DC"/>
    <w:rsid w:val="002E522F"/>
    <w:rsid w:val="002E5C9B"/>
    <w:rsid w:val="002E5E16"/>
    <w:rsid w:val="002E6129"/>
    <w:rsid w:val="002E6718"/>
    <w:rsid w:val="002E7235"/>
    <w:rsid w:val="002F28EB"/>
    <w:rsid w:val="002F3E2B"/>
    <w:rsid w:val="002F48E8"/>
    <w:rsid w:val="002F5877"/>
    <w:rsid w:val="002F5ACF"/>
    <w:rsid w:val="002F6266"/>
    <w:rsid w:val="002F6345"/>
    <w:rsid w:val="002F7434"/>
    <w:rsid w:val="003013D7"/>
    <w:rsid w:val="003016A5"/>
    <w:rsid w:val="00301BBB"/>
    <w:rsid w:val="00302833"/>
    <w:rsid w:val="00302DEC"/>
    <w:rsid w:val="00303A3B"/>
    <w:rsid w:val="00304857"/>
    <w:rsid w:val="00305619"/>
    <w:rsid w:val="0030635A"/>
    <w:rsid w:val="00306646"/>
    <w:rsid w:val="003069CC"/>
    <w:rsid w:val="0030704F"/>
    <w:rsid w:val="00307459"/>
    <w:rsid w:val="003107ED"/>
    <w:rsid w:val="003109BA"/>
    <w:rsid w:val="00310E19"/>
    <w:rsid w:val="00310EFE"/>
    <w:rsid w:val="003117C1"/>
    <w:rsid w:val="00312913"/>
    <w:rsid w:val="00313213"/>
    <w:rsid w:val="003133B5"/>
    <w:rsid w:val="00313974"/>
    <w:rsid w:val="003142F3"/>
    <w:rsid w:val="003156B7"/>
    <w:rsid w:val="003159AF"/>
    <w:rsid w:val="00315C1C"/>
    <w:rsid w:val="00315D55"/>
    <w:rsid w:val="00316002"/>
    <w:rsid w:val="00320355"/>
    <w:rsid w:val="0032053B"/>
    <w:rsid w:val="00320EC4"/>
    <w:rsid w:val="00321637"/>
    <w:rsid w:val="00321781"/>
    <w:rsid w:val="00321853"/>
    <w:rsid w:val="00321D5E"/>
    <w:rsid w:val="00321FD9"/>
    <w:rsid w:val="00322402"/>
    <w:rsid w:val="00322936"/>
    <w:rsid w:val="00323C26"/>
    <w:rsid w:val="00324F35"/>
    <w:rsid w:val="00324F3D"/>
    <w:rsid w:val="0032590D"/>
    <w:rsid w:val="00325D45"/>
    <w:rsid w:val="00326716"/>
    <w:rsid w:val="00330587"/>
    <w:rsid w:val="0033061C"/>
    <w:rsid w:val="00330AB1"/>
    <w:rsid w:val="00330B31"/>
    <w:rsid w:val="003311AA"/>
    <w:rsid w:val="0033153B"/>
    <w:rsid w:val="00332C68"/>
    <w:rsid w:val="00332DDF"/>
    <w:rsid w:val="00332EDC"/>
    <w:rsid w:val="00332F7E"/>
    <w:rsid w:val="003346A4"/>
    <w:rsid w:val="00335798"/>
    <w:rsid w:val="00336892"/>
    <w:rsid w:val="00336C16"/>
    <w:rsid w:val="003370F2"/>
    <w:rsid w:val="00340286"/>
    <w:rsid w:val="003413EE"/>
    <w:rsid w:val="003420A0"/>
    <w:rsid w:val="00342417"/>
    <w:rsid w:val="00342454"/>
    <w:rsid w:val="003424F3"/>
    <w:rsid w:val="00342B61"/>
    <w:rsid w:val="00342C39"/>
    <w:rsid w:val="00343BB3"/>
    <w:rsid w:val="00343F7B"/>
    <w:rsid w:val="003440F7"/>
    <w:rsid w:val="003448E4"/>
    <w:rsid w:val="00344B65"/>
    <w:rsid w:val="00344C2F"/>
    <w:rsid w:val="00346459"/>
    <w:rsid w:val="0034665E"/>
    <w:rsid w:val="00347756"/>
    <w:rsid w:val="003477CE"/>
    <w:rsid w:val="003500AE"/>
    <w:rsid w:val="00350120"/>
    <w:rsid w:val="00350232"/>
    <w:rsid w:val="00350B62"/>
    <w:rsid w:val="00351F60"/>
    <w:rsid w:val="00352127"/>
    <w:rsid w:val="003527D1"/>
    <w:rsid w:val="003529D3"/>
    <w:rsid w:val="00352CDB"/>
    <w:rsid w:val="00352DE8"/>
    <w:rsid w:val="00353030"/>
    <w:rsid w:val="00353110"/>
    <w:rsid w:val="0035362E"/>
    <w:rsid w:val="003538C8"/>
    <w:rsid w:val="003540AA"/>
    <w:rsid w:val="00354783"/>
    <w:rsid w:val="003549E7"/>
    <w:rsid w:val="00354B15"/>
    <w:rsid w:val="003558DE"/>
    <w:rsid w:val="0035601D"/>
    <w:rsid w:val="00356424"/>
    <w:rsid w:val="003564C6"/>
    <w:rsid w:val="003577A5"/>
    <w:rsid w:val="003579F3"/>
    <w:rsid w:val="00357DC4"/>
    <w:rsid w:val="00360015"/>
    <w:rsid w:val="003600A0"/>
    <w:rsid w:val="00360C98"/>
    <w:rsid w:val="0036165D"/>
    <w:rsid w:val="003621BE"/>
    <w:rsid w:val="00362769"/>
    <w:rsid w:val="00362CDC"/>
    <w:rsid w:val="00364921"/>
    <w:rsid w:val="00365BA5"/>
    <w:rsid w:val="003660FB"/>
    <w:rsid w:val="003669B4"/>
    <w:rsid w:val="003679A4"/>
    <w:rsid w:val="00367B60"/>
    <w:rsid w:val="00370F76"/>
    <w:rsid w:val="003727E7"/>
    <w:rsid w:val="00373C30"/>
    <w:rsid w:val="0037478B"/>
    <w:rsid w:val="00374F5E"/>
    <w:rsid w:val="003754F4"/>
    <w:rsid w:val="0037567E"/>
    <w:rsid w:val="00376ABF"/>
    <w:rsid w:val="003809AA"/>
    <w:rsid w:val="00381712"/>
    <w:rsid w:val="0038183F"/>
    <w:rsid w:val="003820B7"/>
    <w:rsid w:val="00382AE9"/>
    <w:rsid w:val="00383164"/>
    <w:rsid w:val="003831F8"/>
    <w:rsid w:val="00383D26"/>
    <w:rsid w:val="00383D80"/>
    <w:rsid w:val="003850A6"/>
    <w:rsid w:val="00385920"/>
    <w:rsid w:val="00386100"/>
    <w:rsid w:val="003861B9"/>
    <w:rsid w:val="00386A37"/>
    <w:rsid w:val="00386D5B"/>
    <w:rsid w:val="00387054"/>
    <w:rsid w:val="00387C55"/>
    <w:rsid w:val="00390883"/>
    <w:rsid w:val="00390CF5"/>
    <w:rsid w:val="00391227"/>
    <w:rsid w:val="0039126A"/>
    <w:rsid w:val="00391279"/>
    <w:rsid w:val="00393CC8"/>
    <w:rsid w:val="00393DF7"/>
    <w:rsid w:val="0039648E"/>
    <w:rsid w:val="00396914"/>
    <w:rsid w:val="003971CE"/>
    <w:rsid w:val="003978A5"/>
    <w:rsid w:val="003A07AC"/>
    <w:rsid w:val="003A0C58"/>
    <w:rsid w:val="003A0CB5"/>
    <w:rsid w:val="003A1075"/>
    <w:rsid w:val="003A3B17"/>
    <w:rsid w:val="003A3C51"/>
    <w:rsid w:val="003A447D"/>
    <w:rsid w:val="003A4858"/>
    <w:rsid w:val="003A516B"/>
    <w:rsid w:val="003A5589"/>
    <w:rsid w:val="003B0140"/>
    <w:rsid w:val="003B2A7E"/>
    <w:rsid w:val="003B2FD0"/>
    <w:rsid w:val="003B3ADE"/>
    <w:rsid w:val="003B4A8E"/>
    <w:rsid w:val="003B677B"/>
    <w:rsid w:val="003B6933"/>
    <w:rsid w:val="003B720C"/>
    <w:rsid w:val="003C12AA"/>
    <w:rsid w:val="003C2BF6"/>
    <w:rsid w:val="003C50AC"/>
    <w:rsid w:val="003C50E4"/>
    <w:rsid w:val="003C52CD"/>
    <w:rsid w:val="003C5AC6"/>
    <w:rsid w:val="003C6D02"/>
    <w:rsid w:val="003D0C48"/>
    <w:rsid w:val="003D1F09"/>
    <w:rsid w:val="003D2075"/>
    <w:rsid w:val="003D2244"/>
    <w:rsid w:val="003D2F6F"/>
    <w:rsid w:val="003D3BE5"/>
    <w:rsid w:val="003D3FF3"/>
    <w:rsid w:val="003D4438"/>
    <w:rsid w:val="003D485C"/>
    <w:rsid w:val="003D7A5B"/>
    <w:rsid w:val="003E041C"/>
    <w:rsid w:val="003E261B"/>
    <w:rsid w:val="003E2F63"/>
    <w:rsid w:val="003E358D"/>
    <w:rsid w:val="003E3C4A"/>
    <w:rsid w:val="003E41EE"/>
    <w:rsid w:val="003E4CD9"/>
    <w:rsid w:val="003E534D"/>
    <w:rsid w:val="003E5D5E"/>
    <w:rsid w:val="003E68A2"/>
    <w:rsid w:val="003E7379"/>
    <w:rsid w:val="003F0797"/>
    <w:rsid w:val="003F0BF0"/>
    <w:rsid w:val="003F2418"/>
    <w:rsid w:val="003F3E50"/>
    <w:rsid w:val="003F4B12"/>
    <w:rsid w:val="003F4ECF"/>
    <w:rsid w:val="003F5E97"/>
    <w:rsid w:val="003F6906"/>
    <w:rsid w:val="003F7279"/>
    <w:rsid w:val="003F7349"/>
    <w:rsid w:val="00400595"/>
    <w:rsid w:val="004007A1"/>
    <w:rsid w:val="00400EC2"/>
    <w:rsid w:val="004013FD"/>
    <w:rsid w:val="00401A22"/>
    <w:rsid w:val="00403628"/>
    <w:rsid w:val="0040363C"/>
    <w:rsid w:val="00404E98"/>
    <w:rsid w:val="00405A75"/>
    <w:rsid w:val="00407807"/>
    <w:rsid w:val="00411396"/>
    <w:rsid w:val="0041151E"/>
    <w:rsid w:val="0041164E"/>
    <w:rsid w:val="00411FDF"/>
    <w:rsid w:val="00413060"/>
    <w:rsid w:val="00413AFF"/>
    <w:rsid w:val="004148DC"/>
    <w:rsid w:val="00414B29"/>
    <w:rsid w:val="00415684"/>
    <w:rsid w:val="0041605D"/>
    <w:rsid w:val="00416783"/>
    <w:rsid w:val="00416EB1"/>
    <w:rsid w:val="00417FD1"/>
    <w:rsid w:val="00420343"/>
    <w:rsid w:val="00420BD6"/>
    <w:rsid w:val="004217C9"/>
    <w:rsid w:val="004223B4"/>
    <w:rsid w:val="00422E9F"/>
    <w:rsid w:val="00424F4E"/>
    <w:rsid w:val="0042517F"/>
    <w:rsid w:val="0042536D"/>
    <w:rsid w:val="00425ACF"/>
    <w:rsid w:val="00425BD8"/>
    <w:rsid w:val="0042609B"/>
    <w:rsid w:val="004266AB"/>
    <w:rsid w:val="00426B1E"/>
    <w:rsid w:val="00432F90"/>
    <w:rsid w:val="00434087"/>
    <w:rsid w:val="0043499D"/>
    <w:rsid w:val="004349F1"/>
    <w:rsid w:val="004363A3"/>
    <w:rsid w:val="0043797C"/>
    <w:rsid w:val="00440935"/>
    <w:rsid w:val="00440D8A"/>
    <w:rsid w:val="00441563"/>
    <w:rsid w:val="0044224B"/>
    <w:rsid w:val="004424A9"/>
    <w:rsid w:val="00442BEF"/>
    <w:rsid w:val="00442EC3"/>
    <w:rsid w:val="00444316"/>
    <w:rsid w:val="004446D4"/>
    <w:rsid w:val="00445303"/>
    <w:rsid w:val="0044584F"/>
    <w:rsid w:val="00447902"/>
    <w:rsid w:val="00450705"/>
    <w:rsid w:val="0045131D"/>
    <w:rsid w:val="00453338"/>
    <w:rsid w:val="0045478E"/>
    <w:rsid w:val="00455022"/>
    <w:rsid w:val="00455375"/>
    <w:rsid w:val="00456A6E"/>
    <w:rsid w:val="00456A94"/>
    <w:rsid w:val="00456EFD"/>
    <w:rsid w:val="00457036"/>
    <w:rsid w:val="00460AC1"/>
    <w:rsid w:val="004611C5"/>
    <w:rsid w:val="00463D47"/>
    <w:rsid w:val="004641D4"/>
    <w:rsid w:val="00464FCA"/>
    <w:rsid w:val="00465505"/>
    <w:rsid w:val="00466002"/>
    <w:rsid w:val="004663CF"/>
    <w:rsid w:val="00466528"/>
    <w:rsid w:val="00467FA1"/>
    <w:rsid w:val="004700C7"/>
    <w:rsid w:val="00470438"/>
    <w:rsid w:val="00470D01"/>
    <w:rsid w:val="0047354E"/>
    <w:rsid w:val="004736B5"/>
    <w:rsid w:val="00474901"/>
    <w:rsid w:val="00474C60"/>
    <w:rsid w:val="00474DC8"/>
    <w:rsid w:val="00475E2B"/>
    <w:rsid w:val="00476710"/>
    <w:rsid w:val="004771C0"/>
    <w:rsid w:val="004772DA"/>
    <w:rsid w:val="0048010F"/>
    <w:rsid w:val="00481183"/>
    <w:rsid w:val="004815A6"/>
    <w:rsid w:val="004816A6"/>
    <w:rsid w:val="00481D46"/>
    <w:rsid w:val="00482075"/>
    <w:rsid w:val="0048264F"/>
    <w:rsid w:val="00482B59"/>
    <w:rsid w:val="00483037"/>
    <w:rsid w:val="0048334B"/>
    <w:rsid w:val="004836CB"/>
    <w:rsid w:val="00484563"/>
    <w:rsid w:val="00484C26"/>
    <w:rsid w:val="00484CC7"/>
    <w:rsid w:val="0048569D"/>
    <w:rsid w:val="004857EA"/>
    <w:rsid w:val="00486E59"/>
    <w:rsid w:val="00487558"/>
    <w:rsid w:val="004878DA"/>
    <w:rsid w:val="00487DBA"/>
    <w:rsid w:val="0049001A"/>
    <w:rsid w:val="0049129F"/>
    <w:rsid w:val="004926F7"/>
    <w:rsid w:val="00492F4A"/>
    <w:rsid w:val="00493CA2"/>
    <w:rsid w:val="004942A3"/>
    <w:rsid w:val="004944BA"/>
    <w:rsid w:val="004945BD"/>
    <w:rsid w:val="00495DCD"/>
    <w:rsid w:val="004965AB"/>
    <w:rsid w:val="0049730F"/>
    <w:rsid w:val="00497406"/>
    <w:rsid w:val="004A0482"/>
    <w:rsid w:val="004A0A64"/>
    <w:rsid w:val="004A2495"/>
    <w:rsid w:val="004A2C8C"/>
    <w:rsid w:val="004A2D55"/>
    <w:rsid w:val="004A57C7"/>
    <w:rsid w:val="004A7BA7"/>
    <w:rsid w:val="004B1009"/>
    <w:rsid w:val="004B1039"/>
    <w:rsid w:val="004B1838"/>
    <w:rsid w:val="004B18AF"/>
    <w:rsid w:val="004B18F0"/>
    <w:rsid w:val="004B1DEF"/>
    <w:rsid w:val="004B2406"/>
    <w:rsid w:val="004B29AA"/>
    <w:rsid w:val="004B2A24"/>
    <w:rsid w:val="004B2A95"/>
    <w:rsid w:val="004B2EF3"/>
    <w:rsid w:val="004B31E9"/>
    <w:rsid w:val="004B5211"/>
    <w:rsid w:val="004B650F"/>
    <w:rsid w:val="004B76C0"/>
    <w:rsid w:val="004C01F5"/>
    <w:rsid w:val="004C0542"/>
    <w:rsid w:val="004C14E8"/>
    <w:rsid w:val="004C232D"/>
    <w:rsid w:val="004C39E3"/>
    <w:rsid w:val="004C48B7"/>
    <w:rsid w:val="004C4A0A"/>
    <w:rsid w:val="004C5C31"/>
    <w:rsid w:val="004C5C72"/>
    <w:rsid w:val="004C78AD"/>
    <w:rsid w:val="004D170C"/>
    <w:rsid w:val="004D1BA0"/>
    <w:rsid w:val="004D1EE9"/>
    <w:rsid w:val="004D2642"/>
    <w:rsid w:val="004D40F3"/>
    <w:rsid w:val="004D44B2"/>
    <w:rsid w:val="004D4989"/>
    <w:rsid w:val="004D5047"/>
    <w:rsid w:val="004D52F5"/>
    <w:rsid w:val="004D570E"/>
    <w:rsid w:val="004D5AD7"/>
    <w:rsid w:val="004D5B9A"/>
    <w:rsid w:val="004D5C9A"/>
    <w:rsid w:val="004D6572"/>
    <w:rsid w:val="004D6FFE"/>
    <w:rsid w:val="004E01F3"/>
    <w:rsid w:val="004E0924"/>
    <w:rsid w:val="004E1E2B"/>
    <w:rsid w:val="004E2F31"/>
    <w:rsid w:val="004E3A10"/>
    <w:rsid w:val="004E4114"/>
    <w:rsid w:val="004E4982"/>
    <w:rsid w:val="004E6205"/>
    <w:rsid w:val="004E71DA"/>
    <w:rsid w:val="004E7299"/>
    <w:rsid w:val="004F071B"/>
    <w:rsid w:val="004F0882"/>
    <w:rsid w:val="004F10DF"/>
    <w:rsid w:val="004F121D"/>
    <w:rsid w:val="004F18DE"/>
    <w:rsid w:val="004F19E4"/>
    <w:rsid w:val="004F2AFD"/>
    <w:rsid w:val="004F37E0"/>
    <w:rsid w:val="004F4E6B"/>
    <w:rsid w:val="004F4EF6"/>
    <w:rsid w:val="004F50DF"/>
    <w:rsid w:val="004F633E"/>
    <w:rsid w:val="004F672D"/>
    <w:rsid w:val="004F67E8"/>
    <w:rsid w:val="004F6FD9"/>
    <w:rsid w:val="00501353"/>
    <w:rsid w:val="00502323"/>
    <w:rsid w:val="005027BB"/>
    <w:rsid w:val="005040E7"/>
    <w:rsid w:val="005044CB"/>
    <w:rsid w:val="00504C7B"/>
    <w:rsid w:val="00505056"/>
    <w:rsid w:val="00505896"/>
    <w:rsid w:val="00505F02"/>
    <w:rsid w:val="005065D1"/>
    <w:rsid w:val="00506754"/>
    <w:rsid w:val="00506781"/>
    <w:rsid w:val="00507111"/>
    <w:rsid w:val="00510646"/>
    <w:rsid w:val="005111A3"/>
    <w:rsid w:val="005118CF"/>
    <w:rsid w:val="005123D7"/>
    <w:rsid w:val="00513115"/>
    <w:rsid w:val="005134E5"/>
    <w:rsid w:val="00515217"/>
    <w:rsid w:val="00521B82"/>
    <w:rsid w:val="00522014"/>
    <w:rsid w:val="00522045"/>
    <w:rsid w:val="00522656"/>
    <w:rsid w:val="00523672"/>
    <w:rsid w:val="005237F5"/>
    <w:rsid w:val="00523905"/>
    <w:rsid w:val="00523BFB"/>
    <w:rsid w:val="00524415"/>
    <w:rsid w:val="005249D0"/>
    <w:rsid w:val="00524BFF"/>
    <w:rsid w:val="005253FA"/>
    <w:rsid w:val="005271AD"/>
    <w:rsid w:val="00527A0A"/>
    <w:rsid w:val="0053021E"/>
    <w:rsid w:val="00530A1E"/>
    <w:rsid w:val="00530B15"/>
    <w:rsid w:val="00530EDC"/>
    <w:rsid w:val="00531885"/>
    <w:rsid w:val="00531CB5"/>
    <w:rsid w:val="0053266C"/>
    <w:rsid w:val="00532816"/>
    <w:rsid w:val="00532B08"/>
    <w:rsid w:val="00532FF7"/>
    <w:rsid w:val="005340E6"/>
    <w:rsid w:val="00534834"/>
    <w:rsid w:val="005353B5"/>
    <w:rsid w:val="005355D1"/>
    <w:rsid w:val="005378A8"/>
    <w:rsid w:val="0053798F"/>
    <w:rsid w:val="00537E2B"/>
    <w:rsid w:val="005405E3"/>
    <w:rsid w:val="005419B2"/>
    <w:rsid w:val="00543F03"/>
    <w:rsid w:val="0054456D"/>
    <w:rsid w:val="005448C7"/>
    <w:rsid w:val="00544C9D"/>
    <w:rsid w:val="00545501"/>
    <w:rsid w:val="00545AF5"/>
    <w:rsid w:val="005468F1"/>
    <w:rsid w:val="00547517"/>
    <w:rsid w:val="00550E7F"/>
    <w:rsid w:val="0055297B"/>
    <w:rsid w:val="005529E4"/>
    <w:rsid w:val="0055316A"/>
    <w:rsid w:val="0055326C"/>
    <w:rsid w:val="00553642"/>
    <w:rsid w:val="005536D4"/>
    <w:rsid w:val="00554C47"/>
    <w:rsid w:val="00554DDA"/>
    <w:rsid w:val="00555626"/>
    <w:rsid w:val="005558EF"/>
    <w:rsid w:val="00555D90"/>
    <w:rsid w:val="00556498"/>
    <w:rsid w:val="00556643"/>
    <w:rsid w:val="0055664B"/>
    <w:rsid w:val="00557D7A"/>
    <w:rsid w:val="00557DB4"/>
    <w:rsid w:val="005606B1"/>
    <w:rsid w:val="00561265"/>
    <w:rsid w:val="00561C2C"/>
    <w:rsid w:val="00561DA0"/>
    <w:rsid w:val="00561DAB"/>
    <w:rsid w:val="00561F09"/>
    <w:rsid w:val="00562462"/>
    <w:rsid w:val="005624CE"/>
    <w:rsid w:val="005625D6"/>
    <w:rsid w:val="0056278E"/>
    <w:rsid w:val="005632F5"/>
    <w:rsid w:val="00563616"/>
    <w:rsid w:val="0056393B"/>
    <w:rsid w:val="00564DE2"/>
    <w:rsid w:val="00565302"/>
    <w:rsid w:val="00567958"/>
    <w:rsid w:val="00567E44"/>
    <w:rsid w:val="00571F8A"/>
    <w:rsid w:val="00572A17"/>
    <w:rsid w:val="0057354E"/>
    <w:rsid w:val="005739EF"/>
    <w:rsid w:val="00575C16"/>
    <w:rsid w:val="00576427"/>
    <w:rsid w:val="005773C8"/>
    <w:rsid w:val="005777DD"/>
    <w:rsid w:val="00577C66"/>
    <w:rsid w:val="00580358"/>
    <w:rsid w:val="00580506"/>
    <w:rsid w:val="00580565"/>
    <w:rsid w:val="00580642"/>
    <w:rsid w:val="00581DC8"/>
    <w:rsid w:val="0058394B"/>
    <w:rsid w:val="00583B1D"/>
    <w:rsid w:val="0058495E"/>
    <w:rsid w:val="00584F14"/>
    <w:rsid w:val="00585DCA"/>
    <w:rsid w:val="005871E1"/>
    <w:rsid w:val="00587C6D"/>
    <w:rsid w:val="00591632"/>
    <w:rsid w:val="00591E49"/>
    <w:rsid w:val="005937D3"/>
    <w:rsid w:val="00593952"/>
    <w:rsid w:val="00595199"/>
    <w:rsid w:val="0059520E"/>
    <w:rsid w:val="00595BF1"/>
    <w:rsid w:val="005963E0"/>
    <w:rsid w:val="005965AF"/>
    <w:rsid w:val="005A075A"/>
    <w:rsid w:val="005A0DBB"/>
    <w:rsid w:val="005A1F5B"/>
    <w:rsid w:val="005A20CA"/>
    <w:rsid w:val="005A4131"/>
    <w:rsid w:val="005A43AC"/>
    <w:rsid w:val="005A46D6"/>
    <w:rsid w:val="005A52D6"/>
    <w:rsid w:val="005A7B03"/>
    <w:rsid w:val="005A7B1D"/>
    <w:rsid w:val="005A7D2D"/>
    <w:rsid w:val="005A7EC0"/>
    <w:rsid w:val="005B0042"/>
    <w:rsid w:val="005B0D7C"/>
    <w:rsid w:val="005B12A1"/>
    <w:rsid w:val="005B1CDD"/>
    <w:rsid w:val="005B22D0"/>
    <w:rsid w:val="005B2A67"/>
    <w:rsid w:val="005B3338"/>
    <w:rsid w:val="005B4C39"/>
    <w:rsid w:val="005B5359"/>
    <w:rsid w:val="005B63D0"/>
    <w:rsid w:val="005B6877"/>
    <w:rsid w:val="005B7B84"/>
    <w:rsid w:val="005C09F0"/>
    <w:rsid w:val="005C133A"/>
    <w:rsid w:val="005C1B83"/>
    <w:rsid w:val="005C3201"/>
    <w:rsid w:val="005C3922"/>
    <w:rsid w:val="005C439C"/>
    <w:rsid w:val="005C492E"/>
    <w:rsid w:val="005C4FE5"/>
    <w:rsid w:val="005C5CF8"/>
    <w:rsid w:val="005C5FC3"/>
    <w:rsid w:val="005C7B5B"/>
    <w:rsid w:val="005C7CBB"/>
    <w:rsid w:val="005D03A5"/>
    <w:rsid w:val="005D0B56"/>
    <w:rsid w:val="005D25D7"/>
    <w:rsid w:val="005D2E27"/>
    <w:rsid w:val="005D381A"/>
    <w:rsid w:val="005D3EF0"/>
    <w:rsid w:val="005D4617"/>
    <w:rsid w:val="005D5816"/>
    <w:rsid w:val="005D628A"/>
    <w:rsid w:val="005D63BC"/>
    <w:rsid w:val="005D6F36"/>
    <w:rsid w:val="005D74E8"/>
    <w:rsid w:val="005D76DA"/>
    <w:rsid w:val="005D7EF8"/>
    <w:rsid w:val="005E0014"/>
    <w:rsid w:val="005E247D"/>
    <w:rsid w:val="005E39E9"/>
    <w:rsid w:val="005E4032"/>
    <w:rsid w:val="005E4415"/>
    <w:rsid w:val="005E4967"/>
    <w:rsid w:val="005E540C"/>
    <w:rsid w:val="005E7F8A"/>
    <w:rsid w:val="005F0429"/>
    <w:rsid w:val="005F0826"/>
    <w:rsid w:val="005F19A6"/>
    <w:rsid w:val="005F2C16"/>
    <w:rsid w:val="005F429D"/>
    <w:rsid w:val="005F441D"/>
    <w:rsid w:val="005F4F2B"/>
    <w:rsid w:val="005F5982"/>
    <w:rsid w:val="005F7772"/>
    <w:rsid w:val="005F7CA0"/>
    <w:rsid w:val="005F7D1A"/>
    <w:rsid w:val="0060014C"/>
    <w:rsid w:val="00600291"/>
    <w:rsid w:val="0060096B"/>
    <w:rsid w:val="00602A52"/>
    <w:rsid w:val="00602B55"/>
    <w:rsid w:val="00602F66"/>
    <w:rsid w:val="006033C9"/>
    <w:rsid w:val="00604182"/>
    <w:rsid w:val="006044A2"/>
    <w:rsid w:val="00604564"/>
    <w:rsid w:val="00604646"/>
    <w:rsid w:val="0060479C"/>
    <w:rsid w:val="0060484A"/>
    <w:rsid w:val="00604890"/>
    <w:rsid w:val="00605BF9"/>
    <w:rsid w:val="00606FC0"/>
    <w:rsid w:val="006079D4"/>
    <w:rsid w:val="00611268"/>
    <w:rsid w:val="00611963"/>
    <w:rsid w:val="00611FA8"/>
    <w:rsid w:val="00612144"/>
    <w:rsid w:val="00612547"/>
    <w:rsid w:val="0061280A"/>
    <w:rsid w:val="00613A5C"/>
    <w:rsid w:val="00613B1B"/>
    <w:rsid w:val="00613C2E"/>
    <w:rsid w:val="00614E06"/>
    <w:rsid w:val="00615ADB"/>
    <w:rsid w:val="00615E63"/>
    <w:rsid w:val="00616222"/>
    <w:rsid w:val="006168ED"/>
    <w:rsid w:val="006175CF"/>
    <w:rsid w:val="0062063D"/>
    <w:rsid w:val="00620780"/>
    <w:rsid w:val="00622073"/>
    <w:rsid w:val="0062213D"/>
    <w:rsid w:val="006230C9"/>
    <w:rsid w:val="00623563"/>
    <w:rsid w:val="00624130"/>
    <w:rsid w:val="00624A8A"/>
    <w:rsid w:val="006279C1"/>
    <w:rsid w:val="00627FEE"/>
    <w:rsid w:val="0063002E"/>
    <w:rsid w:val="00631143"/>
    <w:rsid w:val="00631219"/>
    <w:rsid w:val="00633849"/>
    <w:rsid w:val="00633E9F"/>
    <w:rsid w:val="006345B0"/>
    <w:rsid w:val="00634B82"/>
    <w:rsid w:val="00634C20"/>
    <w:rsid w:val="00634D24"/>
    <w:rsid w:val="0063515A"/>
    <w:rsid w:val="00635BBB"/>
    <w:rsid w:val="00635F4D"/>
    <w:rsid w:val="006363A9"/>
    <w:rsid w:val="0063667D"/>
    <w:rsid w:val="00636A8C"/>
    <w:rsid w:val="00636C1B"/>
    <w:rsid w:val="00637738"/>
    <w:rsid w:val="006401C7"/>
    <w:rsid w:val="0064076D"/>
    <w:rsid w:val="00641891"/>
    <w:rsid w:val="00641CB3"/>
    <w:rsid w:val="00643091"/>
    <w:rsid w:val="00643C9A"/>
    <w:rsid w:val="00644A8B"/>
    <w:rsid w:val="00645B37"/>
    <w:rsid w:val="006468DA"/>
    <w:rsid w:val="00646EF7"/>
    <w:rsid w:val="006475F1"/>
    <w:rsid w:val="006476C0"/>
    <w:rsid w:val="00647E05"/>
    <w:rsid w:val="006507C1"/>
    <w:rsid w:val="006518F8"/>
    <w:rsid w:val="00651C98"/>
    <w:rsid w:val="00652B6A"/>
    <w:rsid w:val="00652C73"/>
    <w:rsid w:val="006533CD"/>
    <w:rsid w:val="00653969"/>
    <w:rsid w:val="006542C5"/>
    <w:rsid w:val="0065464C"/>
    <w:rsid w:val="006549D5"/>
    <w:rsid w:val="0065526D"/>
    <w:rsid w:val="00655294"/>
    <w:rsid w:val="0065561E"/>
    <w:rsid w:val="006557A8"/>
    <w:rsid w:val="0065728B"/>
    <w:rsid w:val="00660413"/>
    <w:rsid w:val="00662107"/>
    <w:rsid w:val="006625BE"/>
    <w:rsid w:val="006635AE"/>
    <w:rsid w:val="006643F9"/>
    <w:rsid w:val="00665B6E"/>
    <w:rsid w:val="00666BD7"/>
    <w:rsid w:val="00666D9A"/>
    <w:rsid w:val="00667775"/>
    <w:rsid w:val="00670CEB"/>
    <w:rsid w:val="006718E7"/>
    <w:rsid w:val="006724E6"/>
    <w:rsid w:val="00674541"/>
    <w:rsid w:val="00674E3C"/>
    <w:rsid w:val="006753DD"/>
    <w:rsid w:val="0067557C"/>
    <w:rsid w:val="00675C8B"/>
    <w:rsid w:val="00677E17"/>
    <w:rsid w:val="00680A8F"/>
    <w:rsid w:val="0068235B"/>
    <w:rsid w:val="00683720"/>
    <w:rsid w:val="0068449F"/>
    <w:rsid w:val="00684EEF"/>
    <w:rsid w:val="006851DA"/>
    <w:rsid w:val="00691CB2"/>
    <w:rsid w:val="00691E56"/>
    <w:rsid w:val="00692074"/>
    <w:rsid w:val="00692306"/>
    <w:rsid w:val="006925E6"/>
    <w:rsid w:val="00692D01"/>
    <w:rsid w:val="00693556"/>
    <w:rsid w:val="00693C83"/>
    <w:rsid w:val="00694BE9"/>
    <w:rsid w:val="00694E07"/>
    <w:rsid w:val="006950AC"/>
    <w:rsid w:val="0069589B"/>
    <w:rsid w:val="00695900"/>
    <w:rsid w:val="00695F60"/>
    <w:rsid w:val="006968DA"/>
    <w:rsid w:val="00696B8E"/>
    <w:rsid w:val="00697C77"/>
    <w:rsid w:val="006A0C01"/>
    <w:rsid w:val="006A131B"/>
    <w:rsid w:val="006A2DC9"/>
    <w:rsid w:val="006A2FBB"/>
    <w:rsid w:val="006A3821"/>
    <w:rsid w:val="006A3D12"/>
    <w:rsid w:val="006A43BD"/>
    <w:rsid w:val="006A454D"/>
    <w:rsid w:val="006A523B"/>
    <w:rsid w:val="006A6345"/>
    <w:rsid w:val="006A6AB0"/>
    <w:rsid w:val="006A788E"/>
    <w:rsid w:val="006B0A7A"/>
    <w:rsid w:val="006B2D72"/>
    <w:rsid w:val="006B3029"/>
    <w:rsid w:val="006B333F"/>
    <w:rsid w:val="006B4967"/>
    <w:rsid w:val="006B4A4E"/>
    <w:rsid w:val="006B5061"/>
    <w:rsid w:val="006B6534"/>
    <w:rsid w:val="006B7EC2"/>
    <w:rsid w:val="006C012C"/>
    <w:rsid w:val="006C0B0D"/>
    <w:rsid w:val="006C1DBE"/>
    <w:rsid w:val="006C24D4"/>
    <w:rsid w:val="006C2FFA"/>
    <w:rsid w:val="006C4943"/>
    <w:rsid w:val="006C5324"/>
    <w:rsid w:val="006C6BE6"/>
    <w:rsid w:val="006C6D70"/>
    <w:rsid w:val="006D093C"/>
    <w:rsid w:val="006D09D7"/>
    <w:rsid w:val="006D2C9D"/>
    <w:rsid w:val="006D4497"/>
    <w:rsid w:val="006D4562"/>
    <w:rsid w:val="006D45A1"/>
    <w:rsid w:val="006D474B"/>
    <w:rsid w:val="006D626B"/>
    <w:rsid w:val="006D6EDA"/>
    <w:rsid w:val="006D768F"/>
    <w:rsid w:val="006D7DF7"/>
    <w:rsid w:val="006D7FC8"/>
    <w:rsid w:val="006E02CA"/>
    <w:rsid w:val="006E0A85"/>
    <w:rsid w:val="006E1262"/>
    <w:rsid w:val="006E2655"/>
    <w:rsid w:val="006E2C30"/>
    <w:rsid w:val="006E2CC4"/>
    <w:rsid w:val="006E597C"/>
    <w:rsid w:val="006F0158"/>
    <w:rsid w:val="006F14EF"/>
    <w:rsid w:val="006F1612"/>
    <w:rsid w:val="006F22AA"/>
    <w:rsid w:val="006F2308"/>
    <w:rsid w:val="006F5158"/>
    <w:rsid w:val="006F5370"/>
    <w:rsid w:val="006F5DC9"/>
    <w:rsid w:val="006F5EB1"/>
    <w:rsid w:val="006F6437"/>
    <w:rsid w:val="006F7620"/>
    <w:rsid w:val="006F7988"/>
    <w:rsid w:val="006F7D1D"/>
    <w:rsid w:val="007006F6"/>
    <w:rsid w:val="00701BAA"/>
    <w:rsid w:val="00703159"/>
    <w:rsid w:val="0070398E"/>
    <w:rsid w:val="00704160"/>
    <w:rsid w:val="0070626C"/>
    <w:rsid w:val="00706883"/>
    <w:rsid w:val="00706A3F"/>
    <w:rsid w:val="007101CD"/>
    <w:rsid w:val="007103DD"/>
    <w:rsid w:val="00712A58"/>
    <w:rsid w:val="00712B37"/>
    <w:rsid w:val="0071314C"/>
    <w:rsid w:val="00713B13"/>
    <w:rsid w:val="00713BB6"/>
    <w:rsid w:val="00713F5C"/>
    <w:rsid w:val="00714651"/>
    <w:rsid w:val="0071481D"/>
    <w:rsid w:val="00714CB5"/>
    <w:rsid w:val="00715175"/>
    <w:rsid w:val="00715DE3"/>
    <w:rsid w:val="00716EC8"/>
    <w:rsid w:val="00717CFF"/>
    <w:rsid w:val="00720528"/>
    <w:rsid w:val="0072097A"/>
    <w:rsid w:val="00720B4F"/>
    <w:rsid w:val="00721F4E"/>
    <w:rsid w:val="00722217"/>
    <w:rsid w:val="00722E1B"/>
    <w:rsid w:val="00722E9B"/>
    <w:rsid w:val="0072455D"/>
    <w:rsid w:val="007254DE"/>
    <w:rsid w:val="00726B32"/>
    <w:rsid w:val="00726E33"/>
    <w:rsid w:val="00727B74"/>
    <w:rsid w:val="00731BB1"/>
    <w:rsid w:val="00731F67"/>
    <w:rsid w:val="00732225"/>
    <w:rsid w:val="00733326"/>
    <w:rsid w:val="00733490"/>
    <w:rsid w:val="007340F7"/>
    <w:rsid w:val="00734326"/>
    <w:rsid w:val="00736FE6"/>
    <w:rsid w:val="00740E20"/>
    <w:rsid w:val="0074116D"/>
    <w:rsid w:val="007421CE"/>
    <w:rsid w:val="00742854"/>
    <w:rsid w:val="00742A0A"/>
    <w:rsid w:val="00743424"/>
    <w:rsid w:val="00743468"/>
    <w:rsid w:val="007437F1"/>
    <w:rsid w:val="00747BE0"/>
    <w:rsid w:val="00747F9E"/>
    <w:rsid w:val="007521A6"/>
    <w:rsid w:val="007522AF"/>
    <w:rsid w:val="007525BB"/>
    <w:rsid w:val="00752AF7"/>
    <w:rsid w:val="00753403"/>
    <w:rsid w:val="00753672"/>
    <w:rsid w:val="00753DB6"/>
    <w:rsid w:val="0075727D"/>
    <w:rsid w:val="007602E4"/>
    <w:rsid w:val="00760FE6"/>
    <w:rsid w:val="00761053"/>
    <w:rsid w:val="007622DF"/>
    <w:rsid w:val="00763081"/>
    <w:rsid w:val="007632DE"/>
    <w:rsid w:val="0076379F"/>
    <w:rsid w:val="007658E2"/>
    <w:rsid w:val="007659F7"/>
    <w:rsid w:val="007665E6"/>
    <w:rsid w:val="00766B94"/>
    <w:rsid w:val="007670F6"/>
    <w:rsid w:val="0076718E"/>
    <w:rsid w:val="007677B2"/>
    <w:rsid w:val="00767D68"/>
    <w:rsid w:val="00767FCB"/>
    <w:rsid w:val="0077070C"/>
    <w:rsid w:val="00770B62"/>
    <w:rsid w:val="007719B3"/>
    <w:rsid w:val="00771CF6"/>
    <w:rsid w:val="00773F69"/>
    <w:rsid w:val="007749C5"/>
    <w:rsid w:val="00776029"/>
    <w:rsid w:val="007773E5"/>
    <w:rsid w:val="0077759C"/>
    <w:rsid w:val="00777C8E"/>
    <w:rsid w:val="00777E0B"/>
    <w:rsid w:val="00780260"/>
    <w:rsid w:val="00780A6A"/>
    <w:rsid w:val="0078167E"/>
    <w:rsid w:val="0078176D"/>
    <w:rsid w:val="0078177E"/>
    <w:rsid w:val="0078210B"/>
    <w:rsid w:val="007852FB"/>
    <w:rsid w:val="007857BB"/>
    <w:rsid w:val="00790433"/>
    <w:rsid w:val="00790E8C"/>
    <w:rsid w:val="00790F06"/>
    <w:rsid w:val="00791146"/>
    <w:rsid w:val="00791B2B"/>
    <w:rsid w:val="00791D96"/>
    <w:rsid w:val="00792368"/>
    <w:rsid w:val="007931C7"/>
    <w:rsid w:val="007932DD"/>
    <w:rsid w:val="00793C11"/>
    <w:rsid w:val="00794114"/>
    <w:rsid w:val="00795222"/>
    <w:rsid w:val="0079528C"/>
    <w:rsid w:val="00795714"/>
    <w:rsid w:val="00795C7D"/>
    <w:rsid w:val="007970DE"/>
    <w:rsid w:val="007973B5"/>
    <w:rsid w:val="007978B4"/>
    <w:rsid w:val="007A0DDF"/>
    <w:rsid w:val="007A2065"/>
    <w:rsid w:val="007A3459"/>
    <w:rsid w:val="007A3E00"/>
    <w:rsid w:val="007A3EB4"/>
    <w:rsid w:val="007A4634"/>
    <w:rsid w:val="007A489D"/>
    <w:rsid w:val="007A4906"/>
    <w:rsid w:val="007A5BC3"/>
    <w:rsid w:val="007A5EB0"/>
    <w:rsid w:val="007A6065"/>
    <w:rsid w:val="007A6BF3"/>
    <w:rsid w:val="007B0A69"/>
    <w:rsid w:val="007B159C"/>
    <w:rsid w:val="007B1D56"/>
    <w:rsid w:val="007B316B"/>
    <w:rsid w:val="007B3361"/>
    <w:rsid w:val="007B3EE1"/>
    <w:rsid w:val="007B4A8B"/>
    <w:rsid w:val="007B63CA"/>
    <w:rsid w:val="007C0B99"/>
    <w:rsid w:val="007C0C94"/>
    <w:rsid w:val="007C10BB"/>
    <w:rsid w:val="007C177B"/>
    <w:rsid w:val="007C1CCD"/>
    <w:rsid w:val="007C1E57"/>
    <w:rsid w:val="007C23AD"/>
    <w:rsid w:val="007C2498"/>
    <w:rsid w:val="007C385D"/>
    <w:rsid w:val="007C3B11"/>
    <w:rsid w:val="007C3D04"/>
    <w:rsid w:val="007C4637"/>
    <w:rsid w:val="007C4FAC"/>
    <w:rsid w:val="007C5994"/>
    <w:rsid w:val="007C5AB1"/>
    <w:rsid w:val="007C6733"/>
    <w:rsid w:val="007C68E3"/>
    <w:rsid w:val="007C6A9F"/>
    <w:rsid w:val="007C7B0E"/>
    <w:rsid w:val="007D263B"/>
    <w:rsid w:val="007D2645"/>
    <w:rsid w:val="007D2E69"/>
    <w:rsid w:val="007D40CA"/>
    <w:rsid w:val="007D48C6"/>
    <w:rsid w:val="007D4FC8"/>
    <w:rsid w:val="007D53EF"/>
    <w:rsid w:val="007E0798"/>
    <w:rsid w:val="007E0EB6"/>
    <w:rsid w:val="007E1133"/>
    <w:rsid w:val="007E147A"/>
    <w:rsid w:val="007E1F3E"/>
    <w:rsid w:val="007E23CD"/>
    <w:rsid w:val="007E2529"/>
    <w:rsid w:val="007E27BA"/>
    <w:rsid w:val="007E2894"/>
    <w:rsid w:val="007E2BA7"/>
    <w:rsid w:val="007E30BE"/>
    <w:rsid w:val="007E4EAD"/>
    <w:rsid w:val="007E4FEC"/>
    <w:rsid w:val="007E7C1D"/>
    <w:rsid w:val="007F0362"/>
    <w:rsid w:val="007F0F83"/>
    <w:rsid w:val="007F1DE1"/>
    <w:rsid w:val="007F1F04"/>
    <w:rsid w:val="007F2422"/>
    <w:rsid w:val="007F2B80"/>
    <w:rsid w:val="007F33F1"/>
    <w:rsid w:val="007F34FF"/>
    <w:rsid w:val="007F3EE0"/>
    <w:rsid w:val="007F3F25"/>
    <w:rsid w:val="007F49F7"/>
    <w:rsid w:val="007F4A54"/>
    <w:rsid w:val="007F5E7C"/>
    <w:rsid w:val="007F7121"/>
    <w:rsid w:val="00800CBA"/>
    <w:rsid w:val="00801A7E"/>
    <w:rsid w:val="00801AC3"/>
    <w:rsid w:val="00802192"/>
    <w:rsid w:val="00802FF4"/>
    <w:rsid w:val="00803380"/>
    <w:rsid w:val="00803677"/>
    <w:rsid w:val="00803958"/>
    <w:rsid w:val="00805A03"/>
    <w:rsid w:val="00805D02"/>
    <w:rsid w:val="008065B9"/>
    <w:rsid w:val="00806FF2"/>
    <w:rsid w:val="0080738D"/>
    <w:rsid w:val="008073CC"/>
    <w:rsid w:val="00807CB7"/>
    <w:rsid w:val="00811EB8"/>
    <w:rsid w:val="008121CC"/>
    <w:rsid w:val="008126DC"/>
    <w:rsid w:val="0081277E"/>
    <w:rsid w:val="00812AA8"/>
    <w:rsid w:val="00812BD4"/>
    <w:rsid w:val="00812DE2"/>
    <w:rsid w:val="00813090"/>
    <w:rsid w:val="00813B97"/>
    <w:rsid w:val="00814705"/>
    <w:rsid w:val="00814968"/>
    <w:rsid w:val="00814E9E"/>
    <w:rsid w:val="0081639B"/>
    <w:rsid w:val="008164F4"/>
    <w:rsid w:val="008168C5"/>
    <w:rsid w:val="00816E21"/>
    <w:rsid w:val="008200F7"/>
    <w:rsid w:val="00820865"/>
    <w:rsid w:val="00821562"/>
    <w:rsid w:val="00821842"/>
    <w:rsid w:val="008222C4"/>
    <w:rsid w:val="00822E97"/>
    <w:rsid w:val="00823EB6"/>
    <w:rsid w:val="0082580E"/>
    <w:rsid w:val="00825CF6"/>
    <w:rsid w:val="008260DB"/>
    <w:rsid w:val="00826128"/>
    <w:rsid w:val="00827115"/>
    <w:rsid w:val="00827A70"/>
    <w:rsid w:val="00827AD7"/>
    <w:rsid w:val="00827CF4"/>
    <w:rsid w:val="008308AC"/>
    <w:rsid w:val="00830A0C"/>
    <w:rsid w:val="00830DCA"/>
    <w:rsid w:val="00831500"/>
    <w:rsid w:val="00831E7F"/>
    <w:rsid w:val="00832BCC"/>
    <w:rsid w:val="00832C57"/>
    <w:rsid w:val="0083480C"/>
    <w:rsid w:val="00835A43"/>
    <w:rsid w:val="00835F8A"/>
    <w:rsid w:val="00837802"/>
    <w:rsid w:val="00837DDD"/>
    <w:rsid w:val="0084027B"/>
    <w:rsid w:val="008405DF"/>
    <w:rsid w:val="008419C3"/>
    <w:rsid w:val="00843687"/>
    <w:rsid w:val="00843879"/>
    <w:rsid w:val="00843935"/>
    <w:rsid w:val="00843F47"/>
    <w:rsid w:val="00845D36"/>
    <w:rsid w:val="008467A3"/>
    <w:rsid w:val="0084717B"/>
    <w:rsid w:val="00850A58"/>
    <w:rsid w:val="0085100E"/>
    <w:rsid w:val="008518A5"/>
    <w:rsid w:val="00851DF6"/>
    <w:rsid w:val="00853027"/>
    <w:rsid w:val="00853084"/>
    <w:rsid w:val="008535AB"/>
    <w:rsid w:val="00853DF2"/>
    <w:rsid w:val="008540B9"/>
    <w:rsid w:val="00854558"/>
    <w:rsid w:val="00854938"/>
    <w:rsid w:val="008553C2"/>
    <w:rsid w:val="00856E5A"/>
    <w:rsid w:val="008572F6"/>
    <w:rsid w:val="00857425"/>
    <w:rsid w:val="00857602"/>
    <w:rsid w:val="008611FE"/>
    <w:rsid w:val="00861DE4"/>
    <w:rsid w:val="00862650"/>
    <w:rsid w:val="00862826"/>
    <w:rsid w:val="008628A9"/>
    <w:rsid w:val="0086337B"/>
    <w:rsid w:val="00863430"/>
    <w:rsid w:val="0086478D"/>
    <w:rsid w:val="00865246"/>
    <w:rsid w:val="00867E86"/>
    <w:rsid w:val="00870C55"/>
    <w:rsid w:val="00870F51"/>
    <w:rsid w:val="00871D58"/>
    <w:rsid w:val="00872E55"/>
    <w:rsid w:val="00873889"/>
    <w:rsid w:val="008748E5"/>
    <w:rsid w:val="0087538B"/>
    <w:rsid w:val="0087674E"/>
    <w:rsid w:val="00876D57"/>
    <w:rsid w:val="008773BC"/>
    <w:rsid w:val="008777B3"/>
    <w:rsid w:val="00877FC5"/>
    <w:rsid w:val="0088004A"/>
    <w:rsid w:val="0088067C"/>
    <w:rsid w:val="00880C79"/>
    <w:rsid w:val="00881219"/>
    <w:rsid w:val="0088164C"/>
    <w:rsid w:val="00881DE1"/>
    <w:rsid w:val="00882985"/>
    <w:rsid w:val="0088330D"/>
    <w:rsid w:val="00883B43"/>
    <w:rsid w:val="00883D9A"/>
    <w:rsid w:val="00885DF9"/>
    <w:rsid w:val="0088627F"/>
    <w:rsid w:val="00886BB3"/>
    <w:rsid w:val="00886C5F"/>
    <w:rsid w:val="008872E0"/>
    <w:rsid w:val="008872E6"/>
    <w:rsid w:val="0088750C"/>
    <w:rsid w:val="00887BC6"/>
    <w:rsid w:val="00892ACE"/>
    <w:rsid w:val="00893124"/>
    <w:rsid w:val="008931B5"/>
    <w:rsid w:val="00893C35"/>
    <w:rsid w:val="00893E57"/>
    <w:rsid w:val="00894350"/>
    <w:rsid w:val="00895ABA"/>
    <w:rsid w:val="00895D8C"/>
    <w:rsid w:val="00896331"/>
    <w:rsid w:val="00896992"/>
    <w:rsid w:val="00896994"/>
    <w:rsid w:val="00897565"/>
    <w:rsid w:val="00897FBE"/>
    <w:rsid w:val="008A063A"/>
    <w:rsid w:val="008A095F"/>
    <w:rsid w:val="008A119B"/>
    <w:rsid w:val="008A2795"/>
    <w:rsid w:val="008A2B0A"/>
    <w:rsid w:val="008A34B0"/>
    <w:rsid w:val="008A3B7C"/>
    <w:rsid w:val="008A3CA5"/>
    <w:rsid w:val="008A3D0F"/>
    <w:rsid w:val="008A4C96"/>
    <w:rsid w:val="008A6895"/>
    <w:rsid w:val="008A6D02"/>
    <w:rsid w:val="008B1A57"/>
    <w:rsid w:val="008B2D07"/>
    <w:rsid w:val="008B2FA2"/>
    <w:rsid w:val="008B406C"/>
    <w:rsid w:val="008B6BDC"/>
    <w:rsid w:val="008B79C1"/>
    <w:rsid w:val="008B7D15"/>
    <w:rsid w:val="008C0041"/>
    <w:rsid w:val="008C02E2"/>
    <w:rsid w:val="008C1FBA"/>
    <w:rsid w:val="008C2D2F"/>
    <w:rsid w:val="008C32BE"/>
    <w:rsid w:val="008C4119"/>
    <w:rsid w:val="008C47A7"/>
    <w:rsid w:val="008C48D8"/>
    <w:rsid w:val="008C5FEB"/>
    <w:rsid w:val="008C6973"/>
    <w:rsid w:val="008C6FAE"/>
    <w:rsid w:val="008C7674"/>
    <w:rsid w:val="008D0797"/>
    <w:rsid w:val="008D2B06"/>
    <w:rsid w:val="008D31E4"/>
    <w:rsid w:val="008D3719"/>
    <w:rsid w:val="008D37E4"/>
    <w:rsid w:val="008D406A"/>
    <w:rsid w:val="008D4684"/>
    <w:rsid w:val="008D6E09"/>
    <w:rsid w:val="008E07E4"/>
    <w:rsid w:val="008E0D09"/>
    <w:rsid w:val="008E0E85"/>
    <w:rsid w:val="008E18EC"/>
    <w:rsid w:val="008E1A98"/>
    <w:rsid w:val="008E23E0"/>
    <w:rsid w:val="008E2E1D"/>
    <w:rsid w:val="008E342E"/>
    <w:rsid w:val="008E3438"/>
    <w:rsid w:val="008E4368"/>
    <w:rsid w:val="008E47F1"/>
    <w:rsid w:val="008E4B3C"/>
    <w:rsid w:val="008E5017"/>
    <w:rsid w:val="008E5637"/>
    <w:rsid w:val="008E5A82"/>
    <w:rsid w:val="008E5BCB"/>
    <w:rsid w:val="008E6377"/>
    <w:rsid w:val="008E6BD8"/>
    <w:rsid w:val="008E786B"/>
    <w:rsid w:val="008F08F0"/>
    <w:rsid w:val="008F0C72"/>
    <w:rsid w:val="008F1B26"/>
    <w:rsid w:val="008F24EA"/>
    <w:rsid w:val="008F36A2"/>
    <w:rsid w:val="008F478D"/>
    <w:rsid w:val="008F484B"/>
    <w:rsid w:val="008F54D0"/>
    <w:rsid w:val="008F72D3"/>
    <w:rsid w:val="008F739C"/>
    <w:rsid w:val="008F7780"/>
    <w:rsid w:val="00900350"/>
    <w:rsid w:val="00900A53"/>
    <w:rsid w:val="00900C39"/>
    <w:rsid w:val="00900F4E"/>
    <w:rsid w:val="009013A5"/>
    <w:rsid w:val="00902428"/>
    <w:rsid w:val="0090385E"/>
    <w:rsid w:val="00903F3B"/>
    <w:rsid w:val="00904A8F"/>
    <w:rsid w:val="00904D7B"/>
    <w:rsid w:val="0090795B"/>
    <w:rsid w:val="00910753"/>
    <w:rsid w:val="00910A62"/>
    <w:rsid w:val="009111AB"/>
    <w:rsid w:val="00911201"/>
    <w:rsid w:val="00911E05"/>
    <w:rsid w:val="009128AC"/>
    <w:rsid w:val="0091342D"/>
    <w:rsid w:val="009134BB"/>
    <w:rsid w:val="00913CD7"/>
    <w:rsid w:val="00913FE4"/>
    <w:rsid w:val="00916417"/>
    <w:rsid w:val="009173F1"/>
    <w:rsid w:val="0091773C"/>
    <w:rsid w:val="00920148"/>
    <w:rsid w:val="00920B2B"/>
    <w:rsid w:val="009212E4"/>
    <w:rsid w:val="009217C7"/>
    <w:rsid w:val="00921BF5"/>
    <w:rsid w:val="009232A6"/>
    <w:rsid w:val="00924778"/>
    <w:rsid w:val="009248E6"/>
    <w:rsid w:val="00925B19"/>
    <w:rsid w:val="009263AF"/>
    <w:rsid w:val="00927111"/>
    <w:rsid w:val="009317C3"/>
    <w:rsid w:val="0093240D"/>
    <w:rsid w:val="009334A5"/>
    <w:rsid w:val="00933F75"/>
    <w:rsid w:val="0093463A"/>
    <w:rsid w:val="0093471D"/>
    <w:rsid w:val="0093566A"/>
    <w:rsid w:val="00936415"/>
    <w:rsid w:val="009367D2"/>
    <w:rsid w:val="00936BD0"/>
    <w:rsid w:val="00936EBB"/>
    <w:rsid w:val="00936FAB"/>
    <w:rsid w:val="00937B7B"/>
    <w:rsid w:val="00937BF1"/>
    <w:rsid w:val="009403FC"/>
    <w:rsid w:val="00940762"/>
    <w:rsid w:val="00940B22"/>
    <w:rsid w:val="00940BC4"/>
    <w:rsid w:val="009410FC"/>
    <w:rsid w:val="009412BF"/>
    <w:rsid w:val="00941FB0"/>
    <w:rsid w:val="0094234C"/>
    <w:rsid w:val="00942A72"/>
    <w:rsid w:val="00942C07"/>
    <w:rsid w:val="009434DE"/>
    <w:rsid w:val="00944388"/>
    <w:rsid w:val="00944C9E"/>
    <w:rsid w:val="00945B7D"/>
    <w:rsid w:val="00945B92"/>
    <w:rsid w:val="009461AA"/>
    <w:rsid w:val="00946C55"/>
    <w:rsid w:val="00947488"/>
    <w:rsid w:val="009475C6"/>
    <w:rsid w:val="00947C32"/>
    <w:rsid w:val="00947DE3"/>
    <w:rsid w:val="00950064"/>
    <w:rsid w:val="00950082"/>
    <w:rsid w:val="0095061F"/>
    <w:rsid w:val="00950BBB"/>
    <w:rsid w:val="00951081"/>
    <w:rsid w:val="0095116F"/>
    <w:rsid w:val="00951E3F"/>
    <w:rsid w:val="009539CD"/>
    <w:rsid w:val="00954498"/>
    <w:rsid w:val="00954731"/>
    <w:rsid w:val="00954AD7"/>
    <w:rsid w:val="009551AF"/>
    <w:rsid w:val="0095552D"/>
    <w:rsid w:val="00955AD4"/>
    <w:rsid w:val="00956DBC"/>
    <w:rsid w:val="009573FB"/>
    <w:rsid w:val="009601AC"/>
    <w:rsid w:val="009601BE"/>
    <w:rsid w:val="00960AB3"/>
    <w:rsid w:val="00962433"/>
    <w:rsid w:val="00964155"/>
    <w:rsid w:val="00965402"/>
    <w:rsid w:val="009657F0"/>
    <w:rsid w:val="009660F3"/>
    <w:rsid w:val="00966319"/>
    <w:rsid w:val="00966744"/>
    <w:rsid w:val="00966976"/>
    <w:rsid w:val="00967BC3"/>
    <w:rsid w:val="00970BD1"/>
    <w:rsid w:val="00970D1B"/>
    <w:rsid w:val="009723B6"/>
    <w:rsid w:val="00972491"/>
    <w:rsid w:val="0097260D"/>
    <w:rsid w:val="00973C65"/>
    <w:rsid w:val="00973EFC"/>
    <w:rsid w:val="0097463D"/>
    <w:rsid w:val="009748E3"/>
    <w:rsid w:val="009750FF"/>
    <w:rsid w:val="0097533B"/>
    <w:rsid w:val="00975AB9"/>
    <w:rsid w:val="00976A3E"/>
    <w:rsid w:val="0097733C"/>
    <w:rsid w:val="0098023A"/>
    <w:rsid w:val="009809B5"/>
    <w:rsid w:val="00980CBA"/>
    <w:rsid w:val="00981076"/>
    <w:rsid w:val="0098210A"/>
    <w:rsid w:val="0098288E"/>
    <w:rsid w:val="00983916"/>
    <w:rsid w:val="00983A21"/>
    <w:rsid w:val="00983BDE"/>
    <w:rsid w:val="00985029"/>
    <w:rsid w:val="009853B0"/>
    <w:rsid w:val="0098544F"/>
    <w:rsid w:val="00986D3A"/>
    <w:rsid w:val="00987E72"/>
    <w:rsid w:val="00987F4D"/>
    <w:rsid w:val="00987F53"/>
    <w:rsid w:val="00990AF2"/>
    <w:rsid w:val="00990FA5"/>
    <w:rsid w:val="00991FF1"/>
    <w:rsid w:val="00992D5B"/>
    <w:rsid w:val="0099311B"/>
    <w:rsid w:val="00993E3C"/>
    <w:rsid w:val="00994617"/>
    <w:rsid w:val="0099494B"/>
    <w:rsid w:val="00994997"/>
    <w:rsid w:val="00994E57"/>
    <w:rsid w:val="00996047"/>
    <w:rsid w:val="00996052"/>
    <w:rsid w:val="00996C35"/>
    <w:rsid w:val="009A09DB"/>
    <w:rsid w:val="009A0EF2"/>
    <w:rsid w:val="009A1460"/>
    <w:rsid w:val="009A36AB"/>
    <w:rsid w:val="009A38F3"/>
    <w:rsid w:val="009A3AD4"/>
    <w:rsid w:val="009A50BA"/>
    <w:rsid w:val="009A5518"/>
    <w:rsid w:val="009A5894"/>
    <w:rsid w:val="009A5CCE"/>
    <w:rsid w:val="009A6510"/>
    <w:rsid w:val="009A72B6"/>
    <w:rsid w:val="009A7A78"/>
    <w:rsid w:val="009B002A"/>
    <w:rsid w:val="009B04A2"/>
    <w:rsid w:val="009B0E5E"/>
    <w:rsid w:val="009B2B74"/>
    <w:rsid w:val="009B30BF"/>
    <w:rsid w:val="009B3C0A"/>
    <w:rsid w:val="009B3D91"/>
    <w:rsid w:val="009B3F0F"/>
    <w:rsid w:val="009B43A5"/>
    <w:rsid w:val="009B4DB1"/>
    <w:rsid w:val="009B56DF"/>
    <w:rsid w:val="009B57B3"/>
    <w:rsid w:val="009B590C"/>
    <w:rsid w:val="009B6BA8"/>
    <w:rsid w:val="009B6F56"/>
    <w:rsid w:val="009B7707"/>
    <w:rsid w:val="009B78FC"/>
    <w:rsid w:val="009C0026"/>
    <w:rsid w:val="009C00F2"/>
    <w:rsid w:val="009C0442"/>
    <w:rsid w:val="009C223A"/>
    <w:rsid w:val="009C2DBB"/>
    <w:rsid w:val="009C35D6"/>
    <w:rsid w:val="009C3FED"/>
    <w:rsid w:val="009C5259"/>
    <w:rsid w:val="009C5B04"/>
    <w:rsid w:val="009C5D91"/>
    <w:rsid w:val="009C606C"/>
    <w:rsid w:val="009C638D"/>
    <w:rsid w:val="009C6508"/>
    <w:rsid w:val="009C6601"/>
    <w:rsid w:val="009C67D9"/>
    <w:rsid w:val="009C698A"/>
    <w:rsid w:val="009C69E6"/>
    <w:rsid w:val="009C6B6F"/>
    <w:rsid w:val="009C6E83"/>
    <w:rsid w:val="009C7014"/>
    <w:rsid w:val="009C7755"/>
    <w:rsid w:val="009C791A"/>
    <w:rsid w:val="009D04D1"/>
    <w:rsid w:val="009D10EB"/>
    <w:rsid w:val="009D2250"/>
    <w:rsid w:val="009D22B7"/>
    <w:rsid w:val="009D2E5B"/>
    <w:rsid w:val="009D3A84"/>
    <w:rsid w:val="009D4103"/>
    <w:rsid w:val="009D4DD7"/>
    <w:rsid w:val="009D523E"/>
    <w:rsid w:val="009D53D4"/>
    <w:rsid w:val="009D54B9"/>
    <w:rsid w:val="009D5598"/>
    <w:rsid w:val="009D62DD"/>
    <w:rsid w:val="009D6806"/>
    <w:rsid w:val="009D75D2"/>
    <w:rsid w:val="009D7721"/>
    <w:rsid w:val="009E0BE3"/>
    <w:rsid w:val="009E1545"/>
    <w:rsid w:val="009E1AEF"/>
    <w:rsid w:val="009E1B20"/>
    <w:rsid w:val="009E201E"/>
    <w:rsid w:val="009E2A9A"/>
    <w:rsid w:val="009E2CD9"/>
    <w:rsid w:val="009E3CE3"/>
    <w:rsid w:val="009E40E8"/>
    <w:rsid w:val="009E4573"/>
    <w:rsid w:val="009E49A3"/>
    <w:rsid w:val="009E5267"/>
    <w:rsid w:val="009E5781"/>
    <w:rsid w:val="009E5C77"/>
    <w:rsid w:val="009E5D97"/>
    <w:rsid w:val="009E6153"/>
    <w:rsid w:val="009E67B5"/>
    <w:rsid w:val="009E6BEB"/>
    <w:rsid w:val="009E767F"/>
    <w:rsid w:val="009F0F77"/>
    <w:rsid w:val="009F1096"/>
    <w:rsid w:val="009F1765"/>
    <w:rsid w:val="009F193B"/>
    <w:rsid w:val="009F4C65"/>
    <w:rsid w:val="009F4DD8"/>
    <w:rsid w:val="00A001E4"/>
    <w:rsid w:val="00A00952"/>
    <w:rsid w:val="00A00BE2"/>
    <w:rsid w:val="00A01775"/>
    <w:rsid w:val="00A017B9"/>
    <w:rsid w:val="00A019D3"/>
    <w:rsid w:val="00A0239D"/>
    <w:rsid w:val="00A03355"/>
    <w:rsid w:val="00A03C27"/>
    <w:rsid w:val="00A04AA0"/>
    <w:rsid w:val="00A05410"/>
    <w:rsid w:val="00A05513"/>
    <w:rsid w:val="00A05A1B"/>
    <w:rsid w:val="00A0668D"/>
    <w:rsid w:val="00A066FD"/>
    <w:rsid w:val="00A069F9"/>
    <w:rsid w:val="00A07E48"/>
    <w:rsid w:val="00A12807"/>
    <w:rsid w:val="00A129D0"/>
    <w:rsid w:val="00A13280"/>
    <w:rsid w:val="00A148B9"/>
    <w:rsid w:val="00A151C7"/>
    <w:rsid w:val="00A16CD2"/>
    <w:rsid w:val="00A17769"/>
    <w:rsid w:val="00A2059C"/>
    <w:rsid w:val="00A2155D"/>
    <w:rsid w:val="00A2167F"/>
    <w:rsid w:val="00A21801"/>
    <w:rsid w:val="00A23F71"/>
    <w:rsid w:val="00A244C6"/>
    <w:rsid w:val="00A254B3"/>
    <w:rsid w:val="00A25CD1"/>
    <w:rsid w:val="00A25DFD"/>
    <w:rsid w:val="00A270A6"/>
    <w:rsid w:val="00A273C6"/>
    <w:rsid w:val="00A30965"/>
    <w:rsid w:val="00A30DEA"/>
    <w:rsid w:val="00A32808"/>
    <w:rsid w:val="00A33815"/>
    <w:rsid w:val="00A33FF6"/>
    <w:rsid w:val="00A350E1"/>
    <w:rsid w:val="00A368D3"/>
    <w:rsid w:val="00A36A3F"/>
    <w:rsid w:val="00A36B94"/>
    <w:rsid w:val="00A36C8F"/>
    <w:rsid w:val="00A37AC1"/>
    <w:rsid w:val="00A40999"/>
    <w:rsid w:val="00A414DE"/>
    <w:rsid w:val="00A41686"/>
    <w:rsid w:val="00A4473E"/>
    <w:rsid w:val="00A459A3"/>
    <w:rsid w:val="00A46DA6"/>
    <w:rsid w:val="00A50E58"/>
    <w:rsid w:val="00A5141C"/>
    <w:rsid w:val="00A51450"/>
    <w:rsid w:val="00A51E26"/>
    <w:rsid w:val="00A52AEF"/>
    <w:rsid w:val="00A52EE3"/>
    <w:rsid w:val="00A54CB0"/>
    <w:rsid w:val="00A55F8C"/>
    <w:rsid w:val="00A5676E"/>
    <w:rsid w:val="00A56A9B"/>
    <w:rsid w:val="00A57171"/>
    <w:rsid w:val="00A57416"/>
    <w:rsid w:val="00A5754F"/>
    <w:rsid w:val="00A57F71"/>
    <w:rsid w:val="00A6354E"/>
    <w:rsid w:val="00A66BD4"/>
    <w:rsid w:val="00A66EF5"/>
    <w:rsid w:val="00A677D5"/>
    <w:rsid w:val="00A67C84"/>
    <w:rsid w:val="00A67D90"/>
    <w:rsid w:val="00A707B7"/>
    <w:rsid w:val="00A707D6"/>
    <w:rsid w:val="00A7082C"/>
    <w:rsid w:val="00A70947"/>
    <w:rsid w:val="00A70F2A"/>
    <w:rsid w:val="00A72227"/>
    <w:rsid w:val="00A725A6"/>
    <w:rsid w:val="00A72866"/>
    <w:rsid w:val="00A72EEB"/>
    <w:rsid w:val="00A7364F"/>
    <w:rsid w:val="00A73DE4"/>
    <w:rsid w:val="00A75577"/>
    <w:rsid w:val="00A75CBF"/>
    <w:rsid w:val="00A75FD6"/>
    <w:rsid w:val="00A7780D"/>
    <w:rsid w:val="00A84102"/>
    <w:rsid w:val="00A84251"/>
    <w:rsid w:val="00A84379"/>
    <w:rsid w:val="00A846CA"/>
    <w:rsid w:val="00A84CE2"/>
    <w:rsid w:val="00A857BF"/>
    <w:rsid w:val="00A8632A"/>
    <w:rsid w:val="00A86354"/>
    <w:rsid w:val="00A87669"/>
    <w:rsid w:val="00A87976"/>
    <w:rsid w:val="00A902D6"/>
    <w:rsid w:val="00A90B6E"/>
    <w:rsid w:val="00A914FE"/>
    <w:rsid w:val="00A91CBE"/>
    <w:rsid w:val="00A91ED5"/>
    <w:rsid w:val="00A9284D"/>
    <w:rsid w:val="00A92909"/>
    <w:rsid w:val="00A939AB"/>
    <w:rsid w:val="00A939E9"/>
    <w:rsid w:val="00A93AB6"/>
    <w:rsid w:val="00A93C06"/>
    <w:rsid w:val="00A93E92"/>
    <w:rsid w:val="00A941FC"/>
    <w:rsid w:val="00A9496B"/>
    <w:rsid w:val="00A96610"/>
    <w:rsid w:val="00A96961"/>
    <w:rsid w:val="00A96F65"/>
    <w:rsid w:val="00A97487"/>
    <w:rsid w:val="00A9748A"/>
    <w:rsid w:val="00AA01D9"/>
    <w:rsid w:val="00AA3273"/>
    <w:rsid w:val="00AA3982"/>
    <w:rsid w:val="00AA4303"/>
    <w:rsid w:val="00AA4551"/>
    <w:rsid w:val="00AA4BB6"/>
    <w:rsid w:val="00AA7505"/>
    <w:rsid w:val="00AA77D5"/>
    <w:rsid w:val="00AA7B29"/>
    <w:rsid w:val="00AB14E1"/>
    <w:rsid w:val="00AB1BB7"/>
    <w:rsid w:val="00AB1E4C"/>
    <w:rsid w:val="00AB1F31"/>
    <w:rsid w:val="00AB32C8"/>
    <w:rsid w:val="00AB4520"/>
    <w:rsid w:val="00AB5E0F"/>
    <w:rsid w:val="00AB5F75"/>
    <w:rsid w:val="00AB63D5"/>
    <w:rsid w:val="00AB7523"/>
    <w:rsid w:val="00AB7D63"/>
    <w:rsid w:val="00AC0212"/>
    <w:rsid w:val="00AC3197"/>
    <w:rsid w:val="00AC341C"/>
    <w:rsid w:val="00AC3622"/>
    <w:rsid w:val="00AC38BC"/>
    <w:rsid w:val="00AC415C"/>
    <w:rsid w:val="00AC47F2"/>
    <w:rsid w:val="00AC53F8"/>
    <w:rsid w:val="00AC6F93"/>
    <w:rsid w:val="00AC73B0"/>
    <w:rsid w:val="00AC77B4"/>
    <w:rsid w:val="00AC78C8"/>
    <w:rsid w:val="00AC7EF9"/>
    <w:rsid w:val="00AD0C1C"/>
    <w:rsid w:val="00AD0F9A"/>
    <w:rsid w:val="00AD1F29"/>
    <w:rsid w:val="00AD2074"/>
    <w:rsid w:val="00AD2CF0"/>
    <w:rsid w:val="00AD30B5"/>
    <w:rsid w:val="00AD39BF"/>
    <w:rsid w:val="00AD4D97"/>
    <w:rsid w:val="00AD4DF7"/>
    <w:rsid w:val="00AD5504"/>
    <w:rsid w:val="00AD5853"/>
    <w:rsid w:val="00AD5AB8"/>
    <w:rsid w:val="00AD5C24"/>
    <w:rsid w:val="00AD6068"/>
    <w:rsid w:val="00AD60D6"/>
    <w:rsid w:val="00AD67F7"/>
    <w:rsid w:val="00AD6E31"/>
    <w:rsid w:val="00AD6E75"/>
    <w:rsid w:val="00AD732D"/>
    <w:rsid w:val="00AD79E2"/>
    <w:rsid w:val="00AE0DBB"/>
    <w:rsid w:val="00AE168E"/>
    <w:rsid w:val="00AE21C9"/>
    <w:rsid w:val="00AE305D"/>
    <w:rsid w:val="00AE3BFC"/>
    <w:rsid w:val="00AE59B4"/>
    <w:rsid w:val="00AE62B0"/>
    <w:rsid w:val="00AE7ECD"/>
    <w:rsid w:val="00AF1198"/>
    <w:rsid w:val="00AF1BA3"/>
    <w:rsid w:val="00AF1C4A"/>
    <w:rsid w:val="00AF1F5E"/>
    <w:rsid w:val="00AF201D"/>
    <w:rsid w:val="00AF2716"/>
    <w:rsid w:val="00AF2915"/>
    <w:rsid w:val="00AF3967"/>
    <w:rsid w:val="00AF5ACF"/>
    <w:rsid w:val="00AF5ECC"/>
    <w:rsid w:val="00AF6373"/>
    <w:rsid w:val="00AF65A1"/>
    <w:rsid w:val="00AF72AE"/>
    <w:rsid w:val="00AF732A"/>
    <w:rsid w:val="00B0015D"/>
    <w:rsid w:val="00B002DF"/>
    <w:rsid w:val="00B011BC"/>
    <w:rsid w:val="00B01642"/>
    <w:rsid w:val="00B02124"/>
    <w:rsid w:val="00B04B4F"/>
    <w:rsid w:val="00B05199"/>
    <w:rsid w:val="00B063E0"/>
    <w:rsid w:val="00B07721"/>
    <w:rsid w:val="00B07A21"/>
    <w:rsid w:val="00B10201"/>
    <w:rsid w:val="00B1056D"/>
    <w:rsid w:val="00B10E55"/>
    <w:rsid w:val="00B11363"/>
    <w:rsid w:val="00B12616"/>
    <w:rsid w:val="00B127F8"/>
    <w:rsid w:val="00B12BE0"/>
    <w:rsid w:val="00B13766"/>
    <w:rsid w:val="00B1423B"/>
    <w:rsid w:val="00B14357"/>
    <w:rsid w:val="00B14684"/>
    <w:rsid w:val="00B15B9B"/>
    <w:rsid w:val="00B15F32"/>
    <w:rsid w:val="00B168BC"/>
    <w:rsid w:val="00B173F5"/>
    <w:rsid w:val="00B2098F"/>
    <w:rsid w:val="00B20F5A"/>
    <w:rsid w:val="00B21F87"/>
    <w:rsid w:val="00B22C6C"/>
    <w:rsid w:val="00B22D78"/>
    <w:rsid w:val="00B235BC"/>
    <w:rsid w:val="00B23821"/>
    <w:rsid w:val="00B2459A"/>
    <w:rsid w:val="00B24A03"/>
    <w:rsid w:val="00B255B4"/>
    <w:rsid w:val="00B25751"/>
    <w:rsid w:val="00B27581"/>
    <w:rsid w:val="00B30005"/>
    <w:rsid w:val="00B30997"/>
    <w:rsid w:val="00B31208"/>
    <w:rsid w:val="00B31861"/>
    <w:rsid w:val="00B31B0D"/>
    <w:rsid w:val="00B32D1E"/>
    <w:rsid w:val="00B33DAF"/>
    <w:rsid w:val="00B34201"/>
    <w:rsid w:val="00B34F5F"/>
    <w:rsid w:val="00B35163"/>
    <w:rsid w:val="00B35783"/>
    <w:rsid w:val="00B3599B"/>
    <w:rsid w:val="00B36138"/>
    <w:rsid w:val="00B3714B"/>
    <w:rsid w:val="00B3731A"/>
    <w:rsid w:val="00B406A2"/>
    <w:rsid w:val="00B41464"/>
    <w:rsid w:val="00B4466F"/>
    <w:rsid w:val="00B450E8"/>
    <w:rsid w:val="00B45BFA"/>
    <w:rsid w:val="00B466CB"/>
    <w:rsid w:val="00B47237"/>
    <w:rsid w:val="00B502B5"/>
    <w:rsid w:val="00B50422"/>
    <w:rsid w:val="00B50584"/>
    <w:rsid w:val="00B511FA"/>
    <w:rsid w:val="00B51B7A"/>
    <w:rsid w:val="00B51D1C"/>
    <w:rsid w:val="00B52291"/>
    <w:rsid w:val="00B5231A"/>
    <w:rsid w:val="00B5269A"/>
    <w:rsid w:val="00B52869"/>
    <w:rsid w:val="00B5294A"/>
    <w:rsid w:val="00B5295C"/>
    <w:rsid w:val="00B534B3"/>
    <w:rsid w:val="00B54CCD"/>
    <w:rsid w:val="00B57AF9"/>
    <w:rsid w:val="00B57CC0"/>
    <w:rsid w:val="00B602E0"/>
    <w:rsid w:val="00B61026"/>
    <w:rsid w:val="00B61C7F"/>
    <w:rsid w:val="00B61E25"/>
    <w:rsid w:val="00B630CA"/>
    <w:rsid w:val="00B64BDC"/>
    <w:rsid w:val="00B65CDF"/>
    <w:rsid w:val="00B65CEF"/>
    <w:rsid w:val="00B66296"/>
    <w:rsid w:val="00B678BD"/>
    <w:rsid w:val="00B67EE6"/>
    <w:rsid w:val="00B71017"/>
    <w:rsid w:val="00B72581"/>
    <w:rsid w:val="00B725C1"/>
    <w:rsid w:val="00B726BA"/>
    <w:rsid w:val="00B73797"/>
    <w:rsid w:val="00B73C07"/>
    <w:rsid w:val="00B7525F"/>
    <w:rsid w:val="00B7560F"/>
    <w:rsid w:val="00B76FAA"/>
    <w:rsid w:val="00B77378"/>
    <w:rsid w:val="00B77CFE"/>
    <w:rsid w:val="00B77E22"/>
    <w:rsid w:val="00B81C24"/>
    <w:rsid w:val="00B825D2"/>
    <w:rsid w:val="00B826CD"/>
    <w:rsid w:val="00B8342D"/>
    <w:rsid w:val="00B83644"/>
    <w:rsid w:val="00B8364A"/>
    <w:rsid w:val="00B8544B"/>
    <w:rsid w:val="00B85B80"/>
    <w:rsid w:val="00B86439"/>
    <w:rsid w:val="00B867A6"/>
    <w:rsid w:val="00B87333"/>
    <w:rsid w:val="00B87976"/>
    <w:rsid w:val="00B90124"/>
    <w:rsid w:val="00B901A7"/>
    <w:rsid w:val="00B90598"/>
    <w:rsid w:val="00B90759"/>
    <w:rsid w:val="00B913AC"/>
    <w:rsid w:val="00B91522"/>
    <w:rsid w:val="00B91926"/>
    <w:rsid w:val="00B91C1C"/>
    <w:rsid w:val="00B939FA"/>
    <w:rsid w:val="00B93A16"/>
    <w:rsid w:val="00B94861"/>
    <w:rsid w:val="00B9492A"/>
    <w:rsid w:val="00B9513F"/>
    <w:rsid w:val="00B95E17"/>
    <w:rsid w:val="00B964C6"/>
    <w:rsid w:val="00B9741B"/>
    <w:rsid w:val="00BA0CA9"/>
    <w:rsid w:val="00BA2827"/>
    <w:rsid w:val="00BA3BE2"/>
    <w:rsid w:val="00BA3DD4"/>
    <w:rsid w:val="00BA47B0"/>
    <w:rsid w:val="00BA5294"/>
    <w:rsid w:val="00BA63C9"/>
    <w:rsid w:val="00BA6719"/>
    <w:rsid w:val="00BA6D22"/>
    <w:rsid w:val="00BA7EE4"/>
    <w:rsid w:val="00BB0B1A"/>
    <w:rsid w:val="00BB2639"/>
    <w:rsid w:val="00BB4677"/>
    <w:rsid w:val="00BB51B5"/>
    <w:rsid w:val="00BB5D98"/>
    <w:rsid w:val="00BB5FF9"/>
    <w:rsid w:val="00BB6471"/>
    <w:rsid w:val="00BB6B15"/>
    <w:rsid w:val="00BB6E8C"/>
    <w:rsid w:val="00BB70F1"/>
    <w:rsid w:val="00BB73A7"/>
    <w:rsid w:val="00BB7817"/>
    <w:rsid w:val="00BC054C"/>
    <w:rsid w:val="00BC17CC"/>
    <w:rsid w:val="00BC2460"/>
    <w:rsid w:val="00BC3251"/>
    <w:rsid w:val="00BC4B65"/>
    <w:rsid w:val="00BC5B3F"/>
    <w:rsid w:val="00BC5E3F"/>
    <w:rsid w:val="00BC6A55"/>
    <w:rsid w:val="00BC7650"/>
    <w:rsid w:val="00BC7A57"/>
    <w:rsid w:val="00BD0596"/>
    <w:rsid w:val="00BD0F4D"/>
    <w:rsid w:val="00BD1959"/>
    <w:rsid w:val="00BD238B"/>
    <w:rsid w:val="00BD2F62"/>
    <w:rsid w:val="00BD39B5"/>
    <w:rsid w:val="00BD5054"/>
    <w:rsid w:val="00BD525D"/>
    <w:rsid w:val="00BD5CD4"/>
    <w:rsid w:val="00BD6570"/>
    <w:rsid w:val="00BD68C4"/>
    <w:rsid w:val="00BE001E"/>
    <w:rsid w:val="00BE1ED5"/>
    <w:rsid w:val="00BE2692"/>
    <w:rsid w:val="00BE2C32"/>
    <w:rsid w:val="00BE2F10"/>
    <w:rsid w:val="00BE3BC1"/>
    <w:rsid w:val="00BE48B3"/>
    <w:rsid w:val="00BE515C"/>
    <w:rsid w:val="00BE68B5"/>
    <w:rsid w:val="00BE6E18"/>
    <w:rsid w:val="00BF12F2"/>
    <w:rsid w:val="00BF23C8"/>
    <w:rsid w:val="00BF27BD"/>
    <w:rsid w:val="00BF2918"/>
    <w:rsid w:val="00BF49FF"/>
    <w:rsid w:val="00BF5308"/>
    <w:rsid w:val="00BF6B9B"/>
    <w:rsid w:val="00BF7821"/>
    <w:rsid w:val="00BF79E2"/>
    <w:rsid w:val="00BF7D41"/>
    <w:rsid w:val="00C003AE"/>
    <w:rsid w:val="00C00571"/>
    <w:rsid w:val="00C023D3"/>
    <w:rsid w:val="00C0424A"/>
    <w:rsid w:val="00C04300"/>
    <w:rsid w:val="00C04914"/>
    <w:rsid w:val="00C05E1F"/>
    <w:rsid w:val="00C06629"/>
    <w:rsid w:val="00C06C19"/>
    <w:rsid w:val="00C06C6D"/>
    <w:rsid w:val="00C0764C"/>
    <w:rsid w:val="00C07913"/>
    <w:rsid w:val="00C07B4C"/>
    <w:rsid w:val="00C07E02"/>
    <w:rsid w:val="00C104E6"/>
    <w:rsid w:val="00C10D93"/>
    <w:rsid w:val="00C10DA8"/>
    <w:rsid w:val="00C1238B"/>
    <w:rsid w:val="00C12DB0"/>
    <w:rsid w:val="00C12FF4"/>
    <w:rsid w:val="00C13D9A"/>
    <w:rsid w:val="00C13F30"/>
    <w:rsid w:val="00C14D1F"/>
    <w:rsid w:val="00C1682F"/>
    <w:rsid w:val="00C16BB5"/>
    <w:rsid w:val="00C16CF7"/>
    <w:rsid w:val="00C207D6"/>
    <w:rsid w:val="00C219EE"/>
    <w:rsid w:val="00C21EE9"/>
    <w:rsid w:val="00C223D1"/>
    <w:rsid w:val="00C2296A"/>
    <w:rsid w:val="00C22B73"/>
    <w:rsid w:val="00C23AB1"/>
    <w:rsid w:val="00C24CC6"/>
    <w:rsid w:val="00C24E50"/>
    <w:rsid w:val="00C25240"/>
    <w:rsid w:val="00C253FC"/>
    <w:rsid w:val="00C25901"/>
    <w:rsid w:val="00C25F9F"/>
    <w:rsid w:val="00C26540"/>
    <w:rsid w:val="00C27AEA"/>
    <w:rsid w:val="00C3065A"/>
    <w:rsid w:val="00C30A4E"/>
    <w:rsid w:val="00C30D45"/>
    <w:rsid w:val="00C30FEE"/>
    <w:rsid w:val="00C315E0"/>
    <w:rsid w:val="00C31E9A"/>
    <w:rsid w:val="00C3210E"/>
    <w:rsid w:val="00C33045"/>
    <w:rsid w:val="00C337C0"/>
    <w:rsid w:val="00C339C3"/>
    <w:rsid w:val="00C33ADB"/>
    <w:rsid w:val="00C35E8A"/>
    <w:rsid w:val="00C36364"/>
    <w:rsid w:val="00C364FD"/>
    <w:rsid w:val="00C365E1"/>
    <w:rsid w:val="00C36A5D"/>
    <w:rsid w:val="00C36AB4"/>
    <w:rsid w:val="00C373E5"/>
    <w:rsid w:val="00C37451"/>
    <w:rsid w:val="00C37977"/>
    <w:rsid w:val="00C40C1B"/>
    <w:rsid w:val="00C42599"/>
    <w:rsid w:val="00C425AA"/>
    <w:rsid w:val="00C43416"/>
    <w:rsid w:val="00C437B9"/>
    <w:rsid w:val="00C452BB"/>
    <w:rsid w:val="00C45400"/>
    <w:rsid w:val="00C45CDA"/>
    <w:rsid w:val="00C45FA8"/>
    <w:rsid w:val="00C502DF"/>
    <w:rsid w:val="00C50857"/>
    <w:rsid w:val="00C5278E"/>
    <w:rsid w:val="00C52BA6"/>
    <w:rsid w:val="00C54309"/>
    <w:rsid w:val="00C54E78"/>
    <w:rsid w:val="00C54E8F"/>
    <w:rsid w:val="00C550D8"/>
    <w:rsid w:val="00C55272"/>
    <w:rsid w:val="00C55F71"/>
    <w:rsid w:val="00C56644"/>
    <w:rsid w:val="00C56CB7"/>
    <w:rsid w:val="00C5711B"/>
    <w:rsid w:val="00C5773B"/>
    <w:rsid w:val="00C60C8B"/>
    <w:rsid w:val="00C60CB9"/>
    <w:rsid w:val="00C617E5"/>
    <w:rsid w:val="00C63B25"/>
    <w:rsid w:val="00C659FE"/>
    <w:rsid w:val="00C65B26"/>
    <w:rsid w:val="00C6644E"/>
    <w:rsid w:val="00C7177D"/>
    <w:rsid w:val="00C71941"/>
    <w:rsid w:val="00C71A5D"/>
    <w:rsid w:val="00C7335B"/>
    <w:rsid w:val="00C7515F"/>
    <w:rsid w:val="00C759EA"/>
    <w:rsid w:val="00C762B2"/>
    <w:rsid w:val="00C763BF"/>
    <w:rsid w:val="00C77194"/>
    <w:rsid w:val="00C77B17"/>
    <w:rsid w:val="00C80408"/>
    <w:rsid w:val="00C81195"/>
    <w:rsid w:val="00C82F09"/>
    <w:rsid w:val="00C842EE"/>
    <w:rsid w:val="00C85A61"/>
    <w:rsid w:val="00C85D19"/>
    <w:rsid w:val="00C86E27"/>
    <w:rsid w:val="00C86F49"/>
    <w:rsid w:val="00C86FB8"/>
    <w:rsid w:val="00C87B42"/>
    <w:rsid w:val="00C87DBD"/>
    <w:rsid w:val="00C917FE"/>
    <w:rsid w:val="00C920FF"/>
    <w:rsid w:val="00C92E17"/>
    <w:rsid w:val="00C92E39"/>
    <w:rsid w:val="00C940CF"/>
    <w:rsid w:val="00C94D0F"/>
    <w:rsid w:val="00C952EB"/>
    <w:rsid w:val="00C9551B"/>
    <w:rsid w:val="00C96A81"/>
    <w:rsid w:val="00C97806"/>
    <w:rsid w:val="00C97ACA"/>
    <w:rsid w:val="00C97BEB"/>
    <w:rsid w:val="00C97C1F"/>
    <w:rsid w:val="00CA0269"/>
    <w:rsid w:val="00CA1737"/>
    <w:rsid w:val="00CA3FA5"/>
    <w:rsid w:val="00CA4C6D"/>
    <w:rsid w:val="00CA54F1"/>
    <w:rsid w:val="00CA57C3"/>
    <w:rsid w:val="00CA6718"/>
    <w:rsid w:val="00CA69DE"/>
    <w:rsid w:val="00CA6D17"/>
    <w:rsid w:val="00CA7256"/>
    <w:rsid w:val="00CA79E5"/>
    <w:rsid w:val="00CA7EEF"/>
    <w:rsid w:val="00CB050E"/>
    <w:rsid w:val="00CB154F"/>
    <w:rsid w:val="00CB218F"/>
    <w:rsid w:val="00CB2ABD"/>
    <w:rsid w:val="00CB2B89"/>
    <w:rsid w:val="00CB3277"/>
    <w:rsid w:val="00CB34DD"/>
    <w:rsid w:val="00CB35D2"/>
    <w:rsid w:val="00CB3CC8"/>
    <w:rsid w:val="00CB444D"/>
    <w:rsid w:val="00CB497D"/>
    <w:rsid w:val="00CB5517"/>
    <w:rsid w:val="00CB5B23"/>
    <w:rsid w:val="00CB5B7B"/>
    <w:rsid w:val="00CB5E4F"/>
    <w:rsid w:val="00CB6CE3"/>
    <w:rsid w:val="00CB7061"/>
    <w:rsid w:val="00CC1024"/>
    <w:rsid w:val="00CC1E67"/>
    <w:rsid w:val="00CC2021"/>
    <w:rsid w:val="00CC26B8"/>
    <w:rsid w:val="00CC3F4A"/>
    <w:rsid w:val="00CC48D7"/>
    <w:rsid w:val="00CC55A1"/>
    <w:rsid w:val="00CC62CC"/>
    <w:rsid w:val="00CC6B6A"/>
    <w:rsid w:val="00CC7098"/>
    <w:rsid w:val="00CC7B85"/>
    <w:rsid w:val="00CC7CA0"/>
    <w:rsid w:val="00CD0DA0"/>
    <w:rsid w:val="00CD1211"/>
    <w:rsid w:val="00CD185C"/>
    <w:rsid w:val="00CD1AA7"/>
    <w:rsid w:val="00CD3633"/>
    <w:rsid w:val="00CD4A04"/>
    <w:rsid w:val="00CD4DE4"/>
    <w:rsid w:val="00CD510D"/>
    <w:rsid w:val="00CD59D4"/>
    <w:rsid w:val="00CD5BC6"/>
    <w:rsid w:val="00CD6191"/>
    <w:rsid w:val="00CD6368"/>
    <w:rsid w:val="00CD70FC"/>
    <w:rsid w:val="00CE0929"/>
    <w:rsid w:val="00CE1A21"/>
    <w:rsid w:val="00CE2580"/>
    <w:rsid w:val="00CE29FA"/>
    <w:rsid w:val="00CE35B1"/>
    <w:rsid w:val="00CE3D4E"/>
    <w:rsid w:val="00CE4554"/>
    <w:rsid w:val="00CE45A2"/>
    <w:rsid w:val="00CE629D"/>
    <w:rsid w:val="00CE67E5"/>
    <w:rsid w:val="00CE6ED4"/>
    <w:rsid w:val="00CF25FB"/>
    <w:rsid w:val="00CF3149"/>
    <w:rsid w:val="00CF3355"/>
    <w:rsid w:val="00CF5285"/>
    <w:rsid w:val="00CF67BB"/>
    <w:rsid w:val="00CF6B27"/>
    <w:rsid w:val="00CF6CA0"/>
    <w:rsid w:val="00CF6D38"/>
    <w:rsid w:val="00CF72C8"/>
    <w:rsid w:val="00CF745E"/>
    <w:rsid w:val="00CF7B39"/>
    <w:rsid w:val="00D01641"/>
    <w:rsid w:val="00D01BDA"/>
    <w:rsid w:val="00D01BE7"/>
    <w:rsid w:val="00D01DF8"/>
    <w:rsid w:val="00D023E7"/>
    <w:rsid w:val="00D02510"/>
    <w:rsid w:val="00D029CC"/>
    <w:rsid w:val="00D0321D"/>
    <w:rsid w:val="00D036AB"/>
    <w:rsid w:val="00D03ADD"/>
    <w:rsid w:val="00D03F5D"/>
    <w:rsid w:val="00D04472"/>
    <w:rsid w:val="00D05657"/>
    <w:rsid w:val="00D06BA8"/>
    <w:rsid w:val="00D10701"/>
    <w:rsid w:val="00D1073B"/>
    <w:rsid w:val="00D10D15"/>
    <w:rsid w:val="00D112FD"/>
    <w:rsid w:val="00D119FC"/>
    <w:rsid w:val="00D13243"/>
    <w:rsid w:val="00D163B5"/>
    <w:rsid w:val="00D16CAA"/>
    <w:rsid w:val="00D178F4"/>
    <w:rsid w:val="00D20A03"/>
    <w:rsid w:val="00D2171E"/>
    <w:rsid w:val="00D21D54"/>
    <w:rsid w:val="00D25383"/>
    <w:rsid w:val="00D25935"/>
    <w:rsid w:val="00D2642D"/>
    <w:rsid w:val="00D269D5"/>
    <w:rsid w:val="00D26E8A"/>
    <w:rsid w:val="00D26FB9"/>
    <w:rsid w:val="00D272BF"/>
    <w:rsid w:val="00D2746E"/>
    <w:rsid w:val="00D31AFC"/>
    <w:rsid w:val="00D31F80"/>
    <w:rsid w:val="00D340F4"/>
    <w:rsid w:val="00D35A23"/>
    <w:rsid w:val="00D35B4F"/>
    <w:rsid w:val="00D35F1A"/>
    <w:rsid w:val="00D37162"/>
    <w:rsid w:val="00D373B8"/>
    <w:rsid w:val="00D40ED2"/>
    <w:rsid w:val="00D41076"/>
    <w:rsid w:val="00D43018"/>
    <w:rsid w:val="00D43F2D"/>
    <w:rsid w:val="00D43F60"/>
    <w:rsid w:val="00D442B4"/>
    <w:rsid w:val="00D44360"/>
    <w:rsid w:val="00D446DE"/>
    <w:rsid w:val="00D4481F"/>
    <w:rsid w:val="00D44EA3"/>
    <w:rsid w:val="00D452D3"/>
    <w:rsid w:val="00D457A5"/>
    <w:rsid w:val="00D46938"/>
    <w:rsid w:val="00D46D65"/>
    <w:rsid w:val="00D5005B"/>
    <w:rsid w:val="00D503A6"/>
    <w:rsid w:val="00D508DC"/>
    <w:rsid w:val="00D511FB"/>
    <w:rsid w:val="00D51308"/>
    <w:rsid w:val="00D516C4"/>
    <w:rsid w:val="00D51A87"/>
    <w:rsid w:val="00D523B9"/>
    <w:rsid w:val="00D53A6F"/>
    <w:rsid w:val="00D54167"/>
    <w:rsid w:val="00D54E32"/>
    <w:rsid w:val="00D55E19"/>
    <w:rsid w:val="00D561D1"/>
    <w:rsid w:val="00D56A3F"/>
    <w:rsid w:val="00D56B94"/>
    <w:rsid w:val="00D6041D"/>
    <w:rsid w:val="00D6046B"/>
    <w:rsid w:val="00D60513"/>
    <w:rsid w:val="00D6053B"/>
    <w:rsid w:val="00D624A5"/>
    <w:rsid w:val="00D62545"/>
    <w:rsid w:val="00D62C09"/>
    <w:rsid w:val="00D633CD"/>
    <w:rsid w:val="00D6352C"/>
    <w:rsid w:val="00D635CD"/>
    <w:rsid w:val="00D6385C"/>
    <w:rsid w:val="00D63CC4"/>
    <w:rsid w:val="00D642A6"/>
    <w:rsid w:val="00D642F1"/>
    <w:rsid w:val="00D64300"/>
    <w:rsid w:val="00D6457B"/>
    <w:rsid w:val="00D67CC8"/>
    <w:rsid w:val="00D72576"/>
    <w:rsid w:val="00D7314E"/>
    <w:rsid w:val="00D733E7"/>
    <w:rsid w:val="00D73891"/>
    <w:rsid w:val="00D73938"/>
    <w:rsid w:val="00D7483C"/>
    <w:rsid w:val="00D74F35"/>
    <w:rsid w:val="00D75976"/>
    <w:rsid w:val="00D759D7"/>
    <w:rsid w:val="00D76223"/>
    <w:rsid w:val="00D77309"/>
    <w:rsid w:val="00D773B5"/>
    <w:rsid w:val="00D800D9"/>
    <w:rsid w:val="00D8053C"/>
    <w:rsid w:val="00D819D2"/>
    <w:rsid w:val="00D8205B"/>
    <w:rsid w:val="00D83ACD"/>
    <w:rsid w:val="00D83C82"/>
    <w:rsid w:val="00D856D6"/>
    <w:rsid w:val="00D857F5"/>
    <w:rsid w:val="00D858C1"/>
    <w:rsid w:val="00D85D12"/>
    <w:rsid w:val="00D86AAD"/>
    <w:rsid w:val="00D90524"/>
    <w:rsid w:val="00D90A0C"/>
    <w:rsid w:val="00D9164C"/>
    <w:rsid w:val="00D91CA5"/>
    <w:rsid w:val="00D9244F"/>
    <w:rsid w:val="00D92A1F"/>
    <w:rsid w:val="00D93363"/>
    <w:rsid w:val="00D9428E"/>
    <w:rsid w:val="00D948FA"/>
    <w:rsid w:val="00D94B9C"/>
    <w:rsid w:val="00D94E57"/>
    <w:rsid w:val="00D95A03"/>
    <w:rsid w:val="00D95EC9"/>
    <w:rsid w:val="00D9600B"/>
    <w:rsid w:val="00D9663F"/>
    <w:rsid w:val="00D96948"/>
    <w:rsid w:val="00D96D97"/>
    <w:rsid w:val="00D97366"/>
    <w:rsid w:val="00D97425"/>
    <w:rsid w:val="00D97CAA"/>
    <w:rsid w:val="00DA1500"/>
    <w:rsid w:val="00DA15BF"/>
    <w:rsid w:val="00DA2507"/>
    <w:rsid w:val="00DA286C"/>
    <w:rsid w:val="00DA2B4E"/>
    <w:rsid w:val="00DA35D6"/>
    <w:rsid w:val="00DA3D9E"/>
    <w:rsid w:val="00DA6DD7"/>
    <w:rsid w:val="00DA6FC3"/>
    <w:rsid w:val="00DA71BD"/>
    <w:rsid w:val="00DB1D67"/>
    <w:rsid w:val="00DB20F5"/>
    <w:rsid w:val="00DB2450"/>
    <w:rsid w:val="00DB2AFC"/>
    <w:rsid w:val="00DB3471"/>
    <w:rsid w:val="00DB45A4"/>
    <w:rsid w:val="00DB4AC9"/>
    <w:rsid w:val="00DB4AD9"/>
    <w:rsid w:val="00DB5851"/>
    <w:rsid w:val="00DB6446"/>
    <w:rsid w:val="00DB6E30"/>
    <w:rsid w:val="00DC00E5"/>
    <w:rsid w:val="00DC02C0"/>
    <w:rsid w:val="00DC0EDB"/>
    <w:rsid w:val="00DC0FFE"/>
    <w:rsid w:val="00DC1458"/>
    <w:rsid w:val="00DC1A6C"/>
    <w:rsid w:val="00DC1F4E"/>
    <w:rsid w:val="00DC205D"/>
    <w:rsid w:val="00DC2063"/>
    <w:rsid w:val="00DC23DC"/>
    <w:rsid w:val="00DC2DB8"/>
    <w:rsid w:val="00DC4080"/>
    <w:rsid w:val="00DC53B8"/>
    <w:rsid w:val="00DC6DF1"/>
    <w:rsid w:val="00DD018D"/>
    <w:rsid w:val="00DD039F"/>
    <w:rsid w:val="00DD0867"/>
    <w:rsid w:val="00DD10E7"/>
    <w:rsid w:val="00DD46B3"/>
    <w:rsid w:val="00DD5519"/>
    <w:rsid w:val="00DD6DEC"/>
    <w:rsid w:val="00DD6FE0"/>
    <w:rsid w:val="00DD7626"/>
    <w:rsid w:val="00DD7E9A"/>
    <w:rsid w:val="00DE0113"/>
    <w:rsid w:val="00DE0A37"/>
    <w:rsid w:val="00DE24D0"/>
    <w:rsid w:val="00DE44B5"/>
    <w:rsid w:val="00DE490D"/>
    <w:rsid w:val="00DE4D2D"/>
    <w:rsid w:val="00DE50B7"/>
    <w:rsid w:val="00DE50F3"/>
    <w:rsid w:val="00DE6487"/>
    <w:rsid w:val="00DE6C74"/>
    <w:rsid w:val="00DE6F6C"/>
    <w:rsid w:val="00DF113F"/>
    <w:rsid w:val="00DF1496"/>
    <w:rsid w:val="00DF1901"/>
    <w:rsid w:val="00DF24EB"/>
    <w:rsid w:val="00DF26E7"/>
    <w:rsid w:val="00DF2CB4"/>
    <w:rsid w:val="00DF31FB"/>
    <w:rsid w:val="00DF3772"/>
    <w:rsid w:val="00DF3E16"/>
    <w:rsid w:val="00DF4B81"/>
    <w:rsid w:val="00DF55E7"/>
    <w:rsid w:val="00DF5A63"/>
    <w:rsid w:val="00DF5C8B"/>
    <w:rsid w:val="00DF6417"/>
    <w:rsid w:val="00DF6E7F"/>
    <w:rsid w:val="00E00A20"/>
    <w:rsid w:val="00E01243"/>
    <w:rsid w:val="00E0259C"/>
    <w:rsid w:val="00E03434"/>
    <w:rsid w:val="00E035B6"/>
    <w:rsid w:val="00E036EB"/>
    <w:rsid w:val="00E03DF0"/>
    <w:rsid w:val="00E0452F"/>
    <w:rsid w:val="00E05240"/>
    <w:rsid w:val="00E0554D"/>
    <w:rsid w:val="00E05683"/>
    <w:rsid w:val="00E06FB9"/>
    <w:rsid w:val="00E071B1"/>
    <w:rsid w:val="00E102AE"/>
    <w:rsid w:val="00E104FC"/>
    <w:rsid w:val="00E105D5"/>
    <w:rsid w:val="00E10D0A"/>
    <w:rsid w:val="00E1108B"/>
    <w:rsid w:val="00E11D1C"/>
    <w:rsid w:val="00E12096"/>
    <w:rsid w:val="00E13AED"/>
    <w:rsid w:val="00E14E27"/>
    <w:rsid w:val="00E15C17"/>
    <w:rsid w:val="00E165B7"/>
    <w:rsid w:val="00E167FE"/>
    <w:rsid w:val="00E20AFE"/>
    <w:rsid w:val="00E2168C"/>
    <w:rsid w:val="00E22467"/>
    <w:rsid w:val="00E2250B"/>
    <w:rsid w:val="00E2368A"/>
    <w:rsid w:val="00E24863"/>
    <w:rsid w:val="00E24C74"/>
    <w:rsid w:val="00E24E8F"/>
    <w:rsid w:val="00E25F54"/>
    <w:rsid w:val="00E262E3"/>
    <w:rsid w:val="00E266E2"/>
    <w:rsid w:val="00E26FC6"/>
    <w:rsid w:val="00E301A2"/>
    <w:rsid w:val="00E312C1"/>
    <w:rsid w:val="00E3153C"/>
    <w:rsid w:val="00E31A9C"/>
    <w:rsid w:val="00E328F2"/>
    <w:rsid w:val="00E334A2"/>
    <w:rsid w:val="00E3376D"/>
    <w:rsid w:val="00E33809"/>
    <w:rsid w:val="00E33BBD"/>
    <w:rsid w:val="00E34D11"/>
    <w:rsid w:val="00E358D2"/>
    <w:rsid w:val="00E3651F"/>
    <w:rsid w:val="00E36ABB"/>
    <w:rsid w:val="00E36D1A"/>
    <w:rsid w:val="00E36FC9"/>
    <w:rsid w:val="00E36FEE"/>
    <w:rsid w:val="00E405C3"/>
    <w:rsid w:val="00E40902"/>
    <w:rsid w:val="00E42930"/>
    <w:rsid w:val="00E42A82"/>
    <w:rsid w:val="00E43876"/>
    <w:rsid w:val="00E4471D"/>
    <w:rsid w:val="00E44796"/>
    <w:rsid w:val="00E45DC2"/>
    <w:rsid w:val="00E46013"/>
    <w:rsid w:val="00E467BF"/>
    <w:rsid w:val="00E46B8B"/>
    <w:rsid w:val="00E46B90"/>
    <w:rsid w:val="00E47B8F"/>
    <w:rsid w:val="00E47D40"/>
    <w:rsid w:val="00E503B8"/>
    <w:rsid w:val="00E514C2"/>
    <w:rsid w:val="00E517CD"/>
    <w:rsid w:val="00E51A77"/>
    <w:rsid w:val="00E53FB8"/>
    <w:rsid w:val="00E57266"/>
    <w:rsid w:val="00E60CB5"/>
    <w:rsid w:val="00E61471"/>
    <w:rsid w:val="00E6264C"/>
    <w:rsid w:val="00E62B8C"/>
    <w:rsid w:val="00E62BC2"/>
    <w:rsid w:val="00E64BCA"/>
    <w:rsid w:val="00E6536E"/>
    <w:rsid w:val="00E653BB"/>
    <w:rsid w:val="00E65C6E"/>
    <w:rsid w:val="00E66A02"/>
    <w:rsid w:val="00E66FD2"/>
    <w:rsid w:val="00E70BA0"/>
    <w:rsid w:val="00E70EED"/>
    <w:rsid w:val="00E7204A"/>
    <w:rsid w:val="00E7249B"/>
    <w:rsid w:val="00E73568"/>
    <w:rsid w:val="00E73862"/>
    <w:rsid w:val="00E744C4"/>
    <w:rsid w:val="00E74523"/>
    <w:rsid w:val="00E747FB"/>
    <w:rsid w:val="00E74C4A"/>
    <w:rsid w:val="00E74EC1"/>
    <w:rsid w:val="00E75330"/>
    <w:rsid w:val="00E76792"/>
    <w:rsid w:val="00E773FB"/>
    <w:rsid w:val="00E77ED9"/>
    <w:rsid w:val="00E80B93"/>
    <w:rsid w:val="00E8119E"/>
    <w:rsid w:val="00E8184C"/>
    <w:rsid w:val="00E83364"/>
    <w:rsid w:val="00E8375B"/>
    <w:rsid w:val="00E839D3"/>
    <w:rsid w:val="00E860AE"/>
    <w:rsid w:val="00E862EB"/>
    <w:rsid w:val="00E86928"/>
    <w:rsid w:val="00E86A8F"/>
    <w:rsid w:val="00E86C25"/>
    <w:rsid w:val="00E87F5C"/>
    <w:rsid w:val="00E87F7C"/>
    <w:rsid w:val="00E903FA"/>
    <w:rsid w:val="00E904AB"/>
    <w:rsid w:val="00E904B7"/>
    <w:rsid w:val="00E90884"/>
    <w:rsid w:val="00E91008"/>
    <w:rsid w:val="00E91330"/>
    <w:rsid w:val="00E91963"/>
    <w:rsid w:val="00E91EB4"/>
    <w:rsid w:val="00E924CE"/>
    <w:rsid w:val="00E9258D"/>
    <w:rsid w:val="00E92FE0"/>
    <w:rsid w:val="00E932DB"/>
    <w:rsid w:val="00E93A15"/>
    <w:rsid w:val="00E93A3D"/>
    <w:rsid w:val="00E955DE"/>
    <w:rsid w:val="00E95BAC"/>
    <w:rsid w:val="00E965F7"/>
    <w:rsid w:val="00E97510"/>
    <w:rsid w:val="00E97A34"/>
    <w:rsid w:val="00E97B47"/>
    <w:rsid w:val="00E97C3B"/>
    <w:rsid w:val="00EA0F26"/>
    <w:rsid w:val="00EA142C"/>
    <w:rsid w:val="00EA1A0D"/>
    <w:rsid w:val="00EA1B9C"/>
    <w:rsid w:val="00EA231A"/>
    <w:rsid w:val="00EA34B4"/>
    <w:rsid w:val="00EA3EBA"/>
    <w:rsid w:val="00EA426B"/>
    <w:rsid w:val="00EA449D"/>
    <w:rsid w:val="00EA4D45"/>
    <w:rsid w:val="00EA5B0E"/>
    <w:rsid w:val="00EA63EC"/>
    <w:rsid w:val="00EA6740"/>
    <w:rsid w:val="00EA68D0"/>
    <w:rsid w:val="00EA7309"/>
    <w:rsid w:val="00EB005B"/>
    <w:rsid w:val="00EB07DE"/>
    <w:rsid w:val="00EB0968"/>
    <w:rsid w:val="00EB1101"/>
    <w:rsid w:val="00EB1FC0"/>
    <w:rsid w:val="00EB20FB"/>
    <w:rsid w:val="00EB268E"/>
    <w:rsid w:val="00EB26A8"/>
    <w:rsid w:val="00EB4ED3"/>
    <w:rsid w:val="00EB6C63"/>
    <w:rsid w:val="00EB6F2E"/>
    <w:rsid w:val="00EB7676"/>
    <w:rsid w:val="00EB7CCE"/>
    <w:rsid w:val="00EC0965"/>
    <w:rsid w:val="00EC1745"/>
    <w:rsid w:val="00EC28A9"/>
    <w:rsid w:val="00EC2A73"/>
    <w:rsid w:val="00EC2C6C"/>
    <w:rsid w:val="00EC34E5"/>
    <w:rsid w:val="00EC3928"/>
    <w:rsid w:val="00EC3B50"/>
    <w:rsid w:val="00EC63AD"/>
    <w:rsid w:val="00EC676D"/>
    <w:rsid w:val="00EC7360"/>
    <w:rsid w:val="00EC77F1"/>
    <w:rsid w:val="00ED077F"/>
    <w:rsid w:val="00ED0F5E"/>
    <w:rsid w:val="00ED1DF7"/>
    <w:rsid w:val="00ED1E7C"/>
    <w:rsid w:val="00ED2015"/>
    <w:rsid w:val="00ED2E44"/>
    <w:rsid w:val="00ED34EB"/>
    <w:rsid w:val="00ED35BB"/>
    <w:rsid w:val="00ED3EF7"/>
    <w:rsid w:val="00ED63A2"/>
    <w:rsid w:val="00ED6986"/>
    <w:rsid w:val="00ED6A30"/>
    <w:rsid w:val="00ED79C9"/>
    <w:rsid w:val="00EE03FB"/>
    <w:rsid w:val="00EE0F15"/>
    <w:rsid w:val="00EE5D0B"/>
    <w:rsid w:val="00EE5E61"/>
    <w:rsid w:val="00EE5F9B"/>
    <w:rsid w:val="00EE6829"/>
    <w:rsid w:val="00EF0562"/>
    <w:rsid w:val="00EF06CC"/>
    <w:rsid w:val="00EF0F22"/>
    <w:rsid w:val="00EF19B2"/>
    <w:rsid w:val="00EF22C4"/>
    <w:rsid w:val="00EF3D69"/>
    <w:rsid w:val="00EF730F"/>
    <w:rsid w:val="00F015D0"/>
    <w:rsid w:val="00F02728"/>
    <w:rsid w:val="00F03272"/>
    <w:rsid w:val="00F03550"/>
    <w:rsid w:val="00F036DA"/>
    <w:rsid w:val="00F03795"/>
    <w:rsid w:val="00F03CFE"/>
    <w:rsid w:val="00F0431B"/>
    <w:rsid w:val="00F04579"/>
    <w:rsid w:val="00F063F0"/>
    <w:rsid w:val="00F07239"/>
    <w:rsid w:val="00F07442"/>
    <w:rsid w:val="00F101B7"/>
    <w:rsid w:val="00F1229B"/>
    <w:rsid w:val="00F12B3A"/>
    <w:rsid w:val="00F12C67"/>
    <w:rsid w:val="00F138C1"/>
    <w:rsid w:val="00F13A3C"/>
    <w:rsid w:val="00F14659"/>
    <w:rsid w:val="00F14BDC"/>
    <w:rsid w:val="00F15E54"/>
    <w:rsid w:val="00F1633F"/>
    <w:rsid w:val="00F16E05"/>
    <w:rsid w:val="00F16F98"/>
    <w:rsid w:val="00F179C5"/>
    <w:rsid w:val="00F17CBC"/>
    <w:rsid w:val="00F20C0A"/>
    <w:rsid w:val="00F2198E"/>
    <w:rsid w:val="00F2273A"/>
    <w:rsid w:val="00F22B0B"/>
    <w:rsid w:val="00F23003"/>
    <w:rsid w:val="00F236A0"/>
    <w:rsid w:val="00F23EF5"/>
    <w:rsid w:val="00F242BC"/>
    <w:rsid w:val="00F267D0"/>
    <w:rsid w:val="00F301DA"/>
    <w:rsid w:val="00F30E11"/>
    <w:rsid w:val="00F31AAE"/>
    <w:rsid w:val="00F31BEB"/>
    <w:rsid w:val="00F32648"/>
    <w:rsid w:val="00F32C14"/>
    <w:rsid w:val="00F357B7"/>
    <w:rsid w:val="00F36A67"/>
    <w:rsid w:val="00F36C37"/>
    <w:rsid w:val="00F406AA"/>
    <w:rsid w:val="00F40929"/>
    <w:rsid w:val="00F40A76"/>
    <w:rsid w:val="00F40BE2"/>
    <w:rsid w:val="00F41D99"/>
    <w:rsid w:val="00F428B5"/>
    <w:rsid w:val="00F43136"/>
    <w:rsid w:val="00F4383E"/>
    <w:rsid w:val="00F4395E"/>
    <w:rsid w:val="00F440E1"/>
    <w:rsid w:val="00F4415E"/>
    <w:rsid w:val="00F4557A"/>
    <w:rsid w:val="00F45859"/>
    <w:rsid w:val="00F45E2D"/>
    <w:rsid w:val="00F46C20"/>
    <w:rsid w:val="00F477EF"/>
    <w:rsid w:val="00F50A9A"/>
    <w:rsid w:val="00F50BC9"/>
    <w:rsid w:val="00F512BA"/>
    <w:rsid w:val="00F52A0E"/>
    <w:rsid w:val="00F52A26"/>
    <w:rsid w:val="00F53852"/>
    <w:rsid w:val="00F547CF"/>
    <w:rsid w:val="00F5493D"/>
    <w:rsid w:val="00F553E2"/>
    <w:rsid w:val="00F61332"/>
    <w:rsid w:val="00F61A62"/>
    <w:rsid w:val="00F61B26"/>
    <w:rsid w:val="00F61BDA"/>
    <w:rsid w:val="00F61F89"/>
    <w:rsid w:val="00F64D2E"/>
    <w:rsid w:val="00F66272"/>
    <w:rsid w:val="00F67C91"/>
    <w:rsid w:val="00F700DD"/>
    <w:rsid w:val="00F70C9F"/>
    <w:rsid w:val="00F70F9A"/>
    <w:rsid w:val="00F718B2"/>
    <w:rsid w:val="00F7258A"/>
    <w:rsid w:val="00F726C1"/>
    <w:rsid w:val="00F73BBE"/>
    <w:rsid w:val="00F74D07"/>
    <w:rsid w:val="00F74E69"/>
    <w:rsid w:val="00F75C6D"/>
    <w:rsid w:val="00F75DD8"/>
    <w:rsid w:val="00F766BC"/>
    <w:rsid w:val="00F8049E"/>
    <w:rsid w:val="00F807B6"/>
    <w:rsid w:val="00F80B90"/>
    <w:rsid w:val="00F80F16"/>
    <w:rsid w:val="00F8103A"/>
    <w:rsid w:val="00F81AE6"/>
    <w:rsid w:val="00F821D7"/>
    <w:rsid w:val="00F824EF"/>
    <w:rsid w:val="00F836F1"/>
    <w:rsid w:val="00F83907"/>
    <w:rsid w:val="00F84B3C"/>
    <w:rsid w:val="00F84CD2"/>
    <w:rsid w:val="00F85534"/>
    <w:rsid w:val="00F85631"/>
    <w:rsid w:val="00F86693"/>
    <w:rsid w:val="00F8675E"/>
    <w:rsid w:val="00F86942"/>
    <w:rsid w:val="00F86B6D"/>
    <w:rsid w:val="00F86C20"/>
    <w:rsid w:val="00F86D32"/>
    <w:rsid w:val="00F86F9E"/>
    <w:rsid w:val="00F87B2D"/>
    <w:rsid w:val="00F9051C"/>
    <w:rsid w:val="00F90875"/>
    <w:rsid w:val="00F90F5B"/>
    <w:rsid w:val="00F92497"/>
    <w:rsid w:val="00F9356F"/>
    <w:rsid w:val="00F935D2"/>
    <w:rsid w:val="00F93ECA"/>
    <w:rsid w:val="00F942C6"/>
    <w:rsid w:val="00F94DBB"/>
    <w:rsid w:val="00F95C30"/>
    <w:rsid w:val="00F96782"/>
    <w:rsid w:val="00F96DCD"/>
    <w:rsid w:val="00F97D7D"/>
    <w:rsid w:val="00FA0329"/>
    <w:rsid w:val="00FA1460"/>
    <w:rsid w:val="00FA1775"/>
    <w:rsid w:val="00FA2479"/>
    <w:rsid w:val="00FA44AD"/>
    <w:rsid w:val="00FA48F6"/>
    <w:rsid w:val="00FA52AC"/>
    <w:rsid w:val="00FA5C78"/>
    <w:rsid w:val="00FA6949"/>
    <w:rsid w:val="00FA7095"/>
    <w:rsid w:val="00FB075F"/>
    <w:rsid w:val="00FB1D68"/>
    <w:rsid w:val="00FB1F3F"/>
    <w:rsid w:val="00FB210A"/>
    <w:rsid w:val="00FB30ED"/>
    <w:rsid w:val="00FB375B"/>
    <w:rsid w:val="00FB3A82"/>
    <w:rsid w:val="00FB3CBF"/>
    <w:rsid w:val="00FB71C3"/>
    <w:rsid w:val="00FB78CB"/>
    <w:rsid w:val="00FC04D0"/>
    <w:rsid w:val="00FC06D4"/>
    <w:rsid w:val="00FC0E07"/>
    <w:rsid w:val="00FC1469"/>
    <w:rsid w:val="00FC1AAC"/>
    <w:rsid w:val="00FC1AE8"/>
    <w:rsid w:val="00FC222C"/>
    <w:rsid w:val="00FC24C8"/>
    <w:rsid w:val="00FC5ADA"/>
    <w:rsid w:val="00FC5B17"/>
    <w:rsid w:val="00FD0E15"/>
    <w:rsid w:val="00FD2503"/>
    <w:rsid w:val="00FD2AA1"/>
    <w:rsid w:val="00FD3285"/>
    <w:rsid w:val="00FD3386"/>
    <w:rsid w:val="00FD4BD7"/>
    <w:rsid w:val="00FD4C06"/>
    <w:rsid w:val="00FD4F88"/>
    <w:rsid w:val="00FD61B6"/>
    <w:rsid w:val="00FD6359"/>
    <w:rsid w:val="00FD6587"/>
    <w:rsid w:val="00FD75FC"/>
    <w:rsid w:val="00FE0099"/>
    <w:rsid w:val="00FE073E"/>
    <w:rsid w:val="00FE15F6"/>
    <w:rsid w:val="00FE22D1"/>
    <w:rsid w:val="00FE2377"/>
    <w:rsid w:val="00FE4238"/>
    <w:rsid w:val="00FE4268"/>
    <w:rsid w:val="00FE66FC"/>
    <w:rsid w:val="00FE69C8"/>
    <w:rsid w:val="00FE7097"/>
    <w:rsid w:val="00FF0A9B"/>
    <w:rsid w:val="00FF1230"/>
    <w:rsid w:val="00FF1853"/>
    <w:rsid w:val="00FF29EC"/>
    <w:rsid w:val="00FF3057"/>
    <w:rsid w:val="00FF3498"/>
    <w:rsid w:val="00FF5818"/>
    <w:rsid w:val="00FF6C89"/>
    <w:rsid w:val="00FF7680"/>
    <w:rsid w:val="01FD6C12"/>
    <w:rsid w:val="02292492"/>
    <w:rsid w:val="02DD0300"/>
    <w:rsid w:val="031068A5"/>
    <w:rsid w:val="052762EE"/>
    <w:rsid w:val="06A93D66"/>
    <w:rsid w:val="06C651E2"/>
    <w:rsid w:val="095A4022"/>
    <w:rsid w:val="0AD90D6B"/>
    <w:rsid w:val="0BC629F8"/>
    <w:rsid w:val="0C1C1766"/>
    <w:rsid w:val="0CBC1097"/>
    <w:rsid w:val="0D2750D7"/>
    <w:rsid w:val="0D756F02"/>
    <w:rsid w:val="0EB32613"/>
    <w:rsid w:val="102D757A"/>
    <w:rsid w:val="10DD1620"/>
    <w:rsid w:val="142F0301"/>
    <w:rsid w:val="14571A01"/>
    <w:rsid w:val="14D737C3"/>
    <w:rsid w:val="14E57D70"/>
    <w:rsid w:val="16C21B62"/>
    <w:rsid w:val="1BC420CE"/>
    <w:rsid w:val="20B36822"/>
    <w:rsid w:val="220D398B"/>
    <w:rsid w:val="22EA2306"/>
    <w:rsid w:val="23D90091"/>
    <w:rsid w:val="27223064"/>
    <w:rsid w:val="29577196"/>
    <w:rsid w:val="29BA7184"/>
    <w:rsid w:val="2B1E6FF0"/>
    <w:rsid w:val="2B2401BA"/>
    <w:rsid w:val="2EC26FB9"/>
    <w:rsid w:val="3088102C"/>
    <w:rsid w:val="32846CCF"/>
    <w:rsid w:val="348B6E6F"/>
    <w:rsid w:val="351E73CE"/>
    <w:rsid w:val="35900B4B"/>
    <w:rsid w:val="35F36B0D"/>
    <w:rsid w:val="36633C97"/>
    <w:rsid w:val="38003AF5"/>
    <w:rsid w:val="38340104"/>
    <w:rsid w:val="3CF01F1A"/>
    <w:rsid w:val="3D3929CF"/>
    <w:rsid w:val="3EEA5854"/>
    <w:rsid w:val="3F897474"/>
    <w:rsid w:val="40492904"/>
    <w:rsid w:val="413B5CBF"/>
    <w:rsid w:val="42A8730D"/>
    <w:rsid w:val="44925CFA"/>
    <w:rsid w:val="45677397"/>
    <w:rsid w:val="45D22302"/>
    <w:rsid w:val="4AC454AA"/>
    <w:rsid w:val="4B127B92"/>
    <w:rsid w:val="4BD72737"/>
    <w:rsid w:val="4D232009"/>
    <w:rsid w:val="4D3D7390"/>
    <w:rsid w:val="4E317431"/>
    <w:rsid w:val="4EDF061E"/>
    <w:rsid w:val="50224AA8"/>
    <w:rsid w:val="50512E48"/>
    <w:rsid w:val="51BC2C0F"/>
    <w:rsid w:val="51D907A1"/>
    <w:rsid w:val="53FD39F7"/>
    <w:rsid w:val="546A7465"/>
    <w:rsid w:val="55DB7055"/>
    <w:rsid w:val="56235A3B"/>
    <w:rsid w:val="56961354"/>
    <w:rsid w:val="57AF2384"/>
    <w:rsid w:val="59366E54"/>
    <w:rsid w:val="598B0D5A"/>
    <w:rsid w:val="5B2E4071"/>
    <w:rsid w:val="60644A07"/>
    <w:rsid w:val="6152617E"/>
    <w:rsid w:val="62656F90"/>
    <w:rsid w:val="630F3F72"/>
    <w:rsid w:val="659F726D"/>
    <w:rsid w:val="65F83223"/>
    <w:rsid w:val="687A6E3B"/>
    <w:rsid w:val="68E031CD"/>
    <w:rsid w:val="6B7F582D"/>
    <w:rsid w:val="6BF8574B"/>
    <w:rsid w:val="6CFA7F2C"/>
    <w:rsid w:val="6D3F168A"/>
    <w:rsid w:val="6DC70F88"/>
    <w:rsid w:val="71304CE9"/>
    <w:rsid w:val="713E2ADE"/>
    <w:rsid w:val="72CB0D83"/>
    <w:rsid w:val="743551A5"/>
    <w:rsid w:val="746330C6"/>
    <w:rsid w:val="750C5F6A"/>
    <w:rsid w:val="76EC0BA2"/>
    <w:rsid w:val="77732619"/>
    <w:rsid w:val="77934900"/>
    <w:rsid w:val="78023A2D"/>
    <w:rsid w:val="78831F3B"/>
    <w:rsid w:val="792415FB"/>
    <w:rsid w:val="7CD35F9D"/>
    <w:rsid w:val="7FAB7977"/>
    <w:rsid w:val="7FCA73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99"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0" w:name="footnote text"/>
    <w:lsdException w:qFormat="1" w:unhideWhenUsed="0"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qFormat="1" w:unhideWhenUsed="0" w:uiPriority="0" w:name="table of authorities"/>
    <w:lsdException w:uiPriority="0" w:name="macro"/>
    <w:lsdException w:qFormat="1" w:unhideWhenUsed="0" w:uiPriority="0" w:name="toa heading"/>
    <w:lsdException w:qFormat="1" w:uiPriority="0" w:semiHidden="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unhideWhenUsed="0" w:uiPriority="0" w:semiHidden="0" w:name="Subtitle"/>
    <w:lsdException w:uiPriority="0" w:name="Salutation"/>
    <w:lsdException w:qFormat="1" w:unhideWhenUsed="0" w:uiPriority="0" w:semiHidden="0" w:name="Date"/>
    <w:lsdException w:qFormat="1"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200" w:firstLineChars="200"/>
      <w:jc w:val="both"/>
    </w:pPr>
    <w:rPr>
      <w:rFonts w:ascii="Times New Roman" w:hAnsi="Times New Roman" w:eastAsia="宋体" w:cs="Times New Roman"/>
      <w:snapToGrid w:val="0"/>
      <w:sz w:val="28"/>
      <w:lang w:val="en-US" w:eastAsia="zh-CN" w:bidi="ar-SA"/>
    </w:rPr>
  </w:style>
  <w:style w:type="paragraph" w:styleId="2">
    <w:name w:val="heading 1"/>
    <w:basedOn w:val="1"/>
    <w:next w:val="1"/>
    <w:link w:val="58"/>
    <w:qFormat/>
    <w:uiPriority w:val="0"/>
    <w:pPr>
      <w:pageBreakBefore/>
      <w:ind w:firstLine="0" w:firstLineChars="0"/>
      <w:jc w:val="center"/>
      <w:outlineLvl w:val="0"/>
    </w:pPr>
    <w:rPr>
      <w:b/>
      <w:bCs/>
      <w:sz w:val="36"/>
      <w:szCs w:val="44"/>
    </w:rPr>
  </w:style>
  <w:style w:type="paragraph" w:styleId="3">
    <w:name w:val="heading 2"/>
    <w:basedOn w:val="1"/>
    <w:next w:val="4"/>
    <w:link w:val="54"/>
    <w:qFormat/>
    <w:uiPriority w:val="0"/>
    <w:pPr>
      <w:ind w:firstLine="0" w:firstLineChars="0"/>
      <w:outlineLvl w:val="1"/>
    </w:pPr>
    <w:rPr>
      <w:b/>
      <w:bCs/>
      <w:sz w:val="30"/>
      <w:szCs w:val="30"/>
    </w:rPr>
  </w:style>
  <w:style w:type="paragraph" w:styleId="5">
    <w:name w:val="heading 3"/>
    <w:basedOn w:val="1"/>
    <w:next w:val="1"/>
    <w:link w:val="53"/>
    <w:qFormat/>
    <w:uiPriority w:val="0"/>
    <w:pPr>
      <w:ind w:firstLine="0" w:firstLineChars="0"/>
      <w:outlineLvl w:val="2"/>
    </w:pPr>
    <w:rPr>
      <w:b/>
      <w:bCs/>
      <w:szCs w:val="28"/>
    </w:rPr>
  </w:style>
  <w:style w:type="paragraph" w:styleId="6">
    <w:name w:val="heading 4"/>
    <w:basedOn w:val="1"/>
    <w:next w:val="1"/>
    <w:link w:val="265"/>
    <w:qFormat/>
    <w:uiPriority w:val="0"/>
    <w:pPr>
      <w:keepNext/>
      <w:ind w:firstLine="0" w:firstLineChars="0"/>
      <w:outlineLvl w:val="3"/>
    </w:pPr>
    <w:rPr>
      <w:bCs/>
      <w:szCs w:val="28"/>
    </w:rPr>
  </w:style>
  <w:style w:type="paragraph" w:styleId="7">
    <w:name w:val="heading 5"/>
    <w:basedOn w:val="1"/>
    <w:next w:val="1"/>
    <w:qFormat/>
    <w:uiPriority w:val="0"/>
    <w:pPr>
      <w:keepNext/>
      <w:keepLines/>
      <w:tabs>
        <w:tab w:val="left" w:pos="1008"/>
      </w:tabs>
      <w:spacing w:before="280" w:after="290" w:line="376" w:lineRule="auto"/>
      <w:ind w:left="1008" w:hanging="432"/>
      <w:outlineLvl w:val="4"/>
    </w:pPr>
    <w:rPr>
      <w:b/>
      <w:bCs/>
      <w:szCs w:val="28"/>
    </w:rPr>
  </w:style>
  <w:style w:type="paragraph" w:styleId="8">
    <w:name w:val="heading 6"/>
    <w:basedOn w:val="1"/>
    <w:next w:val="1"/>
    <w:qFormat/>
    <w:uiPriority w:val="0"/>
    <w:pPr>
      <w:keepNext/>
      <w:keepLines/>
      <w:tabs>
        <w:tab w:val="left" w:pos="1152"/>
      </w:tabs>
      <w:spacing w:before="240" w:after="64" w:line="320" w:lineRule="auto"/>
      <w:ind w:left="1152" w:hanging="432"/>
      <w:outlineLvl w:val="5"/>
    </w:pPr>
    <w:rPr>
      <w:rFonts w:ascii="Arial" w:hAnsi="Arial" w:eastAsia="黑体"/>
      <w:b/>
      <w:bCs/>
    </w:rPr>
  </w:style>
  <w:style w:type="paragraph" w:styleId="9">
    <w:name w:val="heading 7"/>
    <w:basedOn w:val="1"/>
    <w:next w:val="1"/>
    <w:qFormat/>
    <w:uiPriority w:val="0"/>
    <w:pPr>
      <w:keepNext/>
      <w:keepLines/>
      <w:tabs>
        <w:tab w:val="left" w:pos="1296"/>
      </w:tabs>
      <w:spacing w:before="240" w:after="64" w:line="320" w:lineRule="auto"/>
      <w:ind w:left="1296" w:hanging="288"/>
      <w:outlineLvl w:val="6"/>
    </w:pPr>
    <w:rPr>
      <w:b/>
      <w:bCs/>
    </w:rPr>
  </w:style>
  <w:style w:type="paragraph" w:styleId="10">
    <w:name w:val="heading 8"/>
    <w:basedOn w:val="1"/>
    <w:next w:val="1"/>
    <w:qFormat/>
    <w:uiPriority w:val="0"/>
    <w:pPr>
      <w:keepNext/>
      <w:keepLines/>
      <w:tabs>
        <w:tab w:val="left" w:pos="1440"/>
      </w:tabs>
      <w:spacing w:before="240" w:after="64" w:line="320" w:lineRule="auto"/>
      <w:ind w:left="1440" w:hanging="432"/>
      <w:outlineLvl w:val="7"/>
    </w:pPr>
    <w:rPr>
      <w:rFonts w:ascii="Arial" w:hAnsi="Arial" w:eastAsia="黑体"/>
    </w:rPr>
  </w:style>
  <w:style w:type="paragraph" w:styleId="11">
    <w:name w:val="heading 9"/>
    <w:basedOn w:val="1"/>
    <w:next w:val="1"/>
    <w:link w:val="59"/>
    <w:qFormat/>
    <w:uiPriority w:val="99"/>
    <w:pPr>
      <w:keepNext/>
      <w:keepLines/>
      <w:tabs>
        <w:tab w:val="left" w:pos="1584"/>
      </w:tabs>
      <w:spacing w:before="240" w:after="64" w:line="320" w:lineRule="auto"/>
      <w:ind w:left="1584" w:hanging="144"/>
      <w:outlineLvl w:val="8"/>
    </w:pPr>
    <w:rPr>
      <w:rFonts w:ascii="Arial" w:hAnsi="Arial" w:eastAsia="黑体"/>
      <w:szCs w:val="21"/>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customStyle="1" w:styleId="4">
    <w:name w:val="Normal Indent1"/>
    <w:basedOn w:val="1"/>
    <w:qFormat/>
    <w:uiPriority w:val="0"/>
    <w:pPr>
      <w:ind w:firstLine="420"/>
    </w:pPr>
  </w:style>
  <w:style w:type="paragraph" w:styleId="12">
    <w:name w:val="toc 7"/>
    <w:basedOn w:val="1"/>
    <w:next w:val="1"/>
    <w:semiHidden/>
    <w:qFormat/>
    <w:uiPriority w:val="0"/>
    <w:pPr>
      <w:ind w:left="2520" w:leftChars="1200"/>
    </w:pPr>
  </w:style>
  <w:style w:type="paragraph" w:styleId="13">
    <w:name w:val="table of authorities"/>
    <w:basedOn w:val="1"/>
    <w:next w:val="1"/>
    <w:semiHidden/>
    <w:qFormat/>
    <w:uiPriority w:val="0"/>
    <w:pPr>
      <w:ind w:left="210" w:hanging="210"/>
      <w:jc w:val="left"/>
    </w:pPr>
    <w:rPr>
      <w:sz w:val="20"/>
    </w:rPr>
  </w:style>
  <w:style w:type="paragraph" w:styleId="14">
    <w:name w:val="Note Heading"/>
    <w:basedOn w:val="1"/>
    <w:next w:val="1"/>
    <w:link w:val="261"/>
    <w:qFormat/>
    <w:uiPriority w:val="0"/>
    <w:pPr>
      <w:adjustRightInd/>
      <w:snapToGrid/>
      <w:spacing w:line="240" w:lineRule="auto"/>
      <w:ind w:firstLine="0" w:firstLineChars="0"/>
      <w:jc w:val="center"/>
    </w:pPr>
    <w:rPr>
      <w:rFonts w:hint="eastAsia" w:ascii="宋体"/>
      <w:snapToGrid/>
      <w:kern w:val="2"/>
      <w:sz w:val="21"/>
    </w:rPr>
  </w:style>
  <w:style w:type="paragraph" w:styleId="15">
    <w:name w:val="Normal Indent"/>
    <w:basedOn w:val="1"/>
    <w:link w:val="104"/>
    <w:qFormat/>
    <w:uiPriority w:val="0"/>
    <w:pPr>
      <w:ind w:firstLine="420"/>
    </w:pPr>
  </w:style>
  <w:style w:type="paragraph" w:styleId="16">
    <w:name w:val="Document Map"/>
    <w:basedOn w:val="1"/>
    <w:semiHidden/>
    <w:qFormat/>
    <w:uiPriority w:val="0"/>
    <w:pPr>
      <w:shd w:val="clear" w:color="auto" w:fill="000080"/>
    </w:pPr>
  </w:style>
  <w:style w:type="paragraph" w:styleId="17">
    <w:name w:val="toa heading"/>
    <w:basedOn w:val="1"/>
    <w:next w:val="1"/>
    <w:semiHidden/>
    <w:qFormat/>
    <w:uiPriority w:val="0"/>
    <w:pPr>
      <w:spacing w:before="240" w:after="120"/>
      <w:jc w:val="center"/>
    </w:pPr>
    <w:rPr>
      <w:smallCaps/>
      <w:sz w:val="22"/>
      <w:szCs w:val="22"/>
      <w:u w:val="single"/>
    </w:rPr>
  </w:style>
  <w:style w:type="paragraph" w:styleId="18">
    <w:name w:val="annotation text"/>
    <w:basedOn w:val="1"/>
    <w:link w:val="89"/>
    <w:semiHidden/>
    <w:qFormat/>
    <w:uiPriority w:val="0"/>
    <w:pPr>
      <w:jc w:val="left"/>
    </w:pPr>
  </w:style>
  <w:style w:type="paragraph" w:styleId="19">
    <w:name w:val="Body Text"/>
    <w:basedOn w:val="1"/>
    <w:qFormat/>
    <w:uiPriority w:val="0"/>
    <w:rPr>
      <w:color w:val="000000"/>
      <w:spacing w:val="20"/>
    </w:rPr>
  </w:style>
  <w:style w:type="paragraph" w:styleId="20">
    <w:name w:val="Body Text Indent"/>
    <w:basedOn w:val="1"/>
    <w:next w:val="1"/>
    <w:qFormat/>
    <w:uiPriority w:val="0"/>
    <w:pPr>
      <w:tabs>
        <w:tab w:val="left" w:pos="540"/>
        <w:tab w:val="left" w:pos="945"/>
      </w:tabs>
      <w:ind w:left="945" w:hanging="525"/>
    </w:pPr>
    <w:rPr>
      <w:rFonts w:ascii="宋体" w:hAnsi="宋体"/>
    </w:rPr>
  </w:style>
  <w:style w:type="paragraph" w:styleId="21">
    <w:name w:val="Block Text"/>
    <w:basedOn w:val="1"/>
    <w:qFormat/>
    <w:uiPriority w:val="0"/>
    <w:pPr>
      <w:spacing w:line="355" w:lineRule="auto"/>
      <w:ind w:left="540" w:right="-37" w:firstLine="360" w:firstLineChars="150"/>
    </w:pPr>
    <w:rPr>
      <w:rFonts w:ascii="宋体"/>
    </w:rPr>
  </w:style>
  <w:style w:type="paragraph" w:styleId="22">
    <w:name w:val="toc 5"/>
    <w:basedOn w:val="1"/>
    <w:next w:val="1"/>
    <w:semiHidden/>
    <w:qFormat/>
    <w:uiPriority w:val="0"/>
    <w:pPr>
      <w:ind w:left="1680" w:leftChars="800"/>
    </w:pPr>
  </w:style>
  <w:style w:type="paragraph" w:styleId="23">
    <w:name w:val="toc 3"/>
    <w:basedOn w:val="1"/>
    <w:next w:val="1"/>
    <w:qFormat/>
    <w:uiPriority w:val="39"/>
    <w:pPr>
      <w:tabs>
        <w:tab w:val="right" w:leader="dot" w:pos="8640"/>
      </w:tabs>
      <w:spacing w:line="520" w:lineRule="exact"/>
      <w:ind w:right="34" w:rightChars="16"/>
    </w:pPr>
  </w:style>
  <w:style w:type="paragraph" w:styleId="24">
    <w:name w:val="Plain Text"/>
    <w:basedOn w:val="1"/>
    <w:link w:val="63"/>
    <w:qFormat/>
    <w:uiPriority w:val="0"/>
    <w:pPr>
      <w:spacing w:line="312" w:lineRule="atLeast"/>
      <w:textAlignment w:val="baseline"/>
    </w:pPr>
    <w:rPr>
      <w:rFonts w:ascii="宋体" w:hAnsi="Courier New"/>
    </w:rPr>
  </w:style>
  <w:style w:type="paragraph" w:styleId="25">
    <w:name w:val="toc 8"/>
    <w:basedOn w:val="1"/>
    <w:next w:val="1"/>
    <w:semiHidden/>
    <w:qFormat/>
    <w:uiPriority w:val="0"/>
    <w:pPr>
      <w:ind w:left="2940" w:leftChars="1400"/>
    </w:pPr>
  </w:style>
  <w:style w:type="paragraph" w:styleId="26">
    <w:name w:val="Date"/>
    <w:basedOn w:val="1"/>
    <w:next w:val="1"/>
    <w:link w:val="74"/>
    <w:qFormat/>
    <w:uiPriority w:val="0"/>
    <w:rPr>
      <w:rFonts w:ascii="宋体" w:hAnsi="Courier New"/>
    </w:rPr>
  </w:style>
  <w:style w:type="paragraph" w:styleId="27">
    <w:name w:val="Body Text Indent 2"/>
    <w:basedOn w:val="1"/>
    <w:qFormat/>
    <w:uiPriority w:val="0"/>
    <w:pPr>
      <w:spacing w:after="120" w:line="480" w:lineRule="auto"/>
      <w:ind w:left="420" w:leftChars="200"/>
    </w:pPr>
  </w:style>
  <w:style w:type="paragraph" w:styleId="28">
    <w:name w:val="Balloon Text"/>
    <w:basedOn w:val="1"/>
    <w:link w:val="116"/>
    <w:qFormat/>
    <w:uiPriority w:val="0"/>
    <w:rPr>
      <w:sz w:val="18"/>
      <w:szCs w:val="18"/>
    </w:rPr>
  </w:style>
  <w:style w:type="paragraph" w:styleId="29">
    <w:name w:val="footer"/>
    <w:basedOn w:val="1"/>
    <w:link w:val="62"/>
    <w:qFormat/>
    <w:uiPriority w:val="99"/>
    <w:pPr>
      <w:tabs>
        <w:tab w:val="center" w:pos="4153"/>
        <w:tab w:val="right" w:pos="8306"/>
      </w:tabs>
      <w:jc w:val="left"/>
    </w:pPr>
    <w:rPr>
      <w:spacing w:val="20"/>
      <w:sz w:val="18"/>
      <w:szCs w:val="18"/>
    </w:rPr>
  </w:style>
  <w:style w:type="paragraph" w:styleId="30">
    <w:name w:val="header"/>
    <w:basedOn w:val="1"/>
    <w:link w:val="77"/>
    <w:qFormat/>
    <w:uiPriority w:val="99"/>
    <w:pPr>
      <w:pBdr>
        <w:bottom w:val="single" w:color="auto" w:sz="6" w:space="1"/>
      </w:pBdr>
      <w:tabs>
        <w:tab w:val="center" w:pos="4153"/>
        <w:tab w:val="right" w:pos="8306"/>
      </w:tabs>
      <w:jc w:val="center"/>
    </w:pPr>
    <w:rPr>
      <w:sz w:val="18"/>
      <w:szCs w:val="18"/>
    </w:rPr>
  </w:style>
  <w:style w:type="paragraph" w:styleId="31">
    <w:name w:val="toc 1"/>
    <w:basedOn w:val="1"/>
    <w:next w:val="1"/>
    <w:qFormat/>
    <w:uiPriority w:val="39"/>
    <w:pPr>
      <w:tabs>
        <w:tab w:val="right" w:leader="dot" w:pos="8640"/>
      </w:tabs>
      <w:spacing w:line="520" w:lineRule="exact"/>
      <w:ind w:left="200" w:hanging="200" w:hangingChars="200"/>
    </w:pPr>
    <w:rPr>
      <w:rFonts w:ascii="宋体" w:hAnsi="宋体"/>
      <w:b/>
    </w:rPr>
  </w:style>
  <w:style w:type="paragraph" w:styleId="32">
    <w:name w:val="toc 4"/>
    <w:basedOn w:val="1"/>
    <w:next w:val="1"/>
    <w:semiHidden/>
    <w:qFormat/>
    <w:uiPriority w:val="0"/>
    <w:pPr>
      <w:ind w:left="1260" w:leftChars="600"/>
    </w:pPr>
  </w:style>
  <w:style w:type="paragraph" w:styleId="33">
    <w:name w:val="List"/>
    <w:basedOn w:val="1"/>
    <w:unhideWhenUsed/>
    <w:qFormat/>
    <w:uiPriority w:val="0"/>
    <w:pPr>
      <w:spacing w:line="240" w:lineRule="auto"/>
      <w:ind w:firstLine="0" w:firstLineChars="0"/>
      <w:contextualSpacing/>
      <w:jc w:val="center"/>
    </w:pPr>
    <w:rPr>
      <w:rFonts w:ascii="宋体" w:hAnsi="宋体"/>
      <w:sz w:val="21"/>
    </w:rPr>
  </w:style>
  <w:style w:type="paragraph" w:styleId="34">
    <w:name w:val="toc 6"/>
    <w:basedOn w:val="1"/>
    <w:next w:val="1"/>
    <w:semiHidden/>
    <w:qFormat/>
    <w:uiPriority w:val="0"/>
    <w:pPr>
      <w:ind w:left="2100" w:leftChars="1000"/>
    </w:pPr>
  </w:style>
  <w:style w:type="paragraph" w:styleId="35">
    <w:name w:val="Body Text Indent 3"/>
    <w:basedOn w:val="1"/>
    <w:qFormat/>
    <w:uiPriority w:val="0"/>
    <w:pPr>
      <w:spacing w:line="440" w:lineRule="exact"/>
      <w:ind w:left="200" w:firstLine="480"/>
    </w:pPr>
    <w:rPr>
      <w:bCs/>
    </w:rPr>
  </w:style>
  <w:style w:type="paragraph" w:styleId="36">
    <w:name w:val="toc 2"/>
    <w:basedOn w:val="1"/>
    <w:next w:val="1"/>
    <w:qFormat/>
    <w:uiPriority w:val="39"/>
    <w:pPr>
      <w:tabs>
        <w:tab w:val="right" w:leader="dot" w:pos="8640"/>
      </w:tabs>
      <w:ind w:right="34" w:rightChars="16"/>
    </w:pPr>
  </w:style>
  <w:style w:type="paragraph" w:styleId="37">
    <w:name w:val="toc 9"/>
    <w:basedOn w:val="1"/>
    <w:next w:val="1"/>
    <w:semiHidden/>
    <w:qFormat/>
    <w:uiPriority w:val="0"/>
    <w:pPr>
      <w:ind w:left="3360" w:leftChars="1600"/>
    </w:pPr>
  </w:style>
  <w:style w:type="paragraph" w:styleId="38">
    <w:name w:val="Body Text 2"/>
    <w:basedOn w:val="1"/>
    <w:qFormat/>
    <w:uiPriority w:val="0"/>
    <w:pPr>
      <w:spacing w:line="500" w:lineRule="exact"/>
    </w:pPr>
    <w:rPr>
      <w:bCs/>
    </w:rPr>
  </w:style>
  <w:style w:type="paragraph" w:styleId="39">
    <w:name w:val="Normal (Web)"/>
    <w:basedOn w:val="1"/>
    <w:link w:val="260"/>
    <w:unhideWhenUsed/>
    <w:qFormat/>
    <w:uiPriority w:val="0"/>
    <w:pPr>
      <w:widowControl/>
      <w:adjustRightInd/>
      <w:snapToGrid/>
      <w:spacing w:before="100" w:beforeAutospacing="1" w:after="100" w:afterAutospacing="1" w:line="240" w:lineRule="auto"/>
      <w:ind w:firstLine="0" w:firstLineChars="0"/>
      <w:jc w:val="left"/>
    </w:pPr>
    <w:rPr>
      <w:rFonts w:ascii="宋体" w:hAnsi="宋体" w:cs="宋体"/>
    </w:rPr>
  </w:style>
  <w:style w:type="paragraph" w:styleId="40">
    <w:name w:val="index 1"/>
    <w:basedOn w:val="1"/>
    <w:next w:val="1"/>
    <w:qFormat/>
    <w:uiPriority w:val="0"/>
    <w:pPr>
      <w:spacing w:beforeLines="50" w:afterLines="50" w:line="240" w:lineRule="auto"/>
      <w:ind w:firstLine="0" w:firstLineChars="0"/>
      <w:jc w:val="center"/>
    </w:pPr>
    <w:rPr>
      <w:rFonts w:ascii="宋体" w:hAnsi="宋体"/>
      <w:bCs/>
      <w:sz w:val="21"/>
      <w:szCs w:val="21"/>
    </w:rPr>
  </w:style>
  <w:style w:type="paragraph" w:styleId="41">
    <w:name w:val="Title"/>
    <w:basedOn w:val="1"/>
    <w:next w:val="1"/>
    <w:link w:val="81"/>
    <w:qFormat/>
    <w:uiPriority w:val="0"/>
    <w:pPr>
      <w:spacing w:before="240" w:after="60"/>
      <w:jc w:val="center"/>
      <w:outlineLvl w:val="0"/>
    </w:pPr>
    <w:rPr>
      <w:rFonts w:ascii="Arial" w:hAnsi="Arial"/>
      <w:b/>
      <w:sz w:val="32"/>
    </w:rPr>
  </w:style>
  <w:style w:type="paragraph" w:styleId="42">
    <w:name w:val="annotation subject"/>
    <w:basedOn w:val="18"/>
    <w:next w:val="18"/>
    <w:link w:val="99"/>
    <w:semiHidden/>
    <w:qFormat/>
    <w:uiPriority w:val="0"/>
    <w:rPr>
      <w:b/>
      <w:bCs/>
    </w:rPr>
  </w:style>
  <w:style w:type="paragraph" w:styleId="43">
    <w:name w:val="Body Text First Indent"/>
    <w:basedOn w:val="19"/>
    <w:unhideWhenUsed/>
    <w:qFormat/>
    <w:uiPriority w:val="0"/>
    <w:pPr>
      <w:ind w:firstLine="420"/>
    </w:pPr>
  </w:style>
  <w:style w:type="paragraph" w:styleId="44">
    <w:name w:val="Body Text First Indent 2"/>
    <w:basedOn w:val="20"/>
    <w:next w:val="1"/>
    <w:qFormat/>
    <w:uiPriority w:val="0"/>
    <w:pPr>
      <w:ind w:left="0" w:firstLine="420"/>
    </w:pPr>
  </w:style>
  <w:style w:type="table" w:styleId="46">
    <w:name w:val="Table Grid"/>
    <w:basedOn w:val="45"/>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qFormat/>
    <w:uiPriority w:val="0"/>
    <w:rPr>
      <w:b/>
      <w:bCs/>
    </w:rPr>
  </w:style>
  <w:style w:type="character" w:styleId="49">
    <w:name w:val="page number"/>
    <w:qFormat/>
    <w:uiPriority w:val="0"/>
    <w:rPr>
      <w:rFonts w:ascii="Times New Roman" w:hAnsi="Times New Roman" w:eastAsia="宋体"/>
      <w:sz w:val="18"/>
    </w:rPr>
  </w:style>
  <w:style w:type="character" w:styleId="50">
    <w:name w:val="FollowedHyperlink"/>
    <w:qFormat/>
    <w:uiPriority w:val="99"/>
    <w:rPr>
      <w:color w:val="800080"/>
      <w:u w:val="single"/>
    </w:rPr>
  </w:style>
  <w:style w:type="character" w:styleId="51">
    <w:name w:val="Hyperlink"/>
    <w:basedOn w:val="47"/>
    <w:qFormat/>
    <w:uiPriority w:val="99"/>
    <w:rPr>
      <w:color w:val="0000FF"/>
      <w:u w:val="single"/>
    </w:rPr>
  </w:style>
  <w:style w:type="character" w:styleId="52">
    <w:name w:val="annotation reference"/>
    <w:semiHidden/>
    <w:qFormat/>
    <w:uiPriority w:val="0"/>
    <w:rPr>
      <w:sz w:val="21"/>
      <w:szCs w:val="21"/>
    </w:rPr>
  </w:style>
  <w:style w:type="character" w:customStyle="1" w:styleId="53">
    <w:name w:val="标题 3 字符"/>
    <w:link w:val="5"/>
    <w:qFormat/>
    <w:uiPriority w:val="0"/>
    <w:rPr>
      <w:b/>
      <w:bCs/>
      <w:snapToGrid w:val="0"/>
      <w:sz w:val="28"/>
      <w:szCs w:val="28"/>
    </w:rPr>
  </w:style>
  <w:style w:type="character" w:customStyle="1" w:styleId="54">
    <w:name w:val="标题 2 字符"/>
    <w:link w:val="3"/>
    <w:qFormat/>
    <w:uiPriority w:val="0"/>
    <w:rPr>
      <w:b/>
      <w:bCs/>
      <w:snapToGrid w:val="0"/>
      <w:sz w:val="30"/>
      <w:szCs w:val="30"/>
    </w:rPr>
  </w:style>
  <w:style w:type="paragraph" w:customStyle="1" w:styleId="55">
    <w:name w:val="A正文"/>
    <w:basedOn w:val="1"/>
    <w:qFormat/>
    <w:uiPriority w:val="0"/>
    <w:pPr>
      <w:widowControl/>
      <w:overflowPunct w:val="0"/>
      <w:autoSpaceDE w:val="0"/>
      <w:autoSpaceDN w:val="0"/>
      <w:textAlignment w:val="baseline"/>
    </w:pPr>
    <w:rPr>
      <w:szCs w:val="24"/>
    </w:rPr>
  </w:style>
  <w:style w:type="paragraph" w:customStyle="1" w:styleId="56">
    <w:name w:val="表内序号"/>
    <w:basedOn w:val="1"/>
    <w:qFormat/>
    <w:uiPriority w:val="0"/>
    <w:pPr>
      <w:spacing w:line="240" w:lineRule="auto"/>
      <w:ind w:firstLine="0" w:firstLineChars="0"/>
    </w:pPr>
    <w:rPr>
      <w:snapToGrid/>
      <w:kern w:val="2"/>
      <w:sz w:val="21"/>
    </w:rPr>
  </w:style>
  <w:style w:type="paragraph" w:customStyle="1" w:styleId="57">
    <w:name w:val="正文缩进1"/>
    <w:basedOn w:val="1"/>
    <w:qFormat/>
    <w:uiPriority w:val="0"/>
    <w:pPr>
      <w:ind w:firstLine="420"/>
    </w:pPr>
  </w:style>
  <w:style w:type="character" w:customStyle="1" w:styleId="58">
    <w:name w:val="标题 1 字符"/>
    <w:link w:val="2"/>
    <w:qFormat/>
    <w:uiPriority w:val="0"/>
    <w:rPr>
      <w:b/>
      <w:bCs/>
      <w:snapToGrid w:val="0"/>
      <w:sz w:val="36"/>
      <w:szCs w:val="44"/>
    </w:rPr>
  </w:style>
  <w:style w:type="character" w:customStyle="1" w:styleId="59">
    <w:name w:val="标题 9 字符"/>
    <w:link w:val="11"/>
    <w:qFormat/>
    <w:uiPriority w:val="0"/>
    <w:rPr>
      <w:rFonts w:ascii="Arial" w:hAnsi="Arial" w:eastAsia="黑体"/>
      <w:kern w:val="2"/>
      <w:sz w:val="21"/>
      <w:szCs w:val="21"/>
      <w:lang w:val="en-US" w:eastAsia="zh-CN" w:bidi="ar-SA"/>
    </w:rPr>
  </w:style>
  <w:style w:type="character" w:customStyle="1" w:styleId="60">
    <w:name w:val="已访问的超链接1"/>
    <w:qFormat/>
    <w:uiPriority w:val="0"/>
    <w:rPr>
      <w:color w:val="800080"/>
      <w:u w:val="single"/>
    </w:rPr>
  </w:style>
  <w:style w:type="character" w:customStyle="1" w:styleId="61">
    <w:name w:val="ttitle1"/>
    <w:qFormat/>
    <w:uiPriority w:val="0"/>
    <w:rPr>
      <w:spacing w:val="120"/>
      <w:sz w:val="21"/>
      <w:szCs w:val="21"/>
    </w:rPr>
  </w:style>
  <w:style w:type="character" w:customStyle="1" w:styleId="62">
    <w:name w:val="页脚 字符"/>
    <w:link w:val="29"/>
    <w:qFormat/>
    <w:uiPriority w:val="99"/>
    <w:rPr>
      <w:rFonts w:eastAsia="宋体"/>
      <w:spacing w:val="20"/>
      <w:kern w:val="2"/>
      <w:sz w:val="18"/>
      <w:szCs w:val="18"/>
      <w:lang w:val="en-US" w:eastAsia="zh-CN" w:bidi="ar-SA"/>
    </w:rPr>
  </w:style>
  <w:style w:type="character" w:customStyle="1" w:styleId="63">
    <w:name w:val="纯文本 字符"/>
    <w:link w:val="24"/>
    <w:qFormat/>
    <w:uiPriority w:val="0"/>
    <w:rPr>
      <w:rFonts w:ascii="宋体" w:hAnsi="Courier New" w:eastAsia="宋体"/>
      <w:sz w:val="21"/>
      <w:lang w:val="en-US" w:eastAsia="zh-CN" w:bidi="ar-SA"/>
    </w:rPr>
  </w:style>
  <w:style w:type="character" w:customStyle="1" w:styleId="64">
    <w:name w:val="普通文字 Char2"/>
    <w:qFormat/>
    <w:uiPriority w:val="0"/>
    <w:rPr>
      <w:rFonts w:ascii="宋体" w:hAnsi="Courier New" w:eastAsia="宋体" w:cs="Courier New"/>
      <w:kern w:val="2"/>
      <w:sz w:val="21"/>
      <w:szCs w:val="21"/>
      <w:lang w:val="en-US" w:eastAsia="zh-CN" w:bidi="ar-SA"/>
    </w:rPr>
  </w:style>
  <w:style w:type="character" w:customStyle="1" w:styleId="65">
    <w:name w:val="样式6 Char Char"/>
    <w:link w:val="66"/>
    <w:qFormat/>
    <w:uiPriority w:val="0"/>
    <w:rPr>
      <w:rFonts w:ascii="黑体" w:hAnsi="黑体" w:eastAsia="黑体"/>
      <w:kern w:val="2"/>
      <w:sz w:val="21"/>
      <w:szCs w:val="21"/>
    </w:rPr>
  </w:style>
  <w:style w:type="paragraph" w:customStyle="1" w:styleId="66">
    <w:name w:val="样式6"/>
    <w:basedOn w:val="1"/>
    <w:link w:val="65"/>
    <w:qFormat/>
    <w:uiPriority w:val="0"/>
    <w:pPr>
      <w:spacing w:line="400" w:lineRule="exact"/>
      <w:jc w:val="center"/>
    </w:pPr>
    <w:rPr>
      <w:rFonts w:ascii="黑体" w:hAnsi="黑体" w:eastAsia="黑体"/>
      <w:szCs w:val="21"/>
    </w:rPr>
  </w:style>
  <w:style w:type="character" w:customStyle="1" w:styleId="67">
    <w:name w:val="普通文字 Char Char Char2"/>
    <w:qFormat/>
    <w:uiPriority w:val="0"/>
    <w:rPr>
      <w:rFonts w:ascii="宋体" w:hAnsi="Courier New" w:eastAsia="宋体"/>
      <w:kern w:val="2"/>
      <w:sz w:val="21"/>
      <w:szCs w:val="24"/>
      <w:lang w:val="en-US" w:eastAsia="zh-CN" w:bidi="ar-SA"/>
    </w:rPr>
  </w:style>
  <w:style w:type="character" w:customStyle="1" w:styleId="68">
    <w:name w:val="二级条标题 Char Char"/>
    <w:link w:val="69"/>
    <w:qFormat/>
    <w:uiPriority w:val="0"/>
    <w:rPr>
      <w:rFonts w:ascii="黑体" w:eastAsia="黑体"/>
      <w:sz w:val="24"/>
    </w:rPr>
  </w:style>
  <w:style w:type="paragraph" w:customStyle="1" w:styleId="69">
    <w:name w:val="二级条标题"/>
    <w:basedOn w:val="1"/>
    <w:next w:val="1"/>
    <w:link w:val="68"/>
    <w:qFormat/>
    <w:uiPriority w:val="0"/>
    <w:pPr>
      <w:widowControl/>
      <w:ind w:firstLine="0"/>
      <w:outlineLvl w:val="3"/>
    </w:pPr>
    <w:rPr>
      <w:rFonts w:ascii="黑体" w:eastAsia="黑体"/>
    </w:rPr>
  </w:style>
  <w:style w:type="character" w:customStyle="1" w:styleId="70">
    <w:name w:val="正文文本111 Char Char"/>
    <w:link w:val="71"/>
    <w:qFormat/>
    <w:uiPriority w:val="0"/>
    <w:rPr>
      <w:rFonts w:ascii="宋体" w:hAnsi="宋体"/>
      <w:bCs/>
      <w:kern w:val="2"/>
      <w:sz w:val="24"/>
      <w:szCs w:val="21"/>
    </w:rPr>
  </w:style>
  <w:style w:type="paragraph" w:customStyle="1" w:styleId="71">
    <w:name w:val="正文文本111"/>
    <w:basedOn w:val="1"/>
    <w:link w:val="70"/>
    <w:qFormat/>
    <w:uiPriority w:val="0"/>
    <w:pPr>
      <w:tabs>
        <w:tab w:val="left" w:pos="1530"/>
      </w:tabs>
      <w:spacing w:line="400" w:lineRule="exact"/>
      <w:ind w:firstLine="480"/>
    </w:pPr>
    <w:rPr>
      <w:rFonts w:ascii="宋体" w:hAnsi="宋体"/>
      <w:bCs/>
      <w:szCs w:val="21"/>
    </w:rPr>
  </w:style>
  <w:style w:type="character" w:customStyle="1" w:styleId="72">
    <w:name w:val="正文 + 宋体 Char"/>
    <w:link w:val="73"/>
    <w:qFormat/>
    <w:uiPriority w:val="0"/>
    <w:rPr>
      <w:rFonts w:eastAsia="宋体"/>
      <w:kern w:val="2"/>
      <w:sz w:val="24"/>
      <w:szCs w:val="24"/>
      <w:lang w:val="en-US" w:eastAsia="zh-CN" w:bidi="ar-SA"/>
    </w:rPr>
  </w:style>
  <w:style w:type="paragraph" w:customStyle="1" w:styleId="73">
    <w:name w:val="正文 + 宋体"/>
    <w:basedOn w:val="1"/>
    <w:link w:val="72"/>
    <w:qFormat/>
    <w:uiPriority w:val="0"/>
    <w:pPr>
      <w:tabs>
        <w:tab w:val="left" w:pos="0"/>
      </w:tabs>
      <w:jc w:val="left"/>
    </w:pPr>
  </w:style>
  <w:style w:type="character" w:customStyle="1" w:styleId="74">
    <w:name w:val="日期 字符"/>
    <w:link w:val="26"/>
    <w:qFormat/>
    <w:uiPriority w:val="0"/>
    <w:rPr>
      <w:rFonts w:ascii="宋体" w:hAnsi="Courier New" w:eastAsia="宋体"/>
      <w:kern w:val="2"/>
      <w:sz w:val="21"/>
      <w:lang w:val="en-US" w:eastAsia="zh-CN" w:bidi="ar-SA"/>
    </w:rPr>
  </w:style>
  <w:style w:type="character" w:customStyle="1" w:styleId="75">
    <w:name w:val="正文文本** Char Char"/>
    <w:link w:val="76"/>
    <w:qFormat/>
    <w:uiPriority w:val="0"/>
    <w:rPr>
      <w:rFonts w:ascii="黑体" w:hAnsi="宋体" w:eastAsia="黑体"/>
      <w:kern w:val="2"/>
      <w:sz w:val="24"/>
      <w:szCs w:val="24"/>
      <w:lang w:bidi="ar-SA"/>
    </w:rPr>
  </w:style>
  <w:style w:type="paragraph" w:customStyle="1" w:styleId="76">
    <w:name w:val="正文文本**"/>
    <w:basedOn w:val="1"/>
    <w:link w:val="75"/>
    <w:qFormat/>
    <w:uiPriority w:val="0"/>
    <w:pPr>
      <w:spacing w:line="400" w:lineRule="exact"/>
      <w:ind w:firstLine="480"/>
    </w:pPr>
    <w:rPr>
      <w:rFonts w:ascii="宋体" w:hAnsi="宋体" w:cs="宋体"/>
      <w:szCs w:val="18"/>
    </w:rPr>
  </w:style>
  <w:style w:type="character" w:customStyle="1" w:styleId="77">
    <w:name w:val="页眉 字符"/>
    <w:link w:val="30"/>
    <w:qFormat/>
    <w:uiPriority w:val="99"/>
    <w:rPr>
      <w:rFonts w:eastAsia="宋体"/>
      <w:kern w:val="2"/>
      <w:sz w:val="18"/>
      <w:szCs w:val="18"/>
      <w:lang w:val="en-US" w:eastAsia="zh-CN" w:bidi="ar-SA"/>
    </w:rPr>
  </w:style>
  <w:style w:type="character" w:customStyle="1" w:styleId="78">
    <w:name w:val="正文样式 Char Char"/>
    <w:link w:val="79"/>
    <w:qFormat/>
    <w:uiPriority w:val="0"/>
    <w:rPr>
      <w:rFonts w:ascii="宋体" w:hAnsi="宋体" w:cs="宋体"/>
      <w:sz w:val="24"/>
      <w:szCs w:val="24"/>
    </w:rPr>
  </w:style>
  <w:style w:type="paragraph" w:customStyle="1" w:styleId="79">
    <w:name w:val="正文样式"/>
    <w:basedOn w:val="1"/>
    <w:link w:val="78"/>
    <w:qFormat/>
    <w:uiPriority w:val="0"/>
    <w:pPr>
      <w:widowControl/>
      <w:spacing w:line="400" w:lineRule="exact"/>
    </w:pPr>
    <w:rPr>
      <w:rFonts w:ascii="宋体" w:hAnsi="宋体"/>
    </w:rPr>
  </w:style>
  <w:style w:type="character" w:customStyle="1" w:styleId="80">
    <w:name w:val="Char Char3"/>
    <w:qFormat/>
    <w:uiPriority w:val="0"/>
    <w:rPr>
      <w:rFonts w:ascii="Arial" w:hAnsi="Arial" w:eastAsia="黑体"/>
      <w:kern w:val="2"/>
      <w:sz w:val="21"/>
      <w:lang w:val="en-US" w:eastAsia="zh-CN" w:bidi="ar-SA"/>
    </w:rPr>
  </w:style>
  <w:style w:type="character" w:customStyle="1" w:styleId="81">
    <w:name w:val="标题 字符"/>
    <w:link w:val="41"/>
    <w:qFormat/>
    <w:uiPriority w:val="0"/>
    <w:rPr>
      <w:rFonts w:ascii="Arial" w:hAnsi="Arial" w:eastAsia="宋体"/>
      <w:b/>
      <w:kern w:val="2"/>
      <w:sz w:val="32"/>
      <w:lang w:val="en-US" w:eastAsia="zh-CN" w:bidi="ar-SA"/>
    </w:rPr>
  </w:style>
  <w:style w:type="paragraph" w:customStyle="1" w:styleId="82">
    <w:name w:val="列项——（一级）"/>
    <w:qFormat/>
    <w:uiPriority w:val="0"/>
    <w:pPr>
      <w:widowControl w:val="0"/>
      <w:numPr>
        <w:ilvl w:val="0"/>
        <w:numId w:val="1"/>
      </w:numPr>
      <w:tabs>
        <w:tab w:val="left" w:pos="854"/>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83">
    <w:name w:val="一级条标题"/>
    <w:next w:val="84"/>
    <w:qFormat/>
    <w:uiPriority w:val="0"/>
    <w:pPr>
      <w:outlineLvl w:val="2"/>
    </w:pPr>
    <w:rPr>
      <w:rFonts w:ascii="Times New Roman" w:hAnsi="Times New Roman" w:eastAsia="黑体" w:cs="Times New Roman"/>
      <w:sz w:val="21"/>
      <w:lang w:val="en-US" w:eastAsia="zh-CN" w:bidi="ar-SA"/>
    </w:rPr>
  </w:style>
  <w:style w:type="paragraph" w:customStyle="1" w:styleId="8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85">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新宋体" w:hAnsi="新宋体" w:eastAsia="新宋体" w:cs="宋体"/>
      <w:color w:val="FF0000"/>
      <w:sz w:val="18"/>
      <w:szCs w:val="18"/>
    </w:rPr>
  </w:style>
  <w:style w:type="paragraph" w:customStyle="1" w:styleId="86">
    <w:name w:val="font8"/>
    <w:basedOn w:val="1"/>
    <w:qFormat/>
    <w:uiPriority w:val="0"/>
    <w:pPr>
      <w:widowControl/>
      <w:spacing w:before="100" w:beforeAutospacing="1" w:after="100" w:afterAutospacing="1"/>
      <w:jc w:val="left"/>
    </w:pPr>
    <w:rPr>
      <w:rFonts w:eastAsia="Arial Unicode MS"/>
      <w:b/>
      <w:bCs/>
      <w:sz w:val="16"/>
      <w:szCs w:val="16"/>
    </w:rPr>
  </w:style>
  <w:style w:type="paragraph" w:customStyle="1" w:styleId="87">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sz w:val="20"/>
    </w:rPr>
  </w:style>
  <w:style w:type="paragraph" w:customStyle="1" w:styleId="88">
    <w:name w:val="xl25"/>
    <w:basedOn w:val="1"/>
    <w:qFormat/>
    <w:uiPriority w:val="0"/>
    <w:pPr>
      <w:widowControl/>
      <w:pBdr>
        <w:top w:val="single" w:color="auto" w:sz="4" w:space="0"/>
        <w:left w:val="single" w:color="auto" w:sz="4" w:space="0"/>
        <w:bottom w:val="single" w:color="auto" w:sz="4" w:space="0"/>
        <w:right w:val="single" w:color="auto" w:sz="4" w:space="0"/>
      </w:pBdr>
      <w:shd w:val="clear" w:color="auto" w:fill="CCFFFF"/>
      <w:spacing w:before="100" w:beforeAutospacing="1" w:after="100" w:afterAutospacing="1"/>
      <w:jc w:val="center"/>
      <w:textAlignment w:val="center"/>
    </w:pPr>
    <w:rPr>
      <w:rFonts w:ascii="Arial Unicode MS" w:hAnsi="Arial Unicode MS" w:eastAsia="Arial Unicode MS" w:cs="Arial Unicode MS"/>
      <w:b/>
      <w:bCs/>
      <w:color w:val="FF0000"/>
      <w:sz w:val="16"/>
      <w:szCs w:val="16"/>
    </w:rPr>
  </w:style>
  <w:style w:type="character" w:customStyle="1" w:styleId="89">
    <w:name w:val="批注文字 字符"/>
    <w:link w:val="18"/>
    <w:semiHidden/>
    <w:qFormat/>
    <w:uiPriority w:val="99"/>
    <w:rPr>
      <w:kern w:val="2"/>
      <w:sz w:val="24"/>
      <w:szCs w:val="24"/>
    </w:rPr>
  </w:style>
  <w:style w:type="paragraph" w:customStyle="1" w:styleId="90">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新宋体" w:hAnsi="新宋体" w:eastAsia="新宋体" w:cs="宋体"/>
      <w:sz w:val="18"/>
      <w:szCs w:val="18"/>
    </w:rPr>
  </w:style>
  <w:style w:type="paragraph" w:customStyle="1" w:styleId="91">
    <w:name w:val="四级条标题"/>
    <w:basedOn w:val="92"/>
    <w:next w:val="1"/>
    <w:qFormat/>
    <w:uiPriority w:val="0"/>
    <w:pPr>
      <w:tabs>
        <w:tab w:val="left" w:pos="360"/>
      </w:tabs>
      <w:ind w:firstLineChars="0"/>
      <w:jc w:val="left"/>
      <w:outlineLvl w:val="5"/>
    </w:pPr>
    <w:rPr>
      <w:rFonts w:ascii="Times New Roman"/>
    </w:rPr>
  </w:style>
  <w:style w:type="paragraph" w:customStyle="1" w:styleId="92">
    <w:name w:val="三级条标题"/>
    <w:basedOn w:val="69"/>
    <w:next w:val="1"/>
    <w:qFormat/>
    <w:uiPriority w:val="0"/>
    <w:pPr>
      <w:tabs>
        <w:tab w:val="left" w:pos="360"/>
      </w:tabs>
      <w:outlineLvl w:val="4"/>
    </w:pPr>
  </w:style>
  <w:style w:type="paragraph" w:customStyle="1" w:styleId="93">
    <w:name w:val="二级标"/>
    <w:basedOn w:val="3"/>
    <w:qFormat/>
    <w:uiPriority w:val="0"/>
    <w:pPr>
      <w:spacing w:line="440" w:lineRule="exact"/>
    </w:pPr>
    <w:rPr>
      <w:sz w:val="21"/>
      <w:szCs w:val="21"/>
    </w:rPr>
  </w:style>
  <w:style w:type="paragraph" w:customStyle="1" w:styleId="94">
    <w:name w:val="Char Char Char2 Char Char Char Char"/>
    <w:basedOn w:val="1"/>
    <w:qFormat/>
    <w:uiPriority w:val="0"/>
    <w:pPr>
      <w:widowControl/>
      <w:jc w:val="left"/>
    </w:pPr>
  </w:style>
  <w:style w:type="paragraph" w:customStyle="1" w:styleId="95">
    <w:name w:val="Default"/>
    <w:qFormat/>
    <w:uiPriority w:val="0"/>
    <w:pPr>
      <w:widowControl w:val="0"/>
      <w:autoSpaceDE w:val="0"/>
      <w:autoSpaceDN w:val="0"/>
      <w:adjustRightInd w:val="0"/>
    </w:pPr>
    <w:rPr>
      <w:rFonts w:ascii="新宋体" w:hAnsi="Times New Roman" w:eastAsia="新宋体" w:cs="新宋体"/>
      <w:color w:val="000000"/>
      <w:sz w:val="24"/>
      <w:szCs w:val="24"/>
      <w:lang w:val="en-US" w:eastAsia="zh-CN" w:bidi="ar-SA"/>
    </w:rPr>
  </w:style>
  <w:style w:type="paragraph" w:customStyle="1" w:styleId="96">
    <w:name w:val="Char Char Char Char Char Char Char Char Char Char Char"/>
    <w:basedOn w:val="1"/>
    <w:qFormat/>
    <w:uiPriority w:val="0"/>
  </w:style>
  <w:style w:type="paragraph" w:customStyle="1" w:styleId="97">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98">
    <w:name w:val="样式 (符号) 宋体 小四 首行缩进:  0.85 厘米 行距: 1.5 倍行距"/>
    <w:basedOn w:val="1"/>
    <w:qFormat/>
    <w:uiPriority w:val="0"/>
    <w:pPr>
      <w:spacing w:line="400" w:lineRule="exact"/>
      <w:ind w:firstLine="482"/>
    </w:pPr>
    <w:rPr>
      <w:rFonts w:hAnsi="宋体" w:cs="宋体"/>
    </w:rPr>
  </w:style>
  <w:style w:type="character" w:customStyle="1" w:styleId="99">
    <w:name w:val="批注主题 字符"/>
    <w:link w:val="42"/>
    <w:semiHidden/>
    <w:qFormat/>
    <w:uiPriority w:val="99"/>
    <w:rPr>
      <w:b/>
      <w:bCs/>
      <w:kern w:val="2"/>
      <w:sz w:val="24"/>
      <w:szCs w:val="24"/>
    </w:rPr>
  </w:style>
  <w:style w:type="paragraph" w:customStyle="1" w:styleId="100">
    <w:name w:val="font10"/>
    <w:basedOn w:val="1"/>
    <w:qFormat/>
    <w:uiPriority w:val="0"/>
    <w:pPr>
      <w:widowControl/>
      <w:spacing w:before="100" w:beforeAutospacing="1" w:after="100" w:afterAutospacing="1"/>
      <w:jc w:val="left"/>
    </w:pPr>
    <w:rPr>
      <w:rFonts w:hint="eastAsia" w:ascii="宋体" w:hAnsi="宋体" w:cs="Arial Unicode MS"/>
      <w:b/>
      <w:bCs/>
      <w:color w:val="FF0000"/>
      <w:sz w:val="16"/>
      <w:szCs w:val="16"/>
    </w:rPr>
  </w:style>
  <w:style w:type="paragraph" w:customStyle="1" w:styleId="101">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sz w:val="20"/>
    </w:rPr>
  </w:style>
  <w:style w:type="paragraph" w:customStyle="1" w:styleId="10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FF0000"/>
      <w:sz w:val="20"/>
    </w:rPr>
  </w:style>
  <w:style w:type="paragraph" w:customStyle="1" w:styleId="103">
    <w:name w:val="表名"/>
    <w:basedOn w:val="1"/>
    <w:next w:val="15"/>
    <w:qFormat/>
    <w:uiPriority w:val="0"/>
    <w:pPr>
      <w:spacing w:line="400" w:lineRule="exact"/>
      <w:ind w:firstLine="840" w:firstLineChars="400"/>
    </w:pPr>
    <w:rPr>
      <w:rFonts w:ascii="宋体" w:hAnsi="宋体"/>
      <w:szCs w:val="21"/>
    </w:rPr>
  </w:style>
  <w:style w:type="character" w:customStyle="1" w:styleId="104">
    <w:name w:val="正文缩进 字符"/>
    <w:link w:val="15"/>
    <w:qFormat/>
    <w:uiPriority w:val="0"/>
    <w:rPr>
      <w:kern w:val="2"/>
      <w:sz w:val="24"/>
    </w:rPr>
  </w:style>
  <w:style w:type="paragraph" w:customStyle="1" w:styleId="105">
    <w:name w:val="font5"/>
    <w:basedOn w:val="1"/>
    <w:qFormat/>
    <w:uiPriority w:val="0"/>
    <w:pPr>
      <w:widowControl/>
      <w:spacing w:before="100" w:beforeAutospacing="1" w:after="100" w:afterAutospacing="1"/>
      <w:jc w:val="left"/>
    </w:pPr>
    <w:rPr>
      <w:rFonts w:hint="eastAsia" w:ascii="宋体" w:hAnsi="宋体" w:cs="Arial Unicode MS"/>
      <w:sz w:val="18"/>
      <w:szCs w:val="18"/>
    </w:rPr>
  </w:style>
  <w:style w:type="paragraph" w:customStyle="1" w:styleId="106">
    <w:name w:val="1 Char Char Char Char"/>
    <w:basedOn w:val="1"/>
    <w:qFormat/>
    <w:uiPriority w:val="0"/>
    <w:rPr>
      <w:szCs w:val="21"/>
    </w:rPr>
  </w:style>
  <w:style w:type="paragraph" w:customStyle="1" w:styleId="107">
    <w:name w:val="xl103"/>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center"/>
      <w:textAlignment w:val="center"/>
    </w:pPr>
    <w:rPr>
      <w:rFonts w:ascii="宋体" w:hAnsi="宋体" w:cs="宋体"/>
      <w:sz w:val="20"/>
    </w:rPr>
  </w:style>
  <w:style w:type="paragraph" w:customStyle="1" w:styleId="108">
    <w:name w:val="font12"/>
    <w:basedOn w:val="1"/>
    <w:qFormat/>
    <w:uiPriority w:val="0"/>
    <w:pPr>
      <w:widowControl/>
      <w:spacing w:before="100" w:beforeAutospacing="1" w:after="100" w:afterAutospacing="1"/>
      <w:jc w:val="left"/>
    </w:pPr>
    <w:rPr>
      <w:rFonts w:eastAsia="Arial Unicode MS"/>
      <w:b/>
      <w:bCs/>
      <w:color w:val="800000"/>
      <w:sz w:val="16"/>
      <w:szCs w:val="16"/>
    </w:rPr>
  </w:style>
  <w:style w:type="paragraph" w:customStyle="1" w:styleId="109">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110">
    <w:name w:val="标题4"/>
    <w:basedOn w:val="1"/>
    <w:qFormat/>
    <w:uiPriority w:val="0"/>
    <w:pPr>
      <w:spacing w:line="480" w:lineRule="exact"/>
    </w:pPr>
    <w:rPr>
      <w:b/>
    </w:rPr>
  </w:style>
  <w:style w:type="paragraph" w:customStyle="1" w:styleId="111">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cs="Arial"/>
      <w:sz w:val="20"/>
    </w:rPr>
  </w:style>
  <w:style w:type="paragraph" w:customStyle="1" w:styleId="112">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113">
    <w:name w:val="BIG BOLD"/>
    <w:basedOn w:val="1"/>
    <w:qFormat/>
    <w:uiPriority w:val="0"/>
    <w:pPr>
      <w:tabs>
        <w:tab w:val="left" w:leader="underscore" w:pos="1134"/>
      </w:tabs>
    </w:pPr>
  </w:style>
  <w:style w:type="paragraph" w:customStyle="1" w:styleId="114">
    <w:name w:val="附录表标题"/>
    <w:next w:val="6"/>
    <w:qFormat/>
    <w:uiPriority w:val="0"/>
    <w:pPr>
      <w:jc w:val="center"/>
      <w:textAlignment w:val="baseline"/>
    </w:pPr>
    <w:rPr>
      <w:rFonts w:ascii="黑体" w:hAnsi="Times New Roman" w:eastAsia="黑体" w:cs="Times New Roman"/>
      <w:kern w:val="21"/>
      <w:sz w:val="21"/>
      <w:lang w:val="en-US" w:eastAsia="zh-CN" w:bidi="ar-SA"/>
    </w:rPr>
  </w:style>
  <w:style w:type="paragraph" w:customStyle="1" w:styleId="11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sz w:val="20"/>
    </w:rPr>
  </w:style>
  <w:style w:type="character" w:customStyle="1" w:styleId="116">
    <w:name w:val="批注框文本 字符"/>
    <w:link w:val="28"/>
    <w:qFormat/>
    <w:uiPriority w:val="0"/>
    <w:rPr>
      <w:kern w:val="2"/>
      <w:sz w:val="18"/>
      <w:szCs w:val="18"/>
    </w:rPr>
  </w:style>
  <w:style w:type="paragraph" w:customStyle="1" w:styleId="117">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FF0000"/>
      <w:sz w:val="16"/>
      <w:szCs w:val="16"/>
    </w:rPr>
  </w:style>
  <w:style w:type="paragraph" w:customStyle="1" w:styleId="118">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sz w:val="20"/>
    </w:rPr>
  </w:style>
  <w:style w:type="paragraph" w:customStyle="1" w:styleId="119">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12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sz w:val="18"/>
      <w:szCs w:val="18"/>
    </w:rPr>
  </w:style>
  <w:style w:type="paragraph" w:customStyle="1" w:styleId="121">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122">
    <w:name w:val="Char Char Char1 Char Char Char Char Char Char Char"/>
    <w:basedOn w:val="1"/>
    <w:qFormat/>
    <w:uiPriority w:val="0"/>
  </w:style>
  <w:style w:type="paragraph" w:customStyle="1" w:styleId="123">
    <w:name w:val="font9"/>
    <w:basedOn w:val="1"/>
    <w:qFormat/>
    <w:uiPriority w:val="0"/>
    <w:pPr>
      <w:widowControl/>
      <w:spacing w:before="100" w:beforeAutospacing="1" w:after="100" w:afterAutospacing="1"/>
      <w:jc w:val="left"/>
    </w:pPr>
    <w:rPr>
      <w:rFonts w:eastAsia="Arial Unicode MS"/>
      <w:b/>
      <w:bCs/>
      <w:sz w:val="16"/>
      <w:szCs w:val="16"/>
    </w:rPr>
  </w:style>
  <w:style w:type="paragraph" w:customStyle="1" w:styleId="124">
    <w:name w:val="xl70"/>
    <w:basedOn w:val="1"/>
    <w:qFormat/>
    <w:uiPriority w:val="0"/>
    <w:pPr>
      <w:widowControl/>
      <w:pBdr>
        <w:left w:val="single" w:color="auto" w:sz="8" w:space="0"/>
        <w:right w:val="single" w:color="auto" w:sz="4" w:space="0"/>
      </w:pBdr>
      <w:spacing w:before="100" w:beforeAutospacing="1" w:after="100" w:afterAutospacing="1"/>
      <w:jc w:val="center"/>
      <w:textAlignment w:val="center"/>
    </w:pPr>
    <w:rPr>
      <w:szCs w:val="21"/>
    </w:rPr>
  </w:style>
  <w:style w:type="paragraph" w:customStyle="1" w:styleId="12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sz w:val="20"/>
    </w:rPr>
  </w:style>
  <w:style w:type="paragraph" w:customStyle="1" w:styleId="126">
    <w:name w:val="Char Char Char2 Char Char Char Char Char Char Char Char Char Char Char Char Char"/>
    <w:basedOn w:val="1"/>
    <w:qFormat/>
    <w:uiPriority w:val="0"/>
    <w:pPr>
      <w:widowControl/>
      <w:jc w:val="left"/>
    </w:pPr>
    <w:rPr>
      <w:rFonts w:ascii="宋体" w:hAnsi="宋体" w:cs="宋体"/>
    </w:rPr>
  </w:style>
  <w:style w:type="paragraph" w:customStyle="1" w:styleId="127">
    <w:name w:val="xl11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sz w:val="18"/>
      <w:szCs w:val="18"/>
    </w:rPr>
  </w:style>
  <w:style w:type="paragraph" w:customStyle="1" w:styleId="128">
    <w:name w:val="标题9"/>
    <w:basedOn w:val="1"/>
    <w:qFormat/>
    <w:uiPriority w:val="0"/>
    <w:pPr>
      <w:spacing w:line="500" w:lineRule="exact"/>
    </w:pPr>
    <w:rPr>
      <w:b/>
    </w:rPr>
  </w:style>
  <w:style w:type="paragraph" w:customStyle="1" w:styleId="12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sz w:val="20"/>
    </w:rPr>
  </w:style>
  <w:style w:type="paragraph" w:customStyle="1" w:styleId="130">
    <w:name w:val="font13"/>
    <w:basedOn w:val="1"/>
    <w:qFormat/>
    <w:uiPriority w:val="0"/>
    <w:pPr>
      <w:widowControl/>
      <w:spacing w:before="100" w:beforeAutospacing="1" w:after="100" w:afterAutospacing="1"/>
      <w:jc w:val="left"/>
    </w:pPr>
    <w:rPr>
      <w:rFonts w:hint="eastAsia" w:ascii="宋体" w:hAnsi="宋体" w:cs="Arial Unicode MS"/>
      <w:b/>
      <w:bCs/>
      <w:color w:val="FF0000"/>
      <w:sz w:val="16"/>
      <w:szCs w:val="16"/>
    </w:rPr>
  </w:style>
  <w:style w:type="paragraph" w:customStyle="1" w:styleId="131">
    <w:name w:val="Char Char Char Char Char Char1 Char Char Char Char Char Char Char Char Char Char"/>
    <w:basedOn w:val="1"/>
    <w:qFormat/>
    <w:uiPriority w:val="0"/>
  </w:style>
  <w:style w:type="paragraph" w:customStyle="1" w:styleId="132">
    <w:name w:val="Char Char Char Char Char Char"/>
    <w:basedOn w:val="1"/>
    <w:qFormat/>
    <w:uiPriority w:val="0"/>
  </w:style>
  <w:style w:type="paragraph" w:customStyle="1" w:styleId="133">
    <w:name w:val="Char2 Char Char Char Char Char1 Char Char Char Char"/>
    <w:basedOn w:val="1"/>
    <w:qFormat/>
    <w:uiPriority w:val="0"/>
    <w:pPr>
      <w:widowControl/>
      <w:jc w:val="left"/>
    </w:pPr>
    <w:rPr>
      <w:rFonts w:ascii="宋体" w:hAnsi="宋体" w:cs="宋体"/>
    </w:rPr>
  </w:style>
  <w:style w:type="paragraph" w:customStyle="1" w:styleId="13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sz w:val="16"/>
      <w:szCs w:val="16"/>
    </w:rPr>
  </w:style>
  <w:style w:type="paragraph" w:customStyle="1" w:styleId="135">
    <w:name w:val="xl11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sz w:val="18"/>
      <w:szCs w:val="18"/>
    </w:rPr>
  </w:style>
  <w:style w:type="paragraph" w:customStyle="1" w:styleId="136">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18"/>
      <w:szCs w:val="18"/>
    </w:rPr>
  </w:style>
  <w:style w:type="paragraph" w:customStyle="1" w:styleId="137">
    <w:name w:val="font6"/>
    <w:basedOn w:val="1"/>
    <w:qFormat/>
    <w:uiPriority w:val="0"/>
    <w:pPr>
      <w:widowControl/>
      <w:spacing w:before="100" w:beforeAutospacing="1" w:after="100" w:afterAutospacing="1"/>
      <w:jc w:val="left"/>
    </w:pPr>
    <w:rPr>
      <w:rFonts w:hint="eastAsia" w:ascii="宋体" w:hAnsi="宋体" w:cs="Arial Unicode MS"/>
      <w:b/>
      <w:bCs/>
      <w:sz w:val="32"/>
      <w:szCs w:val="32"/>
    </w:rPr>
  </w:style>
  <w:style w:type="paragraph" w:customStyle="1" w:styleId="138">
    <w:name w:val="注×："/>
    <w:qFormat/>
    <w:uiPriority w:val="0"/>
    <w:pPr>
      <w:widowControl w:val="0"/>
      <w:tabs>
        <w:tab w:val="left" w:pos="630"/>
      </w:tabs>
      <w:autoSpaceDE w:val="0"/>
      <w:autoSpaceDN w:val="0"/>
      <w:jc w:val="both"/>
    </w:pPr>
    <w:rPr>
      <w:rFonts w:ascii="宋体" w:hAnsi="Times New Roman" w:eastAsia="宋体" w:cs="Times New Roman"/>
      <w:sz w:val="18"/>
      <w:lang w:val="en-US" w:eastAsia="zh-CN" w:bidi="ar-SA"/>
    </w:rPr>
  </w:style>
  <w:style w:type="paragraph" w:customStyle="1" w:styleId="139">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sz w:val="20"/>
    </w:rPr>
  </w:style>
  <w:style w:type="paragraph" w:customStyle="1" w:styleId="140">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rPr>
  </w:style>
  <w:style w:type="paragraph" w:customStyle="1" w:styleId="141">
    <w:name w:val="标题5"/>
    <w:basedOn w:val="1"/>
    <w:qFormat/>
    <w:uiPriority w:val="0"/>
    <w:pPr>
      <w:spacing w:line="500" w:lineRule="exact"/>
    </w:pPr>
    <w:rPr>
      <w:b/>
      <w:color w:val="000000"/>
    </w:rPr>
  </w:style>
  <w:style w:type="paragraph" w:customStyle="1" w:styleId="142">
    <w:name w:val="标题6"/>
    <w:basedOn w:val="1"/>
    <w:qFormat/>
    <w:uiPriority w:val="0"/>
    <w:pPr>
      <w:spacing w:line="500" w:lineRule="exact"/>
    </w:pPr>
    <w:rPr>
      <w:b/>
    </w:rPr>
  </w:style>
  <w:style w:type="paragraph" w:customStyle="1" w:styleId="143">
    <w:name w:val="font7"/>
    <w:basedOn w:val="1"/>
    <w:qFormat/>
    <w:uiPriority w:val="0"/>
    <w:pPr>
      <w:widowControl/>
      <w:spacing w:before="100" w:beforeAutospacing="1" w:after="100" w:afterAutospacing="1"/>
      <w:jc w:val="left"/>
    </w:pPr>
    <w:rPr>
      <w:rFonts w:hint="eastAsia" w:ascii="宋体" w:hAnsi="宋体" w:cs="Arial Unicode MS"/>
      <w:b/>
      <w:bCs/>
      <w:sz w:val="16"/>
      <w:szCs w:val="16"/>
    </w:rPr>
  </w:style>
  <w:style w:type="paragraph" w:customStyle="1" w:styleId="144">
    <w:name w:val="默认段落字体 Para Char Char Char Char"/>
    <w:basedOn w:val="1"/>
    <w:qFormat/>
    <w:uiPriority w:val="0"/>
  </w:style>
  <w:style w:type="paragraph" w:customStyle="1" w:styleId="145">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sz w:val="18"/>
      <w:szCs w:val="18"/>
    </w:rPr>
  </w:style>
  <w:style w:type="paragraph" w:customStyle="1" w:styleId="146">
    <w:name w:val="表格"/>
    <w:basedOn w:val="1"/>
    <w:qFormat/>
    <w:uiPriority w:val="0"/>
    <w:pPr>
      <w:jc w:val="center"/>
      <w:textAlignment w:val="baseline"/>
    </w:pPr>
    <w:rPr>
      <w:rFonts w:ascii="宋体"/>
    </w:rPr>
  </w:style>
  <w:style w:type="paragraph" w:customStyle="1" w:styleId="147">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148">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16"/>
      <w:szCs w:val="16"/>
    </w:rPr>
  </w:style>
  <w:style w:type="paragraph" w:customStyle="1" w:styleId="149">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sz w:val="16"/>
      <w:szCs w:val="16"/>
    </w:rPr>
  </w:style>
  <w:style w:type="paragraph" w:customStyle="1" w:styleId="150">
    <w:name w:val="xl26"/>
    <w:basedOn w:val="1"/>
    <w:qFormat/>
    <w:uiPriority w:val="0"/>
    <w:pPr>
      <w:widowControl/>
      <w:pBdr>
        <w:top w:val="single" w:color="auto" w:sz="4" w:space="0"/>
        <w:left w:val="single" w:color="auto" w:sz="4" w:space="0"/>
        <w:bottom w:val="single" w:color="auto" w:sz="4" w:space="0"/>
        <w:right w:val="single" w:color="auto" w:sz="4" w:space="0"/>
      </w:pBdr>
      <w:shd w:val="clear" w:color="auto" w:fill="CCFFFF"/>
      <w:spacing w:before="100" w:beforeAutospacing="1" w:after="100" w:afterAutospacing="1"/>
      <w:jc w:val="center"/>
      <w:textAlignment w:val="center"/>
    </w:pPr>
    <w:rPr>
      <w:rFonts w:eastAsia="Arial Unicode MS"/>
      <w:b/>
      <w:bCs/>
      <w:color w:val="FF0000"/>
      <w:sz w:val="16"/>
      <w:szCs w:val="16"/>
    </w:rPr>
  </w:style>
  <w:style w:type="paragraph" w:customStyle="1" w:styleId="151">
    <w:name w:val="标题7"/>
    <w:basedOn w:val="1"/>
    <w:qFormat/>
    <w:uiPriority w:val="0"/>
    <w:pPr>
      <w:spacing w:line="500" w:lineRule="exact"/>
    </w:pPr>
    <w:rPr>
      <w:b/>
    </w:rPr>
  </w:style>
  <w:style w:type="paragraph" w:customStyle="1" w:styleId="152">
    <w:name w:val="表、图名"/>
    <w:basedOn w:val="1"/>
    <w:next w:val="1"/>
    <w:qFormat/>
    <w:uiPriority w:val="0"/>
    <w:pPr>
      <w:spacing w:beforeLines="50" w:afterLines="50" w:line="240" w:lineRule="atLeast"/>
      <w:jc w:val="center"/>
    </w:pPr>
    <w:rPr>
      <w:rFonts w:ascii="黑体" w:hAnsi="宋体" w:eastAsia="黑体"/>
      <w:bCs/>
      <w:color w:val="000000"/>
    </w:rPr>
  </w:style>
  <w:style w:type="paragraph" w:customStyle="1" w:styleId="153">
    <w:name w:val="xl24"/>
    <w:basedOn w:val="1"/>
    <w:qFormat/>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center"/>
      <w:textAlignment w:val="center"/>
    </w:pPr>
    <w:rPr>
      <w:rFonts w:ascii="Arial Unicode MS" w:hAnsi="Arial Unicode MS" w:eastAsia="Arial Unicode MS" w:cs="Arial Unicode MS"/>
      <w:b/>
      <w:bCs/>
      <w:sz w:val="16"/>
      <w:szCs w:val="16"/>
    </w:rPr>
  </w:style>
  <w:style w:type="paragraph" w:customStyle="1" w:styleId="154">
    <w:name w:val="Char Char Char"/>
    <w:basedOn w:val="1"/>
    <w:qFormat/>
    <w:uiPriority w:val="0"/>
    <w:rPr>
      <w:rFonts w:eastAsia="黑体"/>
      <w:b/>
      <w:bCs/>
      <w:kern w:val="44"/>
      <w:sz w:val="32"/>
      <w:szCs w:val="32"/>
    </w:rPr>
  </w:style>
  <w:style w:type="paragraph" w:customStyle="1" w:styleId="155">
    <w:name w:val="font14"/>
    <w:basedOn w:val="1"/>
    <w:qFormat/>
    <w:uiPriority w:val="0"/>
    <w:pPr>
      <w:widowControl/>
      <w:spacing w:before="100" w:beforeAutospacing="1" w:after="100" w:afterAutospacing="1"/>
      <w:jc w:val="left"/>
    </w:pPr>
    <w:rPr>
      <w:rFonts w:eastAsia="Arial Unicode MS"/>
      <w:b/>
      <w:bCs/>
      <w:sz w:val="32"/>
      <w:szCs w:val="32"/>
    </w:rPr>
  </w:style>
  <w:style w:type="paragraph" w:customStyle="1" w:styleId="156">
    <w:name w:val="xl30"/>
    <w:basedOn w:val="1"/>
    <w:qFormat/>
    <w:uiPriority w:val="0"/>
    <w:pPr>
      <w:widowControl/>
      <w:pBdr>
        <w:bottom w:val="single" w:color="auto" w:sz="4" w:space="0"/>
      </w:pBdr>
      <w:spacing w:before="100" w:beforeAutospacing="1" w:after="100" w:afterAutospacing="1"/>
      <w:jc w:val="center"/>
    </w:pPr>
    <w:rPr>
      <w:rFonts w:ascii="Arial Unicode MS" w:hAnsi="Arial Unicode MS" w:eastAsia="Arial Unicode MS" w:cs="Arial Unicode MS"/>
      <w:b/>
      <w:bCs/>
      <w:sz w:val="32"/>
      <w:szCs w:val="32"/>
    </w:rPr>
  </w:style>
  <w:style w:type="paragraph" w:customStyle="1" w:styleId="157">
    <w:name w:val="xl29"/>
    <w:basedOn w:val="1"/>
    <w:qFormat/>
    <w:uiPriority w:val="0"/>
    <w:pPr>
      <w:widowControl/>
      <w:pBdr>
        <w:top w:val="single" w:color="auto" w:sz="4" w:space="0"/>
        <w:left w:val="single" w:color="auto" w:sz="4" w:space="0"/>
        <w:bottom w:val="single" w:color="auto" w:sz="4" w:space="0"/>
        <w:right w:val="single" w:color="auto" w:sz="4" w:space="0"/>
      </w:pBdr>
      <w:shd w:val="clear" w:color="auto" w:fill="CCFFFF"/>
      <w:spacing w:before="100" w:beforeAutospacing="1" w:after="100" w:afterAutospacing="1"/>
      <w:jc w:val="left"/>
    </w:pPr>
    <w:rPr>
      <w:rFonts w:ascii="Arial Unicode MS" w:hAnsi="Arial Unicode MS" w:eastAsia="Arial Unicode MS" w:cs="Arial Unicode MS"/>
      <w:b/>
      <w:bCs/>
      <w:color w:val="FF0000"/>
      <w:sz w:val="16"/>
      <w:szCs w:val="16"/>
    </w:rPr>
  </w:style>
  <w:style w:type="paragraph" w:customStyle="1" w:styleId="158">
    <w:name w:val="xl35"/>
    <w:basedOn w:val="1"/>
    <w:qFormat/>
    <w:uiPriority w:val="0"/>
    <w:pPr>
      <w:widowControl/>
      <w:pBdr>
        <w:left w:val="single" w:color="auto" w:sz="8" w:space="0"/>
        <w:right w:val="single" w:color="auto" w:sz="4" w:space="0"/>
      </w:pBdr>
      <w:spacing w:before="100" w:after="100"/>
      <w:jc w:val="center"/>
      <w:textAlignment w:val="center"/>
    </w:pPr>
  </w:style>
  <w:style w:type="paragraph" w:customStyle="1" w:styleId="159">
    <w:name w:val="xl11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sz w:val="18"/>
      <w:szCs w:val="18"/>
    </w:rPr>
  </w:style>
  <w:style w:type="paragraph" w:customStyle="1" w:styleId="160">
    <w:name w:val="Char2 Char Char Char Char Char Char Char Char Char"/>
    <w:basedOn w:val="1"/>
    <w:qFormat/>
    <w:uiPriority w:val="0"/>
    <w:pPr>
      <w:widowControl/>
      <w:jc w:val="left"/>
    </w:pPr>
    <w:rPr>
      <w:rFonts w:ascii="宋体" w:hAnsi="宋体" w:cs="宋体"/>
    </w:rPr>
  </w:style>
  <w:style w:type="paragraph" w:customStyle="1" w:styleId="161">
    <w:name w:val="xl11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sz w:val="18"/>
      <w:szCs w:val="18"/>
    </w:rPr>
  </w:style>
  <w:style w:type="paragraph" w:customStyle="1" w:styleId="162">
    <w:name w:val="p0"/>
    <w:basedOn w:val="1"/>
    <w:qFormat/>
    <w:uiPriority w:val="0"/>
    <w:pPr>
      <w:widowControl/>
      <w:spacing w:line="400" w:lineRule="exact"/>
    </w:pPr>
    <w:rPr>
      <w:rFonts w:ascii="宋体"/>
      <w:szCs w:val="21"/>
    </w:rPr>
  </w:style>
  <w:style w:type="paragraph" w:customStyle="1" w:styleId="163">
    <w:name w:val="章标题"/>
    <w:next w:val="1"/>
    <w:qFormat/>
    <w:uiPriority w:val="0"/>
    <w:pPr>
      <w:numPr>
        <w:ilvl w:val="1"/>
        <w:numId w:val="2"/>
      </w:numPr>
      <w:tabs>
        <w:tab w:val="left" w:pos="1400"/>
      </w:tabs>
      <w:spacing w:beforeLines="50" w:afterLines="50"/>
      <w:ind w:left="1400" w:hanging="420"/>
      <w:jc w:val="both"/>
      <w:outlineLvl w:val="1"/>
    </w:pPr>
    <w:rPr>
      <w:rFonts w:ascii="黑体" w:hAnsi="Times New Roman" w:eastAsia="黑体" w:cs="Times New Roman"/>
      <w:sz w:val="21"/>
      <w:lang w:val="en-US" w:eastAsia="zh-CN" w:bidi="ar-SA"/>
    </w:rPr>
  </w:style>
  <w:style w:type="paragraph" w:customStyle="1" w:styleId="164">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18"/>
      <w:szCs w:val="18"/>
    </w:rPr>
  </w:style>
  <w:style w:type="paragraph" w:customStyle="1" w:styleId="165">
    <w:name w:val="正文图标题"/>
    <w:next w:val="1"/>
    <w:qFormat/>
    <w:uiPriority w:val="0"/>
    <w:pPr>
      <w:jc w:val="center"/>
    </w:pPr>
    <w:rPr>
      <w:rFonts w:ascii="黑体" w:hAnsi="Times New Roman" w:eastAsia="黑体" w:cs="Times New Roman"/>
      <w:sz w:val="21"/>
      <w:lang w:val="en-US" w:eastAsia="zh-CN" w:bidi="ar-SA"/>
    </w:rPr>
  </w:style>
  <w:style w:type="paragraph" w:customStyle="1" w:styleId="166">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styleId="167">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8">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0"/>
    </w:rPr>
  </w:style>
  <w:style w:type="paragraph" w:customStyle="1" w:styleId="169">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17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171">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新宋体" w:hAnsi="新宋体" w:eastAsia="新宋体" w:cs="宋体"/>
      <w:sz w:val="18"/>
      <w:szCs w:val="18"/>
    </w:rPr>
  </w:style>
  <w:style w:type="paragraph" w:customStyle="1" w:styleId="172">
    <w:name w:val="2"/>
    <w:basedOn w:val="1"/>
    <w:next w:val="24"/>
    <w:qFormat/>
    <w:uiPriority w:val="0"/>
    <w:rPr>
      <w:rFonts w:ascii="宋体" w:hAnsi="Courier New"/>
    </w:rPr>
  </w:style>
  <w:style w:type="paragraph" w:customStyle="1" w:styleId="173">
    <w:name w:val="3"/>
    <w:basedOn w:val="1"/>
    <w:next w:val="20"/>
    <w:qFormat/>
    <w:uiPriority w:val="0"/>
    <w:pPr>
      <w:ind w:firstLine="420"/>
    </w:pPr>
    <w:rPr>
      <w:rFonts w:ascii="宋体"/>
    </w:rPr>
  </w:style>
  <w:style w:type="paragraph" w:customStyle="1" w:styleId="174">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175">
    <w:name w:val="font11"/>
    <w:basedOn w:val="1"/>
    <w:qFormat/>
    <w:uiPriority w:val="0"/>
    <w:pPr>
      <w:widowControl/>
      <w:spacing w:before="100" w:beforeAutospacing="1" w:after="100" w:afterAutospacing="1"/>
      <w:jc w:val="left"/>
    </w:pPr>
    <w:rPr>
      <w:rFonts w:eastAsia="Arial Unicode MS"/>
      <w:b/>
      <w:bCs/>
      <w:color w:val="FF0000"/>
      <w:sz w:val="16"/>
      <w:szCs w:val="16"/>
    </w:rPr>
  </w:style>
  <w:style w:type="paragraph" w:customStyle="1" w:styleId="176">
    <w:name w:val="默认段落字体 Para Char"/>
    <w:basedOn w:val="1"/>
    <w:qFormat/>
    <w:uiPriority w:val="0"/>
  </w:style>
  <w:style w:type="paragraph" w:customStyle="1" w:styleId="177">
    <w:name w:val="标题8"/>
    <w:basedOn w:val="1"/>
    <w:qFormat/>
    <w:uiPriority w:val="0"/>
    <w:pPr>
      <w:spacing w:line="520" w:lineRule="exact"/>
    </w:pPr>
    <w:rPr>
      <w:b/>
    </w:rPr>
  </w:style>
  <w:style w:type="paragraph" w:customStyle="1" w:styleId="178">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新宋体" w:hAnsi="新宋体" w:eastAsia="新宋体" w:cs="宋体"/>
      <w:sz w:val="20"/>
    </w:rPr>
  </w:style>
  <w:style w:type="paragraph" w:customStyle="1" w:styleId="179">
    <w:name w:val="Char Char Char Char Char Char1 Char Char Char Char Char Char Char Char Char Char Char Char Char"/>
    <w:basedOn w:val="1"/>
    <w:qFormat/>
    <w:uiPriority w:val="0"/>
  </w:style>
  <w:style w:type="paragraph" w:customStyle="1" w:styleId="180">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181">
    <w:name w:val="Char Char Char Char Char Char Char Char Char Char Char Char Char Char Char Char Char Char Char Char Char Char Char Char Char"/>
    <w:basedOn w:val="1"/>
    <w:qFormat/>
    <w:uiPriority w:val="0"/>
  </w:style>
  <w:style w:type="paragraph" w:customStyle="1" w:styleId="182">
    <w:name w:val="附录图标题"/>
    <w:next w:val="6"/>
    <w:qFormat/>
    <w:uiPriority w:val="0"/>
    <w:pPr>
      <w:jc w:val="center"/>
    </w:pPr>
    <w:rPr>
      <w:rFonts w:ascii="黑体" w:hAnsi="Times New Roman" w:eastAsia="黑体" w:cs="Times New Roman"/>
      <w:sz w:val="21"/>
      <w:lang w:val="en-US" w:eastAsia="zh-CN" w:bidi="ar-SA"/>
    </w:rPr>
  </w:style>
  <w:style w:type="paragraph" w:customStyle="1" w:styleId="183">
    <w:name w:val="xl9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新宋体" w:hAnsi="新宋体" w:eastAsia="新宋体" w:cs="宋体"/>
      <w:sz w:val="20"/>
    </w:rPr>
  </w:style>
  <w:style w:type="paragraph" w:customStyle="1" w:styleId="184">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新宋体" w:hAnsi="新宋体" w:eastAsia="新宋体" w:cs="宋体"/>
      <w:color w:val="FF0000"/>
      <w:sz w:val="18"/>
      <w:szCs w:val="18"/>
    </w:rPr>
  </w:style>
  <w:style w:type="paragraph" w:customStyle="1" w:styleId="185">
    <w:name w:val="b-zw"/>
    <w:basedOn w:val="1"/>
    <w:qFormat/>
    <w:uiPriority w:val="0"/>
    <w:pPr>
      <w:tabs>
        <w:tab w:val="left" w:pos="180"/>
      </w:tabs>
      <w:spacing w:line="480" w:lineRule="exact"/>
      <w:ind w:firstLine="480"/>
    </w:pPr>
    <w:rPr>
      <w:rFonts w:ascii="宋体"/>
      <w:color w:val="000000"/>
    </w:rPr>
  </w:style>
  <w:style w:type="paragraph" w:customStyle="1" w:styleId="186">
    <w:name w:val="Char2 Char Char Char Char Char Char"/>
    <w:basedOn w:val="1"/>
    <w:qFormat/>
    <w:uiPriority w:val="0"/>
    <w:pPr>
      <w:widowControl/>
      <w:jc w:val="left"/>
    </w:pPr>
    <w:rPr>
      <w:rFonts w:ascii="宋体" w:hAnsi="宋体" w:cs="宋体"/>
    </w:rPr>
  </w:style>
  <w:style w:type="paragraph" w:customStyle="1" w:styleId="187">
    <w:name w:val="Char2 Char Char Char Char Char Char Char Char Char Char Char Char Char Char Char"/>
    <w:basedOn w:val="1"/>
    <w:qFormat/>
    <w:uiPriority w:val="0"/>
    <w:pPr>
      <w:widowControl/>
      <w:jc w:val="left"/>
    </w:pPr>
    <w:rPr>
      <w:rFonts w:ascii="宋体" w:hAnsi="宋体" w:cs="宋体"/>
    </w:rPr>
  </w:style>
  <w:style w:type="paragraph" w:customStyle="1" w:styleId="188">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sz w:val="18"/>
      <w:szCs w:val="18"/>
    </w:rPr>
  </w:style>
  <w:style w:type="paragraph" w:customStyle="1" w:styleId="189">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190">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sz w:val="20"/>
    </w:rPr>
  </w:style>
  <w:style w:type="paragraph" w:customStyle="1" w:styleId="19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192">
    <w:name w:val="杨"/>
    <w:basedOn w:val="1"/>
    <w:qFormat/>
    <w:uiPriority w:val="0"/>
    <w:pPr>
      <w:spacing w:line="300" w:lineRule="auto"/>
    </w:pPr>
    <w:rPr>
      <w:rFonts w:ascii="宋体" w:hAnsi="宋体"/>
    </w:rPr>
  </w:style>
  <w:style w:type="paragraph" w:customStyle="1" w:styleId="193">
    <w:name w:val="标题2"/>
    <w:basedOn w:val="1"/>
    <w:qFormat/>
    <w:uiPriority w:val="0"/>
    <w:pPr>
      <w:spacing w:line="500" w:lineRule="exact"/>
    </w:pPr>
    <w:rPr>
      <w:b/>
    </w:rPr>
  </w:style>
  <w:style w:type="paragraph" w:customStyle="1" w:styleId="194">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新宋体" w:hAnsi="新宋体" w:eastAsia="新宋体" w:cs="宋体"/>
      <w:sz w:val="20"/>
    </w:rPr>
  </w:style>
  <w:style w:type="paragraph" w:customStyle="1" w:styleId="195">
    <w:name w:val="TOC 标题1"/>
    <w:basedOn w:val="2"/>
    <w:next w:val="1"/>
    <w:qFormat/>
    <w:uiPriority w:val="39"/>
    <w:pPr>
      <w:widowControl/>
      <w:spacing w:before="480" w:line="276" w:lineRule="auto"/>
      <w:jc w:val="left"/>
      <w:outlineLvl w:val="9"/>
    </w:pPr>
    <w:rPr>
      <w:rFonts w:ascii="Cambria" w:hAnsi="Cambria"/>
      <w:color w:val="365F91"/>
      <w:sz w:val="28"/>
      <w:szCs w:val="28"/>
    </w:rPr>
  </w:style>
  <w:style w:type="paragraph" w:customStyle="1" w:styleId="196">
    <w:name w:val="附录一级条标题"/>
    <w:basedOn w:val="1"/>
    <w:next w:val="1"/>
    <w:qFormat/>
    <w:uiPriority w:val="0"/>
    <w:pPr>
      <w:widowControl/>
      <w:tabs>
        <w:tab w:val="left" w:pos="360"/>
        <w:tab w:val="left" w:pos="1260"/>
      </w:tabs>
      <w:wordWrap w:val="0"/>
      <w:overflowPunct w:val="0"/>
      <w:autoSpaceDE w:val="0"/>
      <w:autoSpaceDN w:val="0"/>
      <w:ind w:left="1260" w:hanging="420"/>
      <w:textAlignment w:val="baseline"/>
      <w:outlineLvl w:val="2"/>
    </w:pPr>
    <w:rPr>
      <w:rFonts w:ascii="黑体" w:eastAsia="黑体"/>
      <w:kern w:val="21"/>
    </w:rPr>
  </w:style>
  <w:style w:type="paragraph" w:customStyle="1" w:styleId="197">
    <w:name w:val="标题 2 + 黑体"/>
    <w:basedOn w:val="2"/>
    <w:qFormat/>
    <w:uiPriority w:val="0"/>
    <w:pPr>
      <w:spacing w:line="600" w:lineRule="exact"/>
      <w:jc w:val="both"/>
    </w:pPr>
    <w:rPr>
      <w:rFonts w:ascii="黑体" w:eastAsia="黑体"/>
      <w:b w:val="0"/>
      <w:bCs w:val="0"/>
      <w:kern w:val="2"/>
      <w:szCs w:val="32"/>
    </w:rPr>
  </w:style>
  <w:style w:type="paragraph" w:customStyle="1" w:styleId="198">
    <w:name w:val="标题11"/>
    <w:basedOn w:val="1"/>
    <w:qFormat/>
    <w:uiPriority w:val="0"/>
    <w:pPr>
      <w:tabs>
        <w:tab w:val="left" w:pos="0"/>
      </w:tabs>
      <w:spacing w:line="500" w:lineRule="exact"/>
    </w:pPr>
    <w:rPr>
      <w:b/>
    </w:rPr>
  </w:style>
  <w:style w:type="paragraph" w:customStyle="1" w:styleId="199">
    <w:name w:val="xl28"/>
    <w:basedOn w:val="1"/>
    <w:qFormat/>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center"/>
      <w:textAlignment w:val="center"/>
    </w:pPr>
    <w:rPr>
      <w:rFonts w:eastAsia="Arial Unicode MS"/>
      <w:b/>
      <w:bCs/>
      <w:color w:val="800000"/>
      <w:sz w:val="16"/>
      <w:szCs w:val="16"/>
    </w:rPr>
  </w:style>
  <w:style w:type="paragraph" w:customStyle="1" w:styleId="200">
    <w:name w:val="附录章标题"/>
    <w:next w:val="1"/>
    <w:qFormat/>
    <w:uiPriority w:val="0"/>
    <w:pPr>
      <w:tabs>
        <w:tab w:val="left" w:pos="360"/>
      </w:tabs>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201">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sz w:val="20"/>
    </w:rPr>
  </w:style>
  <w:style w:type="paragraph" w:customStyle="1" w:styleId="202">
    <w:name w:val="默认段落字体 Para Char Char Char Char Char Char Char"/>
    <w:basedOn w:val="1"/>
    <w:qFormat/>
    <w:uiPriority w:val="0"/>
  </w:style>
  <w:style w:type="paragraph" w:customStyle="1" w:styleId="20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20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sz w:val="20"/>
    </w:rPr>
  </w:style>
  <w:style w:type="paragraph" w:customStyle="1" w:styleId="205">
    <w:name w:val="xl100"/>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center"/>
      <w:textAlignment w:val="center"/>
    </w:pPr>
    <w:rPr>
      <w:rFonts w:ascii="新宋体" w:hAnsi="新宋体" w:eastAsia="新宋体" w:cs="宋体"/>
      <w:sz w:val="20"/>
    </w:rPr>
  </w:style>
  <w:style w:type="paragraph" w:customStyle="1" w:styleId="206">
    <w:name w:val="五级条标题"/>
    <w:basedOn w:val="1"/>
    <w:next w:val="6"/>
    <w:qFormat/>
    <w:uiPriority w:val="0"/>
    <w:pPr>
      <w:widowControl/>
      <w:outlineLvl w:val="6"/>
    </w:pPr>
    <w:rPr>
      <w:rFonts w:ascii="黑体" w:eastAsia="黑体"/>
    </w:rPr>
  </w:style>
  <w:style w:type="paragraph" w:customStyle="1" w:styleId="207">
    <w:name w:val="标题1"/>
    <w:basedOn w:val="198"/>
    <w:qFormat/>
    <w:uiPriority w:val="0"/>
  </w:style>
  <w:style w:type="paragraph" w:customStyle="1" w:styleId="208">
    <w:name w:val="标题3"/>
    <w:basedOn w:val="198"/>
    <w:qFormat/>
    <w:uiPriority w:val="0"/>
  </w:style>
  <w:style w:type="paragraph" w:customStyle="1" w:styleId="209">
    <w:name w:val="标题12"/>
    <w:basedOn w:val="1"/>
    <w:qFormat/>
    <w:uiPriority w:val="0"/>
    <w:pPr>
      <w:spacing w:line="500" w:lineRule="exact"/>
    </w:pPr>
    <w:rPr>
      <w:b/>
    </w:rPr>
  </w:style>
  <w:style w:type="paragraph" w:customStyle="1" w:styleId="210">
    <w:name w:val="Char"/>
    <w:basedOn w:val="1"/>
    <w:qFormat/>
    <w:uiPriority w:val="0"/>
  </w:style>
  <w:style w:type="paragraph" w:customStyle="1" w:styleId="211">
    <w:name w:val="xl27"/>
    <w:basedOn w:val="1"/>
    <w:qFormat/>
    <w:uiPriority w:val="0"/>
    <w:pPr>
      <w:widowControl/>
      <w:pBdr>
        <w:top w:val="single" w:color="auto" w:sz="4" w:space="0"/>
        <w:left w:val="single" w:color="auto" w:sz="4" w:space="0"/>
        <w:bottom w:val="single" w:color="auto" w:sz="4" w:space="0"/>
        <w:right w:val="single" w:color="auto" w:sz="4" w:space="0"/>
      </w:pBdr>
      <w:shd w:val="clear" w:color="auto" w:fill="FFFF99"/>
      <w:spacing w:before="100" w:beforeAutospacing="1" w:after="100" w:afterAutospacing="1"/>
      <w:jc w:val="center"/>
      <w:textAlignment w:val="center"/>
    </w:pPr>
    <w:rPr>
      <w:rFonts w:ascii="Arial Unicode MS" w:hAnsi="Arial Unicode MS" w:eastAsia="Arial Unicode MS" w:cs="Arial Unicode MS"/>
      <w:b/>
      <w:bCs/>
      <w:color w:val="800000"/>
      <w:sz w:val="16"/>
      <w:szCs w:val="16"/>
    </w:rPr>
  </w:style>
  <w:style w:type="paragraph" w:customStyle="1" w:styleId="212">
    <w:name w:val="xl10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sz w:val="20"/>
    </w:rPr>
  </w:style>
  <w:style w:type="paragraph" w:customStyle="1" w:styleId="213">
    <w:name w:val="例"/>
    <w:basedOn w:val="1"/>
    <w:qFormat/>
    <w:uiPriority w:val="0"/>
    <w:pPr>
      <w:widowControl/>
      <w:outlineLvl w:val="2"/>
    </w:pPr>
    <w:rPr>
      <w:b/>
    </w:rPr>
  </w:style>
  <w:style w:type="paragraph" w:customStyle="1" w:styleId="214">
    <w:name w:val="xl7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sz w:val="20"/>
    </w:rPr>
  </w:style>
  <w:style w:type="paragraph" w:customStyle="1" w:styleId="215">
    <w:name w:val="xl5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cs="宋体"/>
      <w:sz w:val="20"/>
    </w:rPr>
  </w:style>
  <w:style w:type="paragraph" w:customStyle="1" w:styleId="216">
    <w:name w:val="Char1"/>
    <w:basedOn w:val="1"/>
    <w:qFormat/>
    <w:uiPriority w:val="0"/>
  </w:style>
  <w:style w:type="paragraph" w:customStyle="1" w:styleId="217">
    <w:name w:val="标题10"/>
    <w:basedOn w:val="1"/>
    <w:qFormat/>
    <w:uiPriority w:val="0"/>
    <w:pPr>
      <w:spacing w:line="500" w:lineRule="exact"/>
    </w:pPr>
    <w:rPr>
      <w:b/>
    </w:rPr>
  </w:style>
  <w:style w:type="paragraph" w:customStyle="1" w:styleId="218">
    <w:name w:val="附录标识 Char"/>
    <w:basedOn w:val="1"/>
    <w:qFormat/>
    <w:uiPriority w:val="0"/>
    <w:pPr>
      <w:widowControl/>
      <w:shd w:val="clear" w:color="FFFFFF" w:fill="FFFFFF"/>
      <w:tabs>
        <w:tab w:val="left" w:pos="789"/>
        <w:tab w:val="left" w:pos="6405"/>
      </w:tabs>
      <w:spacing w:before="640" w:after="200"/>
      <w:ind w:left="789" w:hanging="264"/>
      <w:jc w:val="center"/>
      <w:outlineLvl w:val="0"/>
    </w:pPr>
    <w:rPr>
      <w:rFonts w:ascii="黑体" w:eastAsia="黑体"/>
      <w:szCs w:val="21"/>
    </w:rPr>
  </w:style>
  <w:style w:type="paragraph" w:customStyle="1" w:styleId="219">
    <w:name w:val="Char1 Char Char1 Char Char Char Char"/>
    <w:basedOn w:val="1"/>
    <w:qFormat/>
    <w:uiPriority w:val="0"/>
  </w:style>
  <w:style w:type="paragraph" w:customStyle="1" w:styleId="220">
    <w:name w:val="Char11"/>
    <w:basedOn w:val="1"/>
    <w:semiHidden/>
    <w:qFormat/>
    <w:uiPriority w:val="0"/>
  </w:style>
  <w:style w:type="paragraph" w:customStyle="1" w:styleId="221">
    <w:name w:val="Char Char Char Char Char Char2 Char"/>
    <w:basedOn w:val="1"/>
    <w:semiHidden/>
    <w:qFormat/>
    <w:uiPriority w:val="0"/>
  </w:style>
  <w:style w:type="paragraph" w:customStyle="1" w:styleId="222">
    <w:name w:val="xl34"/>
    <w:basedOn w:val="1"/>
    <w:qFormat/>
    <w:uiPriority w:val="0"/>
    <w:pPr>
      <w:widowControl/>
      <w:spacing w:before="100" w:beforeAutospacing="1" w:after="100" w:afterAutospacing="1"/>
      <w:jc w:val="center"/>
      <w:textAlignment w:val="top"/>
    </w:pPr>
    <w:rPr>
      <w:rFonts w:ascii="宋体" w:hAnsi="宋体"/>
    </w:rPr>
  </w:style>
  <w:style w:type="paragraph" w:customStyle="1" w:styleId="22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新宋体" w:hAnsi="新宋体" w:eastAsia="新宋体" w:cs="宋体"/>
      <w:sz w:val="16"/>
      <w:szCs w:val="16"/>
    </w:rPr>
  </w:style>
  <w:style w:type="paragraph" w:customStyle="1" w:styleId="224">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225">
    <w:name w:val="索引 11"/>
    <w:basedOn w:val="1"/>
    <w:next w:val="1"/>
    <w:qFormat/>
    <w:uiPriority w:val="0"/>
    <w:pPr>
      <w:spacing w:beforeLines="50" w:afterLines="50" w:line="240" w:lineRule="auto"/>
      <w:ind w:firstLine="0" w:firstLineChars="0"/>
      <w:jc w:val="center"/>
    </w:pPr>
    <w:rPr>
      <w:rFonts w:ascii="宋体" w:hAnsi="宋体"/>
      <w:bCs/>
      <w:sz w:val="21"/>
      <w:szCs w:val="21"/>
    </w:rPr>
  </w:style>
  <w:style w:type="paragraph" w:styleId="226">
    <w:name w:val="List Paragraph"/>
    <w:basedOn w:val="1"/>
    <w:link w:val="227"/>
    <w:qFormat/>
    <w:uiPriority w:val="0"/>
    <w:pPr>
      <w:adjustRightInd/>
      <w:snapToGrid/>
      <w:spacing w:line="240" w:lineRule="auto"/>
      <w:ind w:firstLine="420"/>
    </w:pPr>
    <w:rPr>
      <w:sz w:val="21"/>
    </w:rPr>
  </w:style>
  <w:style w:type="character" w:customStyle="1" w:styleId="227">
    <w:name w:val="列表段落 字符"/>
    <w:link w:val="226"/>
    <w:qFormat/>
    <w:uiPriority w:val="0"/>
    <w:rPr>
      <w:kern w:val="2"/>
      <w:sz w:val="21"/>
    </w:rPr>
  </w:style>
  <w:style w:type="paragraph" w:customStyle="1" w:styleId="228">
    <w:name w:val="IDDS表图注"/>
    <w:basedOn w:val="1"/>
    <w:qFormat/>
    <w:uiPriority w:val="0"/>
    <w:pPr>
      <w:adjustRightInd/>
      <w:snapToGrid/>
      <w:ind w:firstLine="0" w:firstLineChars="0"/>
      <w:jc w:val="center"/>
    </w:pPr>
    <w:rPr>
      <w:rFonts w:ascii="宋体" w:hAnsi="宋体" w:cs="宋体"/>
      <w:b/>
      <w:bCs/>
      <w:sz w:val="21"/>
    </w:rPr>
  </w:style>
  <w:style w:type="paragraph" w:styleId="229">
    <w:name w:val="Quote"/>
    <w:basedOn w:val="1"/>
    <w:next w:val="1"/>
    <w:link w:val="230"/>
    <w:qFormat/>
    <w:uiPriority w:val="29"/>
    <w:pPr>
      <w:adjustRightInd/>
      <w:snapToGrid/>
      <w:jc w:val="left"/>
    </w:pPr>
    <w:rPr>
      <w:iCs/>
      <w:color w:val="000000"/>
    </w:rPr>
  </w:style>
  <w:style w:type="character" w:customStyle="1" w:styleId="230">
    <w:name w:val="引用 字符"/>
    <w:link w:val="229"/>
    <w:qFormat/>
    <w:uiPriority w:val="29"/>
    <w:rPr>
      <w:iCs/>
      <w:color w:val="000000"/>
      <w:kern w:val="2"/>
      <w:sz w:val="28"/>
    </w:rPr>
  </w:style>
  <w:style w:type="paragraph" w:customStyle="1" w:styleId="231">
    <w:name w:val="Table Paragraph"/>
    <w:basedOn w:val="1"/>
    <w:qFormat/>
    <w:uiPriority w:val="1"/>
    <w:pPr>
      <w:adjustRightInd/>
      <w:snapToGrid/>
      <w:spacing w:before="8" w:line="240" w:lineRule="auto"/>
      <w:ind w:firstLine="0" w:firstLineChars="0"/>
      <w:jc w:val="center"/>
    </w:pPr>
    <w:rPr>
      <w:rFonts w:ascii="宋体" w:hAnsi="宋体" w:cs="宋体"/>
      <w:sz w:val="22"/>
      <w:szCs w:val="22"/>
      <w:lang w:eastAsia="en-US"/>
    </w:rPr>
  </w:style>
  <w:style w:type="paragraph" w:customStyle="1" w:styleId="232">
    <w:name w:val="纯文本1"/>
    <w:basedOn w:val="1"/>
    <w:qFormat/>
    <w:uiPriority w:val="0"/>
    <w:pPr>
      <w:adjustRightInd/>
      <w:snapToGrid/>
      <w:spacing w:line="240" w:lineRule="auto"/>
      <w:ind w:firstLine="0" w:firstLineChars="0"/>
    </w:pPr>
    <w:rPr>
      <w:rFonts w:ascii="宋体" w:hAnsi="Courier New"/>
      <w:sz w:val="21"/>
    </w:rPr>
  </w:style>
  <w:style w:type="paragraph" w:customStyle="1" w:styleId="233">
    <w:name w:val="IDDS表格正文"/>
    <w:basedOn w:val="1"/>
    <w:qFormat/>
    <w:uiPriority w:val="0"/>
    <w:pPr>
      <w:adjustRightInd/>
      <w:snapToGrid/>
      <w:spacing w:line="300" w:lineRule="auto"/>
      <w:ind w:firstLine="0" w:firstLineChars="0"/>
      <w:jc w:val="center"/>
    </w:pPr>
    <w:rPr>
      <w:rFonts w:cs="宋体"/>
      <w:sz w:val="21"/>
    </w:rPr>
  </w:style>
  <w:style w:type="paragraph" w:customStyle="1" w:styleId="234">
    <w:name w:val="正文缩进2"/>
    <w:basedOn w:val="1"/>
    <w:qFormat/>
    <w:uiPriority w:val="0"/>
    <w:pPr>
      <w:adjustRightInd/>
      <w:snapToGrid/>
      <w:spacing w:line="240" w:lineRule="auto"/>
      <w:ind w:firstLine="420"/>
    </w:pPr>
    <w:rPr>
      <w:sz w:val="21"/>
    </w:rPr>
  </w:style>
  <w:style w:type="paragraph" w:customStyle="1" w:styleId="235">
    <w:name w:val="Char Char Char Char Char"/>
    <w:basedOn w:val="1"/>
    <w:qFormat/>
    <w:uiPriority w:val="0"/>
    <w:pPr>
      <w:adjustRightInd/>
      <w:snapToGrid/>
      <w:spacing w:line="240" w:lineRule="auto"/>
      <w:ind w:firstLine="0" w:firstLineChars="0"/>
    </w:pPr>
    <w:rPr>
      <w:sz w:val="21"/>
    </w:rPr>
  </w:style>
  <w:style w:type="character" w:customStyle="1" w:styleId="236">
    <w:name w:val="注释标题 Char"/>
    <w:link w:val="237"/>
    <w:qFormat/>
    <w:uiPriority w:val="0"/>
    <w:rPr>
      <w:rFonts w:ascii="宋体" w:cs="宋体"/>
      <w:kern w:val="2"/>
      <w:sz w:val="21"/>
      <w:szCs w:val="21"/>
    </w:rPr>
  </w:style>
  <w:style w:type="paragraph" w:customStyle="1" w:styleId="237">
    <w:name w:val="注释标题1"/>
    <w:basedOn w:val="1"/>
    <w:next w:val="1"/>
    <w:link w:val="236"/>
    <w:qFormat/>
    <w:uiPriority w:val="0"/>
    <w:pPr>
      <w:adjustRightInd/>
      <w:snapToGrid/>
      <w:spacing w:line="240" w:lineRule="auto"/>
      <w:ind w:firstLine="0" w:firstLineChars="0"/>
      <w:jc w:val="center"/>
    </w:pPr>
    <w:rPr>
      <w:rFonts w:ascii="宋体" w:cs="宋体"/>
      <w:sz w:val="21"/>
      <w:szCs w:val="21"/>
    </w:rPr>
  </w:style>
  <w:style w:type="character" w:customStyle="1" w:styleId="238">
    <w:name w:val="head11"/>
    <w:basedOn w:val="47"/>
    <w:qFormat/>
    <w:uiPriority w:val="0"/>
    <w:rPr>
      <w:rFonts w:hint="eastAsia" w:ascii="宋体" w:hAnsi="宋体" w:eastAsia="宋体"/>
      <w:b/>
      <w:bCs/>
      <w:sz w:val="24"/>
      <w:szCs w:val="24"/>
    </w:rPr>
  </w:style>
  <w:style w:type="paragraph" w:customStyle="1" w:styleId="239">
    <w:name w:val="IDDS级标题前专用空行"/>
    <w:basedOn w:val="1"/>
    <w:qFormat/>
    <w:uiPriority w:val="0"/>
    <w:pPr>
      <w:adjustRightInd/>
      <w:spacing w:line="240" w:lineRule="auto"/>
      <w:ind w:firstLine="0" w:firstLineChars="0"/>
    </w:pPr>
    <w:rPr>
      <w:sz w:val="2"/>
    </w:rPr>
  </w:style>
  <w:style w:type="paragraph" w:customStyle="1" w:styleId="240">
    <w:name w:val="Char Char Char Char"/>
    <w:basedOn w:val="1"/>
    <w:semiHidden/>
    <w:qFormat/>
    <w:uiPriority w:val="0"/>
    <w:pPr>
      <w:adjustRightInd/>
      <w:snapToGrid/>
      <w:spacing w:line="240" w:lineRule="auto"/>
      <w:ind w:firstLine="0" w:firstLineChars="0"/>
    </w:pPr>
    <w:rPr>
      <w:sz w:val="21"/>
    </w:rPr>
  </w:style>
  <w:style w:type="table" w:customStyle="1" w:styleId="241">
    <w:name w:val="网格型1"/>
    <w:basedOn w:val="45"/>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42">
    <w:name w:val="xl65"/>
    <w:basedOn w:val="1"/>
    <w:qFormat/>
    <w:uiPriority w:val="0"/>
    <w:pPr>
      <w:widowControl/>
      <w:adjustRightInd/>
      <w:snapToGrid/>
      <w:spacing w:before="100" w:beforeAutospacing="1" w:after="100" w:afterAutospacing="1" w:line="240" w:lineRule="auto"/>
      <w:ind w:firstLine="0" w:firstLineChars="0"/>
      <w:jc w:val="center"/>
      <w:textAlignment w:val="center"/>
    </w:pPr>
    <w:rPr>
      <w:rFonts w:ascii="宋体" w:hAnsi="宋体" w:cs="宋体"/>
      <w:sz w:val="22"/>
      <w:szCs w:val="22"/>
    </w:rPr>
  </w:style>
  <w:style w:type="paragraph" w:customStyle="1" w:styleId="243">
    <w:name w:val="Char Char6 Char Char Char Char Char Char"/>
    <w:basedOn w:val="1"/>
    <w:semiHidden/>
    <w:qFormat/>
    <w:uiPriority w:val="0"/>
    <w:pPr>
      <w:widowControl/>
      <w:adjustRightInd/>
      <w:snapToGrid/>
      <w:ind w:firstLine="0" w:firstLineChars="0"/>
    </w:pPr>
    <w:rPr>
      <w:rFonts w:eastAsia="仿宋_GB2312"/>
      <w:kern w:val="2"/>
      <w:sz w:val="32"/>
      <w:szCs w:val="32"/>
    </w:rPr>
  </w:style>
  <w:style w:type="paragraph" w:customStyle="1" w:styleId="244">
    <w:name w:val="Char Char6 Char Char Char Char Char Char1"/>
    <w:basedOn w:val="1"/>
    <w:semiHidden/>
    <w:qFormat/>
    <w:uiPriority w:val="0"/>
    <w:pPr>
      <w:widowControl/>
      <w:adjustRightInd/>
      <w:snapToGrid/>
      <w:ind w:firstLine="0" w:firstLineChars="0"/>
    </w:pPr>
    <w:rPr>
      <w:rFonts w:eastAsia="仿宋_GB2312"/>
      <w:kern w:val="2"/>
      <w:sz w:val="32"/>
      <w:szCs w:val="32"/>
    </w:rPr>
  </w:style>
  <w:style w:type="paragraph" w:customStyle="1" w:styleId="245">
    <w:name w:val="正文2"/>
    <w:next w:val="1"/>
    <w:link w:val="246"/>
    <w:qFormat/>
    <w:uiPriority w:val="0"/>
    <w:pPr>
      <w:widowControl w:val="0"/>
      <w:kinsoku w:val="0"/>
      <w:overflowPunct w:val="0"/>
      <w:autoSpaceDE w:val="0"/>
      <w:autoSpaceDN w:val="0"/>
      <w:adjustRightInd w:val="0"/>
      <w:snapToGrid w:val="0"/>
      <w:jc w:val="center"/>
      <w:textAlignment w:val="center"/>
    </w:pPr>
    <w:rPr>
      <w:rFonts w:ascii="Times New Roman" w:hAnsi="Times New Roman" w:eastAsia="宋体" w:cs="Times New Roman"/>
      <w:b/>
      <w:bCs/>
      <w:snapToGrid w:val="0"/>
      <w:sz w:val="28"/>
      <w:lang w:val="en-US" w:eastAsia="zh-CN" w:bidi="ar-SA"/>
    </w:rPr>
  </w:style>
  <w:style w:type="character" w:customStyle="1" w:styleId="246">
    <w:name w:val="正文2 Char"/>
    <w:basedOn w:val="47"/>
    <w:link w:val="245"/>
    <w:qFormat/>
    <w:uiPriority w:val="0"/>
    <w:rPr>
      <w:b/>
      <w:bCs/>
      <w:snapToGrid w:val="0"/>
      <w:sz w:val="28"/>
    </w:rPr>
  </w:style>
  <w:style w:type="paragraph" w:customStyle="1" w:styleId="247">
    <w:name w:val="xl63"/>
    <w:basedOn w:val="1"/>
    <w:qFormat/>
    <w:uiPriority w:val="0"/>
    <w:pPr>
      <w:widowControl/>
      <w:adjustRightInd/>
      <w:snapToGrid/>
      <w:spacing w:before="100" w:beforeAutospacing="1" w:after="100" w:afterAutospacing="1" w:line="240" w:lineRule="auto"/>
      <w:ind w:firstLine="0" w:firstLineChars="0"/>
      <w:jc w:val="center"/>
    </w:pPr>
    <w:rPr>
      <w:rFonts w:ascii="宋体" w:hAnsi="宋体" w:cs="宋体"/>
      <w:snapToGrid/>
      <w:szCs w:val="24"/>
    </w:rPr>
  </w:style>
  <w:style w:type="paragraph" w:customStyle="1" w:styleId="248">
    <w:name w:val="xl6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snapToGrid/>
      <w:szCs w:val="24"/>
    </w:rPr>
  </w:style>
  <w:style w:type="character" w:customStyle="1" w:styleId="249">
    <w:name w:val="页码1"/>
    <w:basedOn w:val="47"/>
    <w:qFormat/>
    <w:uiPriority w:val="0"/>
  </w:style>
  <w:style w:type="paragraph" w:customStyle="1" w:styleId="250">
    <w:name w:val="日期1"/>
    <w:basedOn w:val="1"/>
    <w:next w:val="1"/>
    <w:qFormat/>
    <w:uiPriority w:val="0"/>
    <w:pPr>
      <w:snapToGrid/>
      <w:ind w:firstLine="0" w:firstLineChars="0"/>
      <w:textAlignment w:val="baseline"/>
    </w:pPr>
    <w:rPr>
      <w:rFonts w:ascii="宋体"/>
      <w:snapToGrid/>
      <w:spacing w:val="10"/>
    </w:rPr>
  </w:style>
  <w:style w:type="paragraph" w:customStyle="1" w:styleId="251">
    <w:name w:val="题目-正文、"/>
    <w:basedOn w:val="245"/>
    <w:link w:val="252"/>
    <w:qFormat/>
    <w:uiPriority w:val="0"/>
  </w:style>
  <w:style w:type="character" w:customStyle="1" w:styleId="252">
    <w:name w:val="题目-正文、 Char"/>
    <w:basedOn w:val="246"/>
    <w:link w:val="251"/>
    <w:qFormat/>
    <w:uiPriority w:val="0"/>
    <w:rPr>
      <w:snapToGrid w:val="0"/>
      <w:sz w:val="28"/>
    </w:rPr>
  </w:style>
  <w:style w:type="character" w:customStyle="1" w:styleId="253">
    <w:name w:val="段落正文 Char"/>
    <w:link w:val="254"/>
    <w:qFormat/>
    <w:uiPriority w:val="0"/>
    <w:rPr>
      <w:rFonts w:ascii="宋体" w:hAnsi="宋体"/>
      <w:snapToGrid w:val="0"/>
      <w:sz w:val="24"/>
    </w:rPr>
  </w:style>
  <w:style w:type="paragraph" w:customStyle="1" w:styleId="254">
    <w:name w:val="段落正文"/>
    <w:basedOn w:val="43"/>
    <w:next w:val="1"/>
    <w:link w:val="253"/>
    <w:qFormat/>
    <w:uiPriority w:val="0"/>
    <w:pPr>
      <w:widowControl/>
      <w:snapToGrid/>
      <w:spacing w:line="240" w:lineRule="auto"/>
      <w:ind w:firstLine="558" w:firstLineChars="0"/>
      <w:jc w:val="left"/>
    </w:pPr>
    <w:rPr>
      <w:rFonts w:ascii="宋体" w:hAnsi="宋体"/>
      <w:sz w:val="24"/>
    </w:rPr>
  </w:style>
  <w:style w:type="character" w:customStyle="1" w:styleId="255">
    <w:name w:val="表（或图）标题 样式 宋体 五号 居中 SL CON Char"/>
    <w:link w:val="256"/>
    <w:qFormat/>
    <w:uiPriority w:val="0"/>
    <w:rPr>
      <w:rFonts w:ascii="宋体" w:hAnsi="宋体" w:eastAsia="宋体" w:cs="宋体"/>
      <w:b/>
      <w:sz w:val="21"/>
    </w:rPr>
  </w:style>
  <w:style w:type="paragraph" w:customStyle="1" w:styleId="256">
    <w:name w:val="表（或图）标题 样式 宋体 五号 居中 SL CON"/>
    <w:basedOn w:val="33"/>
    <w:link w:val="255"/>
    <w:qFormat/>
    <w:uiPriority w:val="0"/>
    <w:pPr>
      <w:widowControl/>
      <w:tabs>
        <w:tab w:val="left" w:pos="377"/>
      </w:tabs>
      <w:adjustRightInd/>
      <w:snapToGrid/>
      <w:spacing w:before="100" w:beforeAutospacing="1"/>
    </w:pPr>
    <w:rPr>
      <w:rFonts w:cs="宋体"/>
      <w:b/>
      <w:snapToGrid/>
    </w:rPr>
  </w:style>
  <w:style w:type="character" w:customStyle="1" w:styleId="257">
    <w:name w:val="正文 首行缩进:  2 字符 SL CON Char"/>
    <w:link w:val="258"/>
    <w:qFormat/>
    <w:uiPriority w:val="0"/>
    <w:rPr>
      <w:rFonts w:ascii="宋体" w:cs="宋体"/>
      <w:sz w:val="28"/>
      <w:szCs w:val="24"/>
    </w:rPr>
  </w:style>
  <w:style w:type="paragraph" w:customStyle="1" w:styleId="258">
    <w:name w:val="正文 首行缩进:  2 字符 SL CON"/>
    <w:basedOn w:val="1"/>
    <w:link w:val="257"/>
    <w:qFormat/>
    <w:uiPriority w:val="0"/>
    <w:pPr>
      <w:widowControl/>
      <w:tabs>
        <w:tab w:val="left" w:pos="377"/>
      </w:tabs>
      <w:adjustRightInd/>
      <w:snapToGrid/>
    </w:pPr>
    <w:rPr>
      <w:rFonts w:ascii="宋体" w:cs="宋体"/>
      <w:snapToGrid/>
      <w:szCs w:val="24"/>
    </w:rPr>
  </w:style>
  <w:style w:type="paragraph" w:customStyle="1" w:styleId="259">
    <w:name w:val="纯文本4"/>
    <w:basedOn w:val="1"/>
    <w:qFormat/>
    <w:uiPriority w:val="0"/>
    <w:pPr>
      <w:adjustRightInd/>
      <w:snapToGrid/>
      <w:spacing w:line="240" w:lineRule="auto"/>
      <w:ind w:firstLine="0" w:firstLineChars="0"/>
    </w:pPr>
    <w:rPr>
      <w:rFonts w:ascii="宋体" w:hAnsi="Courier New"/>
      <w:snapToGrid/>
      <w:kern w:val="2"/>
      <w:sz w:val="21"/>
    </w:rPr>
  </w:style>
  <w:style w:type="character" w:customStyle="1" w:styleId="260">
    <w:name w:val="普通(网站) 字符"/>
    <w:link w:val="39"/>
    <w:qFormat/>
    <w:locked/>
    <w:uiPriority w:val="0"/>
    <w:rPr>
      <w:rFonts w:ascii="宋体" w:hAnsi="宋体" w:cs="宋体"/>
      <w:snapToGrid w:val="0"/>
      <w:sz w:val="28"/>
    </w:rPr>
  </w:style>
  <w:style w:type="character" w:customStyle="1" w:styleId="261">
    <w:name w:val="注释标题 字符"/>
    <w:basedOn w:val="47"/>
    <w:link w:val="14"/>
    <w:qFormat/>
    <w:uiPriority w:val="0"/>
    <w:rPr>
      <w:rFonts w:ascii="宋体"/>
      <w:kern w:val="2"/>
      <w:sz w:val="21"/>
    </w:rPr>
  </w:style>
  <w:style w:type="paragraph" w:customStyle="1" w:styleId="262">
    <w:name w:val="正文缩进3"/>
    <w:basedOn w:val="1"/>
    <w:qFormat/>
    <w:uiPriority w:val="0"/>
    <w:pPr>
      <w:adjustRightInd/>
      <w:snapToGrid/>
      <w:spacing w:line="240" w:lineRule="auto"/>
      <w:ind w:firstLine="420"/>
    </w:pPr>
    <w:rPr>
      <w:snapToGrid/>
      <w:kern w:val="2"/>
      <w:sz w:val="21"/>
      <w:szCs w:val="24"/>
    </w:rPr>
  </w:style>
  <w:style w:type="paragraph" w:customStyle="1" w:styleId="263">
    <w:name w:val="索引 12"/>
    <w:basedOn w:val="1"/>
    <w:next w:val="1"/>
    <w:qFormat/>
    <w:uiPriority w:val="0"/>
    <w:pPr>
      <w:adjustRightInd/>
      <w:snapToGrid/>
      <w:spacing w:line="360" w:lineRule="exact"/>
      <w:ind w:firstLine="0" w:firstLineChars="0"/>
    </w:pPr>
    <w:rPr>
      <w:snapToGrid/>
      <w:kern w:val="2"/>
      <w:sz w:val="21"/>
    </w:rPr>
  </w:style>
  <w:style w:type="table" w:customStyle="1" w:styleId="264">
    <w:name w:val="Table Normal"/>
    <w:semiHidden/>
    <w:unhideWhenUsed/>
    <w:qFormat/>
    <w:uiPriority w:val="2"/>
    <w:pPr>
      <w:widowControl w:val="0"/>
    </w:pPr>
    <w:rPr>
      <w:sz w:val="22"/>
      <w:szCs w:val="22"/>
      <w:lang w:eastAsia="en-US"/>
    </w:rPr>
    <w:tblPr>
      <w:tblCellMar>
        <w:top w:w="0" w:type="dxa"/>
        <w:left w:w="0" w:type="dxa"/>
        <w:bottom w:w="0" w:type="dxa"/>
        <w:right w:w="0" w:type="dxa"/>
      </w:tblCellMar>
    </w:tblPr>
  </w:style>
  <w:style w:type="character" w:customStyle="1" w:styleId="265">
    <w:name w:val="标题 4 字符"/>
    <w:basedOn w:val="47"/>
    <w:link w:val="6"/>
    <w:qFormat/>
    <w:uiPriority w:val="0"/>
    <w:rPr>
      <w:bCs/>
      <w:snapToGrid w:val="0"/>
      <w:sz w:val="28"/>
      <w:szCs w:val="28"/>
    </w:rPr>
  </w:style>
  <w:style w:type="paragraph" w:customStyle="1" w:styleId="266">
    <w:name w:val="标2"/>
    <w:basedOn w:val="3"/>
    <w:link w:val="267"/>
    <w:qFormat/>
    <w:uiPriority w:val="0"/>
    <w:pPr>
      <w:adjustRightInd/>
      <w:snapToGrid/>
    </w:pPr>
    <w:rPr>
      <w:bCs w:val="0"/>
      <w:snapToGrid/>
      <w:kern w:val="2"/>
      <w:szCs w:val="20"/>
    </w:rPr>
  </w:style>
  <w:style w:type="character" w:customStyle="1" w:styleId="267">
    <w:name w:val="标2 字符"/>
    <w:basedOn w:val="47"/>
    <w:link w:val="266"/>
    <w:qFormat/>
    <w:uiPriority w:val="0"/>
    <w:rPr>
      <w:b/>
      <w:kern w:val="2"/>
      <w:sz w:val="30"/>
    </w:rPr>
  </w:style>
  <w:style w:type="table" w:customStyle="1" w:styleId="268">
    <w:name w:val="Table Normal1"/>
    <w:semiHidden/>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269">
    <w:name w:val="内容正文"/>
    <w:basedOn w:val="1"/>
    <w:link w:val="270"/>
    <w:qFormat/>
    <w:uiPriority w:val="0"/>
    <w:pPr>
      <w:tabs>
        <w:tab w:val="left" w:pos="377"/>
        <w:tab w:val="left" w:pos="960"/>
        <w:tab w:val="left" w:pos="1036"/>
      </w:tabs>
      <w:adjustRightInd/>
      <w:snapToGrid/>
    </w:pPr>
    <w:rPr>
      <w:rFonts w:cs="宋体"/>
      <w:snapToGrid/>
    </w:rPr>
  </w:style>
  <w:style w:type="character" w:customStyle="1" w:styleId="270">
    <w:name w:val="内容正文 字符"/>
    <w:basedOn w:val="47"/>
    <w:link w:val="269"/>
    <w:qFormat/>
    <w:uiPriority w:val="0"/>
    <w:rPr>
      <w:rFonts w:cs="宋体"/>
      <w:sz w:val="28"/>
    </w:rPr>
  </w:style>
  <w:style w:type="table" w:customStyle="1" w:styleId="271">
    <w:name w:val="Table Normal2"/>
    <w:semiHidden/>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table" w:customStyle="1" w:styleId="272">
    <w:name w:val="三线表1"/>
    <w:basedOn w:val="4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3">
    <w:name w:val="三线表2"/>
    <w:basedOn w:val="4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4">
    <w:name w:val="标3"/>
    <w:basedOn w:val="5"/>
    <w:link w:val="276"/>
    <w:qFormat/>
    <w:uiPriority w:val="0"/>
    <w:pPr>
      <w:adjustRightInd/>
      <w:snapToGrid/>
    </w:pPr>
    <w:rPr>
      <w:snapToGrid/>
      <w:kern w:val="2"/>
      <w:szCs w:val="32"/>
      <w:lang w:val="zh-CN"/>
    </w:rPr>
  </w:style>
  <w:style w:type="paragraph" w:customStyle="1" w:styleId="275">
    <w:name w:val="标4"/>
    <w:basedOn w:val="1"/>
    <w:link w:val="277"/>
    <w:qFormat/>
    <w:uiPriority w:val="0"/>
    <w:pPr>
      <w:tabs>
        <w:tab w:val="left" w:pos="377"/>
        <w:tab w:val="left" w:pos="960"/>
        <w:tab w:val="left" w:pos="1036"/>
      </w:tabs>
      <w:adjustRightInd/>
      <w:snapToGrid/>
      <w:ind w:firstLine="0" w:firstLineChars="0"/>
      <w:outlineLvl w:val="3"/>
    </w:pPr>
    <w:rPr>
      <w:rFonts w:cs="宋体"/>
      <w:snapToGrid/>
    </w:rPr>
  </w:style>
  <w:style w:type="character" w:customStyle="1" w:styleId="276">
    <w:name w:val="标3 字符"/>
    <w:basedOn w:val="47"/>
    <w:link w:val="274"/>
    <w:qFormat/>
    <w:uiPriority w:val="0"/>
    <w:rPr>
      <w:b/>
      <w:bCs/>
      <w:kern w:val="2"/>
      <w:sz w:val="28"/>
      <w:szCs w:val="32"/>
      <w:lang w:val="zh-CN" w:eastAsia="zh-CN"/>
    </w:rPr>
  </w:style>
  <w:style w:type="character" w:customStyle="1" w:styleId="277">
    <w:name w:val="标4 字符"/>
    <w:basedOn w:val="47"/>
    <w:link w:val="275"/>
    <w:qFormat/>
    <w:uiPriority w:val="0"/>
    <w:rPr>
      <w:rFonts w:cs="宋体"/>
      <w:sz w:val="28"/>
    </w:rPr>
  </w:style>
  <w:style w:type="character" w:customStyle="1" w:styleId="278">
    <w:name w:val="标准小四 Char"/>
    <w:link w:val="279"/>
    <w:qFormat/>
    <w:uiPriority w:val="0"/>
    <w:rPr>
      <w:rFonts w:eastAsia="宋体"/>
      <w:kern w:val="2"/>
      <w:sz w:val="24"/>
      <w:szCs w:val="21"/>
    </w:rPr>
  </w:style>
  <w:style w:type="paragraph" w:customStyle="1" w:styleId="279">
    <w:name w:val="标准小四"/>
    <w:basedOn w:val="1"/>
    <w:link w:val="278"/>
    <w:qFormat/>
    <w:uiPriority w:val="0"/>
    <w:pPr>
      <w:ind w:firstLine="480"/>
    </w:pPr>
    <w:rPr>
      <w:rFonts w:asciiTheme="minorHAnsi" w:hAnsiTheme="minorHAnsi" w:cstheme="minorBidi"/>
      <w:snapToGrid/>
      <w:kern w:val="2"/>
      <w:sz w:val="24"/>
      <w:szCs w:val="21"/>
    </w:rPr>
  </w:style>
  <w:style w:type="paragraph" w:customStyle="1" w:styleId="280">
    <w:name w:val="样式 标题 2二级标题二级标题 Char标题 lxb2表标题单位名 Char单位名标题2 Char标题2 Cha..."/>
    <w:basedOn w:val="3"/>
    <w:qFormat/>
    <w:uiPriority w:val="0"/>
    <w:rPr>
      <w:rFonts w:cs="宋体"/>
    </w:rPr>
  </w:style>
  <w:style w:type="paragraph" w:customStyle="1" w:styleId="281">
    <w:name w:val="样式 标题 3Re条标题1.1.1标题 3 Char CharSection三级标题1.1.1标题03标题 3 ..."/>
    <w:basedOn w:val="5"/>
    <w:qFormat/>
    <w:uiPriority w:val="0"/>
    <w:rPr>
      <w:rFonts w:cs="宋体"/>
      <w:bCs w:val="0"/>
      <w:color w:val="000000"/>
      <w:szCs w:val="20"/>
    </w:rPr>
  </w:style>
  <w:style w:type="paragraph" w:customStyle="1" w:styleId="282">
    <w:name w:val="标题 3 SL CON"/>
    <w:basedOn w:val="1"/>
    <w:next w:val="1"/>
    <w:qFormat/>
    <w:uiPriority w:val="0"/>
    <w:pPr>
      <w:keepNext/>
      <w:keepLines/>
      <w:widowControl/>
      <w:tabs>
        <w:tab w:val="left" w:pos="377"/>
        <w:tab w:val="left" w:pos="681"/>
        <w:tab w:val="left" w:pos="960"/>
      </w:tabs>
      <w:spacing w:before="100" w:beforeAutospacing="1"/>
      <w:ind w:left="681" w:hanging="681"/>
      <w:outlineLvl w:val="2"/>
    </w:pPr>
    <w:rPr>
      <w:rFonts w:eastAsia="黑体"/>
      <w:sz w:val="24"/>
      <w:szCs w:val="24"/>
    </w:rPr>
  </w:style>
  <w:style w:type="paragraph" w:customStyle="1" w:styleId="283">
    <w:name w:val="_Style 208"/>
    <w:basedOn w:val="1"/>
    <w:next w:val="226"/>
    <w:qFormat/>
    <w:uiPriority w:val="0"/>
    <w:pPr>
      <w:widowControl/>
      <w:ind w:firstLine="420"/>
      <w:jc w:val="left"/>
    </w:pPr>
    <w:rPr>
      <w:rFonts w:ascii="宋体" w:hAnsi="宋体" w:cs="宋体"/>
      <w:sz w:val="24"/>
    </w:rPr>
  </w:style>
  <w:style w:type="paragraph" w:customStyle="1" w:styleId="284">
    <w:name w:val="正文19"/>
    <w:qFormat/>
    <w:uiPriority w:val="0"/>
    <w:pPr>
      <w:jc w:val="both"/>
    </w:pPr>
    <w:rPr>
      <w:rFonts w:ascii="等线" w:hAnsi="等线" w:eastAsia="宋体" w:cs="宋体"/>
      <w:kern w:val="2"/>
      <w:sz w:val="21"/>
      <w:szCs w:val="21"/>
      <w:lang w:val="en-US" w:eastAsia="zh-CN" w:bidi="ar-SA"/>
    </w:rPr>
  </w:style>
  <w:style w:type="paragraph" w:customStyle="1" w:styleId="285">
    <w:name w:val="正文首行缩进111"/>
    <w:basedOn w:val="1"/>
    <w:qFormat/>
    <w:uiPriority w:val="0"/>
    <w:pPr>
      <w:spacing w:line="500" w:lineRule="exact"/>
      <w:ind w:firstLine="520"/>
    </w:pPr>
    <w:rPr>
      <w:sz w:val="26"/>
    </w:rPr>
  </w:style>
  <w:style w:type="paragraph" w:customStyle="1" w:styleId="286">
    <w:name w:val="纯文本2"/>
    <w:basedOn w:val="1"/>
    <w:qFormat/>
    <w:uiPriority w:val="0"/>
    <w:rPr>
      <w:rFonts w:ascii="宋体" w:hAnsi="Courier New"/>
    </w:rPr>
  </w:style>
  <w:style w:type="character" w:customStyle="1" w:styleId="287">
    <w:name w:val="fw21"/>
    <w:basedOn w:val="47"/>
    <w:qFormat/>
    <w:uiPriority w:val="0"/>
    <w:rPr>
      <w:b/>
      <w:bCs/>
    </w:rPr>
  </w:style>
  <w:style w:type="paragraph" w:customStyle="1" w:styleId="288">
    <w:name w:val="简单回函地址"/>
    <w:basedOn w:val="1"/>
    <w:qFormat/>
    <w:uiPriority w:val="0"/>
  </w:style>
  <w:style w:type="paragraph" w:customStyle="1" w:styleId="289">
    <w:name w:val="WPSOffice手动目录 1"/>
    <w:qFormat/>
    <w:uiPriority w:val="0"/>
    <w:rPr>
      <w:rFonts w:ascii="Times New Roman" w:hAnsi="Times New Roman" w:eastAsia="宋体" w:cs="Times New Roman"/>
      <w:lang w:val="en-US" w:eastAsia="zh-CN" w:bidi="ar-SA"/>
    </w:rPr>
  </w:style>
  <w:style w:type="paragraph" w:customStyle="1" w:styleId="29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91">
    <w:name w:val="表名、图名"/>
    <w:basedOn w:val="1"/>
    <w:qFormat/>
    <w:uiPriority w:val="0"/>
    <w:pPr>
      <w:jc w:val="center"/>
    </w:pPr>
    <w:rPr>
      <w:rFonts w:ascii="宋体" w:hAnsi="宋体"/>
      <w:color w:val="000000"/>
      <w:spacing w:val="-20"/>
      <w:sz w:val="18"/>
      <w:szCs w:val="18"/>
    </w:rPr>
  </w:style>
  <w:style w:type="paragraph" w:customStyle="1" w:styleId="292">
    <w:name w:val="纯文本3"/>
    <w:basedOn w:val="1"/>
    <w:qFormat/>
    <w:uiPriority w:val="0"/>
    <w:rPr>
      <w:rFonts w:ascii="宋体" w:hAnsi="Courier New"/>
    </w:rPr>
  </w:style>
  <w:style w:type="paragraph" w:customStyle="1" w:styleId="293">
    <w:name w:val="aaa表标题"/>
    <w:basedOn w:val="1"/>
    <w:qFormat/>
    <w:uiPriority w:val="0"/>
    <w:pPr>
      <w:overflowPunct w:val="0"/>
      <w:autoSpaceDE w:val="0"/>
      <w:autoSpaceDN w:val="0"/>
      <w:jc w:val="center"/>
      <w:textAlignment w:val="baseline"/>
    </w:pPr>
    <w:rPr>
      <w:b/>
      <w:sz w:val="24"/>
    </w:rPr>
  </w:style>
  <w:style w:type="paragraph" w:customStyle="1" w:styleId="294">
    <w:name w:val="Revision"/>
    <w:hidden/>
    <w:unhideWhenUsed/>
    <w:qFormat/>
    <w:uiPriority w:val="99"/>
    <w:rPr>
      <w:rFonts w:ascii="Times New Roman" w:hAnsi="Times New Roman" w:eastAsia="宋体" w:cs="Times New Roman"/>
      <w:snapToGrid w:val="0"/>
      <w:sz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0" Type="http://schemas.openxmlformats.org/officeDocument/2006/relationships/fontTable" Target="fontTable.xml"/><Relationship Id="rId4" Type="http://schemas.openxmlformats.org/officeDocument/2006/relationships/endnotes" Target="endnotes.xml"/><Relationship Id="rId39" Type="http://schemas.openxmlformats.org/officeDocument/2006/relationships/customXml" Target="../customXml/item2.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15.jpeg"/><Relationship Id="rId35" Type="http://schemas.openxmlformats.org/officeDocument/2006/relationships/image" Target="media/image14.jpeg"/><Relationship Id="rId34" Type="http://schemas.openxmlformats.org/officeDocument/2006/relationships/image" Target="media/image13.png"/><Relationship Id="rId33" Type="http://schemas.openxmlformats.org/officeDocument/2006/relationships/image" Target="media/image12.png"/><Relationship Id="rId32" Type="http://schemas.openxmlformats.org/officeDocument/2006/relationships/image" Target="media/image11.png"/><Relationship Id="rId31" Type="http://schemas.openxmlformats.org/officeDocument/2006/relationships/image" Target="media/image10.jpeg"/><Relationship Id="rId30" Type="http://schemas.openxmlformats.org/officeDocument/2006/relationships/image" Target="media/image9.png"/><Relationship Id="rId3" Type="http://schemas.openxmlformats.org/officeDocument/2006/relationships/footnotes" Target="footnotes.xml"/><Relationship Id="rId29" Type="http://schemas.openxmlformats.org/officeDocument/2006/relationships/image" Target="media/image8.png"/><Relationship Id="rId28" Type="http://schemas.openxmlformats.org/officeDocument/2006/relationships/image" Target="media/image7.emf"/><Relationship Id="rId27" Type="http://schemas.openxmlformats.org/officeDocument/2006/relationships/image" Target="media/image6.emf"/><Relationship Id="rId26" Type="http://schemas.openxmlformats.org/officeDocument/2006/relationships/image" Target="media/image5.png"/><Relationship Id="rId25" Type="http://schemas.openxmlformats.org/officeDocument/2006/relationships/image" Target="media/image4.png"/><Relationship Id="rId24" Type="http://schemas.openxmlformats.org/officeDocument/2006/relationships/image" Target="media/image3.png"/><Relationship Id="rId23" Type="http://schemas.openxmlformats.org/officeDocument/2006/relationships/image" Target="media/image2.png"/><Relationship Id="rId22" Type="http://schemas.openxmlformats.org/officeDocument/2006/relationships/image" Target="media/image1.png"/><Relationship Id="rId21" Type="http://schemas.openxmlformats.org/officeDocument/2006/relationships/theme" Target="theme/theme1.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8D0D68-6D70-4A8C-9FE9-2DDD0E4E9581}">
  <ds:schemaRefs/>
</ds:datastoreItem>
</file>

<file path=docProps/app.xml><?xml version="1.0" encoding="utf-8"?>
<Properties xmlns="http://schemas.openxmlformats.org/officeDocument/2006/extended-properties" xmlns:vt="http://schemas.openxmlformats.org/officeDocument/2006/docPropsVTypes">
  <Template>Normal</Template>
  <Pages>134</Pages>
  <Words>57967</Words>
  <Characters>70970</Characters>
  <Lines>574</Lines>
  <Paragraphs>161</Paragraphs>
  <TotalTime>4</TotalTime>
  <ScaleCrop>false</ScaleCrop>
  <LinksUpToDate>false</LinksUpToDate>
  <CharactersWithSpaces>72332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2017-12-29T04:30:00Z</dcterms:created>
  <dc:creator>DELL</dc:creator>
  <cp:lastModifiedBy>程</cp:lastModifiedBy>
  <cp:lastPrinted>2022-03-07T01:54:00Z</cp:lastPrinted>
  <dcterms:modified xsi:type="dcterms:W3CDTF">2023-09-13T03:13:26Z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67D2C69896DC478DB3E248BD98A9168A</vt:lpwstr>
  </property>
</Properties>
</file>