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eastAsia="华文中宋"/>
          <w:b/>
          <w:color w:val="000000" w:themeColor="text1"/>
          <w:spacing w:val="20"/>
          <w:kern w:val="0"/>
          <w:sz w:val="44"/>
          <w14:textFill>
            <w14:solidFill>
              <w14:schemeClr w14:val="tx1"/>
            </w14:solidFill>
          </w14:textFill>
        </w:rPr>
      </w:pPr>
    </w:p>
    <w:p>
      <w:pPr>
        <w:adjustRightInd w:val="0"/>
        <w:snapToGrid w:val="0"/>
        <w:spacing w:line="360" w:lineRule="auto"/>
        <w:jc w:val="center"/>
        <w:rPr>
          <w:rFonts w:eastAsia="华文中宋"/>
          <w:b/>
          <w:color w:val="000000" w:themeColor="text1"/>
          <w:spacing w:val="20"/>
          <w:kern w:val="0"/>
          <w:sz w:val="44"/>
          <w14:textFill>
            <w14:solidFill>
              <w14:schemeClr w14:val="tx1"/>
            </w14:solidFill>
          </w14:textFill>
        </w:rPr>
      </w:pPr>
    </w:p>
    <w:p>
      <w:pPr>
        <w:pStyle w:val="31"/>
        <w:snapToGrid w:val="0"/>
        <w:ind w:left="-424" w:leftChars="-202" w:right="-482" w:rightChars="-230"/>
        <w:jc w:val="center"/>
        <w:textAlignment w:val="auto"/>
        <w:rPr>
          <w:rFonts w:hint="eastAsia" w:ascii="宋体" w:hAnsi="宋体" w:eastAsia="宋体" w:cs="宋体"/>
          <w:b/>
          <w:color w:val="000000" w:themeColor="text1"/>
          <w:spacing w:val="0"/>
          <w:kern w:val="2"/>
          <w:sz w:val="44"/>
          <w:szCs w:val="44"/>
          <w14:textFill>
            <w14:solidFill>
              <w14:schemeClr w14:val="tx1"/>
            </w14:solidFill>
          </w14:textFill>
        </w:rPr>
      </w:pPr>
    </w:p>
    <w:p>
      <w:pPr>
        <w:adjustRightInd w:val="0"/>
        <w:snapToGrid w:val="0"/>
        <w:spacing w:line="360" w:lineRule="auto"/>
        <w:jc w:val="center"/>
        <w:rPr>
          <w:rFonts w:hint="eastAsia" w:ascii="宋体" w:hAnsi="宋体" w:eastAsia="宋体" w:cs="宋体"/>
          <w:b/>
          <w:color w:val="000000" w:themeColor="text1"/>
          <w:spacing w:val="0"/>
          <w:kern w:val="2"/>
          <w:sz w:val="44"/>
          <w:szCs w:val="44"/>
          <w:lang w:eastAsia="zh-CN"/>
          <w14:textFill>
            <w14:solidFill>
              <w14:schemeClr w14:val="tx1"/>
            </w14:solidFill>
          </w14:textFill>
        </w:rPr>
      </w:pPr>
      <w:r>
        <w:rPr>
          <w:rFonts w:hint="eastAsia" w:ascii="宋体" w:hAnsi="宋体" w:eastAsia="宋体" w:cs="宋体"/>
          <w:b/>
          <w:color w:val="000000" w:themeColor="text1"/>
          <w:spacing w:val="0"/>
          <w:kern w:val="2"/>
          <w:sz w:val="44"/>
          <w:szCs w:val="44"/>
          <w:lang w:eastAsia="zh-CN"/>
          <w14:textFill>
            <w14:solidFill>
              <w14:schemeClr w14:val="tx1"/>
            </w14:solidFill>
          </w14:textFill>
        </w:rPr>
        <w:t>山东华曦石油技术服务有限公司</w:t>
      </w:r>
    </w:p>
    <w:p>
      <w:pPr>
        <w:adjustRightInd w:val="0"/>
        <w:snapToGrid w:val="0"/>
        <w:spacing w:line="360" w:lineRule="auto"/>
        <w:jc w:val="center"/>
        <w:rPr>
          <w:rFonts w:hint="eastAsia" w:ascii="宋体" w:hAnsi="宋体" w:eastAsia="宋体" w:cs="宋体"/>
          <w:b/>
          <w:color w:val="000000" w:themeColor="text1"/>
          <w:sz w:val="44"/>
          <w:szCs w:val="44"/>
          <w14:textFill>
            <w14:solidFill>
              <w14:schemeClr w14:val="tx1"/>
            </w14:solidFill>
          </w14:textFill>
        </w:rPr>
      </w:pPr>
      <w:r>
        <w:rPr>
          <w:rFonts w:hint="eastAsia" w:ascii="宋体" w:hAnsi="宋体" w:eastAsia="宋体" w:cs="宋体"/>
          <w:b/>
          <w:color w:val="000000" w:themeColor="text1"/>
          <w:spacing w:val="0"/>
          <w:kern w:val="2"/>
          <w:sz w:val="44"/>
          <w:szCs w:val="44"/>
          <w:lang w:eastAsia="zh-CN"/>
          <w14:textFill>
            <w14:solidFill>
              <w14:schemeClr w14:val="tx1"/>
            </w14:solidFill>
          </w14:textFill>
        </w:rPr>
        <w:t>井下作业项目</w:t>
      </w:r>
    </w:p>
    <w:p>
      <w:pPr>
        <w:adjustRightInd w:val="0"/>
        <w:snapToGrid w:val="0"/>
        <w:spacing w:line="360" w:lineRule="auto"/>
        <w:jc w:val="center"/>
        <w:rPr>
          <w:rFonts w:hint="eastAsia" w:ascii="黑体" w:hAnsi="黑体" w:eastAsia="黑体" w:cs="黑体"/>
          <w:b/>
          <w:bCs/>
          <w:color w:val="000000" w:themeColor="text1"/>
          <w:spacing w:val="11"/>
          <w:sz w:val="52"/>
          <w:szCs w:val="52"/>
          <w14:textFill>
            <w14:solidFill>
              <w14:schemeClr w14:val="tx1"/>
            </w14:solidFill>
          </w14:textFill>
        </w:rPr>
      </w:pPr>
    </w:p>
    <w:p>
      <w:pPr>
        <w:adjustRightInd w:val="0"/>
        <w:snapToGrid w:val="0"/>
        <w:spacing w:line="360" w:lineRule="auto"/>
        <w:jc w:val="center"/>
        <w:rPr>
          <w:rFonts w:hint="eastAsia" w:ascii="黑体" w:hAnsi="黑体" w:eastAsia="黑体" w:cs="黑体"/>
          <w:b/>
          <w:bCs/>
          <w:color w:val="000000" w:themeColor="text1"/>
          <w:spacing w:val="11"/>
          <w:sz w:val="52"/>
          <w:szCs w:val="52"/>
          <w14:textFill>
            <w14:solidFill>
              <w14:schemeClr w14:val="tx1"/>
            </w14:solidFill>
          </w14:textFill>
        </w:rPr>
      </w:pPr>
      <w:r>
        <w:rPr>
          <w:rFonts w:hint="eastAsia" w:ascii="黑体" w:hAnsi="黑体" w:eastAsia="黑体" w:cs="黑体"/>
          <w:b/>
          <w:bCs/>
          <w:color w:val="000000" w:themeColor="text1"/>
          <w:spacing w:val="11"/>
          <w:sz w:val="52"/>
          <w:szCs w:val="52"/>
          <w14:textFill>
            <w14:solidFill>
              <w14:schemeClr w14:val="tx1"/>
            </w14:solidFill>
          </w14:textFill>
        </w:rPr>
        <w:t>安全现状评价报告</w:t>
      </w:r>
    </w:p>
    <w:p>
      <w:pPr>
        <w:adjustRightInd w:val="0"/>
        <w:snapToGrid w:val="0"/>
        <w:spacing w:line="360" w:lineRule="auto"/>
        <w:jc w:val="center"/>
        <w:rPr>
          <w:rFonts w:eastAsia="仿宋_GB2312"/>
          <w:b/>
          <w:bCs/>
          <w:color w:val="000000" w:themeColor="text1"/>
          <w:kern w:val="0"/>
          <w:sz w:val="5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pStyle w:val="65"/>
        <w:rPr>
          <w:rFonts w:eastAsia="仿宋_GB2312"/>
          <w:b/>
          <w:bCs/>
          <w:color w:val="000000" w:themeColor="text1"/>
          <w:kern w:val="0"/>
          <w:sz w:val="32"/>
          <w14:textFill>
            <w14:solidFill>
              <w14:schemeClr w14:val="tx1"/>
            </w14:solidFill>
          </w14:textFill>
        </w:rPr>
      </w:pPr>
    </w:p>
    <w:p>
      <w:pPr>
        <w:pStyle w:val="65"/>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adjustRightInd w:val="0"/>
        <w:snapToGrid w:val="0"/>
        <w:spacing w:line="360" w:lineRule="auto"/>
        <w:ind w:firstLine="640" w:firstLineChars="200"/>
        <w:rPr>
          <w:rFonts w:eastAsia="仿宋_GB2312"/>
          <w:b/>
          <w:bCs/>
          <w:color w:val="000000" w:themeColor="text1"/>
          <w:kern w:val="0"/>
          <w:sz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仿宋_GB2312" w:hAnsi="仿宋_GB2312" w:eastAsia="仿宋_GB2312" w:cs="仿宋_GB2312"/>
          <w:b/>
          <w:bCs/>
          <w:color w:val="000000" w:themeColor="text1"/>
          <w:kern w:val="0"/>
          <w:sz w:val="44"/>
          <w14:textFill>
            <w14:solidFill>
              <w14:schemeClr w14:val="tx1"/>
            </w14:solidFill>
          </w14:textFill>
        </w:rPr>
      </w:pPr>
      <w:r>
        <w:rPr>
          <w:rFonts w:hint="eastAsia" w:ascii="仿宋_GB2312" w:hAnsi="仿宋_GB2312" w:eastAsia="仿宋_GB2312" w:cs="仿宋_GB2312"/>
          <w:b/>
          <w:bCs/>
          <w:color w:val="000000" w:themeColor="text1"/>
          <w:kern w:val="0"/>
          <w:sz w:val="44"/>
          <w:lang w:val="en-US" w:eastAsia="zh-CN"/>
          <w14:textFill>
            <w14:solidFill>
              <w14:schemeClr w14:val="tx1"/>
            </w14:solidFill>
          </w14:textFill>
        </w:rPr>
        <w:t>山东实华</w:t>
      </w:r>
      <w:r>
        <w:rPr>
          <w:rFonts w:hint="eastAsia" w:ascii="仿宋_GB2312" w:hAnsi="仿宋_GB2312" w:eastAsia="仿宋_GB2312" w:cs="仿宋_GB2312"/>
          <w:b/>
          <w:bCs/>
          <w:color w:val="000000" w:themeColor="text1"/>
          <w:kern w:val="0"/>
          <w:sz w:val="44"/>
          <w14:textFill>
            <w14:solidFill>
              <w14:schemeClr w14:val="tx1"/>
            </w14:solidFill>
          </w14:textFill>
        </w:rPr>
        <w:t>安全技术有限公司</w:t>
      </w: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仿宋_GB2312" w:hAnsi="仿宋_GB2312" w:eastAsia="仿宋_GB2312" w:cs="仿宋_GB2312"/>
          <w:b/>
          <w:bCs/>
          <w:color w:val="000000" w:themeColor="text1"/>
          <w:kern w:val="0"/>
          <w:sz w:val="36"/>
          <w:szCs w:val="28"/>
          <w14:textFill>
            <w14:solidFill>
              <w14:schemeClr w14:val="tx1"/>
            </w14:solidFill>
          </w14:textFill>
        </w:rPr>
      </w:pPr>
      <w:r>
        <w:rPr>
          <w:rFonts w:hint="eastAsia" w:ascii="仿宋_GB2312" w:hAnsi="仿宋_GB2312" w:eastAsia="仿宋_GB2312" w:cs="仿宋_GB2312"/>
          <w:b/>
          <w:bCs/>
          <w:color w:val="000000" w:themeColor="text1"/>
          <w:kern w:val="0"/>
          <w:sz w:val="36"/>
          <w:szCs w:val="36"/>
          <w14:textFill>
            <w14:solidFill>
              <w14:schemeClr w14:val="tx1"/>
            </w14:solidFill>
          </w14:textFill>
        </w:rPr>
        <w:t>APJ-（鲁）-013</w:t>
      </w: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仿宋_GB2312" w:hAnsi="仿宋_GB2312" w:eastAsia="仿宋_GB2312" w:cs="仿宋_GB2312"/>
          <w:b/>
          <w:bCs/>
          <w:color w:val="000000" w:themeColor="text1"/>
          <w:kern w:val="0"/>
          <w:sz w:val="36"/>
          <w:szCs w:val="28"/>
          <w:lang w:val="en-US" w:eastAsia="zh-CN"/>
          <w14:textFill>
            <w14:solidFill>
              <w14:schemeClr w14:val="tx1"/>
            </w14:solidFill>
          </w14:textFill>
        </w:rPr>
      </w:pPr>
      <w:r>
        <w:rPr>
          <w:rFonts w:hint="eastAsia" w:ascii="仿宋_GB2312" w:hAnsi="仿宋_GB2312" w:eastAsia="仿宋_GB2312" w:cs="仿宋_GB2312"/>
          <w:b/>
          <w:bCs/>
          <w:color w:val="000000" w:themeColor="text1"/>
          <w:kern w:val="0"/>
          <w:sz w:val="36"/>
          <w:szCs w:val="28"/>
          <w:lang w:val="en-US" w:eastAsia="zh-CN"/>
          <w14:textFill>
            <w14:solidFill>
              <w14:schemeClr w14:val="tx1"/>
            </w14:solidFill>
          </w14:textFill>
        </w:rPr>
        <w:t>二〇二二年十二月</w:t>
      </w:r>
    </w:p>
    <w:p>
      <w:pPr>
        <w:adjustRightInd w:val="0"/>
        <w:snapToGrid w:val="0"/>
        <w:spacing w:line="360" w:lineRule="auto"/>
        <w:jc w:val="center"/>
        <w:rPr>
          <w:b/>
          <w:bCs/>
          <w:color w:val="000000" w:themeColor="text1"/>
          <w:kern w:val="0"/>
          <w:sz w:val="32"/>
          <w14:textFill>
            <w14:solidFill>
              <w14:schemeClr w14:val="tx1"/>
            </w14:solidFill>
          </w14:textFill>
        </w:rPr>
      </w:pPr>
    </w:p>
    <w:p>
      <w:pPr>
        <w:rPr>
          <w:b/>
          <w:bCs/>
          <w:color w:val="000000" w:themeColor="text1"/>
          <w:kern w:val="0"/>
          <w:sz w:val="32"/>
          <w14:textFill>
            <w14:solidFill>
              <w14:schemeClr w14:val="tx1"/>
            </w14:solidFill>
          </w14:textFill>
        </w:rPr>
      </w:pPr>
      <w:r>
        <w:rPr>
          <w:b/>
          <w:bCs/>
          <w:color w:val="000000" w:themeColor="text1"/>
          <w:kern w:val="0"/>
          <w:sz w:val="32"/>
          <w14:textFill>
            <w14:solidFill>
              <w14:schemeClr w14:val="tx1"/>
            </w14:solidFill>
          </w14:textFill>
        </w:rPr>
        <w:br w:type="page"/>
      </w:r>
    </w:p>
    <w:p>
      <w:pPr>
        <w:pStyle w:val="61"/>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61"/>
        <w:ind w:left="0" w:leftChars="0" w:firstLine="0" w:firstLineChars="0"/>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color w:val="0070C0"/>
          <w:spacing w:val="10"/>
          <w:sz w:val="28"/>
        </w:rPr>
      </w:pPr>
    </w:p>
    <w:p>
      <w:pPr>
        <w:adjustRightInd w:val="0"/>
        <w:snapToGrid w:val="0"/>
        <w:spacing w:line="360" w:lineRule="auto"/>
        <w:jc w:val="center"/>
        <w:rPr>
          <w:color w:val="0070C0"/>
          <w:spacing w:val="10"/>
          <w:sz w:val="28"/>
        </w:rPr>
      </w:pPr>
    </w:p>
    <w:p>
      <w:pPr>
        <w:adjustRightInd w:val="0"/>
        <w:snapToGrid w:val="0"/>
        <w:spacing w:line="360" w:lineRule="auto"/>
        <w:jc w:val="center"/>
        <w:rPr>
          <w:color w:val="0070C0"/>
          <w:spacing w:val="10"/>
          <w:sz w:val="28"/>
        </w:rPr>
      </w:pPr>
    </w:p>
    <w:p>
      <w:pPr>
        <w:adjustRightInd w:val="0"/>
        <w:snapToGrid w:val="0"/>
        <w:spacing w:line="360" w:lineRule="auto"/>
        <w:jc w:val="center"/>
        <w:rPr>
          <w:color w:val="0070C0"/>
          <w:spacing w:val="10"/>
          <w:sz w:val="28"/>
        </w:rPr>
      </w:pPr>
    </w:p>
    <w:p>
      <w:pPr>
        <w:adjustRightInd w:val="0"/>
        <w:snapToGrid w:val="0"/>
        <w:spacing w:line="360" w:lineRule="auto"/>
        <w:jc w:val="center"/>
        <w:rPr>
          <w:color w:val="0070C0"/>
          <w:spacing w:val="10"/>
          <w:sz w:val="28"/>
        </w:rPr>
      </w:pPr>
    </w:p>
    <w:p>
      <w:pPr>
        <w:adjustRightInd w:val="0"/>
        <w:snapToGrid w:val="0"/>
        <w:spacing w:line="360" w:lineRule="auto"/>
        <w:jc w:val="center"/>
        <w:rPr>
          <w:rFonts w:hint="eastAsia" w:ascii="Times New Roman"/>
          <w:b/>
          <w:color w:val="000000" w:themeColor="text1"/>
          <w:spacing w:val="0"/>
          <w:kern w:val="2"/>
          <w:sz w:val="32"/>
          <w:szCs w:val="44"/>
          <w:lang w:eastAsia="zh-CN"/>
          <w14:textFill>
            <w14:solidFill>
              <w14:schemeClr w14:val="tx1"/>
            </w14:solidFill>
          </w14:textFill>
        </w:rPr>
      </w:pPr>
      <w:r>
        <w:rPr>
          <w:rFonts w:hint="eastAsia" w:ascii="Times New Roman"/>
          <w:b/>
          <w:color w:val="000000" w:themeColor="text1"/>
          <w:spacing w:val="0"/>
          <w:kern w:val="2"/>
          <w:sz w:val="32"/>
          <w:szCs w:val="44"/>
          <w:lang w:eastAsia="zh-CN"/>
          <w14:textFill>
            <w14:solidFill>
              <w14:schemeClr w14:val="tx1"/>
            </w14:solidFill>
          </w14:textFill>
        </w:rPr>
        <w:t>山东华曦石油技术服务有限公司</w:t>
      </w:r>
    </w:p>
    <w:p>
      <w:pPr>
        <w:adjustRightInd w:val="0"/>
        <w:snapToGrid w:val="0"/>
        <w:spacing w:line="360" w:lineRule="auto"/>
        <w:jc w:val="center"/>
        <w:rPr>
          <w:rFonts w:hint="eastAsia" w:ascii="Times New Roman"/>
          <w:b/>
          <w:color w:val="000000" w:themeColor="text1"/>
          <w:spacing w:val="0"/>
          <w:kern w:val="2"/>
          <w:sz w:val="32"/>
          <w:szCs w:val="44"/>
          <w:lang w:eastAsia="zh-CN"/>
          <w14:textFill>
            <w14:solidFill>
              <w14:schemeClr w14:val="tx1"/>
            </w14:solidFill>
          </w14:textFill>
        </w:rPr>
      </w:pPr>
      <w:r>
        <w:rPr>
          <w:rFonts w:hint="eastAsia" w:ascii="Times New Roman"/>
          <w:b/>
          <w:color w:val="000000" w:themeColor="text1"/>
          <w:spacing w:val="0"/>
          <w:kern w:val="2"/>
          <w:sz w:val="32"/>
          <w:szCs w:val="44"/>
          <w:lang w:eastAsia="zh-CN"/>
          <w14:textFill>
            <w14:solidFill>
              <w14:schemeClr w14:val="tx1"/>
            </w14:solidFill>
          </w14:textFill>
        </w:rPr>
        <w:t>井下作业项目</w:t>
      </w:r>
    </w:p>
    <w:p>
      <w:pPr>
        <w:pStyle w:val="65"/>
        <w:rPr>
          <w:rFonts w:hint="eastAsia"/>
          <w:color w:val="000000" w:themeColor="text1"/>
          <w14:textFill>
            <w14:solidFill>
              <w14:schemeClr w14:val="tx1"/>
            </w14:solidFill>
          </w14:textFill>
        </w:rPr>
      </w:pPr>
    </w:p>
    <w:p>
      <w:pPr>
        <w:adjustRightInd w:val="0"/>
        <w:snapToGrid w:val="0"/>
        <w:spacing w:line="360" w:lineRule="auto"/>
        <w:jc w:val="center"/>
        <w:rPr>
          <w:b/>
          <w:bCs/>
          <w:color w:val="000000" w:themeColor="text1"/>
          <w:spacing w:val="60"/>
          <w:sz w:val="44"/>
          <w:szCs w:val="52"/>
          <w14:textFill>
            <w14:solidFill>
              <w14:schemeClr w14:val="tx1"/>
            </w14:solidFill>
          </w14:textFill>
        </w:rPr>
      </w:pPr>
      <w:r>
        <w:rPr>
          <w:rFonts w:hint="eastAsia"/>
          <w:b/>
          <w:bCs/>
          <w:color w:val="000000" w:themeColor="text1"/>
          <w:spacing w:val="60"/>
          <w:sz w:val="44"/>
          <w:szCs w:val="52"/>
          <w14:textFill>
            <w14:solidFill>
              <w14:schemeClr w14:val="tx1"/>
            </w14:solidFill>
          </w14:textFill>
        </w:rPr>
        <w:t>安全现状评价报告</w:t>
      </w:r>
    </w:p>
    <w:p>
      <w:pPr>
        <w:adjustRightInd w:val="0"/>
        <w:snapToGrid w:val="0"/>
        <w:spacing w:line="360" w:lineRule="auto"/>
        <w:rPr>
          <w:rFonts w:eastAsia="黑体"/>
          <w:b/>
          <w:bCs/>
          <w:color w:val="0070C0"/>
          <w:spacing w:val="60"/>
          <w:sz w:val="32"/>
          <w:szCs w:val="32"/>
        </w:rPr>
      </w:pPr>
    </w:p>
    <w:p>
      <w:pPr>
        <w:adjustRightInd w:val="0"/>
        <w:snapToGrid w:val="0"/>
        <w:spacing w:line="360" w:lineRule="auto"/>
        <w:rPr>
          <w:b/>
          <w:bCs/>
          <w:color w:val="0070C0"/>
          <w:sz w:val="13"/>
        </w:rPr>
      </w:pPr>
    </w:p>
    <w:p>
      <w:pPr>
        <w:adjustRightInd w:val="0"/>
        <w:snapToGrid w:val="0"/>
        <w:spacing w:line="360" w:lineRule="auto"/>
        <w:jc w:val="center"/>
        <w:rPr>
          <w:rFonts w:eastAsia="仿宋_GB2312"/>
          <w:b/>
          <w:bCs/>
          <w:color w:val="0070C0"/>
          <w:kern w:val="0"/>
          <w:sz w:val="28"/>
          <w:szCs w:val="28"/>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ind w:firstLine="640" w:firstLineChars="200"/>
        <w:rPr>
          <w:rFonts w:eastAsia="仿宋_GB2312"/>
          <w:b/>
          <w:bCs/>
          <w:color w:val="0070C0"/>
          <w:kern w:val="0"/>
          <w:sz w:val="32"/>
        </w:rPr>
      </w:pPr>
    </w:p>
    <w:p>
      <w:pPr>
        <w:adjustRightInd w:val="0"/>
        <w:snapToGrid w:val="0"/>
        <w:spacing w:line="360" w:lineRule="auto"/>
        <w:jc w:val="center"/>
        <w:rPr>
          <w:rFonts w:hint="eastAsia" w:eastAsia="宋体"/>
          <w:color w:val="000000" w:themeColor="text1"/>
          <w:kern w:val="0"/>
          <w:sz w:val="28"/>
          <w:szCs w:val="28"/>
          <w:lang w:eastAsia="zh-CN"/>
          <w14:textFill>
            <w14:solidFill>
              <w14:schemeClr w14:val="tx1"/>
            </w14:solidFill>
          </w14:textFill>
        </w:rPr>
      </w:pPr>
      <w:r>
        <w:rPr>
          <w:rFonts w:hint="eastAsia"/>
          <w:color w:val="000000" w:themeColor="text1"/>
          <w:kern w:val="0"/>
          <w:sz w:val="28"/>
          <w:szCs w:val="28"/>
          <w14:textFill>
            <w14:solidFill>
              <w14:schemeClr w14:val="tx1"/>
            </w14:solidFill>
          </w14:textFill>
        </w:rPr>
        <w:t>法定代表人：</w:t>
      </w:r>
      <w:r>
        <w:rPr>
          <w:rFonts w:hint="eastAsia"/>
          <w:color w:val="000000" w:themeColor="text1"/>
          <w:kern w:val="0"/>
          <w:sz w:val="28"/>
          <w:szCs w:val="28"/>
          <w:lang w:eastAsia="zh-CN"/>
          <w14:textFill>
            <w14:solidFill>
              <w14:schemeClr w14:val="tx1"/>
            </w14:solidFill>
          </w14:textFill>
        </w:rPr>
        <w:t>任红艳</w:t>
      </w:r>
    </w:p>
    <w:p>
      <w:pPr>
        <w:adjustRightInd w:val="0"/>
        <w:snapToGrid w:val="0"/>
        <w:spacing w:line="360" w:lineRule="auto"/>
        <w:jc w:val="center"/>
        <w:rPr>
          <w:rFonts w:hint="eastAsia" w:eastAsia="宋体"/>
          <w:color w:val="000000" w:themeColor="text1"/>
          <w:kern w:val="0"/>
          <w:sz w:val="28"/>
          <w:szCs w:val="28"/>
          <w:highlight w:val="none"/>
          <w:lang w:eastAsia="zh-CN"/>
          <w14:textFill>
            <w14:solidFill>
              <w14:schemeClr w14:val="tx1"/>
            </w14:solidFill>
          </w14:textFill>
        </w:rPr>
      </w:pPr>
      <w:r>
        <w:rPr>
          <w:rFonts w:hint="eastAsia"/>
          <w:color w:val="000000" w:themeColor="text1"/>
          <w:kern w:val="0"/>
          <w:sz w:val="28"/>
          <w:szCs w:val="28"/>
          <w:highlight w:val="none"/>
          <w14:textFill>
            <w14:solidFill>
              <w14:schemeClr w14:val="tx1"/>
            </w14:solidFill>
          </w14:textFill>
        </w:rPr>
        <w:t>技术负责人：</w:t>
      </w:r>
      <w:r>
        <w:rPr>
          <w:rFonts w:hint="eastAsia"/>
          <w:color w:val="000000" w:themeColor="text1"/>
          <w:kern w:val="0"/>
          <w:sz w:val="28"/>
          <w:szCs w:val="28"/>
          <w:highlight w:val="none"/>
          <w:lang w:eastAsia="zh-CN"/>
          <w14:textFill>
            <w14:solidFill>
              <w14:schemeClr w14:val="tx1"/>
            </w14:solidFill>
          </w14:textFill>
        </w:rPr>
        <w:t>吴佳东</w:t>
      </w:r>
    </w:p>
    <w:p>
      <w:pPr>
        <w:adjustRightInd w:val="0"/>
        <w:snapToGrid w:val="0"/>
        <w:spacing w:line="360" w:lineRule="auto"/>
        <w:jc w:val="center"/>
        <w:rPr>
          <w:rFonts w:hint="eastAsia" w:eastAsia="宋体"/>
          <w:color w:val="000000" w:themeColor="text1"/>
          <w:kern w:val="0"/>
          <w:sz w:val="28"/>
          <w:szCs w:val="28"/>
          <w:highlight w:val="none"/>
          <w:lang w:eastAsia="zh-CN"/>
          <w14:textFill>
            <w14:solidFill>
              <w14:schemeClr w14:val="tx1"/>
            </w14:solidFill>
          </w14:textFill>
        </w:rPr>
      </w:pPr>
      <w:r>
        <w:rPr>
          <w:rFonts w:hint="eastAsia"/>
          <w:color w:val="000000" w:themeColor="text1"/>
          <w:kern w:val="0"/>
          <w:sz w:val="28"/>
          <w:szCs w:val="28"/>
          <w:highlight w:val="none"/>
          <w14:textFill>
            <w14:solidFill>
              <w14:schemeClr w14:val="tx1"/>
            </w14:solidFill>
          </w14:textFill>
        </w:rPr>
        <w:t>项目负责人：</w:t>
      </w:r>
      <w:r>
        <w:rPr>
          <w:rFonts w:hint="eastAsia"/>
          <w:color w:val="000000" w:themeColor="text1"/>
          <w:kern w:val="0"/>
          <w:sz w:val="28"/>
          <w:szCs w:val="28"/>
          <w:highlight w:val="none"/>
          <w:lang w:eastAsia="zh-CN"/>
          <w14:textFill>
            <w14:solidFill>
              <w14:schemeClr w14:val="tx1"/>
            </w14:solidFill>
          </w14:textFill>
        </w:rPr>
        <w:t>刘瑞峰</w:t>
      </w:r>
    </w:p>
    <w:p>
      <w:pPr>
        <w:adjustRightInd w:val="0"/>
        <w:snapToGrid w:val="0"/>
        <w:spacing w:line="360" w:lineRule="auto"/>
        <w:rPr>
          <w:rFonts w:eastAsia="仿宋_GB2312"/>
          <w:color w:val="0070C0"/>
          <w:kern w:val="0"/>
          <w:sz w:val="32"/>
        </w:rPr>
      </w:pPr>
    </w:p>
    <w:p>
      <w:pPr>
        <w:adjustRightInd w:val="0"/>
        <w:snapToGrid w:val="0"/>
        <w:spacing w:line="360" w:lineRule="auto"/>
        <w:rPr>
          <w:rFonts w:eastAsia="仿宋_GB2312"/>
          <w:color w:val="0070C0"/>
          <w:kern w:val="0"/>
          <w:sz w:val="32"/>
        </w:rPr>
      </w:pPr>
    </w:p>
    <w:p>
      <w:pPr>
        <w:adjustRightInd w:val="0"/>
        <w:snapToGrid w:val="0"/>
        <w:spacing w:line="360" w:lineRule="auto"/>
        <w:jc w:val="center"/>
        <w:rPr>
          <w:b/>
          <w:bCs/>
          <w:color w:val="0070C0"/>
          <w:kern w:val="0"/>
          <w:sz w:val="24"/>
        </w:rPr>
      </w:pPr>
      <w:r>
        <w:rPr>
          <w:rFonts w:hint="eastAsia"/>
          <w:b/>
          <w:bCs/>
          <w:color w:val="000000" w:themeColor="text1"/>
          <w:kern w:val="0"/>
          <w:sz w:val="24"/>
          <w14:textFill>
            <w14:solidFill>
              <w14:schemeClr w14:val="tx1"/>
            </w14:solidFill>
          </w14:textFill>
        </w:rPr>
        <w:t>报告完成日期：20</w:t>
      </w:r>
      <w:r>
        <w:rPr>
          <w:rFonts w:hint="eastAsia"/>
          <w:b/>
          <w:bCs/>
          <w:color w:val="000000" w:themeColor="text1"/>
          <w:kern w:val="0"/>
          <w:sz w:val="24"/>
          <w:lang w:val="en-US" w:eastAsia="zh-CN"/>
          <w14:textFill>
            <w14:solidFill>
              <w14:schemeClr w14:val="tx1"/>
            </w14:solidFill>
          </w14:textFill>
        </w:rPr>
        <w:t>22</w:t>
      </w:r>
      <w:r>
        <w:rPr>
          <w:rFonts w:hint="eastAsia"/>
          <w:b/>
          <w:bCs/>
          <w:color w:val="000000" w:themeColor="text1"/>
          <w:kern w:val="0"/>
          <w:sz w:val="24"/>
          <w14:textFill>
            <w14:solidFill>
              <w14:schemeClr w14:val="tx1"/>
            </w14:solidFill>
          </w14:textFill>
        </w:rPr>
        <w:t>年</w:t>
      </w:r>
      <w:r>
        <w:rPr>
          <w:rFonts w:hint="eastAsia"/>
          <w:b/>
          <w:bCs/>
          <w:color w:val="000000" w:themeColor="text1"/>
          <w:kern w:val="0"/>
          <w:sz w:val="24"/>
          <w:lang w:val="en-US" w:eastAsia="zh-CN"/>
          <w14:textFill>
            <w14:solidFill>
              <w14:schemeClr w14:val="tx1"/>
            </w14:solidFill>
          </w14:textFill>
        </w:rPr>
        <w:t>12</w:t>
      </w:r>
      <w:r>
        <w:rPr>
          <w:rFonts w:hint="eastAsia"/>
          <w:b/>
          <w:bCs/>
          <w:color w:val="auto"/>
          <w:kern w:val="0"/>
          <w:sz w:val="24"/>
        </w:rPr>
        <w:t>月</w:t>
      </w:r>
      <w:r>
        <w:rPr>
          <w:rFonts w:hint="eastAsia"/>
          <w:b/>
          <w:bCs/>
          <w:color w:val="auto"/>
          <w:kern w:val="0"/>
          <w:sz w:val="24"/>
          <w:lang w:val="en-US" w:eastAsia="zh-CN"/>
        </w:rPr>
        <w:t>30</w:t>
      </w:r>
      <w:r>
        <w:rPr>
          <w:rFonts w:hint="eastAsia"/>
          <w:b/>
          <w:bCs/>
          <w:color w:val="auto"/>
          <w:kern w:val="0"/>
          <w:sz w:val="24"/>
        </w:rPr>
        <w:t>日</w:t>
      </w: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color w:val="0070C0"/>
          <w:sz w:val="44"/>
          <w:szCs w:val="32"/>
        </w:rPr>
      </w:pPr>
    </w:p>
    <w:p>
      <w:pPr>
        <w:widowControl/>
        <w:adjustRightInd w:val="0"/>
        <w:snapToGrid w:val="0"/>
        <w:spacing w:line="360" w:lineRule="auto"/>
        <w:rPr>
          <w:rFonts w:hint="eastAsia" w:eastAsia="宋体"/>
          <w:color w:val="0070C0"/>
          <w:sz w:val="44"/>
          <w:szCs w:val="32"/>
          <w:lang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eastAsia" w:eastAsia="宋体"/>
          <w:color w:val="0070C0"/>
          <w:sz w:val="44"/>
          <w:szCs w:val="32"/>
          <w:lang w:eastAsia="zh-CN"/>
        </w:rPr>
        <w:drawing>
          <wp:inline distT="0" distB="0" distL="114300" distR="114300">
            <wp:extent cx="5267960" cy="7450455"/>
            <wp:effectExtent l="0" t="0" r="5080" b="1905"/>
            <wp:docPr id="228" name="图片 228" descr="委托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8" descr="委托书"/>
                    <pic:cNvPicPr>
                      <a:picLocks noChangeAspect="1"/>
                    </pic:cNvPicPr>
                  </pic:nvPicPr>
                  <pic:blipFill>
                    <a:blip r:embed="rId15"/>
                    <a:stretch>
                      <a:fillRect/>
                    </a:stretch>
                  </pic:blipFill>
                  <pic:spPr>
                    <a:xfrm>
                      <a:off x="0" y="0"/>
                      <a:ext cx="5267960" cy="7450455"/>
                    </a:xfrm>
                    <a:prstGeom prst="rect">
                      <a:avLst/>
                    </a:prstGeom>
                  </pic:spPr>
                </pic:pic>
              </a:graphicData>
            </a:graphic>
          </wp:inline>
        </w:drawing>
      </w:r>
    </w:p>
    <w:p>
      <w:pPr>
        <w:pStyle w:val="2"/>
        <w:rPr>
          <w:rFonts w:hint="eastAsia"/>
          <w:lang w:eastAsia="zh-CN"/>
        </w:rPr>
      </w:pPr>
    </w:p>
    <w:p>
      <w:pPr>
        <w:wordWrap/>
        <w:adjustRightInd w:val="0"/>
        <w:snapToGrid w:val="0"/>
        <w:spacing w:line="360" w:lineRule="auto"/>
        <w:ind w:firstLine="6440" w:firstLineChars="2300"/>
        <w:jc w:val="both"/>
        <w:rPr>
          <w:color w:val="000000" w:themeColor="text1"/>
          <w:sz w:val="28"/>
          <w:szCs w:val="28"/>
          <w14:textFill>
            <w14:solidFill>
              <w14:schemeClr w14:val="tx1"/>
            </w14:solidFill>
          </w14:textFill>
        </w:rPr>
      </w:pPr>
    </w:p>
    <w:p>
      <w:pPr>
        <w:adjustRightInd w:val="0"/>
        <w:snapToGrid w:val="0"/>
        <w:spacing w:line="360" w:lineRule="auto"/>
        <w:ind w:firstLine="560" w:firstLineChars="200"/>
        <w:rPr>
          <w:color w:val="000000" w:themeColor="text1"/>
          <w:sz w:val="28"/>
          <w:szCs w:val="28"/>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rFonts w:eastAsia="黑体"/>
          <w:b/>
          <w:bCs/>
          <w:color w:val="000000" w:themeColor="text1"/>
          <w:kern w:val="44"/>
          <w:sz w:val="32"/>
          <w:szCs w:val="32"/>
          <w14:textFill>
            <w14:solidFill>
              <w14:schemeClr w14:val="tx1"/>
            </w14:solidFill>
          </w14:textFill>
        </w:rPr>
      </w:pPr>
      <w:r>
        <w:rPr>
          <w:rFonts w:hint="eastAsia" w:eastAsia="黑体"/>
          <w:b/>
          <w:bCs/>
          <w:color w:val="000000" w:themeColor="text1"/>
          <w:kern w:val="44"/>
          <w:sz w:val="32"/>
          <w:szCs w:val="32"/>
          <w14:textFill>
            <w14:solidFill>
              <w14:schemeClr w14:val="tx1"/>
            </w14:solidFill>
          </w14:textFill>
        </w:rPr>
        <w:t>前  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lang w:eastAsia="zh-CN"/>
        </w:rPr>
        <w:t>山东华曦石油技术服务有限公司</w:t>
      </w:r>
      <w:r>
        <w:rPr>
          <w:rFonts w:hint="default" w:ascii="Times New Roman" w:hAnsi="Times New Roman" w:eastAsia="宋体" w:cs="Times New Roman"/>
          <w:sz w:val="28"/>
          <w:szCs w:val="28"/>
        </w:rPr>
        <w:t>成立于20</w:t>
      </w:r>
      <w:r>
        <w:rPr>
          <w:rFonts w:hint="default" w:ascii="Times New Roman" w:hAnsi="Times New Roman" w:eastAsia="宋体" w:cs="Times New Roman"/>
          <w:sz w:val="28"/>
          <w:szCs w:val="28"/>
          <w:lang w:val="en-US" w:eastAsia="zh-CN"/>
        </w:rPr>
        <w:t>14</w:t>
      </w:r>
      <w:r>
        <w:rPr>
          <w:rFonts w:hint="default" w:ascii="Times New Roman" w:hAnsi="Times New Roman" w:eastAsia="宋体" w:cs="Times New Roman"/>
          <w:sz w:val="28"/>
          <w:szCs w:val="28"/>
        </w:rPr>
        <w:t>年</w:t>
      </w:r>
      <w:r>
        <w:rPr>
          <w:rFonts w:hint="default" w:ascii="Times New Roman" w:hAnsi="Times New Roman" w:eastAsia="宋体" w:cs="Times New Roman"/>
          <w:sz w:val="28"/>
          <w:szCs w:val="28"/>
          <w:lang w:val="en-US" w:eastAsia="zh-CN"/>
        </w:rPr>
        <w:t>5</w:t>
      </w:r>
      <w:r>
        <w:rPr>
          <w:rFonts w:hint="default" w:ascii="Times New Roman" w:hAnsi="Times New Roman" w:eastAsia="宋体" w:cs="Times New Roman"/>
          <w:sz w:val="28"/>
          <w:szCs w:val="28"/>
        </w:rPr>
        <w:t>月</w:t>
      </w:r>
      <w:r>
        <w:rPr>
          <w:rFonts w:hint="default" w:ascii="Times New Roman" w:hAnsi="Times New Roman" w:eastAsia="宋体" w:cs="Times New Roman"/>
          <w:sz w:val="28"/>
          <w:szCs w:val="28"/>
          <w:lang w:val="en-US" w:eastAsia="zh-CN"/>
        </w:rPr>
        <w:t>22</w:t>
      </w:r>
      <w:r>
        <w:rPr>
          <w:rFonts w:hint="default" w:ascii="Times New Roman" w:hAnsi="Times New Roman" w:eastAsia="宋体" w:cs="Times New Roman"/>
          <w:sz w:val="28"/>
          <w:szCs w:val="28"/>
        </w:rPr>
        <w:t>日，</w:t>
      </w:r>
      <w:r>
        <w:rPr>
          <w:rFonts w:hint="default" w:ascii="Times New Roman" w:hAnsi="Times New Roman" w:eastAsia="宋体" w:cs="Times New Roman"/>
          <w:sz w:val="28"/>
          <w:szCs w:val="28"/>
          <w:lang w:val="en-US" w:eastAsia="zh-CN"/>
        </w:rPr>
        <w:t>注册地址</w:t>
      </w:r>
      <w:r>
        <w:rPr>
          <w:rFonts w:hint="default" w:ascii="Times New Roman" w:hAnsi="Times New Roman" w:eastAsia="宋体" w:cs="Times New Roman"/>
          <w:sz w:val="28"/>
          <w:szCs w:val="28"/>
        </w:rPr>
        <w:t>位于</w:t>
      </w:r>
      <w:r>
        <w:rPr>
          <w:rFonts w:hint="default" w:ascii="Times New Roman" w:hAnsi="Times New Roman" w:eastAsia="宋体" w:cs="Times New Roman"/>
          <w:sz w:val="28"/>
          <w:szCs w:val="28"/>
          <w:lang w:eastAsia="zh-CN"/>
        </w:rPr>
        <w:t>山东省东营市东营区北一路</w:t>
      </w:r>
      <w:r>
        <w:rPr>
          <w:rFonts w:hint="default" w:ascii="Times New Roman" w:hAnsi="Times New Roman" w:eastAsia="宋体" w:cs="Times New Roman"/>
          <w:sz w:val="28"/>
          <w:szCs w:val="28"/>
          <w:lang w:val="en-US" w:eastAsia="zh-CN"/>
        </w:rPr>
        <w:t>730号万达广场E幢1507</w:t>
      </w:r>
      <w:r>
        <w:rPr>
          <w:rFonts w:hint="default" w:ascii="Times New Roman" w:hAnsi="Times New Roman" w:eastAsia="宋体" w:cs="Times New Roman"/>
          <w:sz w:val="28"/>
          <w:szCs w:val="28"/>
        </w:rPr>
        <w:t>，</w:t>
      </w:r>
      <w:r>
        <w:rPr>
          <w:rFonts w:hint="default" w:ascii="Times New Roman" w:hAnsi="Times New Roman" w:eastAsia="宋体" w:cs="Times New Roman"/>
          <w:sz w:val="28"/>
          <w:szCs w:val="28"/>
          <w:lang w:val="en-US" w:eastAsia="zh-CN"/>
        </w:rPr>
        <w:t>现办公地址位于山东省东营市东营区北一路749号华银大厦。</w:t>
      </w:r>
      <w:r>
        <w:rPr>
          <w:rFonts w:hint="default" w:ascii="Times New Roman" w:hAnsi="Times New Roman" w:eastAsia="宋体" w:cs="Times New Roman"/>
          <w:sz w:val="28"/>
          <w:szCs w:val="28"/>
        </w:rPr>
        <w:t>公司法定代表人</w:t>
      </w:r>
      <w:r>
        <w:rPr>
          <w:rFonts w:hint="default" w:ascii="Times New Roman" w:hAnsi="Times New Roman" w:eastAsia="宋体" w:cs="Times New Roman"/>
          <w:sz w:val="28"/>
          <w:szCs w:val="28"/>
          <w:lang w:eastAsia="zh-CN"/>
        </w:rPr>
        <w:t>崔华</w:t>
      </w:r>
      <w:r>
        <w:rPr>
          <w:rFonts w:hint="default" w:ascii="Times New Roman" w:hAnsi="Times New Roman" w:eastAsia="宋体" w:cs="Times New Roman"/>
          <w:sz w:val="28"/>
          <w:szCs w:val="28"/>
        </w:rPr>
        <w:t>，注册资本</w:t>
      </w:r>
      <w:r>
        <w:rPr>
          <w:rFonts w:hint="default" w:ascii="Times New Roman" w:hAnsi="Times New Roman" w:eastAsia="宋体" w:cs="Times New Roman"/>
          <w:sz w:val="28"/>
          <w:szCs w:val="28"/>
          <w:lang w:eastAsia="zh-CN"/>
        </w:rPr>
        <w:t>壹</w:t>
      </w:r>
      <w:r>
        <w:rPr>
          <w:rFonts w:hint="default" w:ascii="Times New Roman" w:hAnsi="Times New Roman" w:eastAsia="宋体" w:cs="Times New Roman"/>
          <w:sz w:val="28"/>
          <w:szCs w:val="28"/>
        </w:rPr>
        <w:t>仟万元整。公司主要经营范围</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rPr>
        <w:t>石油技术服务；</w:t>
      </w:r>
      <w:r>
        <w:rPr>
          <w:rFonts w:hint="default" w:ascii="Times New Roman" w:hAnsi="Times New Roman" w:eastAsia="宋体" w:cs="Times New Roman"/>
          <w:sz w:val="28"/>
          <w:szCs w:val="28"/>
          <w:lang w:eastAsia="zh-CN"/>
        </w:rPr>
        <w:t>注气系统集成设备销售；石油新技术、新产品研发；井下作业</w:t>
      </w:r>
      <w:r>
        <w:rPr>
          <w:rFonts w:hint="default" w:ascii="Times New Roman" w:hAnsi="Times New Roman" w:eastAsia="宋体" w:cs="Times New Roman"/>
          <w:sz w:val="28"/>
          <w:szCs w:val="28"/>
        </w:rPr>
        <w:t>（</w:t>
      </w:r>
      <w:r>
        <w:rPr>
          <w:rFonts w:hint="default" w:ascii="Times New Roman" w:hAnsi="Times New Roman" w:eastAsia="宋体" w:cs="Times New Roman"/>
          <w:sz w:val="28"/>
          <w:szCs w:val="28"/>
          <w:lang w:val="en-US" w:eastAsia="zh-CN"/>
        </w:rPr>
        <w:t>油井注高干度复合气、注汽施工</w:t>
      </w:r>
      <w:r>
        <w:rPr>
          <w:rFonts w:hint="default" w:ascii="Times New Roman" w:hAnsi="Times New Roman" w:eastAsia="宋体" w:cs="Times New Roman"/>
          <w:sz w:val="28"/>
          <w:szCs w:val="28"/>
        </w:rPr>
        <w:t>）。（依法须经批准的项目，经相关部门批准后方可开展经营活动）。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山东华曦石油技术服务有限公司是一家专门从事稠油热采服务的企业。该公司研发的热采井注高干度复合气专利工艺技术，已获得稠油资源丰富的中国、美国、俄罗斯、加拿大、巴西发明专利，并荣获第四届山东省专利二等奖，至今国内外尚无与本专利类似或接近的技术。</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sz w:val="28"/>
          <w:szCs w:val="28"/>
        </w:rPr>
      </w:pPr>
      <w:r>
        <w:rPr>
          <w:rFonts w:hint="default" w:ascii="Times New Roman" w:hAnsi="Times New Roman" w:eastAsia="宋体" w:cs="Times New Roman"/>
          <w:sz w:val="28"/>
          <w:szCs w:val="28"/>
        </w:rPr>
        <w:t>公司目前拥有900型、1200型高干度复合气系统共5套。2018年以来，累计开展本发明专利工艺600余井次，周期结束520井次，分布在胜利油田多个采油厂的37个单元，油藏类型从普通稠油到特超稠油油藏、从弱边水到强边水油藏、从薄层到中厚层油藏均有应用。</w:t>
      </w:r>
    </w:p>
    <w:p>
      <w:pPr>
        <w:adjustRightInd w:val="0"/>
        <w:snapToGrid w:val="0"/>
        <w:spacing w:line="360" w:lineRule="auto"/>
        <w:ind w:firstLine="560" w:firstLineChars="200"/>
        <w:rPr>
          <w:rFonts w:hint="default" w:ascii="Times New Roman" w:hAnsi="Times New Roman" w:cs="Times New Roman"/>
          <w:color w:val="000000" w:themeColor="text1"/>
          <w:sz w:val="28"/>
          <w:szCs w:val="28"/>
          <w:lang w:val="en-US" w:eastAsia="zh-CN"/>
          <w14:textFill>
            <w14:solidFill>
              <w14:schemeClr w14:val="tx1"/>
            </w14:solidFill>
          </w14:textFill>
        </w:rPr>
      </w:pPr>
      <w:r>
        <w:rPr>
          <w:rFonts w:hint="eastAsia"/>
          <w:color w:val="000000" w:themeColor="text1"/>
          <w:sz w:val="28"/>
          <w:szCs w:val="28"/>
          <w:lang w:eastAsia="zh-CN"/>
          <w14:textFill>
            <w14:solidFill>
              <w14:schemeClr w14:val="tx1"/>
            </w14:solidFill>
          </w14:textFill>
        </w:rPr>
        <w:t>山东华曦石油技术服务有限公司</w:t>
      </w:r>
      <w:r>
        <w:rPr>
          <w:rFonts w:hint="eastAsia"/>
          <w:color w:val="000000" w:themeColor="text1"/>
          <w:sz w:val="28"/>
          <w:szCs w:val="28"/>
          <w14:textFill>
            <w14:solidFill>
              <w14:schemeClr w14:val="tx1"/>
            </w14:solidFill>
          </w14:textFill>
        </w:rPr>
        <w:t>于201</w:t>
      </w:r>
      <w:r>
        <w:rPr>
          <w:rFonts w:hint="eastAsia"/>
          <w:color w:val="000000" w:themeColor="text1"/>
          <w:sz w:val="28"/>
          <w:szCs w:val="28"/>
          <w:lang w:val="en-US" w:eastAsia="zh-CN"/>
          <w14:textFill>
            <w14:solidFill>
              <w14:schemeClr w14:val="tx1"/>
            </w14:solidFill>
          </w14:textFill>
        </w:rPr>
        <w:t>5</w:t>
      </w:r>
      <w:r>
        <w:rPr>
          <w:rFonts w:hint="eastAsia"/>
          <w:color w:val="000000" w:themeColor="text1"/>
          <w:sz w:val="28"/>
          <w:szCs w:val="28"/>
          <w14:textFill>
            <w14:solidFill>
              <w14:schemeClr w14:val="tx1"/>
            </w14:solidFill>
          </w14:textFill>
        </w:rPr>
        <w:t>年</w:t>
      </w:r>
      <w:r>
        <w:rPr>
          <w:rFonts w:hint="eastAsia"/>
          <w:color w:val="000000" w:themeColor="text1"/>
          <w:sz w:val="28"/>
          <w:szCs w:val="28"/>
          <w:lang w:val="en-US" w:eastAsia="zh-CN"/>
          <w14:textFill>
            <w14:solidFill>
              <w14:schemeClr w14:val="tx1"/>
            </w14:solidFill>
          </w14:textFill>
        </w:rPr>
        <w:t>6</w:t>
      </w:r>
      <w:r>
        <w:rPr>
          <w:rFonts w:hint="eastAsia"/>
          <w:color w:val="000000" w:themeColor="text1"/>
          <w:sz w:val="28"/>
          <w:szCs w:val="28"/>
          <w14:textFill>
            <w14:solidFill>
              <w14:schemeClr w14:val="tx1"/>
            </w14:solidFill>
          </w14:textFill>
        </w:rPr>
        <w:t>月</w:t>
      </w:r>
      <w:r>
        <w:rPr>
          <w:rFonts w:hint="eastAsia"/>
          <w:color w:val="000000" w:themeColor="text1"/>
          <w:sz w:val="28"/>
          <w:szCs w:val="28"/>
          <w:lang w:val="en-US" w:eastAsia="zh-CN"/>
          <w14:textFill>
            <w14:solidFill>
              <w14:schemeClr w14:val="tx1"/>
            </w14:solidFill>
          </w14:textFill>
        </w:rPr>
        <w:t>3</w:t>
      </w:r>
      <w:r>
        <w:rPr>
          <w:rFonts w:hint="eastAsia"/>
          <w:color w:val="000000" w:themeColor="text1"/>
          <w:sz w:val="28"/>
          <w:szCs w:val="28"/>
          <w14:textFill>
            <w14:solidFill>
              <w14:schemeClr w14:val="tx1"/>
            </w14:solidFill>
          </w14:textFill>
        </w:rPr>
        <w:t>日取得安全生产许可证</w:t>
      </w:r>
      <w:r>
        <w:rPr>
          <w:rFonts w:hint="eastAsia"/>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20</w:t>
      </w:r>
      <w:r>
        <w:rPr>
          <w:rFonts w:hint="eastAsia" w:ascii="Times New Roman" w:hAnsi="Times New Roman" w:cs="Times New Roman"/>
          <w:color w:val="000000" w:themeColor="text1"/>
          <w:sz w:val="28"/>
          <w:szCs w:val="28"/>
          <w:lang w:val="en-US" w:eastAsia="zh-CN"/>
          <w14:textFill>
            <w14:solidFill>
              <w14:schemeClr w14:val="tx1"/>
            </w14:solidFill>
          </w14:textFill>
        </w:rPr>
        <w:t>18</w:t>
      </w:r>
      <w:r>
        <w:rPr>
          <w:rFonts w:hint="default" w:ascii="Times New Roman" w:hAnsi="Times New Roman" w:cs="Times New Roman"/>
          <w:color w:val="000000" w:themeColor="text1"/>
          <w:sz w:val="28"/>
          <w:szCs w:val="28"/>
          <w:lang w:val="en-US" w:eastAsia="zh-CN"/>
          <w14:textFill>
            <w14:solidFill>
              <w14:schemeClr w14:val="tx1"/>
            </w14:solidFill>
          </w14:textFill>
        </w:rPr>
        <w:t>年</w:t>
      </w:r>
      <w:r>
        <w:rPr>
          <w:rFonts w:hint="eastAsia" w:cs="Times New Roman"/>
          <w:color w:val="000000" w:themeColor="text1"/>
          <w:sz w:val="28"/>
          <w:szCs w:val="28"/>
          <w:lang w:val="en-US" w:eastAsia="zh-CN"/>
          <w14:textFill>
            <w14:solidFill>
              <w14:schemeClr w14:val="tx1"/>
            </w14:solidFill>
          </w14:textFill>
        </w:rPr>
        <w:t>6月</w:t>
      </w:r>
      <w:r>
        <w:rPr>
          <w:rFonts w:hint="default" w:ascii="Times New Roman" w:hAnsi="Times New Roman" w:cs="Times New Roman"/>
          <w:color w:val="000000" w:themeColor="text1"/>
          <w:sz w:val="28"/>
          <w:szCs w:val="28"/>
          <w:lang w:val="en-US" w:eastAsia="zh-CN"/>
          <w14:textFill>
            <w14:solidFill>
              <w14:schemeClr w14:val="tx1"/>
            </w14:solidFill>
          </w14:textFill>
        </w:rPr>
        <w:t>安全生产许可证到期进行了延续</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14:textFill>
            <w14:solidFill>
              <w14:schemeClr w14:val="tx1"/>
            </w14:solidFill>
          </w14:textFill>
        </w:rPr>
        <w:t>许可范围：井下作业（</w:t>
      </w:r>
      <w:r>
        <w:rPr>
          <w:rFonts w:hint="eastAsia"/>
          <w:color w:val="000000" w:themeColor="text1"/>
          <w:sz w:val="28"/>
          <w:szCs w:val="28"/>
          <w:lang w:eastAsia="zh-CN"/>
          <w14:textFill>
            <w14:solidFill>
              <w14:schemeClr w14:val="tx1"/>
            </w14:solidFill>
          </w14:textFill>
        </w:rPr>
        <w:t>油井注高干度复合气、</w:t>
      </w:r>
      <w:r>
        <w:rPr>
          <w:rFonts w:hint="eastAsia"/>
          <w:color w:val="000000" w:themeColor="text1"/>
          <w:sz w:val="28"/>
          <w:szCs w:val="28"/>
          <w:lang w:val="en-US" w:eastAsia="zh-CN"/>
          <w14:textFill>
            <w14:solidFill>
              <w14:schemeClr w14:val="tx1"/>
            </w14:solidFill>
          </w14:textFill>
        </w:rPr>
        <w:t>注汽</w:t>
      </w:r>
      <w:r>
        <w:rPr>
          <w:rFonts w:hint="eastAsia"/>
          <w:color w:val="000000" w:themeColor="text1"/>
          <w:sz w:val="28"/>
          <w:szCs w:val="28"/>
          <w:lang w:eastAsia="zh-CN"/>
          <w14:textFill>
            <w14:solidFill>
              <w14:schemeClr w14:val="tx1"/>
            </w14:solidFill>
          </w14:textFill>
        </w:rPr>
        <w:t>施工</w:t>
      </w:r>
      <w:r>
        <w:rPr>
          <w:rFonts w:hint="eastAsia"/>
          <w:color w:val="000000" w:themeColor="text1"/>
          <w:sz w:val="28"/>
          <w:szCs w:val="28"/>
          <w14:textFill>
            <w14:solidFill>
              <w14:schemeClr w14:val="tx1"/>
            </w14:solidFill>
          </w14:textFill>
        </w:rPr>
        <w:t>）</w:t>
      </w:r>
      <w:r>
        <w:rPr>
          <w:rFonts w:hint="eastAsia"/>
          <w:lang w:eastAsia="zh-CN"/>
        </w:rPr>
        <w:t>，</w:t>
      </w:r>
      <w:r>
        <w:rPr>
          <w:rFonts w:hint="eastAsia"/>
          <w:color w:val="000000" w:themeColor="text1"/>
          <w:sz w:val="28"/>
          <w:szCs w:val="28"/>
          <w:lang w:val="en-US" w:eastAsia="zh-CN"/>
          <w14:textFill>
            <w14:solidFill>
              <w14:schemeClr w14:val="tx1"/>
            </w14:solidFill>
          </w14:textFill>
        </w:rPr>
        <w:t>证书编号为：</w:t>
      </w:r>
      <w:r>
        <w:rPr>
          <w:rFonts w:hint="eastAsia"/>
          <w:color w:val="000000" w:themeColor="text1"/>
          <w:sz w:val="28"/>
          <w:szCs w:val="28"/>
          <w14:textFill>
            <w14:solidFill>
              <w14:schemeClr w14:val="tx1"/>
            </w14:solidFill>
          </w14:textFill>
        </w:rPr>
        <w:t>（鲁）FM安许证字[201</w:t>
      </w:r>
      <w:r>
        <w:rPr>
          <w:rFonts w:hint="eastAsia"/>
          <w:color w:val="000000" w:themeColor="text1"/>
          <w:sz w:val="28"/>
          <w:szCs w:val="28"/>
          <w:lang w:val="en-US" w:eastAsia="zh-CN"/>
          <w14:textFill>
            <w14:solidFill>
              <w14:schemeClr w14:val="tx1"/>
            </w14:solidFill>
          </w14:textFill>
        </w:rPr>
        <w:t>8</w:t>
      </w:r>
      <w:r>
        <w:rPr>
          <w:rFonts w:hint="eastAsia"/>
          <w:color w:val="000000" w:themeColor="text1"/>
          <w:sz w:val="28"/>
          <w:szCs w:val="28"/>
          <w14:textFill>
            <w14:solidFill>
              <w14:schemeClr w14:val="tx1"/>
            </w14:solidFill>
          </w14:textFill>
        </w:rPr>
        <w:t>]05-001</w:t>
      </w:r>
      <w:r>
        <w:rPr>
          <w:rFonts w:hint="eastAsia"/>
          <w:color w:val="000000" w:themeColor="text1"/>
          <w:sz w:val="28"/>
          <w:szCs w:val="28"/>
          <w:lang w:val="en-US" w:eastAsia="zh-CN"/>
          <w14:textFill>
            <w14:solidFill>
              <w14:schemeClr w14:val="tx1"/>
            </w14:solidFill>
          </w14:textFill>
        </w:rPr>
        <w:t>7，有效期至2021年6月2日</w:t>
      </w:r>
      <w:r>
        <w:rPr>
          <w:rFonts w:hint="default" w:ascii="Times New Roman" w:hAnsi="Times New Roman" w:cs="Times New Roman"/>
          <w:color w:val="000000" w:themeColor="text1"/>
          <w:sz w:val="28"/>
          <w:szCs w:val="28"/>
          <w:lang w:val="en-US" w:eastAsia="zh-CN"/>
          <w14:textFill>
            <w14:solidFill>
              <w14:schemeClr w14:val="tx1"/>
            </w14:solidFill>
          </w14:textFill>
        </w:rPr>
        <w:t>。</w:t>
      </w:r>
    </w:p>
    <w:p>
      <w:pPr>
        <w:adjustRightInd w:val="0"/>
        <w:snapToGrid w:val="0"/>
        <w:spacing w:line="360" w:lineRule="auto"/>
        <w:ind w:firstLine="560" w:firstLineChars="200"/>
        <w:rPr>
          <w:rFonts w:hint="default" w:ascii="Times New Roman" w:hAnsi="Times New Roman" w:cs="Times New Roman"/>
          <w:color w:val="000000"/>
          <w:sz w:val="28"/>
          <w:szCs w:val="28"/>
          <w:lang w:val="en-US" w:eastAsia="zh-CN"/>
        </w:rPr>
      </w:pPr>
      <w:r>
        <w:rPr>
          <w:rFonts w:hint="eastAsia" w:cs="Times New Roman"/>
          <w:color w:val="000000"/>
          <w:sz w:val="28"/>
          <w:szCs w:val="28"/>
          <w:lang w:val="en-US" w:eastAsia="zh-CN"/>
        </w:rPr>
        <w:t>依据</w:t>
      </w:r>
      <w:r>
        <w:rPr>
          <w:rFonts w:hint="default" w:ascii="Times New Roman" w:hAnsi="Times New Roman" w:cs="Times New Roman"/>
          <w:color w:val="000000"/>
          <w:sz w:val="28"/>
          <w:szCs w:val="28"/>
          <w:lang w:val="en-US" w:eastAsia="zh-CN"/>
        </w:rPr>
        <w:t>2019年7月31日山东省应急管理厅发布的《关于石油天然气技术服务企业不再实施安全许可的通知》（鲁应急函</w:t>
      </w:r>
      <w:r>
        <w:rPr>
          <w:rFonts w:hint="default" w:ascii="Times New Roman" w:hAnsi="Times New Roman" w:eastAsia="宋体" w:cs="Times New Roman"/>
          <w:color w:val="000000"/>
          <w:sz w:val="28"/>
          <w:szCs w:val="28"/>
          <w:highlight w:val="none"/>
        </w:rPr>
        <w:t>[201</w:t>
      </w:r>
      <w:r>
        <w:rPr>
          <w:rFonts w:hint="default" w:ascii="Times New Roman" w:hAnsi="Times New Roman" w:cs="Times New Roman"/>
          <w:color w:val="000000"/>
          <w:sz w:val="28"/>
          <w:szCs w:val="28"/>
          <w:highlight w:val="none"/>
          <w:lang w:val="en-US" w:eastAsia="zh-CN"/>
        </w:rPr>
        <w:t>9</w:t>
      </w:r>
      <w:r>
        <w:rPr>
          <w:rFonts w:hint="default" w:ascii="Times New Roman" w:hAnsi="Times New Roman" w:eastAsia="宋体" w:cs="Times New Roman"/>
          <w:color w:val="000000"/>
          <w:sz w:val="28"/>
          <w:szCs w:val="28"/>
          <w:highlight w:val="none"/>
        </w:rPr>
        <w:t>]</w:t>
      </w:r>
      <w:r>
        <w:rPr>
          <w:rFonts w:hint="default" w:ascii="Times New Roman" w:hAnsi="Times New Roman" w:cs="Times New Roman"/>
          <w:color w:val="000000"/>
          <w:sz w:val="28"/>
          <w:szCs w:val="28"/>
          <w:lang w:val="en-US" w:eastAsia="zh-CN"/>
        </w:rPr>
        <w:t>46号），公司安全生产许可证于</w:t>
      </w:r>
      <w:r>
        <w:rPr>
          <w:rFonts w:hint="eastAsia"/>
          <w:color w:val="000000" w:themeColor="text1"/>
          <w:sz w:val="28"/>
          <w:szCs w:val="28"/>
          <w:lang w:val="en-US" w:eastAsia="zh-CN"/>
          <w14:textFill>
            <w14:solidFill>
              <w14:schemeClr w14:val="tx1"/>
            </w14:solidFill>
          </w14:textFill>
        </w:rPr>
        <w:t>2021年6月2日</w:t>
      </w:r>
      <w:r>
        <w:rPr>
          <w:rFonts w:hint="default" w:ascii="Times New Roman" w:hAnsi="Times New Roman" w:cs="Times New Roman"/>
          <w:color w:val="000000"/>
          <w:sz w:val="28"/>
          <w:szCs w:val="28"/>
          <w:lang w:val="en-US" w:eastAsia="zh-CN"/>
        </w:rPr>
        <w:t>到期后未进行延续。</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根据《关于对钻井、物探、测井、录井、井下作业、油建企业实施安全生产许可的通知》（鲁应急函</w:t>
      </w:r>
      <w:r>
        <w:rPr>
          <w:rFonts w:hint="default"/>
          <w:color w:val="000000" w:themeColor="text1"/>
          <w:sz w:val="28"/>
          <w:szCs w:val="28"/>
          <w14:textFill>
            <w14:solidFill>
              <w14:schemeClr w14:val="tx1"/>
            </w14:solidFill>
          </w14:textFill>
        </w:rPr>
        <w:t>[20</w:t>
      </w:r>
      <w:r>
        <w:rPr>
          <w:rFonts w:hint="default"/>
          <w:color w:val="000000" w:themeColor="text1"/>
          <w:sz w:val="28"/>
          <w:szCs w:val="28"/>
          <w:lang w:val="en-US" w:eastAsia="zh-CN"/>
          <w14:textFill>
            <w14:solidFill>
              <w14:schemeClr w14:val="tx1"/>
            </w14:solidFill>
          </w14:textFill>
        </w:rPr>
        <w:t>21</w:t>
      </w:r>
      <w:r>
        <w:rPr>
          <w:rFonts w:hint="default"/>
          <w:color w:val="000000" w:themeColor="text1"/>
          <w:sz w:val="28"/>
          <w:szCs w:val="28"/>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86号）、《东营市应急管理局关于进一步规范非煤矿矿山《安全生产许可证》颁发管理有关问题的函》（东应急函字</w:t>
      </w:r>
      <w:r>
        <w:rPr>
          <w:rFonts w:hint="default"/>
          <w:color w:val="000000" w:themeColor="text1"/>
          <w:sz w:val="28"/>
          <w:szCs w:val="28"/>
          <w14:textFill>
            <w14:solidFill>
              <w14:schemeClr w14:val="tx1"/>
            </w14:solidFill>
          </w14:textFill>
        </w:rPr>
        <w:t>[20</w:t>
      </w:r>
      <w:r>
        <w:rPr>
          <w:rFonts w:hint="default"/>
          <w:color w:val="000000" w:themeColor="text1"/>
          <w:sz w:val="28"/>
          <w:szCs w:val="28"/>
          <w:lang w:val="en-US" w:eastAsia="zh-CN"/>
          <w14:textFill>
            <w14:solidFill>
              <w14:schemeClr w14:val="tx1"/>
            </w14:solidFill>
          </w14:textFill>
        </w:rPr>
        <w:t>21</w:t>
      </w:r>
      <w:r>
        <w:rPr>
          <w:rFonts w:hint="default"/>
          <w:color w:val="000000" w:themeColor="text1"/>
          <w:sz w:val="28"/>
          <w:szCs w:val="28"/>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50号）等文件要求，</w:t>
      </w:r>
      <w:r>
        <w:rPr>
          <w:rFonts w:hint="eastAsia"/>
          <w:color w:val="000000" w:themeColor="text1"/>
          <w:sz w:val="28"/>
          <w:szCs w:val="28"/>
          <w:lang w:eastAsia="zh-CN"/>
          <w14:textFill>
            <w14:solidFill>
              <w14:schemeClr w14:val="tx1"/>
            </w14:solidFill>
          </w14:textFill>
        </w:rPr>
        <w:t>山东华曦石油技术服务有限公司</w:t>
      </w:r>
      <w:r>
        <w:rPr>
          <w:rFonts w:hint="default"/>
          <w:color w:val="000000" w:themeColor="text1"/>
          <w:sz w:val="28"/>
          <w:szCs w:val="28"/>
          <w:lang w:val="en-US" w:eastAsia="zh-CN"/>
          <w14:textFill>
            <w14:solidFill>
              <w14:schemeClr w14:val="tx1"/>
            </w14:solidFill>
          </w14:textFill>
        </w:rPr>
        <w:t>现重新申请</w:t>
      </w:r>
      <w:r>
        <w:rPr>
          <w:rFonts w:hint="eastAsia"/>
          <w:color w:val="000000" w:themeColor="text1"/>
          <w:sz w:val="28"/>
          <w:szCs w:val="28"/>
          <w:lang w:val="en-US" w:eastAsia="zh-CN"/>
          <w14:textFill>
            <w14:solidFill>
              <w14:schemeClr w14:val="tx1"/>
            </w14:solidFill>
          </w14:textFill>
        </w:rPr>
        <w:t>非煤矿矿山企业</w:t>
      </w:r>
      <w:r>
        <w:rPr>
          <w:rFonts w:hint="default"/>
          <w:color w:val="000000" w:themeColor="text1"/>
          <w:sz w:val="28"/>
          <w:szCs w:val="28"/>
          <w:lang w:val="en-US" w:eastAsia="zh-CN"/>
          <w14:textFill>
            <w14:solidFill>
              <w14:schemeClr w14:val="tx1"/>
            </w14:solidFill>
          </w14:textFill>
        </w:rPr>
        <w:t>安全生产许可证。</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我公司接到委托后，成立了评价项目组，按照《安全评价通则》（AQ8001-2007）的要求，进行了资料与标准收集、现场调研、工程分析、危险与有害因素分析、定性评价，并在此基础上提出了安全对策措施建议，最后编制完成了本安全现状评价报告。</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此次安全评价工作，自始至终都得到了</w:t>
      </w:r>
      <w:r>
        <w:rPr>
          <w:rFonts w:hint="eastAsia"/>
          <w:color w:val="000000" w:themeColor="text1"/>
          <w:sz w:val="28"/>
          <w:szCs w:val="28"/>
          <w:lang w:eastAsia="zh-CN"/>
          <w14:textFill>
            <w14:solidFill>
              <w14:schemeClr w14:val="tx1"/>
            </w14:solidFill>
          </w14:textFill>
        </w:rPr>
        <w:t>山东华曦石油技术服务有限公司</w:t>
      </w:r>
      <w:r>
        <w:rPr>
          <w:rFonts w:hint="eastAsia"/>
          <w:color w:val="000000" w:themeColor="text1"/>
          <w:sz w:val="28"/>
          <w:szCs w:val="28"/>
          <w14:textFill>
            <w14:solidFill>
              <w14:schemeClr w14:val="tx1"/>
            </w14:solidFill>
          </w14:textFill>
        </w:rPr>
        <w:t>领导和员工的大力支持和配合，在此表示衷心的感谢！</w:t>
      </w:r>
    </w:p>
    <w:p>
      <w:pPr>
        <w:adjustRightInd w:val="0"/>
        <w:snapToGrid w:val="0"/>
        <w:spacing w:line="360" w:lineRule="auto"/>
        <w:ind w:firstLine="560" w:firstLineChars="200"/>
        <w:jc w:val="righ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评价</w:t>
      </w:r>
      <w:r>
        <w:rPr>
          <w:color w:val="000000" w:themeColor="text1"/>
          <w:sz w:val="28"/>
          <w:szCs w:val="28"/>
          <w14:textFill>
            <w14:solidFill>
              <w14:schemeClr w14:val="tx1"/>
            </w14:solidFill>
          </w14:textFill>
        </w:rPr>
        <w:t>项目组</w:t>
      </w:r>
    </w:p>
    <w:p>
      <w:pPr>
        <w:adjustRightInd w:val="0"/>
        <w:snapToGrid w:val="0"/>
        <w:spacing w:line="360" w:lineRule="auto"/>
        <w:ind w:firstLine="560" w:firstLineChars="200"/>
        <w:jc w:val="righ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20</w:t>
      </w:r>
      <w:r>
        <w:rPr>
          <w:rFonts w:hint="eastAsia"/>
          <w:color w:val="000000" w:themeColor="text1"/>
          <w:sz w:val="28"/>
          <w:szCs w:val="28"/>
          <w:lang w:val="en-US" w:eastAsia="zh-CN"/>
          <w14:textFill>
            <w14:solidFill>
              <w14:schemeClr w14:val="tx1"/>
            </w14:solidFill>
          </w14:textFill>
        </w:rPr>
        <w:t>22</w:t>
      </w:r>
      <w:r>
        <w:rPr>
          <w:rFonts w:hint="eastAsia"/>
          <w:color w:val="000000" w:themeColor="text1"/>
          <w:sz w:val="28"/>
          <w:szCs w:val="28"/>
          <w14:textFill>
            <w14:solidFill>
              <w14:schemeClr w14:val="tx1"/>
            </w14:solidFill>
          </w14:textFill>
        </w:rPr>
        <w:t>年</w:t>
      </w:r>
      <w:r>
        <w:rPr>
          <w:rFonts w:hint="eastAsia"/>
          <w:color w:val="000000" w:themeColor="text1"/>
          <w:sz w:val="28"/>
          <w:szCs w:val="28"/>
          <w:lang w:val="en-US" w:eastAsia="zh-CN"/>
          <w14:textFill>
            <w14:solidFill>
              <w14:schemeClr w14:val="tx1"/>
            </w14:solidFill>
          </w14:textFill>
        </w:rPr>
        <w:t>12</w:t>
      </w:r>
      <w:r>
        <w:rPr>
          <w:rFonts w:hint="eastAsia"/>
          <w:color w:val="000000" w:themeColor="text1"/>
          <w:sz w:val="28"/>
          <w:szCs w:val="28"/>
          <w14:textFill>
            <w14:solidFill>
              <w14:schemeClr w14:val="tx1"/>
            </w14:solidFill>
          </w14:textFill>
        </w:rPr>
        <w:t>月</w:t>
      </w:r>
    </w:p>
    <w:p>
      <w:pPr>
        <w:widowControl/>
        <w:adjustRightInd w:val="0"/>
        <w:snapToGrid w:val="0"/>
        <w:spacing w:line="360" w:lineRule="auto"/>
        <w:ind w:firstLine="640" w:firstLineChars="200"/>
        <w:jc w:val="center"/>
        <w:rPr>
          <w:b/>
          <w:bCs/>
          <w:color w:val="000000" w:themeColor="text1"/>
          <w:kern w:val="0"/>
          <w:sz w:val="32"/>
          <w:szCs w:val="32"/>
          <w14:textFill>
            <w14:solidFill>
              <w14:schemeClr w14:val="tx1"/>
            </w14:solidFill>
          </w14:textFill>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rFonts w:eastAsia="黑体"/>
          <w:b/>
          <w:bCs/>
          <w:color w:val="0070C0"/>
          <w:kern w:val="44"/>
          <w:sz w:val="36"/>
          <w:szCs w:val="36"/>
        </w:rPr>
      </w:pPr>
      <w:r>
        <w:rPr>
          <w:rFonts w:hint="eastAsia" w:eastAsia="黑体"/>
          <w:b/>
          <w:bCs/>
          <w:color w:val="auto"/>
          <w:kern w:val="44"/>
          <w:sz w:val="36"/>
          <w:szCs w:val="36"/>
        </w:rPr>
        <w:t>目   录</w:t>
      </w:r>
    </w:p>
    <w:p>
      <w:pPr>
        <w:pStyle w:val="36"/>
        <w:tabs>
          <w:tab w:val="right" w:leader="dot" w:pos="8306"/>
          <w:tab w:val="clear" w:pos="8302"/>
        </w:tabs>
      </w:pPr>
      <w:r>
        <w:rPr>
          <w:color w:val="0070C0"/>
          <w:sz w:val="32"/>
          <w:szCs w:val="32"/>
        </w:rPr>
        <w:fldChar w:fldCharType="begin"/>
      </w:r>
      <w:r>
        <w:rPr>
          <w:color w:val="0070C0"/>
          <w:sz w:val="32"/>
          <w:szCs w:val="32"/>
        </w:rPr>
        <w:instrText xml:space="preserve"> TOC \o "1-2" \h \z \u </w:instrText>
      </w:r>
      <w:r>
        <w:rPr>
          <w:color w:val="0070C0"/>
          <w:sz w:val="32"/>
          <w:szCs w:val="32"/>
        </w:rPr>
        <w:fldChar w:fldCharType="separate"/>
      </w:r>
      <w:r>
        <w:rPr>
          <w:color w:val="0070C0"/>
          <w:szCs w:val="32"/>
        </w:rPr>
        <w:fldChar w:fldCharType="begin"/>
      </w:r>
      <w:r>
        <w:rPr>
          <w:szCs w:val="32"/>
        </w:rPr>
        <w:instrText xml:space="preserve"> HYPERLINK \l _Toc3848 </w:instrText>
      </w:r>
      <w:r>
        <w:rPr>
          <w:szCs w:val="32"/>
        </w:rPr>
        <w:fldChar w:fldCharType="separate"/>
      </w:r>
      <w:r>
        <w:rPr>
          <w:rFonts w:hint="eastAsia" w:eastAsia="楷体_GB2312"/>
          <w:szCs w:val="36"/>
        </w:rPr>
        <w:t>1</w:t>
      </w:r>
      <w:r>
        <w:rPr>
          <w:rFonts w:eastAsia="楷体_GB2312"/>
          <w:szCs w:val="36"/>
        </w:rPr>
        <w:t xml:space="preserve"> </w:t>
      </w:r>
      <w:r>
        <w:rPr>
          <w:rFonts w:hint="eastAsia" w:ascii="宋体" w:hAnsi="宋体" w:eastAsia="宋体" w:cs="宋体"/>
          <w:szCs w:val="36"/>
        </w:rPr>
        <w:t>总则</w:t>
      </w:r>
      <w:r>
        <w:tab/>
      </w:r>
      <w:r>
        <w:fldChar w:fldCharType="begin"/>
      </w:r>
      <w:r>
        <w:instrText xml:space="preserve"> PAGEREF _Toc3848 \h </w:instrText>
      </w:r>
      <w:r>
        <w:fldChar w:fldCharType="separate"/>
      </w:r>
      <w:r>
        <w:t>1</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_Toc9830 </w:instrText>
      </w:r>
      <w:r>
        <w:rPr>
          <w:szCs w:val="32"/>
        </w:rPr>
        <w:fldChar w:fldCharType="separate"/>
      </w:r>
      <w:r>
        <w:rPr>
          <w:rFonts w:hint="eastAsia" w:ascii="Times New Roman" w:hAnsi="Times New Roman"/>
          <w:bCs/>
          <w:szCs w:val="32"/>
        </w:rPr>
        <w:t>1.1</w:t>
      </w:r>
      <w:r>
        <w:rPr>
          <w:rFonts w:ascii="Times New Roman" w:hAnsi="Times New Roman"/>
          <w:bCs/>
          <w:szCs w:val="32"/>
        </w:rPr>
        <w:t xml:space="preserve"> </w:t>
      </w:r>
      <w:r>
        <w:rPr>
          <w:rFonts w:hint="eastAsia" w:ascii="Times New Roman" w:hAnsi="Times New Roman"/>
          <w:bCs/>
          <w:szCs w:val="32"/>
        </w:rPr>
        <w:t>评价目的</w:t>
      </w:r>
      <w:r>
        <w:tab/>
      </w:r>
      <w:r>
        <w:fldChar w:fldCharType="begin"/>
      </w:r>
      <w:r>
        <w:instrText xml:space="preserve"> PAGEREF _Toc9830 \h </w:instrText>
      </w:r>
      <w:r>
        <w:fldChar w:fldCharType="separate"/>
      </w:r>
      <w:r>
        <w:t>1</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_Toc9820 </w:instrText>
      </w:r>
      <w:r>
        <w:rPr>
          <w:szCs w:val="32"/>
        </w:rPr>
        <w:fldChar w:fldCharType="separate"/>
      </w:r>
      <w:r>
        <w:rPr>
          <w:rFonts w:hint="eastAsia" w:ascii="Times New Roman" w:hAnsi="Times New Roman"/>
          <w:bCs/>
          <w:szCs w:val="32"/>
        </w:rPr>
        <w:t>1.2</w:t>
      </w:r>
      <w:r>
        <w:rPr>
          <w:rFonts w:ascii="Times New Roman" w:hAnsi="Times New Roman"/>
          <w:bCs/>
          <w:szCs w:val="32"/>
        </w:rPr>
        <w:t xml:space="preserve"> </w:t>
      </w:r>
      <w:r>
        <w:rPr>
          <w:rFonts w:hint="eastAsia" w:ascii="Times New Roman" w:hAnsi="Times New Roman"/>
          <w:bCs/>
          <w:szCs w:val="32"/>
        </w:rPr>
        <w:t>评价依据</w:t>
      </w:r>
      <w:r>
        <w:tab/>
      </w:r>
      <w:r>
        <w:fldChar w:fldCharType="begin"/>
      </w:r>
      <w:r>
        <w:instrText xml:space="preserve"> PAGEREF _Toc9820 \h </w:instrText>
      </w:r>
      <w:r>
        <w:fldChar w:fldCharType="separate"/>
      </w:r>
      <w:r>
        <w:t>1</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_Toc27258 </w:instrText>
      </w:r>
      <w:r>
        <w:rPr>
          <w:szCs w:val="32"/>
        </w:rPr>
        <w:fldChar w:fldCharType="separate"/>
      </w:r>
      <w:r>
        <w:rPr>
          <w:rFonts w:hint="eastAsia" w:ascii="Times New Roman" w:hAnsi="Times New Roman"/>
          <w:bCs/>
          <w:szCs w:val="32"/>
        </w:rPr>
        <w:t>1.3</w:t>
      </w:r>
      <w:r>
        <w:rPr>
          <w:rFonts w:ascii="Times New Roman" w:hAnsi="Times New Roman"/>
          <w:bCs/>
          <w:szCs w:val="32"/>
        </w:rPr>
        <w:t xml:space="preserve"> </w:t>
      </w:r>
      <w:r>
        <w:rPr>
          <w:rFonts w:hint="eastAsia" w:ascii="Times New Roman" w:hAnsi="Times New Roman"/>
          <w:bCs/>
          <w:szCs w:val="32"/>
        </w:rPr>
        <w:t>评价范围</w:t>
      </w:r>
      <w:r>
        <w:tab/>
      </w:r>
      <w:r>
        <w:fldChar w:fldCharType="begin"/>
      </w:r>
      <w:r>
        <w:instrText xml:space="preserve"> PAGEREF _Toc27258 \h </w:instrText>
      </w:r>
      <w:r>
        <w:fldChar w:fldCharType="separate"/>
      </w:r>
      <w:r>
        <w:t>10</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_Toc20368 </w:instrText>
      </w:r>
      <w:r>
        <w:rPr>
          <w:szCs w:val="32"/>
        </w:rPr>
        <w:fldChar w:fldCharType="separate"/>
      </w:r>
      <w:r>
        <w:rPr>
          <w:rFonts w:hint="eastAsia" w:ascii="Times New Roman" w:hAnsi="Times New Roman"/>
          <w:bCs/>
          <w:szCs w:val="32"/>
        </w:rPr>
        <w:t>1.4</w:t>
      </w:r>
      <w:r>
        <w:rPr>
          <w:rFonts w:ascii="Times New Roman" w:hAnsi="Times New Roman"/>
          <w:bCs/>
          <w:szCs w:val="32"/>
        </w:rPr>
        <w:t xml:space="preserve"> </w:t>
      </w:r>
      <w:r>
        <w:rPr>
          <w:rFonts w:hint="eastAsia" w:ascii="Times New Roman" w:hAnsi="Times New Roman"/>
          <w:bCs/>
          <w:szCs w:val="32"/>
        </w:rPr>
        <w:t>评价程序</w:t>
      </w:r>
      <w:r>
        <w:tab/>
      </w:r>
      <w:r>
        <w:fldChar w:fldCharType="begin"/>
      </w:r>
      <w:r>
        <w:instrText xml:space="preserve"> PAGEREF _Toc20368 \h </w:instrText>
      </w:r>
      <w:r>
        <w:fldChar w:fldCharType="separate"/>
      </w:r>
      <w:r>
        <w:t>11</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_Toc21427 </w:instrText>
      </w:r>
      <w:r>
        <w:rPr>
          <w:szCs w:val="32"/>
        </w:rPr>
        <w:fldChar w:fldCharType="separate"/>
      </w:r>
      <w:r>
        <w:rPr>
          <w:rFonts w:hint="eastAsia" w:eastAsia="楷体_GB2312"/>
          <w:szCs w:val="36"/>
        </w:rPr>
        <w:t>2</w:t>
      </w:r>
      <w:r>
        <w:rPr>
          <w:rFonts w:eastAsia="楷体_GB2312"/>
          <w:szCs w:val="36"/>
        </w:rPr>
        <w:t xml:space="preserve"> </w:t>
      </w:r>
      <w:r>
        <w:rPr>
          <w:rFonts w:hint="eastAsia" w:ascii="宋体" w:hAnsi="宋体" w:eastAsia="宋体" w:cs="宋体"/>
          <w:szCs w:val="36"/>
        </w:rPr>
        <w:t>被评价单位基本情况</w:t>
      </w:r>
      <w:r>
        <w:tab/>
      </w:r>
      <w:r>
        <w:fldChar w:fldCharType="begin"/>
      </w:r>
      <w:r>
        <w:instrText xml:space="preserve"> PAGEREF _Toc21427 \h </w:instrText>
      </w:r>
      <w:r>
        <w:fldChar w:fldCharType="separate"/>
      </w:r>
      <w:r>
        <w:t>12</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_Toc5642 </w:instrText>
      </w:r>
      <w:r>
        <w:rPr>
          <w:szCs w:val="32"/>
        </w:rPr>
        <w:fldChar w:fldCharType="separate"/>
      </w:r>
      <w:r>
        <w:rPr>
          <w:rFonts w:hint="eastAsia" w:ascii="Times New Roman" w:hAnsi="Times New Roman"/>
          <w:bCs/>
          <w:szCs w:val="32"/>
        </w:rPr>
        <w:t>2.1</w:t>
      </w:r>
      <w:r>
        <w:rPr>
          <w:rFonts w:ascii="Times New Roman" w:hAnsi="Times New Roman"/>
          <w:bCs/>
          <w:szCs w:val="32"/>
        </w:rPr>
        <w:t xml:space="preserve"> </w:t>
      </w:r>
      <w:r>
        <w:rPr>
          <w:rFonts w:hint="eastAsia" w:ascii="Times New Roman" w:hAnsi="Times New Roman"/>
          <w:bCs/>
          <w:szCs w:val="32"/>
        </w:rPr>
        <w:t>企业概况</w:t>
      </w:r>
      <w:r>
        <w:tab/>
      </w:r>
      <w:r>
        <w:fldChar w:fldCharType="begin"/>
      </w:r>
      <w:r>
        <w:instrText xml:space="preserve"> PAGEREF _Toc5642 \h </w:instrText>
      </w:r>
      <w:r>
        <w:fldChar w:fldCharType="separate"/>
      </w:r>
      <w:r>
        <w:t>12</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_Toc26613 </w:instrText>
      </w:r>
      <w:r>
        <w:rPr>
          <w:szCs w:val="32"/>
        </w:rPr>
        <w:fldChar w:fldCharType="separate"/>
      </w:r>
      <w:r>
        <w:rPr>
          <w:rFonts w:hint="eastAsia" w:ascii="Times New Roman" w:hAnsi="Times New Roman"/>
          <w:bCs/>
          <w:szCs w:val="32"/>
        </w:rPr>
        <w:t>2.</w:t>
      </w:r>
      <w:r>
        <w:rPr>
          <w:rFonts w:ascii="Times New Roman" w:hAnsi="Times New Roman"/>
          <w:bCs/>
          <w:szCs w:val="32"/>
        </w:rPr>
        <w:t xml:space="preserve">2 </w:t>
      </w:r>
      <w:r>
        <w:rPr>
          <w:rFonts w:hint="eastAsia" w:ascii="Times New Roman" w:hAnsi="Times New Roman"/>
          <w:bCs/>
          <w:szCs w:val="32"/>
        </w:rPr>
        <w:t>机构设置</w:t>
      </w:r>
      <w:r>
        <w:tab/>
      </w:r>
      <w:r>
        <w:fldChar w:fldCharType="begin"/>
      </w:r>
      <w:r>
        <w:instrText xml:space="preserve"> PAGEREF _Toc26613 \h </w:instrText>
      </w:r>
      <w:r>
        <w:fldChar w:fldCharType="separate"/>
      </w:r>
      <w:r>
        <w:t>13</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_Toc22480 </w:instrText>
      </w:r>
      <w:r>
        <w:rPr>
          <w:szCs w:val="32"/>
        </w:rPr>
        <w:fldChar w:fldCharType="separate"/>
      </w:r>
      <w:r>
        <w:rPr>
          <w:rFonts w:hint="eastAsia" w:ascii="Times New Roman" w:hAnsi="Times New Roman"/>
          <w:bCs/>
          <w:szCs w:val="32"/>
        </w:rPr>
        <w:t>2.</w:t>
      </w:r>
      <w:r>
        <w:rPr>
          <w:rFonts w:ascii="Times New Roman" w:hAnsi="Times New Roman"/>
          <w:bCs/>
          <w:szCs w:val="32"/>
        </w:rPr>
        <w:t xml:space="preserve">3 </w:t>
      </w:r>
      <w:r>
        <w:rPr>
          <w:rFonts w:hint="eastAsia" w:ascii="Times New Roman" w:hAnsi="Times New Roman"/>
          <w:bCs/>
          <w:szCs w:val="32"/>
        </w:rPr>
        <w:t>主要装备、设施、作业场所概况</w:t>
      </w:r>
      <w:r>
        <w:tab/>
      </w:r>
      <w:r>
        <w:fldChar w:fldCharType="begin"/>
      </w:r>
      <w:r>
        <w:instrText xml:space="preserve"> PAGEREF _Toc22480 \h </w:instrText>
      </w:r>
      <w:r>
        <w:fldChar w:fldCharType="separate"/>
      </w:r>
      <w:r>
        <w:t>13</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_Toc1563 </w:instrText>
      </w:r>
      <w:r>
        <w:rPr>
          <w:szCs w:val="32"/>
        </w:rPr>
        <w:fldChar w:fldCharType="separate"/>
      </w:r>
      <w:r>
        <w:rPr>
          <w:rFonts w:hint="eastAsia" w:ascii="Times New Roman" w:hAnsi="Times New Roman"/>
          <w:bCs/>
          <w:szCs w:val="32"/>
        </w:rPr>
        <w:t>2.4 安全生产管理机构的设置和安全生产管理人员的配备</w:t>
      </w:r>
      <w:r>
        <w:tab/>
      </w:r>
      <w:r>
        <w:fldChar w:fldCharType="begin"/>
      </w:r>
      <w:r>
        <w:instrText xml:space="preserve"> PAGEREF _Toc1563 \h </w:instrText>
      </w:r>
      <w:r>
        <w:fldChar w:fldCharType="separate"/>
      </w:r>
      <w:r>
        <w:t>28</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_Toc13716 </w:instrText>
      </w:r>
      <w:r>
        <w:rPr>
          <w:szCs w:val="32"/>
        </w:rPr>
        <w:fldChar w:fldCharType="separate"/>
      </w:r>
      <w:r>
        <w:rPr>
          <w:rFonts w:hint="eastAsia" w:ascii="Times New Roman" w:hAnsi="Times New Roman"/>
          <w:bCs/>
          <w:szCs w:val="32"/>
        </w:rPr>
        <w:t>2.</w:t>
      </w:r>
      <w:r>
        <w:rPr>
          <w:rFonts w:ascii="Times New Roman" w:hAnsi="Times New Roman"/>
          <w:bCs/>
          <w:szCs w:val="32"/>
        </w:rPr>
        <w:t xml:space="preserve">5 </w:t>
      </w:r>
      <w:r>
        <w:rPr>
          <w:rFonts w:hint="eastAsia" w:ascii="Times New Roman" w:hAnsi="Times New Roman"/>
          <w:bCs/>
          <w:szCs w:val="32"/>
        </w:rPr>
        <w:t>安全生产规章制度及操作规程</w:t>
      </w:r>
      <w:r>
        <w:tab/>
      </w:r>
      <w:r>
        <w:fldChar w:fldCharType="begin"/>
      </w:r>
      <w:r>
        <w:instrText xml:space="preserve"> PAGEREF _Toc13716 \h </w:instrText>
      </w:r>
      <w:r>
        <w:fldChar w:fldCharType="separate"/>
      </w:r>
      <w:r>
        <w:t>29</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_Toc7239 </w:instrText>
      </w:r>
      <w:r>
        <w:rPr>
          <w:szCs w:val="32"/>
        </w:rPr>
        <w:fldChar w:fldCharType="separate"/>
      </w:r>
      <w:r>
        <w:rPr>
          <w:rFonts w:hint="eastAsia" w:ascii="Times New Roman" w:hAnsi="Times New Roman"/>
          <w:bCs/>
          <w:szCs w:val="32"/>
        </w:rPr>
        <w:t>2.</w:t>
      </w:r>
      <w:r>
        <w:rPr>
          <w:rFonts w:ascii="Times New Roman" w:hAnsi="Times New Roman"/>
          <w:bCs/>
          <w:szCs w:val="32"/>
        </w:rPr>
        <w:t xml:space="preserve">6 </w:t>
      </w:r>
      <w:r>
        <w:rPr>
          <w:rFonts w:hint="eastAsia" w:ascii="Times New Roman" w:hAnsi="Times New Roman"/>
          <w:bCs/>
          <w:szCs w:val="32"/>
        </w:rPr>
        <w:t>安全投入情况</w:t>
      </w:r>
      <w:r>
        <w:tab/>
      </w:r>
      <w:r>
        <w:fldChar w:fldCharType="begin"/>
      </w:r>
      <w:r>
        <w:instrText xml:space="preserve"> PAGEREF _Toc7239 \h </w:instrText>
      </w:r>
      <w:r>
        <w:fldChar w:fldCharType="separate"/>
      </w:r>
      <w:r>
        <w:t>37</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_Toc23620 </w:instrText>
      </w:r>
      <w:r>
        <w:rPr>
          <w:szCs w:val="32"/>
        </w:rPr>
        <w:fldChar w:fldCharType="separate"/>
      </w:r>
      <w:r>
        <w:rPr>
          <w:rFonts w:hint="eastAsia" w:ascii="Times New Roman" w:hAnsi="Times New Roman"/>
          <w:bCs/>
          <w:szCs w:val="32"/>
        </w:rPr>
        <w:t>2.</w:t>
      </w:r>
      <w:r>
        <w:rPr>
          <w:rFonts w:ascii="Times New Roman" w:hAnsi="Times New Roman"/>
          <w:bCs/>
          <w:szCs w:val="32"/>
        </w:rPr>
        <w:t xml:space="preserve">7 </w:t>
      </w:r>
      <w:r>
        <w:rPr>
          <w:rFonts w:hint="eastAsia" w:ascii="Times New Roman" w:hAnsi="Times New Roman"/>
          <w:bCs/>
          <w:szCs w:val="32"/>
        </w:rPr>
        <w:t>安全教育培训及人员持证情况</w:t>
      </w:r>
      <w:r>
        <w:tab/>
      </w:r>
      <w:r>
        <w:fldChar w:fldCharType="begin"/>
      </w:r>
      <w:r>
        <w:instrText xml:space="preserve"> PAGEREF _Toc23620 \h </w:instrText>
      </w:r>
      <w:r>
        <w:fldChar w:fldCharType="separate"/>
      </w:r>
      <w:r>
        <w:t>37</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_Toc1468 </w:instrText>
      </w:r>
      <w:r>
        <w:rPr>
          <w:szCs w:val="32"/>
        </w:rPr>
        <w:fldChar w:fldCharType="separate"/>
      </w:r>
      <w:r>
        <w:rPr>
          <w:rFonts w:hint="eastAsia" w:ascii="Times New Roman" w:hAnsi="Times New Roman"/>
          <w:bCs/>
          <w:szCs w:val="32"/>
        </w:rPr>
        <w:t>2.</w:t>
      </w:r>
      <w:r>
        <w:rPr>
          <w:rFonts w:ascii="Times New Roman" w:hAnsi="Times New Roman"/>
          <w:bCs/>
          <w:szCs w:val="32"/>
        </w:rPr>
        <w:t xml:space="preserve">8 </w:t>
      </w:r>
      <w:r>
        <w:rPr>
          <w:rFonts w:hint="eastAsia" w:ascii="Times New Roman" w:hAnsi="Times New Roman"/>
          <w:bCs/>
          <w:szCs w:val="32"/>
        </w:rPr>
        <w:t>人员保险</w:t>
      </w:r>
      <w:r>
        <w:rPr>
          <w:rFonts w:hint="eastAsia" w:ascii="Times New Roman" w:hAnsi="Times New Roman"/>
          <w:bCs/>
          <w:szCs w:val="32"/>
          <w:lang w:val="en-US" w:eastAsia="zh-CN"/>
        </w:rPr>
        <w:t>情况</w:t>
      </w:r>
      <w:r>
        <w:tab/>
      </w:r>
      <w:r>
        <w:fldChar w:fldCharType="begin"/>
      </w:r>
      <w:r>
        <w:instrText xml:space="preserve"> PAGEREF _Toc1468 \h </w:instrText>
      </w:r>
      <w:r>
        <w:fldChar w:fldCharType="separate"/>
      </w:r>
      <w:r>
        <w:t>48</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_Toc15353 </w:instrText>
      </w:r>
      <w:r>
        <w:rPr>
          <w:szCs w:val="32"/>
        </w:rPr>
        <w:fldChar w:fldCharType="separate"/>
      </w:r>
      <w:r>
        <w:rPr>
          <w:rFonts w:hint="eastAsia" w:ascii="Times New Roman" w:hAnsi="Times New Roman"/>
          <w:bCs/>
          <w:szCs w:val="32"/>
        </w:rPr>
        <w:t>2.</w:t>
      </w:r>
      <w:r>
        <w:rPr>
          <w:rFonts w:ascii="Times New Roman" w:hAnsi="Times New Roman"/>
          <w:bCs/>
          <w:szCs w:val="32"/>
        </w:rPr>
        <w:t xml:space="preserve">9 </w:t>
      </w:r>
      <w:r>
        <w:rPr>
          <w:rFonts w:hint="eastAsia" w:ascii="Times New Roman" w:hAnsi="Times New Roman"/>
          <w:bCs/>
          <w:szCs w:val="32"/>
        </w:rPr>
        <w:t>职业危害防护及劳保用品发放</w:t>
      </w:r>
      <w:r>
        <w:tab/>
      </w:r>
      <w:r>
        <w:fldChar w:fldCharType="begin"/>
      </w:r>
      <w:r>
        <w:instrText xml:space="preserve"> PAGEREF _Toc15353 \h </w:instrText>
      </w:r>
      <w:r>
        <w:fldChar w:fldCharType="separate"/>
      </w:r>
      <w:r>
        <w:t>48</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_Toc29833 </w:instrText>
      </w:r>
      <w:r>
        <w:rPr>
          <w:szCs w:val="32"/>
        </w:rPr>
        <w:fldChar w:fldCharType="separate"/>
      </w:r>
      <w:r>
        <w:rPr>
          <w:rFonts w:hint="eastAsia" w:ascii="Times New Roman" w:hAnsi="Times New Roman"/>
          <w:bCs/>
          <w:szCs w:val="32"/>
          <w:lang w:val="en-US" w:eastAsia="zh-CN"/>
        </w:rPr>
        <w:t>2.10 设备设施检测、检验情况</w:t>
      </w:r>
      <w:r>
        <w:tab/>
      </w:r>
      <w:r>
        <w:fldChar w:fldCharType="begin"/>
      </w:r>
      <w:r>
        <w:instrText xml:space="preserve"> PAGEREF _Toc29833 \h </w:instrText>
      </w:r>
      <w:r>
        <w:fldChar w:fldCharType="separate"/>
      </w:r>
      <w:r>
        <w:t>50</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_Toc8053 </w:instrText>
      </w:r>
      <w:r>
        <w:rPr>
          <w:szCs w:val="32"/>
        </w:rPr>
        <w:fldChar w:fldCharType="separate"/>
      </w:r>
      <w:r>
        <w:rPr>
          <w:rFonts w:hint="eastAsia" w:ascii="Times New Roman" w:hAnsi="Times New Roman"/>
          <w:bCs/>
          <w:szCs w:val="32"/>
        </w:rPr>
        <w:t>2.</w:t>
      </w:r>
      <w:r>
        <w:rPr>
          <w:rFonts w:ascii="Times New Roman" w:hAnsi="Times New Roman"/>
          <w:bCs/>
          <w:szCs w:val="32"/>
        </w:rPr>
        <w:t>1</w:t>
      </w:r>
      <w:r>
        <w:rPr>
          <w:rFonts w:hint="eastAsia" w:ascii="Times New Roman" w:hAnsi="Times New Roman"/>
          <w:bCs/>
          <w:szCs w:val="32"/>
          <w:lang w:val="en-US" w:eastAsia="zh-CN"/>
        </w:rPr>
        <w:t>1</w:t>
      </w:r>
      <w:r>
        <w:rPr>
          <w:rFonts w:ascii="Times New Roman" w:hAnsi="Times New Roman"/>
          <w:bCs/>
          <w:szCs w:val="32"/>
        </w:rPr>
        <w:t xml:space="preserve"> </w:t>
      </w:r>
      <w:r>
        <w:rPr>
          <w:rFonts w:hint="eastAsia" w:ascii="Times New Roman" w:hAnsi="Times New Roman"/>
          <w:bCs/>
          <w:szCs w:val="32"/>
        </w:rPr>
        <w:t>事故应急救援预案及演练</w:t>
      </w:r>
      <w:r>
        <w:tab/>
      </w:r>
      <w:r>
        <w:fldChar w:fldCharType="begin"/>
      </w:r>
      <w:r>
        <w:instrText xml:space="preserve"> PAGEREF _Toc8053 \h </w:instrText>
      </w:r>
      <w:r>
        <w:fldChar w:fldCharType="separate"/>
      </w:r>
      <w:r>
        <w:t>75</w:t>
      </w:r>
      <w:r>
        <w:fldChar w:fldCharType="end"/>
      </w:r>
      <w:r>
        <w:rPr>
          <w:color w:val="0070C0"/>
          <w:szCs w:val="32"/>
        </w:rPr>
        <w:fldChar w:fldCharType="end"/>
      </w:r>
    </w:p>
    <w:p>
      <w:pPr>
        <w:pStyle w:val="42"/>
        <w:tabs>
          <w:tab w:val="right" w:leader="dot" w:pos="8306"/>
          <w:tab w:val="clear" w:pos="8296"/>
        </w:tabs>
        <w:rPr>
          <w:rFonts w:hint="eastAsia" w:ascii="Times New Roman" w:hAnsi="Times New Roman"/>
          <w:bCs/>
          <w:szCs w:val="32"/>
        </w:rPr>
      </w:pPr>
      <w:r>
        <w:rPr>
          <w:rFonts w:hint="eastAsia" w:ascii="Times New Roman" w:hAnsi="Times New Roman"/>
          <w:bCs/>
          <w:szCs w:val="32"/>
        </w:rPr>
        <w:fldChar w:fldCharType="begin"/>
      </w:r>
      <w:r>
        <w:rPr>
          <w:rFonts w:hint="eastAsia" w:ascii="Times New Roman" w:hAnsi="Times New Roman"/>
          <w:bCs/>
          <w:szCs w:val="32"/>
        </w:rPr>
        <w:instrText xml:space="preserve"> HYPERLINK \l _Toc11662 </w:instrText>
      </w:r>
      <w:r>
        <w:rPr>
          <w:rFonts w:hint="eastAsia" w:ascii="Times New Roman" w:hAnsi="Times New Roman"/>
          <w:bCs/>
          <w:szCs w:val="32"/>
        </w:rPr>
        <w:fldChar w:fldCharType="separate"/>
      </w:r>
      <w:r>
        <w:rPr>
          <w:rFonts w:hint="default" w:ascii="Times New Roman" w:hAnsi="Times New Roman"/>
          <w:bCs/>
          <w:szCs w:val="32"/>
        </w:rPr>
        <w:t>2.1</w:t>
      </w:r>
      <w:r>
        <w:rPr>
          <w:rFonts w:hint="default" w:ascii="Times New Roman" w:hAnsi="Times New Roman"/>
          <w:bCs/>
          <w:szCs w:val="32"/>
          <w:lang w:val="en-US" w:eastAsia="zh-CN"/>
        </w:rPr>
        <w:t>2 承</w:t>
      </w:r>
      <w:r>
        <w:rPr>
          <w:rFonts w:hint="eastAsia" w:ascii="Times New Roman" w:hAnsi="Times New Roman"/>
          <w:bCs/>
          <w:szCs w:val="32"/>
          <w:lang w:val="en-US" w:eastAsia="zh-CN"/>
        </w:rPr>
        <w:t>包商管理</w:t>
      </w:r>
      <w:r>
        <w:rPr>
          <w:rFonts w:hint="eastAsia" w:ascii="Times New Roman" w:hAnsi="Times New Roman"/>
          <w:bCs/>
          <w:szCs w:val="32"/>
        </w:rPr>
        <w:tab/>
      </w:r>
      <w:r>
        <w:rPr>
          <w:rFonts w:hint="eastAsia" w:ascii="Times New Roman" w:hAnsi="Times New Roman"/>
          <w:bCs/>
          <w:szCs w:val="32"/>
        </w:rPr>
        <w:fldChar w:fldCharType="begin"/>
      </w:r>
      <w:r>
        <w:rPr>
          <w:rFonts w:hint="eastAsia" w:ascii="Times New Roman" w:hAnsi="Times New Roman"/>
          <w:bCs/>
          <w:szCs w:val="32"/>
        </w:rPr>
        <w:instrText xml:space="preserve"> PAGEREF _Toc11662 \h </w:instrText>
      </w:r>
      <w:r>
        <w:rPr>
          <w:rFonts w:hint="eastAsia" w:ascii="Times New Roman" w:hAnsi="Times New Roman"/>
          <w:bCs/>
          <w:szCs w:val="32"/>
        </w:rPr>
        <w:fldChar w:fldCharType="separate"/>
      </w:r>
      <w:r>
        <w:rPr>
          <w:rFonts w:hint="eastAsia" w:ascii="Times New Roman" w:hAnsi="Times New Roman"/>
          <w:bCs/>
          <w:szCs w:val="32"/>
        </w:rPr>
        <w:t>83</w:t>
      </w:r>
      <w:r>
        <w:rPr>
          <w:rFonts w:hint="eastAsia" w:ascii="Times New Roman" w:hAnsi="Times New Roman"/>
          <w:bCs/>
          <w:szCs w:val="32"/>
        </w:rPr>
        <w:fldChar w:fldCharType="end"/>
      </w:r>
      <w:r>
        <w:rPr>
          <w:rFonts w:hint="eastAsia" w:ascii="Times New Roman" w:hAnsi="Times New Roman"/>
          <w:bCs/>
          <w:szCs w:val="32"/>
        </w:rPr>
        <w:fldChar w:fldCharType="end"/>
      </w:r>
    </w:p>
    <w:p>
      <w:pPr>
        <w:pStyle w:val="42"/>
        <w:tabs>
          <w:tab w:val="right" w:leader="dot" w:pos="8306"/>
          <w:tab w:val="clear" w:pos="8296"/>
        </w:tabs>
        <w:rPr>
          <w:rFonts w:hint="eastAsia" w:ascii="Times New Roman" w:hAnsi="Times New Roman"/>
          <w:bCs/>
          <w:szCs w:val="32"/>
        </w:rPr>
      </w:pPr>
      <w:r>
        <w:rPr>
          <w:rFonts w:hint="eastAsia" w:ascii="Times New Roman" w:hAnsi="Times New Roman"/>
          <w:bCs/>
          <w:szCs w:val="32"/>
        </w:rPr>
        <w:fldChar w:fldCharType="begin"/>
      </w:r>
      <w:r>
        <w:rPr>
          <w:rFonts w:hint="eastAsia" w:ascii="Times New Roman" w:hAnsi="Times New Roman"/>
          <w:bCs/>
          <w:szCs w:val="32"/>
        </w:rPr>
        <w:instrText xml:space="preserve"> HYPERLINK \l _Toc28826 </w:instrText>
      </w:r>
      <w:r>
        <w:rPr>
          <w:rFonts w:hint="eastAsia" w:ascii="Times New Roman" w:hAnsi="Times New Roman"/>
          <w:bCs/>
          <w:szCs w:val="32"/>
        </w:rPr>
        <w:fldChar w:fldCharType="separate"/>
      </w:r>
      <w:r>
        <w:rPr>
          <w:rFonts w:hint="default" w:ascii="Times New Roman" w:hAnsi="Times New Roman"/>
          <w:bCs/>
          <w:szCs w:val="32"/>
          <w:lang w:val="en-US" w:eastAsia="zh-CN"/>
        </w:rPr>
        <w:t>2.13 危险作业安全管理</w:t>
      </w:r>
      <w:r>
        <w:rPr>
          <w:rFonts w:hint="eastAsia" w:ascii="Times New Roman" w:hAnsi="Times New Roman"/>
          <w:bCs/>
          <w:szCs w:val="32"/>
        </w:rPr>
        <w:tab/>
      </w:r>
      <w:r>
        <w:rPr>
          <w:rFonts w:hint="eastAsia" w:ascii="Times New Roman" w:hAnsi="Times New Roman"/>
          <w:bCs/>
          <w:szCs w:val="32"/>
        </w:rPr>
        <w:fldChar w:fldCharType="begin"/>
      </w:r>
      <w:r>
        <w:rPr>
          <w:rFonts w:hint="eastAsia" w:ascii="Times New Roman" w:hAnsi="Times New Roman"/>
          <w:bCs/>
          <w:szCs w:val="32"/>
        </w:rPr>
        <w:instrText xml:space="preserve"> PAGEREF _Toc28826 \h </w:instrText>
      </w:r>
      <w:r>
        <w:rPr>
          <w:rFonts w:hint="eastAsia" w:ascii="Times New Roman" w:hAnsi="Times New Roman"/>
          <w:bCs/>
          <w:szCs w:val="32"/>
        </w:rPr>
        <w:fldChar w:fldCharType="separate"/>
      </w:r>
      <w:r>
        <w:rPr>
          <w:rFonts w:hint="eastAsia" w:ascii="Times New Roman" w:hAnsi="Times New Roman"/>
          <w:bCs/>
          <w:szCs w:val="32"/>
        </w:rPr>
        <w:t>84</w:t>
      </w:r>
      <w:r>
        <w:rPr>
          <w:rFonts w:hint="eastAsia" w:ascii="Times New Roman" w:hAnsi="Times New Roman"/>
          <w:bCs/>
          <w:szCs w:val="32"/>
        </w:rPr>
        <w:fldChar w:fldCharType="end"/>
      </w:r>
      <w:r>
        <w:rPr>
          <w:rFonts w:hint="eastAsia" w:ascii="Times New Roman" w:hAnsi="Times New Roman"/>
          <w:bCs/>
          <w:szCs w:val="32"/>
        </w:rPr>
        <w:fldChar w:fldCharType="end"/>
      </w:r>
    </w:p>
    <w:p>
      <w:pPr>
        <w:pStyle w:val="42"/>
        <w:tabs>
          <w:tab w:val="right" w:leader="dot" w:pos="8306"/>
          <w:tab w:val="clear" w:pos="8296"/>
        </w:tabs>
        <w:rPr>
          <w:rFonts w:hint="eastAsia" w:ascii="Times New Roman" w:hAnsi="Times New Roman"/>
          <w:bCs/>
          <w:szCs w:val="32"/>
        </w:rPr>
      </w:pPr>
      <w:r>
        <w:rPr>
          <w:rFonts w:hint="eastAsia" w:ascii="Times New Roman" w:hAnsi="Times New Roman"/>
          <w:bCs/>
          <w:szCs w:val="32"/>
        </w:rPr>
        <w:fldChar w:fldCharType="begin"/>
      </w:r>
      <w:r>
        <w:rPr>
          <w:rFonts w:hint="eastAsia" w:ascii="Times New Roman" w:hAnsi="Times New Roman"/>
          <w:bCs/>
          <w:szCs w:val="32"/>
        </w:rPr>
        <w:instrText xml:space="preserve"> HYPERLINK \l _Toc20897 </w:instrText>
      </w:r>
      <w:r>
        <w:rPr>
          <w:rFonts w:hint="eastAsia" w:ascii="Times New Roman" w:hAnsi="Times New Roman"/>
          <w:bCs/>
          <w:szCs w:val="32"/>
        </w:rPr>
        <w:fldChar w:fldCharType="separate"/>
      </w:r>
      <w:r>
        <w:rPr>
          <w:rFonts w:hint="default" w:ascii="Times New Roman" w:hAnsi="Times New Roman"/>
          <w:bCs/>
          <w:szCs w:val="32"/>
          <w:lang w:val="en-US" w:eastAsia="zh-CN"/>
        </w:rPr>
        <w:t>2.14 变更安全管理</w:t>
      </w:r>
      <w:r>
        <w:rPr>
          <w:rFonts w:hint="eastAsia" w:ascii="Times New Roman" w:hAnsi="Times New Roman"/>
          <w:bCs/>
          <w:szCs w:val="32"/>
        </w:rPr>
        <w:tab/>
      </w:r>
      <w:r>
        <w:rPr>
          <w:rFonts w:hint="eastAsia" w:ascii="Times New Roman" w:hAnsi="Times New Roman"/>
          <w:bCs/>
          <w:szCs w:val="32"/>
        </w:rPr>
        <w:fldChar w:fldCharType="begin"/>
      </w:r>
      <w:r>
        <w:rPr>
          <w:rFonts w:hint="eastAsia" w:ascii="Times New Roman" w:hAnsi="Times New Roman"/>
          <w:bCs/>
          <w:szCs w:val="32"/>
        </w:rPr>
        <w:instrText xml:space="preserve"> PAGEREF _Toc20897 \h </w:instrText>
      </w:r>
      <w:r>
        <w:rPr>
          <w:rFonts w:hint="eastAsia" w:ascii="Times New Roman" w:hAnsi="Times New Roman"/>
          <w:bCs/>
          <w:szCs w:val="32"/>
        </w:rPr>
        <w:fldChar w:fldCharType="separate"/>
      </w:r>
      <w:r>
        <w:rPr>
          <w:rFonts w:hint="eastAsia" w:ascii="Times New Roman" w:hAnsi="Times New Roman"/>
          <w:bCs/>
          <w:szCs w:val="32"/>
        </w:rPr>
        <w:t>84</w:t>
      </w:r>
      <w:r>
        <w:rPr>
          <w:rFonts w:hint="eastAsia" w:ascii="Times New Roman" w:hAnsi="Times New Roman"/>
          <w:bCs/>
          <w:szCs w:val="32"/>
        </w:rPr>
        <w:fldChar w:fldCharType="end"/>
      </w:r>
      <w:r>
        <w:rPr>
          <w:rFonts w:hint="eastAsia" w:ascii="Times New Roman" w:hAnsi="Times New Roman"/>
          <w:bCs/>
          <w:szCs w:val="32"/>
        </w:rPr>
        <w:fldChar w:fldCharType="end"/>
      </w:r>
    </w:p>
    <w:p>
      <w:pPr>
        <w:pStyle w:val="42"/>
        <w:tabs>
          <w:tab w:val="right" w:leader="dot" w:pos="8306"/>
          <w:tab w:val="clear" w:pos="8296"/>
        </w:tabs>
        <w:rPr>
          <w:rFonts w:hint="eastAsia" w:ascii="Times New Roman" w:hAnsi="Times New Roman"/>
          <w:bCs/>
          <w:szCs w:val="32"/>
        </w:rPr>
      </w:pPr>
      <w:r>
        <w:rPr>
          <w:rFonts w:hint="eastAsia" w:ascii="Times New Roman" w:hAnsi="Times New Roman"/>
          <w:bCs/>
          <w:szCs w:val="32"/>
        </w:rPr>
        <w:fldChar w:fldCharType="begin"/>
      </w:r>
      <w:r>
        <w:rPr>
          <w:rFonts w:hint="eastAsia" w:ascii="Times New Roman" w:hAnsi="Times New Roman"/>
          <w:bCs/>
          <w:szCs w:val="32"/>
        </w:rPr>
        <w:instrText xml:space="preserve"> HYPERLINK \l _Toc6520 </w:instrText>
      </w:r>
      <w:r>
        <w:rPr>
          <w:rFonts w:hint="eastAsia" w:ascii="Times New Roman" w:hAnsi="Times New Roman"/>
          <w:bCs/>
          <w:szCs w:val="32"/>
        </w:rPr>
        <w:fldChar w:fldCharType="separate"/>
      </w:r>
      <w:r>
        <w:rPr>
          <w:rFonts w:hint="default" w:ascii="Times New Roman" w:hAnsi="Times New Roman"/>
          <w:bCs/>
          <w:szCs w:val="32"/>
          <w:lang w:val="en-US" w:eastAsia="zh-CN"/>
        </w:rPr>
        <w:t xml:space="preserve">2.15 </w:t>
      </w:r>
      <w:r>
        <w:rPr>
          <w:rFonts w:hint="eastAsia" w:ascii="Times New Roman" w:hAnsi="Times New Roman"/>
          <w:bCs/>
          <w:szCs w:val="32"/>
          <w:lang w:val="en-US" w:eastAsia="zh-CN"/>
        </w:rPr>
        <w:t>交叉作业安全管理</w:t>
      </w:r>
      <w:r>
        <w:rPr>
          <w:rFonts w:hint="eastAsia" w:ascii="Times New Roman" w:hAnsi="Times New Roman"/>
          <w:bCs/>
          <w:szCs w:val="32"/>
        </w:rPr>
        <w:tab/>
      </w:r>
      <w:r>
        <w:rPr>
          <w:rFonts w:hint="eastAsia" w:ascii="Times New Roman" w:hAnsi="Times New Roman"/>
          <w:bCs/>
          <w:szCs w:val="32"/>
        </w:rPr>
        <w:fldChar w:fldCharType="begin"/>
      </w:r>
      <w:r>
        <w:rPr>
          <w:rFonts w:hint="eastAsia" w:ascii="Times New Roman" w:hAnsi="Times New Roman"/>
          <w:bCs/>
          <w:szCs w:val="32"/>
        </w:rPr>
        <w:instrText xml:space="preserve"> PAGEREF _Toc6520 \h </w:instrText>
      </w:r>
      <w:r>
        <w:rPr>
          <w:rFonts w:hint="eastAsia" w:ascii="Times New Roman" w:hAnsi="Times New Roman"/>
          <w:bCs/>
          <w:szCs w:val="32"/>
        </w:rPr>
        <w:fldChar w:fldCharType="separate"/>
      </w:r>
      <w:r>
        <w:rPr>
          <w:rFonts w:hint="eastAsia" w:ascii="Times New Roman" w:hAnsi="Times New Roman"/>
          <w:bCs/>
          <w:szCs w:val="32"/>
        </w:rPr>
        <w:t>85</w:t>
      </w:r>
      <w:r>
        <w:rPr>
          <w:rFonts w:hint="eastAsia" w:ascii="Times New Roman" w:hAnsi="Times New Roman"/>
          <w:bCs/>
          <w:szCs w:val="32"/>
        </w:rPr>
        <w:fldChar w:fldCharType="end"/>
      </w:r>
      <w:r>
        <w:rPr>
          <w:rFonts w:hint="eastAsia" w:ascii="Times New Roman" w:hAnsi="Times New Roman"/>
          <w:bCs/>
          <w:szCs w:val="32"/>
        </w:rPr>
        <w:fldChar w:fldCharType="end"/>
      </w:r>
    </w:p>
    <w:p>
      <w:pPr>
        <w:pStyle w:val="42"/>
        <w:tabs>
          <w:tab w:val="right" w:leader="dot" w:pos="8306"/>
          <w:tab w:val="clear" w:pos="8296"/>
        </w:tabs>
      </w:pPr>
      <w:r>
        <w:rPr>
          <w:rFonts w:hint="eastAsia" w:ascii="Times New Roman" w:hAnsi="Times New Roman"/>
          <w:bCs/>
          <w:szCs w:val="32"/>
        </w:rPr>
        <w:fldChar w:fldCharType="begin"/>
      </w:r>
      <w:r>
        <w:rPr>
          <w:rFonts w:hint="eastAsia" w:ascii="Times New Roman" w:hAnsi="Times New Roman"/>
          <w:bCs/>
          <w:szCs w:val="32"/>
        </w:rPr>
        <w:instrText xml:space="preserve"> HYPERLINK \l _Toc1245 </w:instrText>
      </w:r>
      <w:r>
        <w:rPr>
          <w:rFonts w:hint="eastAsia" w:ascii="Times New Roman" w:hAnsi="Times New Roman"/>
          <w:bCs/>
          <w:szCs w:val="32"/>
        </w:rPr>
        <w:fldChar w:fldCharType="separate"/>
      </w:r>
      <w:r>
        <w:rPr>
          <w:rFonts w:hint="default" w:ascii="Times New Roman" w:hAnsi="Times New Roman"/>
          <w:bCs/>
          <w:szCs w:val="32"/>
          <w:lang w:val="en-US" w:eastAsia="zh-CN"/>
        </w:rPr>
        <w:t>2.1</w:t>
      </w:r>
      <w:r>
        <w:rPr>
          <w:rFonts w:hint="eastAsia" w:ascii="Times New Roman" w:hAnsi="Times New Roman"/>
          <w:bCs/>
          <w:szCs w:val="32"/>
          <w:lang w:val="en-US" w:eastAsia="zh-CN"/>
        </w:rPr>
        <w:t>6</w:t>
      </w:r>
      <w:r>
        <w:rPr>
          <w:rFonts w:hint="default" w:ascii="Times New Roman" w:hAnsi="Times New Roman"/>
          <w:bCs/>
          <w:szCs w:val="32"/>
          <w:lang w:val="en-US" w:eastAsia="zh-CN"/>
        </w:rPr>
        <w:t xml:space="preserve"> 生产安全事故管理</w:t>
      </w:r>
      <w:r>
        <w:rPr>
          <w:rFonts w:hint="eastAsia" w:ascii="Times New Roman" w:hAnsi="Times New Roman"/>
          <w:bCs/>
          <w:szCs w:val="32"/>
        </w:rPr>
        <w:tab/>
      </w:r>
      <w:r>
        <w:rPr>
          <w:rFonts w:hint="eastAsia" w:ascii="Times New Roman" w:hAnsi="Times New Roman"/>
          <w:bCs/>
          <w:szCs w:val="32"/>
        </w:rPr>
        <w:fldChar w:fldCharType="begin"/>
      </w:r>
      <w:r>
        <w:rPr>
          <w:rFonts w:hint="eastAsia" w:ascii="Times New Roman" w:hAnsi="Times New Roman"/>
          <w:bCs/>
          <w:szCs w:val="32"/>
        </w:rPr>
        <w:instrText xml:space="preserve"> PAGEREF _Toc1245 \h </w:instrText>
      </w:r>
      <w:r>
        <w:rPr>
          <w:rFonts w:hint="eastAsia" w:ascii="Times New Roman" w:hAnsi="Times New Roman"/>
          <w:bCs/>
          <w:szCs w:val="32"/>
        </w:rPr>
        <w:fldChar w:fldCharType="separate"/>
      </w:r>
      <w:r>
        <w:rPr>
          <w:rFonts w:hint="eastAsia" w:ascii="Times New Roman" w:hAnsi="Times New Roman"/>
          <w:bCs/>
          <w:szCs w:val="32"/>
        </w:rPr>
        <w:t>86</w:t>
      </w:r>
      <w:r>
        <w:rPr>
          <w:rFonts w:hint="eastAsia" w:ascii="Times New Roman" w:hAnsi="Times New Roman"/>
          <w:bCs/>
          <w:szCs w:val="32"/>
        </w:rPr>
        <w:fldChar w:fldCharType="end"/>
      </w:r>
      <w:r>
        <w:rPr>
          <w:rFonts w:hint="eastAsia" w:ascii="Times New Roman" w:hAnsi="Times New Roman"/>
          <w:bCs/>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_Toc12003 </w:instrText>
      </w:r>
      <w:r>
        <w:rPr>
          <w:szCs w:val="32"/>
        </w:rPr>
        <w:fldChar w:fldCharType="separate"/>
      </w:r>
      <w:r>
        <w:rPr>
          <w:rFonts w:ascii="Times New Roman" w:hAnsi="Times New Roman"/>
          <w:bCs/>
          <w:szCs w:val="32"/>
        </w:rPr>
        <w:t>2.1</w:t>
      </w:r>
      <w:r>
        <w:rPr>
          <w:rFonts w:hint="eastAsia" w:ascii="Times New Roman" w:hAnsi="Times New Roman"/>
          <w:bCs/>
          <w:szCs w:val="32"/>
          <w:lang w:val="en-US" w:eastAsia="zh-CN"/>
        </w:rPr>
        <w:t>7</w:t>
      </w:r>
      <w:r>
        <w:rPr>
          <w:rFonts w:hint="eastAsia" w:ascii="Times New Roman" w:hAnsi="Times New Roman"/>
          <w:bCs/>
          <w:szCs w:val="32"/>
        </w:rPr>
        <w:t>安全生产标准化及双重预防体系的建设、运行情况</w:t>
      </w:r>
      <w:r>
        <w:tab/>
      </w:r>
      <w:r>
        <w:fldChar w:fldCharType="begin"/>
      </w:r>
      <w:r>
        <w:instrText xml:space="preserve"> PAGEREF _Toc12003 \h </w:instrText>
      </w:r>
      <w:r>
        <w:fldChar w:fldCharType="separate"/>
      </w:r>
      <w:r>
        <w:t>86</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_Toc3422 </w:instrText>
      </w:r>
      <w:r>
        <w:rPr>
          <w:szCs w:val="32"/>
        </w:rPr>
        <w:fldChar w:fldCharType="separate"/>
      </w:r>
      <w:r>
        <w:rPr>
          <w:rFonts w:hint="eastAsia" w:eastAsia="楷体_GB2312"/>
          <w:szCs w:val="36"/>
        </w:rPr>
        <w:t xml:space="preserve">3 </w:t>
      </w:r>
      <w:r>
        <w:rPr>
          <w:rFonts w:hint="eastAsia" w:ascii="宋体" w:hAnsi="宋体" w:eastAsia="宋体" w:cs="宋体"/>
          <w:szCs w:val="36"/>
        </w:rPr>
        <w:t>主要危险、有害因素分析</w:t>
      </w:r>
      <w:r>
        <w:tab/>
      </w:r>
      <w:r>
        <w:fldChar w:fldCharType="begin"/>
      </w:r>
      <w:r>
        <w:instrText xml:space="preserve"> PAGEREF _Toc3422 \h </w:instrText>
      </w:r>
      <w:r>
        <w:fldChar w:fldCharType="separate"/>
      </w:r>
      <w:r>
        <w:t>88</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_Toc14519 </w:instrText>
      </w:r>
      <w:r>
        <w:rPr>
          <w:szCs w:val="32"/>
        </w:rPr>
        <w:fldChar w:fldCharType="separate"/>
      </w:r>
      <w:r>
        <w:rPr>
          <w:rFonts w:hint="eastAsia" w:ascii="Times New Roman" w:hAnsi="Times New Roman"/>
          <w:bCs/>
          <w:szCs w:val="32"/>
        </w:rPr>
        <w:t>3.1 主要危险有害物质分析</w:t>
      </w:r>
      <w:r>
        <w:tab/>
      </w:r>
      <w:r>
        <w:fldChar w:fldCharType="begin"/>
      </w:r>
      <w:r>
        <w:instrText xml:space="preserve"> PAGEREF _Toc14519 \h </w:instrText>
      </w:r>
      <w:r>
        <w:fldChar w:fldCharType="separate"/>
      </w:r>
      <w:r>
        <w:t>88</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_Toc3325 </w:instrText>
      </w:r>
      <w:r>
        <w:rPr>
          <w:szCs w:val="32"/>
        </w:rPr>
        <w:fldChar w:fldCharType="separate"/>
      </w:r>
      <w:r>
        <w:rPr>
          <w:rFonts w:hint="eastAsia" w:ascii="Times New Roman" w:hAnsi="Times New Roman"/>
          <w:bCs/>
          <w:szCs w:val="32"/>
        </w:rPr>
        <w:t>3.2 主要</w:t>
      </w:r>
      <w:r>
        <w:rPr>
          <w:rFonts w:hint="eastAsia" w:ascii="Times New Roman" w:hAnsi="Times New Roman"/>
          <w:bCs/>
          <w:szCs w:val="32"/>
          <w:lang w:val="en-US" w:eastAsia="zh-CN"/>
        </w:rPr>
        <w:t>作业流程</w:t>
      </w:r>
      <w:r>
        <w:rPr>
          <w:rFonts w:hint="eastAsia" w:ascii="Times New Roman" w:hAnsi="Times New Roman"/>
          <w:bCs/>
          <w:szCs w:val="32"/>
        </w:rPr>
        <w:t>危险性分析</w:t>
      </w:r>
      <w:r>
        <w:tab/>
      </w:r>
      <w:r>
        <w:fldChar w:fldCharType="begin"/>
      </w:r>
      <w:r>
        <w:instrText xml:space="preserve"> PAGEREF _Toc3325 \h </w:instrText>
      </w:r>
      <w:r>
        <w:fldChar w:fldCharType="separate"/>
      </w:r>
      <w:r>
        <w:t>98</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_Toc19757 </w:instrText>
      </w:r>
      <w:r>
        <w:rPr>
          <w:szCs w:val="32"/>
        </w:rPr>
        <w:fldChar w:fldCharType="separate"/>
      </w:r>
      <w:r>
        <w:rPr>
          <w:rFonts w:hint="eastAsia" w:ascii="Times New Roman" w:hAnsi="Times New Roman"/>
          <w:bCs/>
          <w:szCs w:val="32"/>
        </w:rPr>
        <w:t>3.</w:t>
      </w:r>
      <w:r>
        <w:rPr>
          <w:rFonts w:hint="eastAsia" w:ascii="Times New Roman" w:hAnsi="Times New Roman"/>
          <w:bCs/>
          <w:szCs w:val="32"/>
          <w:lang w:val="en-US" w:eastAsia="zh-CN"/>
        </w:rPr>
        <w:t>3</w:t>
      </w:r>
      <w:r>
        <w:rPr>
          <w:rFonts w:hint="eastAsia" w:ascii="Times New Roman" w:hAnsi="Times New Roman"/>
          <w:bCs/>
          <w:szCs w:val="32"/>
        </w:rPr>
        <w:t xml:space="preserve"> 主要设备</w:t>
      </w:r>
      <w:r>
        <w:rPr>
          <w:rFonts w:hint="eastAsia" w:ascii="Times New Roman" w:hAnsi="Times New Roman"/>
          <w:bCs/>
          <w:szCs w:val="32"/>
          <w:lang w:val="en-US" w:eastAsia="zh-CN"/>
        </w:rPr>
        <w:t>设施</w:t>
      </w:r>
      <w:r>
        <w:rPr>
          <w:rFonts w:hint="eastAsia" w:ascii="Times New Roman" w:hAnsi="Times New Roman"/>
          <w:bCs/>
          <w:szCs w:val="32"/>
        </w:rPr>
        <w:t>危险性分析</w:t>
      </w:r>
      <w:r>
        <w:tab/>
      </w:r>
      <w:r>
        <w:fldChar w:fldCharType="begin"/>
      </w:r>
      <w:r>
        <w:instrText xml:space="preserve"> PAGEREF _Toc19757 \h </w:instrText>
      </w:r>
      <w:r>
        <w:fldChar w:fldCharType="separate"/>
      </w:r>
      <w:r>
        <w:t>101</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_Toc21957 </w:instrText>
      </w:r>
      <w:r>
        <w:rPr>
          <w:szCs w:val="32"/>
        </w:rPr>
        <w:fldChar w:fldCharType="separate"/>
      </w:r>
      <w:r>
        <w:rPr>
          <w:rFonts w:hint="eastAsia" w:ascii="Times New Roman" w:hAnsi="Times New Roman"/>
          <w:bCs/>
          <w:szCs w:val="32"/>
        </w:rPr>
        <w:t>3.</w:t>
      </w:r>
      <w:r>
        <w:rPr>
          <w:rFonts w:hint="eastAsia" w:ascii="Times New Roman" w:hAnsi="Times New Roman"/>
          <w:bCs/>
          <w:szCs w:val="32"/>
          <w:lang w:val="en-US" w:eastAsia="zh-CN"/>
        </w:rPr>
        <w:t>4</w:t>
      </w:r>
      <w:r>
        <w:rPr>
          <w:rFonts w:hint="eastAsia" w:ascii="Times New Roman" w:hAnsi="Times New Roman"/>
          <w:bCs/>
          <w:szCs w:val="32"/>
        </w:rPr>
        <w:t xml:space="preserve"> 主要危险因素分析</w:t>
      </w:r>
      <w:r>
        <w:tab/>
      </w:r>
      <w:r>
        <w:fldChar w:fldCharType="begin"/>
      </w:r>
      <w:r>
        <w:instrText xml:space="preserve"> PAGEREF _Toc21957 \h </w:instrText>
      </w:r>
      <w:r>
        <w:fldChar w:fldCharType="separate"/>
      </w:r>
      <w:r>
        <w:t>106</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_Toc8180 </w:instrText>
      </w:r>
      <w:r>
        <w:rPr>
          <w:szCs w:val="32"/>
        </w:rPr>
        <w:fldChar w:fldCharType="separate"/>
      </w:r>
      <w:r>
        <w:rPr>
          <w:rFonts w:hint="eastAsia" w:ascii="Times New Roman" w:hAnsi="Times New Roman"/>
          <w:bCs/>
          <w:szCs w:val="32"/>
        </w:rPr>
        <w:t>3.</w:t>
      </w:r>
      <w:r>
        <w:rPr>
          <w:rFonts w:hint="eastAsia" w:ascii="Times New Roman" w:hAnsi="Times New Roman"/>
          <w:bCs/>
          <w:szCs w:val="32"/>
          <w:lang w:val="en-US" w:eastAsia="zh-CN"/>
        </w:rPr>
        <w:t>5</w:t>
      </w:r>
      <w:r>
        <w:rPr>
          <w:rFonts w:hint="eastAsia" w:ascii="Times New Roman" w:hAnsi="Times New Roman"/>
          <w:bCs/>
          <w:szCs w:val="32"/>
        </w:rPr>
        <w:t xml:space="preserve"> 主要有害因素辨识</w:t>
      </w:r>
      <w:r>
        <w:tab/>
      </w:r>
      <w:r>
        <w:fldChar w:fldCharType="begin"/>
      </w:r>
      <w:r>
        <w:instrText xml:space="preserve"> PAGEREF _Toc8180 \h </w:instrText>
      </w:r>
      <w:r>
        <w:fldChar w:fldCharType="separate"/>
      </w:r>
      <w:r>
        <w:t>115</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_Toc5945 </w:instrText>
      </w:r>
      <w:r>
        <w:rPr>
          <w:szCs w:val="32"/>
        </w:rPr>
        <w:fldChar w:fldCharType="separate"/>
      </w:r>
      <w:r>
        <w:rPr>
          <w:rFonts w:hint="eastAsia" w:ascii="Times New Roman" w:hAnsi="Times New Roman"/>
          <w:bCs/>
          <w:szCs w:val="32"/>
        </w:rPr>
        <w:t>3.</w:t>
      </w:r>
      <w:r>
        <w:rPr>
          <w:rFonts w:hint="eastAsia" w:ascii="Times New Roman" w:hAnsi="Times New Roman"/>
          <w:bCs/>
          <w:szCs w:val="32"/>
          <w:lang w:val="en-US" w:eastAsia="zh-CN"/>
        </w:rPr>
        <w:t>6</w:t>
      </w:r>
      <w:r>
        <w:rPr>
          <w:rFonts w:hint="eastAsia" w:ascii="Times New Roman" w:hAnsi="Times New Roman"/>
          <w:bCs/>
          <w:szCs w:val="32"/>
        </w:rPr>
        <w:t xml:space="preserve"> 自然灾害的影响</w:t>
      </w:r>
      <w:r>
        <w:tab/>
      </w:r>
      <w:r>
        <w:fldChar w:fldCharType="begin"/>
      </w:r>
      <w:r>
        <w:instrText xml:space="preserve"> PAGEREF _Toc5945 \h </w:instrText>
      </w:r>
      <w:r>
        <w:fldChar w:fldCharType="separate"/>
      </w:r>
      <w:r>
        <w:t>115</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_Toc27363 </w:instrText>
      </w:r>
      <w:r>
        <w:rPr>
          <w:szCs w:val="32"/>
        </w:rPr>
        <w:fldChar w:fldCharType="separate"/>
      </w:r>
      <w:r>
        <w:rPr>
          <w:rFonts w:ascii="Times New Roman" w:hAnsi="Times New Roman"/>
          <w:bCs/>
          <w:szCs w:val="32"/>
        </w:rPr>
        <w:t xml:space="preserve">3.7 </w:t>
      </w:r>
      <w:r>
        <w:rPr>
          <w:rFonts w:hint="eastAsia" w:ascii="Times New Roman" w:hAnsi="Times New Roman"/>
          <w:bCs/>
          <w:szCs w:val="32"/>
          <w:lang w:val="en-US" w:eastAsia="zh-CN"/>
        </w:rPr>
        <w:t>人的不安全行为和安全管理缺陷</w:t>
      </w:r>
      <w:r>
        <w:tab/>
      </w:r>
      <w:r>
        <w:fldChar w:fldCharType="begin"/>
      </w:r>
      <w:r>
        <w:instrText xml:space="preserve"> PAGEREF _Toc27363 \h </w:instrText>
      </w:r>
      <w:r>
        <w:fldChar w:fldCharType="separate"/>
      </w:r>
      <w:r>
        <w:t>117</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_Toc21157 </w:instrText>
      </w:r>
      <w:r>
        <w:rPr>
          <w:szCs w:val="32"/>
        </w:rPr>
        <w:fldChar w:fldCharType="separate"/>
      </w:r>
      <w:r>
        <w:rPr>
          <w:rFonts w:hint="eastAsia" w:ascii="Times New Roman" w:hAnsi="Times New Roman"/>
          <w:bCs/>
          <w:szCs w:val="32"/>
        </w:rPr>
        <w:t>3.</w:t>
      </w:r>
      <w:r>
        <w:rPr>
          <w:rFonts w:hint="eastAsia" w:ascii="Times New Roman" w:hAnsi="Times New Roman"/>
          <w:bCs/>
          <w:szCs w:val="32"/>
          <w:lang w:val="en-US" w:eastAsia="zh-CN"/>
        </w:rPr>
        <w:t>8</w:t>
      </w:r>
      <w:r>
        <w:rPr>
          <w:rFonts w:hint="eastAsia" w:ascii="Times New Roman" w:hAnsi="Times New Roman"/>
          <w:bCs/>
          <w:szCs w:val="32"/>
        </w:rPr>
        <w:t xml:space="preserve"> 重大危险源辨识</w:t>
      </w:r>
      <w:r>
        <w:tab/>
      </w:r>
      <w:r>
        <w:fldChar w:fldCharType="begin"/>
      </w:r>
      <w:r>
        <w:instrText xml:space="preserve"> PAGEREF _Toc21157 \h </w:instrText>
      </w:r>
      <w:r>
        <w:fldChar w:fldCharType="separate"/>
      </w:r>
      <w:r>
        <w:t>118</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_Toc1418 </w:instrText>
      </w:r>
      <w:r>
        <w:rPr>
          <w:szCs w:val="32"/>
        </w:rPr>
        <w:fldChar w:fldCharType="separate"/>
      </w:r>
      <w:r>
        <w:rPr>
          <w:rFonts w:hint="eastAsia" w:ascii="Times New Roman" w:hAnsi="Times New Roman"/>
          <w:bCs/>
          <w:szCs w:val="32"/>
        </w:rPr>
        <w:t>3.</w:t>
      </w:r>
      <w:r>
        <w:rPr>
          <w:rFonts w:hint="eastAsia" w:ascii="Times New Roman" w:hAnsi="Times New Roman"/>
          <w:bCs/>
          <w:szCs w:val="32"/>
          <w:lang w:val="en-US" w:eastAsia="zh-CN"/>
        </w:rPr>
        <w:t>9</w:t>
      </w:r>
      <w:r>
        <w:rPr>
          <w:rFonts w:hint="eastAsia" w:ascii="Times New Roman" w:hAnsi="Times New Roman"/>
          <w:bCs/>
          <w:szCs w:val="32"/>
        </w:rPr>
        <w:t xml:space="preserve"> </w:t>
      </w:r>
      <w:r>
        <w:rPr>
          <w:rFonts w:hint="default" w:ascii="Times New Roman" w:hAnsi="Times New Roman" w:cs="Times New Roman"/>
          <w:bCs/>
          <w:szCs w:val="32"/>
          <w:lang w:eastAsia="zh-CN"/>
        </w:rPr>
        <w:t>事故案例分析</w:t>
      </w:r>
      <w:r>
        <w:tab/>
      </w:r>
      <w:r>
        <w:fldChar w:fldCharType="begin"/>
      </w:r>
      <w:r>
        <w:instrText xml:space="preserve"> PAGEREF _Toc1418 \h </w:instrText>
      </w:r>
      <w:r>
        <w:fldChar w:fldCharType="separate"/>
      </w:r>
      <w:r>
        <w:t>121</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_Toc14092 </w:instrText>
      </w:r>
      <w:r>
        <w:rPr>
          <w:szCs w:val="32"/>
        </w:rPr>
        <w:fldChar w:fldCharType="separate"/>
      </w:r>
      <w:r>
        <w:rPr>
          <w:rFonts w:hint="eastAsia" w:ascii="Times New Roman" w:hAnsi="Times New Roman"/>
          <w:bCs/>
          <w:szCs w:val="32"/>
        </w:rPr>
        <w:t>3.</w:t>
      </w:r>
      <w:r>
        <w:rPr>
          <w:rFonts w:hint="eastAsia" w:ascii="Times New Roman" w:hAnsi="Times New Roman"/>
          <w:bCs/>
          <w:szCs w:val="32"/>
          <w:lang w:val="en-US" w:eastAsia="zh-CN"/>
        </w:rPr>
        <w:t>10</w:t>
      </w:r>
      <w:r>
        <w:rPr>
          <w:rFonts w:hint="eastAsia" w:ascii="Times New Roman" w:hAnsi="Times New Roman"/>
          <w:bCs/>
          <w:szCs w:val="32"/>
        </w:rPr>
        <w:t xml:space="preserve"> 主要危险、有害因素分析结论</w:t>
      </w:r>
      <w:r>
        <w:tab/>
      </w:r>
      <w:r>
        <w:fldChar w:fldCharType="begin"/>
      </w:r>
      <w:r>
        <w:instrText xml:space="preserve"> PAGEREF _Toc14092 \h </w:instrText>
      </w:r>
      <w:r>
        <w:fldChar w:fldCharType="separate"/>
      </w:r>
      <w:r>
        <w:t>123</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_Toc27108 </w:instrText>
      </w:r>
      <w:r>
        <w:rPr>
          <w:szCs w:val="32"/>
        </w:rPr>
        <w:fldChar w:fldCharType="separate"/>
      </w:r>
      <w:r>
        <w:rPr>
          <w:rFonts w:hint="eastAsia" w:eastAsia="楷体_GB2312"/>
          <w:szCs w:val="36"/>
        </w:rPr>
        <w:t>4</w:t>
      </w:r>
      <w:r>
        <w:rPr>
          <w:rFonts w:eastAsia="楷体_GB2312"/>
          <w:szCs w:val="36"/>
        </w:rPr>
        <w:t xml:space="preserve"> </w:t>
      </w:r>
      <w:r>
        <w:rPr>
          <w:rFonts w:hint="eastAsia" w:ascii="宋体" w:hAnsi="宋体" w:eastAsia="宋体" w:cs="宋体"/>
          <w:szCs w:val="36"/>
        </w:rPr>
        <w:t>评价单元划分及评价方法选择</w:t>
      </w:r>
      <w:r>
        <w:tab/>
      </w:r>
      <w:r>
        <w:fldChar w:fldCharType="begin"/>
      </w:r>
      <w:r>
        <w:instrText xml:space="preserve"> PAGEREF _Toc27108 \h </w:instrText>
      </w:r>
      <w:r>
        <w:fldChar w:fldCharType="separate"/>
      </w:r>
      <w:r>
        <w:t>124</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_Toc18802 </w:instrText>
      </w:r>
      <w:r>
        <w:rPr>
          <w:szCs w:val="32"/>
        </w:rPr>
        <w:fldChar w:fldCharType="separate"/>
      </w:r>
      <w:r>
        <w:rPr>
          <w:rFonts w:hint="eastAsia" w:ascii="Times New Roman" w:hAnsi="Times New Roman"/>
          <w:bCs/>
          <w:szCs w:val="32"/>
        </w:rPr>
        <w:t>4.1</w:t>
      </w:r>
      <w:r>
        <w:rPr>
          <w:rFonts w:ascii="Times New Roman" w:hAnsi="Times New Roman"/>
          <w:bCs/>
          <w:szCs w:val="32"/>
        </w:rPr>
        <w:t xml:space="preserve"> </w:t>
      </w:r>
      <w:r>
        <w:rPr>
          <w:rFonts w:hint="eastAsia" w:ascii="Times New Roman" w:hAnsi="Times New Roman"/>
          <w:bCs/>
          <w:szCs w:val="32"/>
        </w:rPr>
        <w:t>评价单元划分</w:t>
      </w:r>
      <w:r>
        <w:tab/>
      </w:r>
      <w:r>
        <w:fldChar w:fldCharType="begin"/>
      </w:r>
      <w:r>
        <w:instrText xml:space="preserve"> PAGEREF _Toc18802 \h </w:instrText>
      </w:r>
      <w:r>
        <w:fldChar w:fldCharType="separate"/>
      </w:r>
      <w:r>
        <w:t>124</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_Toc6134 </w:instrText>
      </w:r>
      <w:r>
        <w:rPr>
          <w:szCs w:val="32"/>
        </w:rPr>
        <w:fldChar w:fldCharType="separate"/>
      </w:r>
      <w:r>
        <w:rPr>
          <w:rFonts w:hint="eastAsia" w:ascii="Times New Roman" w:hAnsi="Times New Roman"/>
          <w:bCs/>
          <w:szCs w:val="32"/>
        </w:rPr>
        <w:t>4.2</w:t>
      </w:r>
      <w:r>
        <w:rPr>
          <w:rFonts w:ascii="Times New Roman" w:hAnsi="Times New Roman"/>
          <w:bCs/>
          <w:szCs w:val="32"/>
        </w:rPr>
        <w:t xml:space="preserve"> </w:t>
      </w:r>
      <w:r>
        <w:rPr>
          <w:rFonts w:hint="eastAsia" w:ascii="Times New Roman" w:hAnsi="Times New Roman"/>
          <w:bCs/>
          <w:szCs w:val="32"/>
        </w:rPr>
        <w:t>评价方法选择</w:t>
      </w:r>
      <w:r>
        <w:tab/>
      </w:r>
      <w:r>
        <w:fldChar w:fldCharType="begin"/>
      </w:r>
      <w:r>
        <w:instrText xml:space="preserve"> PAGEREF _Toc6134 \h </w:instrText>
      </w:r>
      <w:r>
        <w:fldChar w:fldCharType="separate"/>
      </w:r>
      <w:r>
        <w:t>124</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_Toc9364 </w:instrText>
      </w:r>
      <w:r>
        <w:rPr>
          <w:szCs w:val="32"/>
        </w:rPr>
        <w:fldChar w:fldCharType="separate"/>
      </w:r>
      <w:r>
        <w:rPr>
          <w:rFonts w:hint="eastAsia" w:eastAsia="楷体_GB2312"/>
          <w:szCs w:val="36"/>
        </w:rPr>
        <w:t>5</w:t>
      </w:r>
      <w:r>
        <w:rPr>
          <w:rFonts w:eastAsia="楷体_GB2312"/>
          <w:szCs w:val="36"/>
        </w:rPr>
        <w:t xml:space="preserve"> </w:t>
      </w:r>
      <w:r>
        <w:rPr>
          <w:rFonts w:hint="eastAsia" w:ascii="宋体" w:hAnsi="宋体" w:cs="宋体"/>
          <w:szCs w:val="36"/>
          <w:lang w:val="en-US" w:eastAsia="zh-CN"/>
        </w:rPr>
        <w:t>定性定量安全评价</w:t>
      </w:r>
      <w:r>
        <w:tab/>
      </w:r>
      <w:r>
        <w:fldChar w:fldCharType="begin"/>
      </w:r>
      <w:r>
        <w:instrText xml:space="preserve"> PAGEREF _Toc9364 \h </w:instrText>
      </w:r>
      <w:r>
        <w:fldChar w:fldCharType="separate"/>
      </w:r>
      <w:r>
        <w:t>128</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_Toc5929 </w:instrText>
      </w:r>
      <w:r>
        <w:rPr>
          <w:szCs w:val="32"/>
        </w:rPr>
        <w:fldChar w:fldCharType="separate"/>
      </w:r>
      <w:r>
        <w:rPr>
          <w:rFonts w:hint="eastAsia" w:ascii="Times New Roman" w:hAnsi="Times New Roman"/>
          <w:bCs/>
          <w:szCs w:val="32"/>
        </w:rPr>
        <w:t>5.1 生产单元安全检查表</w:t>
      </w:r>
      <w:r>
        <w:tab/>
      </w:r>
      <w:r>
        <w:fldChar w:fldCharType="begin"/>
      </w:r>
      <w:r>
        <w:instrText xml:space="preserve"> PAGEREF _Toc5929 \h </w:instrText>
      </w:r>
      <w:r>
        <w:fldChar w:fldCharType="separate"/>
      </w:r>
      <w:r>
        <w:t>128</w:t>
      </w:r>
      <w:r>
        <w:fldChar w:fldCharType="end"/>
      </w:r>
      <w:r>
        <w:rPr>
          <w:color w:val="0070C0"/>
          <w:szCs w:val="32"/>
        </w:rPr>
        <w:fldChar w:fldCharType="end"/>
      </w:r>
    </w:p>
    <w:p>
      <w:pPr>
        <w:pStyle w:val="42"/>
        <w:tabs>
          <w:tab w:val="right" w:leader="dot" w:pos="8306"/>
          <w:tab w:val="clear" w:pos="8296"/>
        </w:tabs>
        <w:rPr>
          <w:rFonts w:hint="eastAsia" w:ascii="Times New Roman" w:hAnsi="Times New Roman"/>
          <w:bCs/>
          <w:szCs w:val="32"/>
        </w:rPr>
      </w:pPr>
      <w:r>
        <w:rPr>
          <w:rFonts w:hint="eastAsia" w:ascii="Times New Roman" w:hAnsi="Times New Roman"/>
          <w:bCs/>
          <w:szCs w:val="32"/>
        </w:rPr>
        <w:fldChar w:fldCharType="begin"/>
      </w:r>
      <w:r>
        <w:rPr>
          <w:rFonts w:hint="eastAsia" w:ascii="Times New Roman" w:hAnsi="Times New Roman"/>
          <w:bCs/>
          <w:szCs w:val="32"/>
        </w:rPr>
        <w:instrText xml:space="preserve"> HYPERLINK \l _Toc13135 </w:instrText>
      </w:r>
      <w:r>
        <w:rPr>
          <w:rFonts w:hint="eastAsia" w:ascii="Times New Roman" w:hAnsi="Times New Roman"/>
          <w:bCs/>
          <w:szCs w:val="32"/>
        </w:rPr>
        <w:fldChar w:fldCharType="separate"/>
      </w:r>
      <w:r>
        <w:rPr>
          <w:rFonts w:hint="default" w:ascii="Times New Roman" w:hAnsi="Times New Roman"/>
          <w:bCs/>
          <w:szCs w:val="32"/>
        </w:rPr>
        <w:t>5.</w:t>
      </w:r>
      <w:r>
        <w:rPr>
          <w:rFonts w:hint="default" w:ascii="Times New Roman" w:hAnsi="Times New Roman"/>
          <w:bCs/>
          <w:szCs w:val="32"/>
          <w:lang w:val="en-US" w:eastAsia="zh-CN"/>
        </w:rPr>
        <w:t>2</w:t>
      </w:r>
      <w:r>
        <w:rPr>
          <w:rFonts w:hint="default" w:ascii="Times New Roman" w:hAnsi="Times New Roman"/>
          <w:bCs/>
          <w:szCs w:val="32"/>
        </w:rPr>
        <w:t xml:space="preserve"> 作业条件危险性评价</w:t>
      </w:r>
      <w:r>
        <w:rPr>
          <w:rFonts w:hint="eastAsia" w:ascii="Times New Roman" w:hAnsi="Times New Roman"/>
          <w:bCs/>
          <w:szCs w:val="32"/>
        </w:rPr>
        <w:tab/>
      </w:r>
      <w:r>
        <w:rPr>
          <w:rFonts w:hint="eastAsia" w:ascii="Times New Roman" w:hAnsi="Times New Roman"/>
          <w:bCs/>
          <w:szCs w:val="32"/>
        </w:rPr>
        <w:fldChar w:fldCharType="begin"/>
      </w:r>
      <w:r>
        <w:rPr>
          <w:rFonts w:hint="eastAsia" w:ascii="Times New Roman" w:hAnsi="Times New Roman"/>
          <w:bCs/>
          <w:szCs w:val="32"/>
        </w:rPr>
        <w:instrText xml:space="preserve"> PAGEREF _Toc13135 \h </w:instrText>
      </w:r>
      <w:r>
        <w:rPr>
          <w:rFonts w:hint="eastAsia" w:ascii="Times New Roman" w:hAnsi="Times New Roman"/>
          <w:bCs/>
          <w:szCs w:val="32"/>
        </w:rPr>
        <w:fldChar w:fldCharType="separate"/>
      </w:r>
      <w:r>
        <w:rPr>
          <w:rFonts w:hint="eastAsia" w:ascii="Times New Roman" w:hAnsi="Times New Roman"/>
          <w:bCs/>
          <w:szCs w:val="32"/>
        </w:rPr>
        <w:t>144</w:t>
      </w:r>
      <w:r>
        <w:rPr>
          <w:rFonts w:hint="eastAsia" w:ascii="Times New Roman" w:hAnsi="Times New Roman"/>
          <w:bCs/>
          <w:szCs w:val="32"/>
        </w:rPr>
        <w:fldChar w:fldCharType="end"/>
      </w:r>
      <w:r>
        <w:rPr>
          <w:rFonts w:hint="eastAsia" w:ascii="Times New Roman" w:hAnsi="Times New Roman"/>
          <w:bCs/>
          <w:szCs w:val="32"/>
        </w:rPr>
        <w:fldChar w:fldCharType="end"/>
      </w:r>
    </w:p>
    <w:p>
      <w:pPr>
        <w:pStyle w:val="42"/>
        <w:tabs>
          <w:tab w:val="right" w:leader="dot" w:pos="8306"/>
          <w:tab w:val="clear" w:pos="8296"/>
        </w:tabs>
      </w:pPr>
      <w:r>
        <w:rPr>
          <w:rFonts w:hint="eastAsia" w:ascii="Times New Roman" w:hAnsi="Times New Roman"/>
          <w:bCs/>
          <w:szCs w:val="32"/>
        </w:rPr>
        <w:fldChar w:fldCharType="begin"/>
      </w:r>
      <w:r>
        <w:rPr>
          <w:rFonts w:hint="eastAsia" w:ascii="Times New Roman" w:hAnsi="Times New Roman"/>
          <w:bCs/>
          <w:szCs w:val="32"/>
        </w:rPr>
        <w:instrText xml:space="preserve"> HYPERLINK \l _Toc2967 </w:instrText>
      </w:r>
      <w:r>
        <w:rPr>
          <w:rFonts w:hint="eastAsia" w:ascii="Times New Roman" w:hAnsi="Times New Roman"/>
          <w:bCs/>
          <w:szCs w:val="32"/>
        </w:rPr>
        <w:fldChar w:fldCharType="separate"/>
      </w:r>
      <w:r>
        <w:rPr>
          <w:rFonts w:hint="eastAsia" w:ascii="Times New Roman" w:hAnsi="Times New Roman"/>
          <w:bCs/>
          <w:szCs w:val="32"/>
        </w:rPr>
        <w:t>5.</w:t>
      </w:r>
      <w:r>
        <w:rPr>
          <w:rFonts w:hint="eastAsia" w:ascii="Times New Roman" w:hAnsi="Times New Roman"/>
          <w:bCs/>
          <w:szCs w:val="32"/>
          <w:lang w:val="en-US" w:eastAsia="zh-CN"/>
        </w:rPr>
        <w:t>3</w:t>
      </w:r>
      <w:r>
        <w:rPr>
          <w:rFonts w:hint="eastAsia" w:ascii="Times New Roman" w:hAnsi="Times New Roman"/>
          <w:bCs/>
          <w:szCs w:val="32"/>
        </w:rPr>
        <w:t xml:space="preserve"> 管理单元安全检查表</w:t>
      </w:r>
      <w:r>
        <w:rPr>
          <w:rFonts w:hint="eastAsia" w:ascii="Times New Roman" w:hAnsi="Times New Roman"/>
          <w:bCs/>
          <w:szCs w:val="32"/>
        </w:rPr>
        <w:tab/>
      </w:r>
      <w:r>
        <w:rPr>
          <w:rFonts w:hint="eastAsia" w:ascii="Times New Roman" w:hAnsi="Times New Roman"/>
          <w:bCs/>
          <w:szCs w:val="32"/>
        </w:rPr>
        <w:fldChar w:fldCharType="begin"/>
      </w:r>
      <w:r>
        <w:rPr>
          <w:rFonts w:hint="eastAsia" w:ascii="Times New Roman" w:hAnsi="Times New Roman"/>
          <w:bCs/>
          <w:szCs w:val="32"/>
        </w:rPr>
        <w:instrText xml:space="preserve"> PAGEREF _Toc2967 \h </w:instrText>
      </w:r>
      <w:r>
        <w:rPr>
          <w:rFonts w:hint="eastAsia" w:ascii="Times New Roman" w:hAnsi="Times New Roman"/>
          <w:bCs/>
          <w:szCs w:val="32"/>
        </w:rPr>
        <w:fldChar w:fldCharType="separate"/>
      </w:r>
      <w:r>
        <w:rPr>
          <w:rFonts w:hint="eastAsia" w:ascii="Times New Roman" w:hAnsi="Times New Roman"/>
          <w:bCs/>
          <w:szCs w:val="32"/>
        </w:rPr>
        <w:t>146</w:t>
      </w:r>
      <w:r>
        <w:rPr>
          <w:rFonts w:hint="eastAsia" w:ascii="Times New Roman" w:hAnsi="Times New Roman"/>
          <w:bCs/>
          <w:szCs w:val="32"/>
        </w:rPr>
        <w:fldChar w:fldCharType="end"/>
      </w:r>
      <w:r>
        <w:rPr>
          <w:rFonts w:hint="eastAsia" w:ascii="Times New Roman" w:hAnsi="Times New Roman"/>
          <w:bCs/>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_Toc9027 </w:instrText>
      </w:r>
      <w:r>
        <w:rPr>
          <w:szCs w:val="32"/>
        </w:rPr>
        <w:fldChar w:fldCharType="separate"/>
      </w:r>
      <w:r>
        <w:rPr>
          <w:rFonts w:eastAsia="楷体_GB2312"/>
          <w:szCs w:val="36"/>
        </w:rPr>
        <w:t>6</w:t>
      </w:r>
      <w:r>
        <w:rPr>
          <w:rFonts w:hint="eastAsia" w:eastAsia="楷体_GB2312"/>
          <w:szCs w:val="36"/>
        </w:rPr>
        <w:t xml:space="preserve"> </w:t>
      </w:r>
      <w:r>
        <w:rPr>
          <w:rFonts w:hint="eastAsia" w:ascii="宋体" w:hAnsi="宋体" w:eastAsia="宋体" w:cs="宋体"/>
          <w:szCs w:val="36"/>
        </w:rPr>
        <w:t>安全对策措施与管理建议</w:t>
      </w:r>
      <w:r>
        <w:tab/>
      </w:r>
      <w:r>
        <w:fldChar w:fldCharType="begin"/>
      </w:r>
      <w:r>
        <w:instrText xml:space="preserve"> PAGEREF _Toc9027 \h </w:instrText>
      </w:r>
      <w:r>
        <w:fldChar w:fldCharType="separate"/>
      </w:r>
      <w:r>
        <w:t>157</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_Toc18088 </w:instrText>
      </w:r>
      <w:r>
        <w:rPr>
          <w:szCs w:val="32"/>
        </w:rPr>
        <w:fldChar w:fldCharType="separate"/>
      </w:r>
      <w:r>
        <w:rPr>
          <w:rFonts w:ascii="Times New Roman" w:hAnsi="Times New Roman"/>
          <w:bCs/>
          <w:szCs w:val="32"/>
        </w:rPr>
        <w:t>6</w:t>
      </w:r>
      <w:r>
        <w:rPr>
          <w:rFonts w:hint="eastAsia" w:ascii="Times New Roman" w:hAnsi="Times New Roman"/>
          <w:bCs/>
          <w:szCs w:val="32"/>
        </w:rPr>
        <w:t xml:space="preserve">.1 </w:t>
      </w:r>
      <w:r>
        <w:rPr>
          <w:rFonts w:hint="eastAsia" w:ascii="Times New Roman" w:hAnsi="Times New Roman"/>
          <w:bCs/>
          <w:szCs w:val="32"/>
          <w:highlight w:val="none"/>
        </w:rPr>
        <w:t>安全对策措施</w:t>
      </w:r>
      <w:r>
        <w:tab/>
      </w:r>
      <w:r>
        <w:fldChar w:fldCharType="begin"/>
      </w:r>
      <w:r>
        <w:instrText xml:space="preserve"> PAGEREF _Toc18088 \h </w:instrText>
      </w:r>
      <w:r>
        <w:fldChar w:fldCharType="separate"/>
      </w:r>
      <w:r>
        <w:t>157</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_Toc31085 </w:instrText>
      </w:r>
      <w:r>
        <w:rPr>
          <w:szCs w:val="32"/>
        </w:rPr>
        <w:fldChar w:fldCharType="separate"/>
      </w:r>
      <w:r>
        <w:rPr>
          <w:rFonts w:ascii="Times New Roman" w:hAnsi="Times New Roman"/>
          <w:bCs/>
          <w:szCs w:val="32"/>
        </w:rPr>
        <w:t>6</w:t>
      </w:r>
      <w:r>
        <w:rPr>
          <w:rFonts w:hint="eastAsia" w:ascii="Times New Roman" w:hAnsi="Times New Roman"/>
          <w:bCs/>
          <w:szCs w:val="32"/>
        </w:rPr>
        <w:t>.2 安全管理建议</w:t>
      </w:r>
      <w:r>
        <w:tab/>
      </w:r>
      <w:r>
        <w:fldChar w:fldCharType="begin"/>
      </w:r>
      <w:r>
        <w:instrText xml:space="preserve"> PAGEREF _Toc31085 \h </w:instrText>
      </w:r>
      <w:r>
        <w:fldChar w:fldCharType="separate"/>
      </w:r>
      <w:r>
        <w:t>157</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_Toc13746 </w:instrText>
      </w:r>
      <w:r>
        <w:rPr>
          <w:szCs w:val="32"/>
        </w:rPr>
        <w:fldChar w:fldCharType="separate"/>
      </w:r>
      <w:r>
        <w:rPr>
          <w:rFonts w:hint="eastAsia" w:eastAsia="楷体_GB2312"/>
          <w:szCs w:val="36"/>
          <w:lang w:val="en-US" w:eastAsia="zh-CN"/>
        </w:rPr>
        <w:t>7</w:t>
      </w:r>
      <w:r>
        <w:rPr>
          <w:rFonts w:hint="eastAsia" w:eastAsia="楷体_GB2312"/>
          <w:szCs w:val="36"/>
        </w:rPr>
        <w:t xml:space="preserve"> </w:t>
      </w:r>
      <w:r>
        <w:rPr>
          <w:rFonts w:hint="eastAsia" w:ascii="宋体" w:hAnsi="宋体" w:eastAsia="宋体" w:cs="宋体"/>
          <w:szCs w:val="36"/>
        </w:rPr>
        <w:t>隐患整改复查情况</w:t>
      </w:r>
      <w:r>
        <w:tab/>
      </w:r>
      <w:r>
        <w:fldChar w:fldCharType="begin"/>
      </w:r>
      <w:r>
        <w:instrText xml:space="preserve"> PAGEREF _Toc13746 \h </w:instrText>
      </w:r>
      <w:r>
        <w:fldChar w:fldCharType="separate"/>
      </w:r>
      <w:r>
        <w:t>160</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_Toc16600 </w:instrText>
      </w:r>
      <w:r>
        <w:rPr>
          <w:szCs w:val="32"/>
        </w:rPr>
        <w:fldChar w:fldCharType="separate"/>
      </w:r>
      <w:r>
        <w:rPr>
          <w:rFonts w:hint="eastAsia" w:eastAsia="楷体_GB2312"/>
          <w:szCs w:val="36"/>
          <w:lang w:val="en-US" w:eastAsia="zh-CN"/>
        </w:rPr>
        <w:t>8</w:t>
      </w:r>
      <w:r>
        <w:rPr>
          <w:rFonts w:hint="default" w:eastAsia="楷体_GB2312"/>
          <w:szCs w:val="36"/>
          <w:lang w:val="en-US" w:eastAsia="zh-CN"/>
        </w:rPr>
        <w:t xml:space="preserve"> </w:t>
      </w:r>
      <w:r>
        <w:rPr>
          <w:rFonts w:hint="eastAsia" w:ascii="宋体" w:hAnsi="宋体" w:eastAsia="宋体" w:cs="宋体"/>
          <w:szCs w:val="36"/>
          <w:lang w:val="en-US" w:eastAsia="zh-CN"/>
        </w:rPr>
        <w:t>安全生产条件分析评价</w:t>
      </w:r>
      <w:r>
        <w:tab/>
      </w:r>
      <w:r>
        <w:fldChar w:fldCharType="begin"/>
      </w:r>
      <w:r>
        <w:instrText xml:space="preserve"> PAGEREF _Toc16600 \h </w:instrText>
      </w:r>
      <w:r>
        <w:fldChar w:fldCharType="separate"/>
      </w:r>
      <w:r>
        <w:t>164</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_Toc26232 </w:instrText>
      </w:r>
      <w:r>
        <w:rPr>
          <w:szCs w:val="32"/>
        </w:rPr>
        <w:fldChar w:fldCharType="separate"/>
      </w:r>
      <w:r>
        <w:rPr>
          <w:rFonts w:hint="default" w:ascii="Times New Roman" w:hAnsi="Times New Roman" w:cs="Times New Roman"/>
          <w:bCs/>
          <w:szCs w:val="32"/>
          <w:lang w:val="en-US" w:eastAsia="zh-CN"/>
        </w:rPr>
        <w:t>8</w:t>
      </w:r>
      <w:r>
        <w:rPr>
          <w:rFonts w:hint="default" w:ascii="Times New Roman" w:hAnsi="Times New Roman" w:cs="Times New Roman"/>
          <w:bCs/>
          <w:szCs w:val="32"/>
        </w:rPr>
        <w:t xml:space="preserve">.1 </w:t>
      </w:r>
      <w:r>
        <w:rPr>
          <w:rFonts w:hint="default" w:ascii="Times New Roman" w:hAnsi="Times New Roman" w:cs="Times New Roman"/>
          <w:bCs/>
          <w:szCs w:val="32"/>
          <w:lang w:eastAsia="zh-CN"/>
        </w:rPr>
        <w:t>安全生产条件分析</w:t>
      </w:r>
      <w:r>
        <w:tab/>
      </w:r>
      <w:r>
        <w:fldChar w:fldCharType="begin"/>
      </w:r>
      <w:r>
        <w:instrText xml:space="preserve"> PAGEREF _Toc26232 \h </w:instrText>
      </w:r>
      <w:r>
        <w:fldChar w:fldCharType="separate"/>
      </w:r>
      <w:r>
        <w:t>164</w:t>
      </w:r>
      <w:r>
        <w:fldChar w:fldCharType="end"/>
      </w:r>
      <w:r>
        <w:rPr>
          <w:color w:val="0070C0"/>
          <w:szCs w:val="32"/>
        </w:rPr>
        <w:fldChar w:fldCharType="end"/>
      </w:r>
    </w:p>
    <w:p>
      <w:pPr>
        <w:pStyle w:val="42"/>
        <w:tabs>
          <w:tab w:val="right" w:leader="dot" w:pos="8306"/>
          <w:tab w:val="clear" w:pos="8296"/>
        </w:tabs>
      </w:pPr>
      <w:r>
        <w:rPr>
          <w:color w:val="0070C0"/>
          <w:szCs w:val="32"/>
        </w:rPr>
        <w:fldChar w:fldCharType="begin"/>
      </w:r>
      <w:r>
        <w:rPr>
          <w:szCs w:val="32"/>
        </w:rPr>
        <w:instrText xml:space="preserve"> HYPERLINK \l _Toc19348 </w:instrText>
      </w:r>
      <w:r>
        <w:rPr>
          <w:szCs w:val="32"/>
        </w:rPr>
        <w:fldChar w:fldCharType="separate"/>
      </w:r>
      <w:r>
        <w:rPr>
          <w:rFonts w:hint="default" w:ascii="Times New Roman" w:hAnsi="Times New Roman" w:cs="Times New Roman"/>
          <w:bCs/>
          <w:szCs w:val="32"/>
          <w:lang w:val="en-US" w:eastAsia="zh-CN"/>
        </w:rPr>
        <w:t>8.2</w:t>
      </w:r>
      <w:r>
        <w:rPr>
          <w:rFonts w:hint="eastAsia" w:ascii="Times New Roman" w:hAnsi="Times New Roman" w:cs="Times New Roman"/>
          <w:bCs/>
          <w:szCs w:val="32"/>
          <w:lang w:val="en-US" w:eastAsia="zh-CN"/>
        </w:rPr>
        <w:t xml:space="preserve"> </w:t>
      </w:r>
      <w:r>
        <w:rPr>
          <w:rFonts w:hint="default" w:ascii="Times New Roman" w:hAnsi="Times New Roman" w:cs="Times New Roman"/>
          <w:bCs/>
          <w:szCs w:val="32"/>
          <w:lang w:val="en-US" w:eastAsia="zh-CN"/>
        </w:rPr>
        <w:t>重大安全风险隐患分析</w:t>
      </w:r>
      <w:r>
        <w:tab/>
      </w:r>
      <w:r>
        <w:fldChar w:fldCharType="begin"/>
      </w:r>
      <w:r>
        <w:instrText xml:space="preserve"> PAGEREF _Toc19348 \h </w:instrText>
      </w:r>
      <w:r>
        <w:fldChar w:fldCharType="separate"/>
      </w:r>
      <w:r>
        <w:t>169</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_Toc22713 </w:instrText>
      </w:r>
      <w:r>
        <w:rPr>
          <w:szCs w:val="32"/>
        </w:rPr>
        <w:fldChar w:fldCharType="separate"/>
      </w:r>
      <w:r>
        <w:rPr>
          <w:rFonts w:hint="eastAsia" w:eastAsia="楷体_GB2312"/>
          <w:szCs w:val="36"/>
          <w:lang w:val="en-US" w:eastAsia="zh-CN"/>
        </w:rPr>
        <w:t>9</w:t>
      </w:r>
      <w:r>
        <w:rPr>
          <w:rFonts w:eastAsia="楷体_GB2312"/>
          <w:szCs w:val="36"/>
        </w:rPr>
        <w:t xml:space="preserve"> </w:t>
      </w:r>
      <w:r>
        <w:rPr>
          <w:rFonts w:hint="eastAsia" w:ascii="宋体" w:hAnsi="宋体" w:eastAsia="宋体" w:cs="宋体"/>
          <w:szCs w:val="36"/>
        </w:rPr>
        <w:t>安全现状评价结论</w:t>
      </w:r>
      <w:r>
        <w:tab/>
      </w:r>
      <w:r>
        <w:fldChar w:fldCharType="begin"/>
      </w:r>
      <w:r>
        <w:instrText xml:space="preserve"> PAGEREF _Toc22713 \h </w:instrText>
      </w:r>
      <w:r>
        <w:fldChar w:fldCharType="separate"/>
      </w:r>
      <w:r>
        <w:t>172</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_Toc141 </w:instrText>
      </w:r>
      <w:r>
        <w:rPr>
          <w:szCs w:val="32"/>
        </w:rPr>
        <w:fldChar w:fldCharType="separate"/>
      </w:r>
      <w:r>
        <w:rPr>
          <w:rFonts w:hint="default" w:ascii="Times New Roman" w:hAnsi="Times New Roman" w:eastAsia="宋体" w:cs="Times New Roman"/>
          <w:bCs/>
          <w:szCs w:val="36"/>
          <w:lang w:val="en-US" w:eastAsia="zh-CN"/>
        </w:rPr>
        <w:t>附件1 营业执照复印件</w:t>
      </w:r>
      <w:r>
        <w:tab/>
      </w:r>
      <w:r>
        <w:fldChar w:fldCharType="begin"/>
      </w:r>
      <w:r>
        <w:instrText xml:space="preserve"> PAGEREF _Toc141 \h </w:instrText>
      </w:r>
      <w:r>
        <w:fldChar w:fldCharType="separate"/>
      </w:r>
      <w:r>
        <w:t>174</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_Toc19765 </w:instrText>
      </w:r>
      <w:r>
        <w:rPr>
          <w:szCs w:val="32"/>
        </w:rPr>
        <w:fldChar w:fldCharType="separate"/>
      </w:r>
      <w:r>
        <w:rPr>
          <w:rFonts w:hint="default" w:ascii="Times New Roman" w:hAnsi="Times New Roman" w:eastAsia="宋体" w:cs="Times New Roman"/>
          <w:bCs/>
          <w:szCs w:val="36"/>
          <w:lang w:val="en-US" w:eastAsia="zh-CN"/>
        </w:rPr>
        <w:t xml:space="preserve">附件2 </w:t>
      </w:r>
      <w:r>
        <w:rPr>
          <w:rFonts w:hint="eastAsia" w:ascii="Times New Roman" w:hAnsi="Times New Roman" w:eastAsia="宋体" w:cs="Times New Roman"/>
          <w:bCs/>
          <w:szCs w:val="36"/>
          <w:lang w:val="en-US" w:eastAsia="zh-CN"/>
        </w:rPr>
        <w:t>热采井注高干度复合气</w:t>
      </w:r>
      <w:r>
        <w:rPr>
          <w:rFonts w:hint="default" w:ascii="Times New Roman" w:hAnsi="Times New Roman" w:eastAsia="宋体" w:cs="Times New Roman"/>
          <w:bCs/>
          <w:szCs w:val="36"/>
          <w:lang w:val="en-US" w:eastAsia="zh-CN"/>
        </w:rPr>
        <w:t>专利证书</w:t>
      </w:r>
      <w:r>
        <w:tab/>
      </w:r>
      <w:r>
        <w:fldChar w:fldCharType="begin"/>
      </w:r>
      <w:r>
        <w:instrText xml:space="preserve"> PAGEREF _Toc19765 \h </w:instrText>
      </w:r>
      <w:r>
        <w:fldChar w:fldCharType="separate"/>
      </w:r>
      <w:r>
        <w:t>175</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_Toc17663 </w:instrText>
      </w:r>
      <w:r>
        <w:rPr>
          <w:szCs w:val="32"/>
        </w:rPr>
        <w:fldChar w:fldCharType="separate"/>
      </w:r>
      <w:r>
        <w:rPr>
          <w:rFonts w:hint="default" w:ascii="Times New Roman" w:hAnsi="Times New Roman" w:eastAsia="宋体" w:cs="Times New Roman"/>
          <w:bCs/>
          <w:szCs w:val="36"/>
          <w:lang w:val="en-US" w:eastAsia="zh-CN"/>
        </w:rPr>
        <w:t>附件</w:t>
      </w:r>
      <w:r>
        <w:rPr>
          <w:rFonts w:hint="eastAsia" w:cs="Times New Roman"/>
          <w:bCs/>
          <w:szCs w:val="36"/>
          <w:lang w:val="en-US" w:eastAsia="zh-CN"/>
        </w:rPr>
        <w:t>3</w:t>
      </w:r>
      <w:r>
        <w:rPr>
          <w:rFonts w:hint="default" w:ascii="Times New Roman" w:hAnsi="Times New Roman" w:eastAsia="宋体" w:cs="Times New Roman"/>
          <w:bCs/>
          <w:szCs w:val="36"/>
          <w:lang w:val="en-US" w:eastAsia="zh-CN"/>
        </w:rPr>
        <w:t xml:space="preserve"> 安全管理机构成立</w:t>
      </w:r>
      <w:r>
        <w:rPr>
          <w:rFonts w:hint="eastAsia" w:cs="Times New Roman"/>
          <w:bCs/>
          <w:szCs w:val="36"/>
          <w:lang w:val="en-US" w:eastAsia="zh-CN"/>
        </w:rPr>
        <w:t>和</w:t>
      </w:r>
      <w:r>
        <w:rPr>
          <w:rFonts w:hint="default" w:ascii="Times New Roman" w:hAnsi="Times New Roman" w:eastAsia="宋体" w:cs="Times New Roman"/>
          <w:bCs/>
          <w:szCs w:val="36"/>
          <w:lang w:val="en-US" w:eastAsia="zh-CN"/>
        </w:rPr>
        <w:t>安全人员配备文件</w:t>
      </w:r>
      <w:r>
        <w:rPr>
          <w:rFonts w:hint="eastAsia" w:cs="Times New Roman"/>
          <w:bCs/>
          <w:szCs w:val="36"/>
          <w:lang w:val="en-US" w:eastAsia="zh-CN"/>
        </w:rPr>
        <w:t>及注册安全工程师证书</w:t>
      </w:r>
      <w:r>
        <w:tab/>
      </w:r>
      <w:r>
        <w:fldChar w:fldCharType="begin"/>
      </w:r>
      <w:r>
        <w:instrText xml:space="preserve"> PAGEREF _Toc17663 \h </w:instrText>
      </w:r>
      <w:r>
        <w:fldChar w:fldCharType="separate"/>
      </w:r>
      <w:r>
        <w:t>180</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_Toc1485 </w:instrText>
      </w:r>
      <w:r>
        <w:rPr>
          <w:szCs w:val="32"/>
        </w:rPr>
        <w:fldChar w:fldCharType="separate"/>
      </w:r>
      <w:r>
        <w:rPr>
          <w:rFonts w:hint="default" w:ascii="Times New Roman" w:hAnsi="Times New Roman" w:eastAsia="宋体" w:cs="Times New Roman"/>
          <w:bCs/>
          <w:szCs w:val="36"/>
          <w:lang w:val="en-US" w:eastAsia="zh-CN"/>
        </w:rPr>
        <w:t>附件</w:t>
      </w:r>
      <w:r>
        <w:rPr>
          <w:rFonts w:hint="eastAsia" w:cs="Times New Roman"/>
          <w:bCs/>
          <w:szCs w:val="36"/>
          <w:lang w:val="en-US" w:eastAsia="zh-CN"/>
        </w:rPr>
        <w:t>4</w:t>
      </w:r>
      <w:r>
        <w:rPr>
          <w:rFonts w:hint="default" w:ascii="Times New Roman" w:hAnsi="Times New Roman" w:eastAsia="宋体" w:cs="Times New Roman"/>
          <w:bCs/>
          <w:szCs w:val="36"/>
          <w:lang w:val="en-US" w:eastAsia="zh-CN"/>
        </w:rPr>
        <w:t xml:space="preserve"> 主要负责人、安全管理人员合格证</w:t>
      </w:r>
      <w:r>
        <w:tab/>
      </w:r>
      <w:r>
        <w:fldChar w:fldCharType="begin"/>
      </w:r>
      <w:r>
        <w:instrText xml:space="preserve"> PAGEREF _Toc1485 \h </w:instrText>
      </w:r>
      <w:r>
        <w:fldChar w:fldCharType="separate"/>
      </w:r>
      <w:r>
        <w:t>183</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_Toc18066 </w:instrText>
      </w:r>
      <w:r>
        <w:rPr>
          <w:szCs w:val="32"/>
        </w:rPr>
        <w:fldChar w:fldCharType="separate"/>
      </w:r>
      <w:r>
        <w:rPr>
          <w:rFonts w:hint="default" w:ascii="Times New Roman" w:hAnsi="Times New Roman" w:eastAsia="宋体" w:cs="Times New Roman"/>
          <w:bCs/>
          <w:szCs w:val="36"/>
          <w:lang w:val="en-US" w:eastAsia="zh-CN"/>
        </w:rPr>
        <w:t>附件</w:t>
      </w:r>
      <w:r>
        <w:rPr>
          <w:rFonts w:hint="eastAsia" w:cs="Times New Roman"/>
          <w:bCs/>
          <w:szCs w:val="36"/>
          <w:lang w:val="en-US" w:eastAsia="zh-CN"/>
        </w:rPr>
        <w:t>5</w:t>
      </w:r>
      <w:r>
        <w:rPr>
          <w:rFonts w:hint="default" w:ascii="Times New Roman" w:hAnsi="Times New Roman" w:eastAsia="宋体" w:cs="Times New Roman"/>
          <w:bCs/>
          <w:szCs w:val="36"/>
          <w:lang w:val="en-US" w:eastAsia="zh-CN"/>
        </w:rPr>
        <w:t xml:space="preserve"> </w:t>
      </w:r>
      <w:r>
        <w:rPr>
          <w:rFonts w:hint="eastAsia" w:cs="Times New Roman"/>
          <w:bCs/>
          <w:szCs w:val="36"/>
          <w:lang w:val="en-US" w:eastAsia="zh-CN"/>
        </w:rPr>
        <w:t>特种设备作业</w:t>
      </w:r>
      <w:r>
        <w:rPr>
          <w:rFonts w:hint="default" w:ascii="Times New Roman" w:hAnsi="Times New Roman" w:eastAsia="宋体" w:cs="Times New Roman"/>
          <w:bCs/>
          <w:szCs w:val="36"/>
          <w:lang w:val="en-US" w:eastAsia="zh-CN"/>
        </w:rPr>
        <w:t>人员台账及证书（部分）</w:t>
      </w:r>
      <w:r>
        <w:tab/>
      </w:r>
      <w:r>
        <w:fldChar w:fldCharType="begin"/>
      </w:r>
      <w:r>
        <w:instrText xml:space="preserve"> PAGEREF _Toc18066 \h </w:instrText>
      </w:r>
      <w:r>
        <w:fldChar w:fldCharType="separate"/>
      </w:r>
      <w:r>
        <w:t>187</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_Toc18342 </w:instrText>
      </w:r>
      <w:r>
        <w:rPr>
          <w:szCs w:val="32"/>
        </w:rPr>
        <w:fldChar w:fldCharType="separate"/>
      </w:r>
      <w:r>
        <w:rPr>
          <w:rFonts w:hint="default" w:ascii="Times New Roman" w:hAnsi="Times New Roman" w:eastAsia="宋体" w:cs="Times New Roman"/>
          <w:bCs/>
          <w:szCs w:val="36"/>
        </w:rPr>
        <w:t>附件</w:t>
      </w:r>
      <w:r>
        <w:rPr>
          <w:rFonts w:hint="eastAsia" w:cs="Times New Roman"/>
          <w:bCs/>
          <w:szCs w:val="36"/>
          <w:lang w:val="en-US" w:eastAsia="zh-CN"/>
        </w:rPr>
        <w:t>6</w:t>
      </w:r>
      <w:r>
        <w:rPr>
          <w:rFonts w:hint="default" w:ascii="Times New Roman" w:hAnsi="Times New Roman" w:eastAsia="宋体" w:cs="Times New Roman"/>
          <w:bCs/>
          <w:szCs w:val="36"/>
          <w:lang w:val="en-US" w:eastAsia="zh-CN"/>
        </w:rPr>
        <w:t xml:space="preserve"> 三证台账及部分证书复印件</w:t>
      </w:r>
      <w:r>
        <w:tab/>
      </w:r>
      <w:r>
        <w:fldChar w:fldCharType="begin"/>
      </w:r>
      <w:r>
        <w:instrText xml:space="preserve"> PAGEREF _Toc18342 \h </w:instrText>
      </w:r>
      <w:r>
        <w:fldChar w:fldCharType="separate"/>
      </w:r>
      <w:r>
        <w:t>193</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_Toc21357 </w:instrText>
      </w:r>
      <w:r>
        <w:rPr>
          <w:szCs w:val="32"/>
        </w:rPr>
        <w:fldChar w:fldCharType="separate"/>
      </w:r>
      <w:r>
        <w:rPr>
          <w:rFonts w:hint="default" w:ascii="Times New Roman" w:hAnsi="Times New Roman" w:eastAsia="宋体" w:cs="Times New Roman"/>
          <w:bCs/>
          <w:szCs w:val="36"/>
          <w:lang w:val="en-US" w:eastAsia="zh-CN"/>
        </w:rPr>
        <w:t>附件</w:t>
      </w:r>
      <w:r>
        <w:rPr>
          <w:rFonts w:hint="eastAsia" w:cs="Times New Roman"/>
          <w:bCs/>
          <w:szCs w:val="36"/>
          <w:lang w:val="en-US" w:eastAsia="zh-CN"/>
        </w:rPr>
        <w:t>7</w:t>
      </w:r>
      <w:r>
        <w:rPr>
          <w:rFonts w:hint="default" w:ascii="Times New Roman" w:hAnsi="Times New Roman" w:eastAsia="宋体" w:cs="Times New Roman"/>
          <w:bCs/>
          <w:szCs w:val="36"/>
          <w:lang w:val="en-US" w:eastAsia="zh-CN"/>
        </w:rPr>
        <w:t xml:space="preserve"> 单位工伤保险参保证明</w:t>
      </w:r>
      <w:r>
        <w:tab/>
      </w:r>
      <w:r>
        <w:fldChar w:fldCharType="begin"/>
      </w:r>
      <w:r>
        <w:instrText xml:space="preserve"> PAGEREF _Toc21357 \h </w:instrText>
      </w:r>
      <w:r>
        <w:fldChar w:fldCharType="separate"/>
      </w:r>
      <w:r>
        <w:t>203</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_Toc14209 </w:instrText>
      </w:r>
      <w:r>
        <w:rPr>
          <w:szCs w:val="32"/>
        </w:rPr>
        <w:fldChar w:fldCharType="separate"/>
      </w:r>
      <w:r>
        <w:rPr>
          <w:rFonts w:hint="default" w:ascii="Times New Roman" w:hAnsi="Times New Roman" w:eastAsia="宋体" w:cs="Times New Roman"/>
          <w:bCs/>
          <w:szCs w:val="36"/>
        </w:rPr>
        <w:t>附件</w:t>
      </w:r>
      <w:r>
        <w:rPr>
          <w:rFonts w:hint="eastAsia" w:cs="Times New Roman"/>
          <w:bCs/>
          <w:szCs w:val="36"/>
          <w:lang w:val="en-US" w:eastAsia="zh-CN"/>
        </w:rPr>
        <w:t>8</w:t>
      </w:r>
      <w:r>
        <w:rPr>
          <w:rFonts w:hint="default" w:ascii="Times New Roman" w:hAnsi="Times New Roman" w:eastAsia="宋体" w:cs="Times New Roman"/>
          <w:bCs/>
          <w:szCs w:val="36"/>
          <w:lang w:val="en-US" w:eastAsia="zh-CN"/>
        </w:rPr>
        <w:t xml:space="preserve"> </w:t>
      </w:r>
      <w:r>
        <w:rPr>
          <w:rFonts w:hint="default" w:ascii="Times New Roman" w:hAnsi="Times New Roman" w:eastAsia="宋体" w:cs="Times New Roman"/>
          <w:bCs/>
          <w:szCs w:val="36"/>
        </w:rPr>
        <w:t>安全生产责任保险的有关证明</w:t>
      </w:r>
      <w:r>
        <w:tab/>
      </w:r>
      <w:r>
        <w:fldChar w:fldCharType="begin"/>
      </w:r>
      <w:r>
        <w:instrText xml:space="preserve"> PAGEREF _Toc14209 \h </w:instrText>
      </w:r>
      <w:r>
        <w:fldChar w:fldCharType="separate"/>
      </w:r>
      <w:r>
        <w:t>205</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_Toc6075 </w:instrText>
      </w:r>
      <w:r>
        <w:rPr>
          <w:szCs w:val="32"/>
        </w:rPr>
        <w:fldChar w:fldCharType="separate"/>
      </w:r>
      <w:r>
        <w:rPr>
          <w:rFonts w:hint="default" w:ascii="Times New Roman" w:hAnsi="Times New Roman" w:eastAsia="宋体" w:cs="Times New Roman"/>
          <w:bCs/>
          <w:szCs w:val="36"/>
        </w:rPr>
        <w:t>附件</w:t>
      </w:r>
      <w:r>
        <w:rPr>
          <w:rFonts w:hint="eastAsia" w:cs="Times New Roman"/>
          <w:bCs/>
          <w:szCs w:val="36"/>
          <w:lang w:val="en-US" w:eastAsia="zh-CN"/>
        </w:rPr>
        <w:t>9</w:t>
      </w:r>
      <w:r>
        <w:rPr>
          <w:rFonts w:hint="default" w:ascii="Times New Roman" w:hAnsi="Times New Roman" w:eastAsia="宋体" w:cs="Times New Roman"/>
          <w:bCs/>
          <w:szCs w:val="36"/>
          <w:lang w:val="en-US" w:eastAsia="zh-CN"/>
        </w:rPr>
        <w:t xml:space="preserve"> </w:t>
      </w:r>
      <w:r>
        <w:rPr>
          <w:rFonts w:hint="default" w:ascii="Times New Roman" w:hAnsi="Times New Roman" w:eastAsia="宋体" w:cs="Times New Roman"/>
          <w:bCs/>
          <w:szCs w:val="36"/>
        </w:rPr>
        <w:t>生产安全事故应急预案备案登记表</w:t>
      </w:r>
      <w:r>
        <w:rPr>
          <w:rFonts w:hint="eastAsia" w:cs="Times New Roman"/>
          <w:bCs/>
          <w:szCs w:val="36"/>
          <w:lang w:val="en-US" w:eastAsia="zh-CN"/>
        </w:rPr>
        <w:t>及封面目录页</w:t>
      </w:r>
      <w:r>
        <w:tab/>
      </w:r>
      <w:r>
        <w:fldChar w:fldCharType="begin"/>
      </w:r>
      <w:r>
        <w:instrText xml:space="preserve"> PAGEREF _Toc6075 \h </w:instrText>
      </w:r>
      <w:r>
        <w:fldChar w:fldCharType="separate"/>
      </w:r>
      <w:r>
        <w:t>212</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_Toc10653 </w:instrText>
      </w:r>
      <w:r>
        <w:rPr>
          <w:szCs w:val="32"/>
        </w:rPr>
        <w:fldChar w:fldCharType="separate"/>
      </w:r>
      <w:r>
        <w:rPr>
          <w:rFonts w:hint="default" w:ascii="Times New Roman" w:hAnsi="Times New Roman" w:eastAsia="宋体" w:cs="Times New Roman"/>
          <w:bCs/>
          <w:szCs w:val="36"/>
          <w:lang w:val="en-US" w:eastAsia="zh-CN" w:bidi="ar-SA"/>
        </w:rPr>
        <w:t>附件</w:t>
      </w:r>
      <w:r>
        <w:rPr>
          <w:rFonts w:hint="default" w:ascii="Times New Roman" w:hAnsi="Times New Roman" w:cs="Times New Roman"/>
          <w:bCs/>
          <w:szCs w:val="36"/>
          <w:lang w:val="en-US" w:eastAsia="zh-CN" w:bidi="ar-SA"/>
        </w:rPr>
        <w:t>1</w:t>
      </w:r>
      <w:r>
        <w:rPr>
          <w:rFonts w:hint="eastAsia" w:cs="Times New Roman"/>
          <w:bCs/>
          <w:szCs w:val="36"/>
          <w:lang w:val="en-US" w:eastAsia="zh-CN" w:bidi="ar-SA"/>
        </w:rPr>
        <w:t>0</w:t>
      </w:r>
      <w:r>
        <w:rPr>
          <w:rFonts w:hint="eastAsia" w:ascii="宋体" w:hAnsi="宋体" w:cs="宋体"/>
          <w:bCs/>
          <w:szCs w:val="36"/>
          <w:lang w:val="en-US" w:eastAsia="zh-CN" w:bidi="ar-SA"/>
        </w:rPr>
        <w:t xml:space="preserve"> </w:t>
      </w:r>
      <w:r>
        <w:rPr>
          <w:rFonts w:hint="eastAsia" w:ascii="宋体" w:hAnsi="宋体" w:eastAsia="宋体" w:cs="宋体"/>
          <w:bCs/>
          <w:szCs w:val="36"/>
          <w:lang w:val="en-US" w:eastAsia="zh-CN" w:bidi="ar-SA"/>
        </w:rPr>
        <w:t>应急救援</w:t>
      </w:r>
      <w:r>
        <w:rPr>
          <w:rFonts w:hint="eastAsia" w:ascii="宋体" w:hAnsi="宋体" w:cs="宋体"/>
          <w:bCs/>
          <w:szCs w:val="36"/>
          <w:lang w:val="en-US" w:eastAsia="zh-CN" w:bidi="ar-SA"/>
        </w:rPr>
        <w:t>组织</w:t>
      </w:r>
      <w:r>
        <w:rPr>
          <w:rFonts w:hint="eastAsia" w:ascii="宋体" w:hAnsi="宋体" w:eastAsia="宋体" w:cs="宋体"/>
          <w:bCs/>
          <w:szCs w:val="36"/>
          <w:lang w:val="en-US" w:eastAsia="zh-CN" w:bidi="ar-SA"/>
        </w:rPr>
        <w:t>成立文件</w:t>
      </w:r>
      <w:r>
        <w:tab/>
      </w:r>
      <w:r>
        <w:fldChar w:fldCharType="begin"/>
      </w:r>
      <w:r>
        <w:instrText xml:space="preserve"> PAGEREF _Toc10653 \h </w:instrText>
      </w:r>
      <w:r>
        <w:fldChar w:fldCharType="separate"/>
      </w:r>
      <w:r>
        <w:t>217</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_Toc5237 </w:instrText>
      </w:r>
      <w:r>
        <w:rPr>
          <w:szCs w:val="32"/>
        </w:rPr>
        <w:fldChar w:fldCharType="separate"/>
      </w:r>
      <w:r>
        <w:rPr>
          <w:rFonts w:hint="default" w:ascii="Times New Roman" w:hAnsi="Times New Roman" w:eastAsia="宋体" w:cs="Times New Roman"/>
          <w:bCs/>
          <w:szCs w:val="36"/>
          <w:highlight w:val="none"/>
          <w:lang w:val="en-US" w:eastAsia="zh-CN" w:bidi="ar-SA"/>
        </w:rPr>
        <w:t>附件</w:t>
      </w:r>
      <w:r>
        <w:rPr>
          <w:rFonts w:hint="default" w:ascii="Times New Roman" w:hAnsi="Times New Roman" w:cs="Times New Roman"/>
          <w:bCs/>
          <w:szCs w:val="36"/>
          <w:highlight w:val="none"/>
          <w:lang w:val="en-US" w:eastAsia="zh-CN" w:bidi="ar-SA"/>
        </w:rPr>
        <w:t>1</w:t>
      </w:r>
      <w:r>
        <w:rPr>
          <w:rFonts w:hint="eastAsia" w:cs="Times New Roman"/>
          <w:bCs/>
          <w:szCs w:val="36"/>
          <w:highlight w:val="none"/>
          <w:lang w:val="en-US" w:eastAsia="zh-CN" w:bidi="ar-SA"/>
        </w:rPr>
        <w:t>1</w:t>
      </w:r>
      <w:r>
        <w:rPr>
          <w:rFonts w:hint="default" w:ascii="Times New Roman" w:hAnsi="Times New Roman" w:eastAsia="宋体" w:cs="Times New Roman"/>
          <w:bCs/>
          <w:szCs w:val="36"/>
          <w:highlight w:val="none"/>
          <w:lang w:val="en-US" w:eastAsia="zh-CN" w:bidi="ar-SA"/>
        </w:rPr>
        <w:t xml:space="preserve"> </w:t>
      </w:r>
      <w:r>
        <w:rPr>
          <w:rFonts w:hint="eastAsia" w:cs="Times New Roman"/>
          <w:bCs/>
          <w:szCs w:val="36"/>
          <w:highlight w:val="none"/>
          <w:lang w:val="en-US" w:eastAsia="zh-CN" w:bidi="ar-SA"/>
        </w:rPr>
        <w:t>2022年生产安全事故应急演练计划调整文件、应急演练计划及演练记录</w:t>
      </w:r>
      <w:r>
        <w:tab/>
      </w:r>
      <w:r>
        <w:fldChar w:fldCharType="begin"/>
      </w:r>
      <w:r>
        <w:instrText xml:space="preserve"> PAGEREF _Toc5237 \h </w:instrText>
      </w:r>
      <w:r>
        <w:fldChar w:fldCharType="separate"/>
      </w:r>
      <w:r>
        <w:t>221</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_Toc2529 </w:instrText>
      </w:r>
      <w:r>
        <w:rPr>
          <w:szCs w:val="32"/>
        </w:rPr>
        <w:fldChar w:fldCharType="separate"/>
      </w:r>
      <w:r>
        <w:rPr>
          <w:rFonts w:hint="default" w:ascii="Times New Roman" w:hAnsi="Times New Roman" w:eastAsia="宋体" w:cs="Times New Roman"/>
          <w:bCs/>
          <w:szCs w:val="36"/>
        </w:rPr>
        <w:t>附件</w:t>
      </w:r>
      <w:r>
        <w:rPr>
          <w:rFonts w:hint="default" w:ascii="Times New Roman" w:hAnsi="Times New Roman" w:eastAsia="宋体" w:cs="Times New Roman"/>
          <w:bCs/>
          <w:szCs w:val="36"/>
          <w:lang w:val="en-US" w:eastAsia="zh-CN"/>
        </w:rPr>
        <w:t>1</w:t>
      </w:r>
      <w:r>
        <w:rPr>
          <w:rFonts w:hint="eastAsia" w:cs="Times New Roman"/>
          <w:bCs/>
          <w:szCs w:val="36"/>
          <w:lang w:val="en-US" w:eastAsia="zh-CN"/>
        </w:rPr>
        <w:t>2</w:t>
      </w:r>
      <w:r>
        <w:rPr>
          <w:rFonts w:hint="default" w:ascii="Times New Roman" w:hAnsi="Times New Roman" w:eastAsia="宋体" w:cs="Times New Roman"/>
          <w:bCs/>
          <w:szCs w:val="36"/>
          <w:lang w:val="en-US" w:eastAsia="zh-CN"/>
        </w:rPr>
        <w:t xml:space="preserve"> </w:t>
      </w:r>
      <w:r>
        <w:rPr>
          <w:rFonts w:hint="default" w:ascii="Times New Roman" w:hAnsi="Times New Roman" w:eastAsia="宋体" w:cs="Times New Roman"/>
          <w:bCs/>
          <w:szCs w:val="36"/>
          <w:lang w:eastAsia="zh-CN"/>
        </w:rPr>
        <w:t>应急救援协议</w:t>
      </w:r>
      <w:r>
        <w:tab/>
      </w:r>
      <w:r>
        <w:fldChar w:fldCharType="begin"/>
      </w:r>
      <w:r>
        <w:instrText xml:space="preserve"> PAGEREF _Toc2529 \h </w:instrText>
      </w:r>
      <w:r>
        <w:fldChar w:fldCharType="separate"/>
      </w:r>
      <w:r>
        <w:t>229</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_Toc374 </w:instrText>
      </w:r>
      <w:r>
        <w:rPr>
          <w:szCs w:val="32"/>
        </w:rPr>
        <w:fldChar w:fldCharType="separate"/>
      </w:r>
      <w:r>
        <w:rPr>
          <w:rFonts w:hint="default" w:ascii="Times New Roman" w:hAnsi="Times New Roman" w:eastAsia="宋体" w:cs="Times New Roman"/>
          <w:bCs/>
          <w:szCs w:val="36"/>
        </w:rPr>
        <w:t>附件</w:t>
      </w:r>
      <w:r>
        <w:rPr>
          <w:rFonts w:hint="default" w:ascii="Times New Roman" w:hAnsi="Times New Roman" w:eastAsia="宋体" w:cs="Times New Roman"/>
          <w:bCs/>
          <w:szCs w:val="36"/>
          <w:lang w:val="en-US" w:eastAsia="zh-CN"/>
        </w:rPr>
        <w:t>1</w:t>
      </w:r>
      <w:r>
        <w:rPr>
          <w:rFonts w:hint="eastAsia" w:cs="Times New Roman"/>
          <w:bCs/>
          <w:szCs w:val="36"/>
          <w:lang w:val="en-US" w:eastAsia="zh-CN"/>
        </w:rPr>
        <w:t>3</w:t>
      </w:r>
      <w:r>
        <w:rPr>
          <w:rFonts w:hint="default" w:ascii="Times New Roman" w:hAnsi="Times New Roman" w:eastAsia="宋体" w:cs="Times New Roman"/>
          <w:bCs/>
          <w:szCs w:val="36"/>
          <w:lang w:val="en-US" w:eastAsia="zh-CN"/>
        </w:rPr>
        <w:t xml:space="preserve"> </w:t>
      </w:r>
      <w:r>
        <w:rPr>
          <w:rFonts w:hint="default" w:ascii="Times New Roman" w:hAnsi="Times New Roman" w:eastAsia="宋体" w:cs="Times New Roman"/>
          <w:bCs/>
          <w:szCs w:val="36"/>
          <w:lang w:eastAsia="zh-CN"/>
        </w:rPr>
        <w:t>特种设备</w:t>
      </w:r>
      <w:r>
        <w:rPr>
          <w:rFonts w:hint="default" w:ascii="Times New Roman" w:hAnsi="Times New Roman" w:eastAsia="宋体" w:cs="Times New Roman"/>
          <w:bCs/>
          <w:szCs w:val="36"/>
          <w:lang w:val="en-US" w:eastAsia="zh-CN"/>
        </w:rPr>
        <w:t>检验检测台账及</w:t>
      </w:r>
      <w:r>
        <w:rPr>
          <w:rFonts w:hint="default" w:ascii="Times New Roman" w:hAnsi="Times New Roman" w:eastAsia="宋体" w:cs="Times New Roman"/>
          <w:bCs/>
          <w:szCs w:val="36"/>
          <w:lang w:eastAsia="zh-CN"/>
        </w:rPr>
        <w:t>登记证、使用标志</w:t>
      </w:r>
      <w:r>
        <w:rPr>
          <w:rFonts w:hint="default" w:ascii="Times New Roman" w:hAnsi="Times New Roman" w:eastAsia="宋体" w:cs="Times New Roman"/>
          <w:bCs/>
          <w:szCs w:val="36"/>
          <w:lang w:val="en-US" w:eastAsia="zh-CN"/>
        </w:rPr>
        <w:t>、和部分</w:t>
      </w:r>
      <w:r>
        <w:rPr>
          <w:rFonts w:hint="default" w:ascii="Times New Roman" w:hAnsi="Times New Roman" w:eastAsia="宋体" w:cs="Times New Roman"/>
          <w:bCs/>
          <w:szCs w:val="36"/>
          <w:lang w:eastAsia="zh-CN"/>
        </w:rPr>
        <w:t>检测报告</w:t>
      </w:r>
      <w:r>
        <w:tab/>
      </w:r>
      <w:r>
        <w:fldChar w:fldCharType="begin"/>
      </w:r>
      <w:r>
        <w:instrText xml:space="preserve"> PAGEREF _Toc374 \h </w:instrText>
      </w:r>
      <w:r>
        <w:fldChar w:fldCharType="separate"/>
      </w:r>
      <w:r>
        <w:t>232</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_Toc26143 </w:instrText>
      </w:r>
      <w:r>
        <w:rPr>
          <w:szCs w:val="32"/>
        </w:rPr>
        <w:fldChar w:fldCharType="separate"/>
      </w:r>
      <w:r>
        <w:rPr>
          <w:rFonts w:hint="default" w:ascii="Times New Roman" w:hAnsi="Times New Roman" w:eastAsia="宋体" w:cs="Times New Roman"/>
          <w:bCs/>
          <w:szCs w:val="36"/>
          <w:lang w:val="en-US" w:eastAsia="zh-CN"/>
        </w:rPr>
        <w:t>附件1</w:t>
      </w:r>
      <w:r>
        <w:rPr>
          <w:rFonts w:hint="eastAsia" w:cs="Times New Roman"/>
          <w:bCs/>
          <w:szCs w:val="36"/>
          <w:lang w:val="en-US" w:eastAsia="zh-CN"/>
        </w:rPr>
        <w:t>4</w:t>
      </w:r>
      <w:r>
        <w:rPr>
          <w:rFonts w:hint="default" w:ascii="Times New Roman" w:hAnsi="Times New Roman" w:eastAsia="宋体" w:cs="Times New Roman"/>
          <w:bCs/>
          <w:szCs w:val="36"/>
          <w:lang w:val="en-US" w:eastAsia="zh-CN"/>
        </w:rPr>
        <w:t xml:space="preserve"> </w:t>
      </w:r>
      <w:r>
        <w:rPr>
          <w:rFonts w:hint="default" w:ascii="Times New Roman" w:hAnsi="Times New Roman" w:eastAsia="宋体" w:cs="Times New Roman"/>
          <w:bCs/>
          <w:szCs w:val="36"/>
          <w:lang w:eastAsia="zh-CN"/>
        </w:rPr>
        <w:t>压力表、安全阀、</w:t>
      </w:r>
      <w:r>
        <w:rPr>
          <w:rFonts w:hint="default" w:ascii="Times New Roman" w:hAnsi="Times New Roman" w:eastAsia="宋体" w:cs="Times New Roman"/>
          <w:bCs/>
          <w:szCs w:val="36"/>
          <w:lang w:val="en-US" w:eastAsia="zh-CN"/>
        </w:rPr>
        <w:t>注汽管线等检验检测台账及部分检测报告</w:t>
      </w:r>
      <w:r>
        <w:tab/>
      </w:r>
      <w:r>
        <w:fldChar w:fldCharType="begin"/>
      </w:r>
      <w:r>
        <w:instrText xml:space="preserve"> PAGEREF _Toc26143 \h </w:instrText>
      </w:r>
      <w:r>
        <w:fldChar w:fldCharType="separate"/>
      </w:r>
      <w:r>
        <w:t>252</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_Toc7450 </w:instrText>
      </w:r>
      <w:r>
        <w:rPr>
          <w:szCs w:val="32"/>
        </w:rPr>
        <w:fldChar w:fldCharType="separate"/>
      </w:r>
      <w:r>
        <w:rPr>
          <w:rFonts w:hint="default" w:ascii="Times New Roman" w:hAnsi="Times New Roman" w:eastAsia="宋体" w:cs="Times New Roman"/>
          <w:bCs/>
          <w:szCs w:val="36"/>
          <w:lang w:val="en-US" w:eastAsia="zh-CN"/>
        </w:rPr>
        <w:t>附件1</w:t>
      </w:r>
      <w:r>
        <w:rPr>
          <w:rFonts w:hint="eastAsia" w:cs="Times New Roman"/>
          <w:bCs/>
          <w:szCs w:val="36"/>
          <w:lang w:val="en-US" w:eastAsia="zh-CN"/>
        </w:rPr>
        <w:t>5</w:t>
      </w:r>
      <w:r>
        <w:rPr>
          <w:rFonts w:hint="default" w:ascii="Times New Roman" w:hAnsi="Times New Roman" w:eastAsia="宋体" w:cs="Times New Roman"/>
          <w:bCs/>
          <w:szCs w:val="36"/>
        </w:rPr>
        <w:t>自给开路式压缩空气呼吸器、</w:t>
      </w:r>
      <w:r>
        <w:rPr>
          <w:rFonts w:hint="default" w:ascii="Times New Roman" w:hAnsi="Times New Roman" w:eastAsia="宋体" w:cs="Times New Roman"/>
          <w:bCs/>
          <w:szCs w:val="36"/>
          <w:lang w:val="en-US" w:eastAsia="zh-CN"/>
        </w:rPr>
        <w:t>气瓶、</w:t>
      </w:r>
      <w:r>
        <w:rPr>
          <w:rFonts w:hint="default" w:ascii="Times New Roman" w:hAnsi="Times New Roman" w:eastAsia="宋体" w:cs="Times New Roman"/>
          <w:bCs/>
          <w:szCs w:val="36"/>
        </w:rPr>
        <w:t>气体检测报警仪检验检测台账及部分检测报告</w:t>
      </w:r>
      <w:r>
        <w:tab/>
      </w:r>
      <w:r>
        <w:fldChar w:fldCharType="begin"/>
      </w:r>
      <w:r>
        <w:instrText xml:space="preserve"> PAGEREF _Toc7450 \h </w:instrText>
      </w:r>
      <w:r>
        <w:fldChar w:fldCharType="separate"/>
      </w:r>
      <w:r>
        <w:t>290</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_Toc13235 </w:instrText>
      </w:r>
      <w:r>
        <w:rPr>
          <w:szCs w:val="32"/>
        </w:rPr>
        <w:fldChar w:fldCharType="separate"/>
      </w:r>
      <w:r>
        <w:rPr>
          <w:rFonts w:hint="default" w:ascii="Times New Roman" w:hAnsi="Times New Roman" w:eastAsia="宋体" w:cs="Times New Roman"/>
          <w:bCs/>
          <w:szCs w:val="36"/>
          <w:lang w:val="en-US" w:eastAsia="zh-CN"/>
        </w:rPr>
        <w:t>附件1</w:t>
      </w:r>
      <w:r>
        <w:rPr>
          <w:rFonts w:hint="eastAsia" w:cs="Times New Roman"/>
          <w:bCs/>
          <w:szCs w:val="36"/>
          <w:lang w:val="en-US" w:eastAsia="zh-CN"/>
        </w:rPr>
        <w:t>6</w:t>
      </w:r>
      <w:r>
        <w:rPr>
          <w:rFonts w:hint="default" w:ascii="Times New Roman" w:hAnsi="Times New Roman" w:eastAsia="宋体" w:cs="Times New Roman"/>
          <w:bCs/>
          <w:szCs w:val="36"/>
          <w:lang w:val="en-US" w:eastAsia="zh-CN"/>
        </w:rPr>
        <w:t xml:space="preserve"> 绝缘手套、绝缘</w:t>
      </w:r>
      <w:r>
        <w:rPr>
          <w:rFonts w:hint="eastAsia" w:cs="Times New Roman"/>
          <w:bCs/>
          <w:szCs w:val="36"/>
          <w:lang w:val="en-US" w:eastAsia="zh-CN"/>
        </w:rPr>
        <w:t>鞋</w:t>
      </w:r>
      <w:r>
        <w:rPr>
          <w:rFonts w:hint="default" w:ascii="Times New Roman" w:hAnsi="Times New Roman" w:eastAsia="宋体" w:cs="Times New Roman"/>
          <w:bCs/>
          <w:szCs w:val="36"/>
          <w:lang w:val="en-US" w:eastAsia="zh-CN"/>
        </w:rPr>
        <w:t>检验检测台账及部分检测报告</w:t>
      </w:r>
      <w:r>
        <w:tab/>
      </w:r>
      <w:r>
        <w:fldChar w:fldCharType="begin"/>
      </w:r>
      <w:r>
        <w:instrText xml:space="preserve"> PAGEREF _Toc13235 \h </w:instrText>
      </w:r>
      <w:r>
        <w:fldChar w:fldCharType="separate"/>
      </w:r>
      <w:r>
        <w:t>313</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_Toc15871 </w:instrText>
      </w:r>
      <w:r>
        <w:rPr>
          <w:szCs w:val="32"/>
        </w:rPr>
        <w:fldChar w:fldCharType="separate"/>
      </w:r>
      <w:r>
        <w:rPr>
          <w:rFonts w:hint="default" w:ascii="Times New Roman" w:hAnsi="Times New Roman" w:eastAsia="宋体" w:cs="Times New Roman"/>
          <w:bCs/>
          <w:szCs w:val="36"/>
          <w:lang w:val="en-US" w:eastAsia="zh-CN"/>
        </w:rPr>
        <w:t>附件1</w:t>
      </w:r>
      <w:r>
        <w:rPr>
          <w:rFonts w:hint="eastAsia" w:cs="Times New Roman"/>
          <w:bCs/>
          <w:szCs w:val="36"/>
          <w:lang w:val="en-US" w:eastAsia="zh-CN"/>
        </w:rPr>
        <w:t>7</w:t>
      </w:r>
      <w:r>
        <w:rPr>
          <w:rFonts w:hint="default" w:ascii="Times New Roman" w:hAnsi="Times New Roman" w:eastAsia="宋体" w:cs="Times New Roman"/>
          <w:bCs/>
          <w:szCs w:val="36"/>
          <w:lang w:val="en-US" w:eastAsia="zh-CN"/>
        </w:rPr>
        <w:t xml:space="preserve"> </w:t>
      </w:r>
      <w:r>
        <w:rPr>
          <w:rFonts w:hint="default" w:ascii="Times New Roman" w:hAnsi="Times New Roman" w:eastAsia="宋体" w:cs="Times New Roman"/>
          <w:bCs/>
          <w:szCs w:val="36"/>
        </w:rPr>
        <w:t>安全生产费用提取计划及使用证明材料</w:t>
      </w:r>
      <w:r>
        <w:tab/>
      </w:r>
      <w:r>
        <w:fldChar w:fldCharType="begin"/>
      </w:r>
      <w:r>
        <w:instrText xml:space="preserve"> PAGEREF _Toc15871 \h </w:instrText>
      </w:r>
      <w:r>
        <w:fldChar w:fldCharType="separate"/>
      </w:r>
      <w:r>
        <w:t>318</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_Toc29381 </w:instrText>
      </w:r>
      <w:r>
        <w:rPr>
          <w:szCs w:val="32"/>
        </w:rPr>
        <w:fldChar w:fldCharType="separate"/>
      </w:r>
      <w:r>
        <w:rPr>
          <w:rFonts w:hint="default" w:ascii="Times New Roman" w:hAnsi="Times New Roman" w:eastAsia="宋体" w:cs="Times New Roman"/>
          <w:bCs/>
          <w:szCs w:val="36"/>
          <w:lang w:val="en-US" w:eastAsia="zh-CN"/>
        </w:rPr>
        <w:t>附件1</w:t>
      </w:r>
      <w:r>
        <w:rPr>
          <w:rFonts w:hint="eastAsia" w:cs="Times New Roman"/>
          <w:bCs/>
          <w:szCs w:val="36"/>
          <w:lang w:val="en-US" w:eastAsia="zh-CN"/>
        </w:rPr>
        <w:t>8</w:t>
      </w:r>
      <w:r>
        <w:rPr>
          <w:rFonts w:hint="default" w:ascii="Times New Roman" w:hAnsi="Times New Roman" w:eastAsia="宋体" w:cs="Times New Roman"/>
          <w:bCs/>
          <w:szCs w:val="36"/>
          <w:lang w:val="en-US" w:eastAsia="zh-CN"/>
        </w:rPr>
        <w:t xml:space="preserve"> 安全教育培训计划及相关资料</w:t>
      </w:r>
      <w:r>
        <w:tab/>
      </w:r>
      <w:r>
        <w:fldChar w:fldCharType="begin"/>
      </w:r>
      <w:r>
        <w:instrText xml:space="preserve"> PAGEREF _Toc29381 \h </w:instrText>
      </w:r>
      <w:r>
        <w:fldChar w:fldCharType="separate"/>
      </w:r>
      <w:r>
        <w:t>327</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_Toc24479 </w:instrText>
      </w:r>
      <w:r>
        <w:rPr>
          <w:szCs w:val="32"/>
        </w:rPr>
        <w:fldChar w:fldCharType="separate"/>
      </w:r>
      <w:r>
        <w:rPr>
          <w:rFonts w:hint="default" w:ascii="Times New Roman" w:hAnsi="Times New Roman" w:eastAsia="宋体" w:cs="Times New Roman"/>
          <w:bCs/>
          <w:szCs w:val="36"/>
          <w:lang w:val="en-US" w:eastAsia="zh-CN"/>
        </w:rPr>
        <w:t>附件</w:t>
      </w:r>
      <w:r>
        <w:rPr>
          <w:rFonts w:hint="eastAsia" w:cs="Times New Roman"/>
          <w:bCs/>
          <w:szCs w:val="36"/>
          <w:lang w:val="en-US" w:eastAsia="zh-CN"/>
        </w:rPr>
        <w:t>19</w:t>
      </w:r>
      <w:r>
        <w:rPr>
          <w:rFonts w:hint="default" w:ascii="Times New Roman" w:hAnsi="Times New Roman" w:eastAsia="宋体" w:cs="Times New Roman"/>
          <w:bCs/>
          <w:szCs w:val="36"/>
          <w:lang w:val="en-US" w:eastAsia="zh-CN"/>
        </w:rPr>
        <w:t xml:space="preserve"> 劳动防护用品发放记录</w:t>
      </w:r>
      <w:r>
        <w:tab/>
      </w:r>
      <w:r>
        <w:fldChar w:fldCharType="begin"/>
      </w:r>
      <w:r>
        <w:instrText xml:space="preserve"> PAGEREF _Toc24479 \h </w:instrText>
      </w:r>
      <w:r>
        <w:fldChar w:fldCharType="separate"/>
      </w:r>
      <w:r>
        <w:t>334</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_Toc9468 </w:instrText>
      </w:r>
      <w:r>
        <w:rPr>
          <w:szCs w:val="32"/>
        </w:rPr>
        <w:fldChar w:fldCharType="separate"/>
      </w:r>
      <w:r>
        <w:rPr>
          <w:rFonts w:hint="default" w:ascii="Times New Roman" w:hAnsi="Times New Roman" w:eastAsia="宋体" w:cs="Times New Roman"/>
          <w:bCs/>
          <w:szCs w:val="36"/>
          <w:lang w:val="en-US" w:eastAsia="zh-CN" w:bidi="ar-SA"/>
        </w:rPr>
        <w:t>附件</w:t>
      </w:r>
      <w:r>
        <w:rPr>
          <w:rFonts w:hint="default" w:ascii="Times New Roman" w:hAnsi="Times New Roman" w:cs="Times New Roman"/>
          <w:bCs/>
          <w:szCs w:val="36"/>
          <w:lang w:val="en-US" w:eastAsia="zh-CN" w:bidi="ar-SA"/>
        </w:rPr>
        <w:t>2</w:t>
      </w:r>
      <w:r>
        <w:rPr>
          <w:rFonts w:hint="eastAsia" w:cs="Times New Roman"/>
          <w:bCs/>
          <w:szCs w:val="36"/>
          <w:lang w:val="en-US" w:eastAsia="zh-CN" w:bidi="ar-SA"/>
        </w:rPr>
        <w:t>0</w:t>
      </w:r>
      <w:r>
        <w:rPr>
          <w:rFonts w:hint="default" w:ascii="Times New Roman" w:hAnsi="Times New Roman" w:eastAsia="宋体" w:cs="Times New Roman"/>
          <w:bCs/>
          <w:szCs w:val="36"/>
          <w:lang w:val="en-US" w:eastAsia="zh-CN" w:bidi="ar-SA"/>
        </w:rPr>
        <w:t xml:space="preserve"> 交叉作业告知书</w:t>
      </w:r>
      <w:r>
        <w:tab/>
      </w:r>
      <w:r>
        <w:fldChar w:fldCharType="begin"/>
      </w:r>
      <w:r>
        <w:instrText xml:space="preserve"> PAGEREF _Toc9468 \h </w:instrText>
      </w:r>
      <w:r>
        <w:fldChar w:fldCharType="separate"/>
      </w:r>
      <w:r>
        <w:t>339</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_Toc26839 </w:instrText>
      </w:r>
      <w:r>
        <w:rPr>
          <w:szCs w:val="32"/>
        </w:rPr>
        <w:fldChar w:fldCharType="separate"/>
      </w:r>
      <w:r>
        <w:rPr>
          <w:rFonts w:hint="default" w:ascii="Times New Roman" w:hAnsi="Times New Roman" w:eastAsia="宋体" w:cs="Times New Roman"/>
          <w:bCs/>
          <w:szCs w:val="36"/>
          <w:lang w:val="en-US" w:eastAsia="zh-CN"/>
        </w:rPr>
        <w:t>附件2</w:t>
      </w:r>
      <w:r>
        <w:rPr>
          <w:rFonts w:hint="eastAsia" w:cs="Times New Roman"/>
          <w:bCs/>
          <w:szCs w:val="36"/>
          <w:lang w:val="en-US" w:eastAsia="zh-CN"/>
        </w:rPr>
        <w:t>1</w:t>
      </w:r>
      <w:r>
        <w:rPr>
          <w:rFonts w:hint="default" w:ascii="Times New Roman" w:hAnsi="Times New Roman" w:eastAsia="宋体" w:cs="Times New Roman"/>
          <w:bCs/>
          <w:szCs w:val="36"/>
          <w:lang w:val="en-US" w:eastAsia="zh-CN"/>
        </w:rPr>
        <w:t xml:space="preserve"> 承包商资质、技术服务合同及相关</w:t>
      </w:r>
      <w:r>
        <w:rPr>
          <w:rFonts w:hint="eastAsia" w:ascii="Times New Roman" w:hAnsi="Times New Roman" w:eastAsia="宋体" w:cs="Times New Roman"/>
          <w:bCs/>
          <w:szCs w:val="36"/>
          <w:lang w:val="en-US" w:eastAsia="zh-CN"/>
        </w:rPr>
        <w:t>资料</w:t>
      </w:r>
      <w:r>
        <w:tab/>
      </w:r>
      <w:r>
        <w:fldChar w:fldCharType="begin"/>
      </w:r>
      <w:r>
        <w:instrText xml:space="preserve"> PAGEREF _Toc26839 \h </w:instrText>
      </w:r>
      <w:r>
        <w:fldChar w:fldCharType="separate"/>
      </w:r>
      <w:r>
        <w:t>340</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_Toc31330 </w:instrText>
      </w:r>
      <w:r>
        <w:rPr>
          <w:szCs w:val="32"/>
        </w:rPr>
        <w:fldChar w:fldCharType="separate"/>
      </w:r>
      <w:r>
        <w:rPr>
          <w:rFonts w:hint="default" w:ascii="Times New Roman" w:hAnsi="Times New Roman" w:eastAsia="宋体" w:cs="Times New Roman"/>
          <w:bCs/>
          <w:szCs w:val="36"/>
          <w:lang w:val="en-US" w:eastAsia="zh-CN"/>
        </w:rPr>
        <w:t>附件2</w:t>
      </w:r>
      <w:r>
        <w:rPr>
          <w:rFonts w:hint="eastAsia" w:cs="Times New Roman"/>
          <w:bCs/>
          <w:szCs w:val="36"/>
          <w:lang w:val="en-US" w:eastAsia="zh-CN"/>
        </w:rPr>
        <w:t>2</w:t>
      </w:r>
      <w:r>
        <w:rPr>
          <w:rFonts w:hint="default" w:ascii="Times New Roman" w:hAnsi="Times New Roman" w:eastAsia="宋体" w:cs="Times New Roman"/>
          <w:bCs/>
          <w:szCs w:val="36"/>
          <w:lang w:val="en-US" w:eastAsia="zh-CN"/>
        </w:rPr>
        <w:t xml:space="preserve"> </w:t>
      </w:r>
      <w:r>
        <w:rPr>
          <w:rFonts w:hint="eastAsia" w:cs="Times New Roman"/>
          <w:bCs/>
          <w:szCs w:val="36"/>
          <w:lang w:val="en-US" w:eastAsia="zh-CN"/>
        </w:rPr>
        <w:t>危险</w:t>
      </w:r>
      <w:r>
        <w:rPr>
          <w:rFonts w:hint="default" w:ascii="Times New Roman" w:hAnsi="Times New Roman" w:eastAsia="宋体" w:cs="Times New Roman"/>
          <w:bCs/>
          <w:szCs w:val="36"/>
          <w:lang w:val="en-US" w:eastAsia="zh-CN"/>
        </w:rPr>
        <w:t>作业票</w:t>
      </w:r>
      <w:r>
        <w:tab/>
      </w:r>
      <w:r>
        <w:fldChar w:fldCharType="begin"/>
      </w:r>
      <w:r>
        <w:instrText xml:space="preserve"> PAGEREF _Toc31330 \h </w:instrText>
      </w:r>
      <w:r>
        <w:fldChar w:fldCharType="separate"/>
      </w:r>
      <w:r>
        <w:t>373</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_Toc9117 </w:instrText>
      </w:r>
      <w:r>
        <w:rPr>
          <w:szCs w:val="32"/>
        </w:rPr>
        <w:fldChar w:fldCharType="separate"/>
      </w:r>
      <w:r>
        <w:rPr>
          <w:rFonts w:hint="default" w:ascii="Times New Roman" w:hAnsi="Times New Roman" w:eastAsia="宋体" w:cs="Times New Roman"/>
          <w:bCs/>
          <w:szCs w:val="36"/>
        </w:rPr>
        <w:t>附件2</w:t>
      </w:r>
      <w:r>
        <w:rPr>
          <w:rFonts w:hint="eastAsia" w:cs="Times New Roman"/>
          <w:bCs/>
          <w:szCs w:val="36"/>
          <w:lang w:val="en-US" w:eastAsia="zh-CN"/>
        </w:rPr>
        <w:t>3</w:t>
      </w:r>
      <w:r>
        <w:rPr>
          <w:rFonts w:hint="default" w:ascii="Times New Roman" w:hAnsi="Times New Roman" w:eastAsia="宋体" w:cs="Times New Roman"/>
          <w:bCs/>
          <w:szCs w:val="36"/>
        </w:rPr>
        <w:t xml:space="preserve"> 安全生产责任制封面及目录</w:t>
      </w:r>
      <w:r>
        <w:tab/>
      </w:r>
      <w:r>
        <w:fldChar w:fldCharType="begin"/>
      </w:r>
      <w:r>
        <w:instrText xml:space="preserve"> PAGEREF _Toc9117 \h </w:instrText>
      </w:r>
      <w:r>
        <w:fldChar w:fldCharType="separate"/>
      </w:r>
      <w:r>
        <w:t>378</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_Toc28358 </w:instrText>
      </w:r>
      <w:r>
        <w:rPr>
          <w:szCs w:val="32"/>
        </w:rPr>
        <w:fldChar w:fldCharType="separate"/>
      </w:r>
      <w:r>
        <w:rPr>
          <w:rFonts w:hint="default" w:ascii="Times New Roman" w:hAnsi="Times New Roman" w:eastAsia="宋体" w:cs="Times New Roman"/>
          <w:bCs/>
          <w:szCs w:val="36"/>
        </w:rPr>
        <w:t>附件2</w:t>
      </w:r>
      <w:r>
        <w:rPr>
          <w:rFonts w:hint="eastAsia" w:cs="Times New Roman"/>
          <w:bCs/>
          <w:szCs w:val="36"/>
          <w:lang w:val="en-US" w:eastAsia="zh-CN"/>
        </w:rPr>
        <w:t>4</w:t>
      </w:r>
      <w:r>
        <w:rPr>
          <w:rFonts w:hint="default" w:ascii="Times New Roman" w:hAnsi="Times New Roman" w:eastAsia="宋体" w:cs="Times New Roman"/>
          <w:bCs/>
          <w:szCs w:val="36"/>
        </w:rPr>
        <w:t xml:space="preserve"> 安全管理制度封面及目录</w:t>
      </w:r>
      <w:r>
        <w:tab/>
      </w:r>
      <w:r>
        <w:fldChar w:fldCharType="begin"/>
      </w:r>
      <w:r>
        <w:instrText xml:space="preserve"> PAGEREF _Toc28358 \h </w:instrText>
      </w:r>
      <w:r>
        <w:fldChar w:fldCharType="separate"/>
      </w:r>
      <w:r>
        <w:t>380</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_Toc22386 </w:instrText>
      </w:r>
      <w:r>
        <w:rPr>
          <w:szCs w:val="32"/>
        </w:rPr>
        <w:fldChar w:fldCharType="separate"/>
      </w:r>
      <w:r>
        <w:rPr>
          <w:rFonts w:hint="default" w:ascii="Times New Roman" w:hAnsi="Times New Roman" w:eastAsia="宋体" w:cs="Times New Roman"/>
          <w:bCs/>
          <w:szCs w:val="36"/>
        </w:rPr>
        <w:t>附件2</w:t>
      </w:r>
      <w:r>
        <w:rPr>
          <w:rFonts w:hint="eastAsia" w:cs="Times New Roman"/>
          <w:bCs/>
          <w:szCs w:val="36"/>
          <w:lang w:val="en-US" w:eastAsia="zh-CN"/>
        </w:rPr>
        <w:t>5</w:t>
      </w:r>
      <w:r>
        <w:rPr>
          <w:rFonts w:hint="default" w:ascii="Times New Roman" w:hAnsi="Times New Roman" w:eastAsia="宋体" w:cs="Times New Roman"/>
          <w:bCs/>
          <w:szCs w:val="36"/>
        </w:rPr>
        <w:t xml:space="preserve"> 操作规程封面及目录</w:t>
      </w:r>
      <w:r>
        <w:tab/>
      </w:r>
      <w:r>
        <w:fldChar w:fldCharType="begin"/>
      </w:r>
      <w:r>
        <w:instrText xml:space="preserve"> PAGEREF _Toc22386 \h </w:instrText>
      </w:r>
      <w:r>
        <w:fldChar w:fldCharType="separate"/>
      </w:r>
      <w:r>
        <w:t>383</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_Toc8934 </w:instrText>
      </w:r>
      <w:r>
        <w:rPr>
          <w:szCs w:val="32"/>
        </w:rPr>
        <w:fldChar w:fldCharType="separate"/>
      </w:r>
      <w:r>
        <w:rPr>
          <w:rFonts w:hint="eastAsia" w:ascii="宋体" w:hAnsi="宋体" w:eastAsia="宋体" w:cs="宋体"/>
          <w:bCs/>
          <w:szCs w:val="36"/>
        </w:rPr>
        <w:t>附件</w:t>
      </w:r>
      <w:r>
        <w:rPr>
          <w:rFonts w:hint="default" w:ascii="Times New Roman" w:hAnsi="Times New Roman" w:eastAsia="宋体" w:cs="Times New Roman"/>
          <w:bCs/>
          <w:szCs w:val="36"/>
        </w:rPr>
        <w:t>2</w:t>
      </w:r>
      <w:r>
        <w:rPr>
          <w:rFonts w:hint="default" w:ascii="Times New Roman" w:hAnsi="Times New Roman" w:eastAsia="宋体" w:cs="Times New Roman"/>
          <w:bCs/>
          <w:szCs w:val="36"/>
          <w:lang w:val="en-US" w:eastAsia="zh-CN"/>
        </w:rPr>
        <w:t>6</w:t>
      </w:r>
      <w:r>
        <w:rPr>
          <w:rFonts w:hint="eastAsia" w:ascii="宋体" w:hAnsi="宋体" w:eastAsia="宋体" w:cs="宋体"/>
          <w:bCs/>
          <w:szCs w:val="36"/>
        </w:rPr>
        <w:t xml:space="preserve"> </w:t>
      </w:r>
      <w:r>
        <w:rPr>
          <w:rFonts w:hint="eastAsia" w:ascii="宋体" w:hAnsi="宋体" w:eastAsia="宋体" w:cs="宋体"/>
          <w:bCs/>
          <w:szCs w:val="36"/>
          <w:lang w:val="en-US" w:eastAsia="zh-CN"/>
        </w:rPr>
        <w:t>胜利油田市场队伍资格证</w:t>
      </w:r>
      <w:r>
        <w:tab/>
      </w:r>
      <w:r>
        <w:fldChar w:fldCharType="begin"/>
      </w:r>
      <w:r>
        <w:instrText xml:space="preserve"> PAGEREF _Toc8934 \h </w:instrText>
      </w:r>
      <w:r>
        <w:fldChar w:fldCharType="separate"/>
      </w:r>
      <w:r>
        <w:t>387</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_Toc17490 </w:instrText>
      </w:r>
      <w:r>
        <w:rPr>
          <w:szCs w:val="32"/>
        </w:rPr>
        <w:fldChar w:fldCharType="separate"/>
      </w:r>
      <w:r>
        <w:rPr>
          <w:rFonts w:hint="eastAsia" w:ascii="宋体" w:hAnsi="宋体" w:eastAsia="宋体" w:cs="宋体"/>
          <w:bCs/>
          <w:szCs w:val="36"/>
        </w:rPr>
        <w:t>附件</w:t>
      </w:r>
      <w:r>
        <w:rPr>
          <w:rFonts w:hint="default" w:ascii="Times New Roman" w:hAnsi="Times New Roman" w:eastAsia="宋体" w:cs="Times New Roman"/>
          <w:bCs/>
          <w:szCs w:val="36"/>
        </w:rPr>
        <w:t>2</w:t>
      </w:r>
      <w:r>
        <w:rPr>
          <w:rFonts w:hint="default" w:ascii="Times New Roman" w:hAnsi="Times New Roman" w:cs="Times New Roman"/>
          <w:bCs/>
          <w:szCs w:val="36"/>
          <w:lang w:val="en-US" w:eastAsia="zh-CN"/>
        </w:rPr>
        <w:t>7</w:t>
      </w:r>
      <w:r>
        <w:rPr>
          <w:rFonts w:hint="eastAsia" w:ascii="宋体" w:hAnsi="宋体" w:eastAsia="宋体" w:cs="宋体"/>
          <w:bCs/>
          <w:szCs w:val="36"/>
        </w:rPr>
        <w:t xml:space="preserve"> </w:t>
      </w:r>
      <w:r>
        <w:rPr>
          <w:rFonts w:hint="eastAsia" w:ascii="宋体" w:hAnsi="宋体" w:cs="宋体"/>
          <w:bCs/>
          <w:szCs w:val="36"/>
          <w:lang w:val="en-US" w:eastAsia="zh-CN"/>
        </w:rPr>
        <w:t>华曦公司注汽队情况说明</w:t>
      </w:r>
      <w:r>
        <w:tab/>
      </w:r>
      <w:r>
        <w:fldChar w:fldCharType="begin"/>
      </w:r>
      <w:r>
        <w:instrText xml:space="preserve"> PAGEREF _Toc17490 \h </w:instrText>
      </w:r>
      <w:r>
        <w:fldChar w:fldCharType="separate"/>
      </w:r>
      <w:r>
        <w:t>388</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_Toc22561 </w:instrText>
      </w:r>
      <w:r>
        <w:rPr>
          <w:szCs w:val="32"/>
        </w:rPr>
        <w:fldChar w:fldCharType="separate"/>
      </w:r>
      <w:r>
        <w:rPr>
          <w:rFonts w:hint="eastAsia" w:ascii="宋体" w:hAnsi="宋体" w:eastAsia="宋体" w:cs="宋体"/>
          <w:bCs/>
          <w:szCs w:val="36"/>
        </w:rPr>
        <w:t>附件</w:t>
      </w:r>
      <w:r>
        <w:rPr>
          <w:rFonts w:hint="default" w:ascii="Times New Roman" w:hAnsi="Times New Roman" w:eastAsia="宋体" w:cs="Times New Roman"/>
          <w:bCs/>
          <w:szCs w:val="36"/>
        </w:rPr>
        <w:t>2</w:t>
      </w:r>
      <w:r>
        <w:rPr>
          <w:rFonts w:hint="default" w:ascii="Times New Roman" w:hAnsi="Times New Roman" w:cs="Times New Roman"/>
          <w:bCs/>
          <w:szCs w:val="36"/>
          <w:lang w:val="en-US" w:eastAsia="zh-CN"/>
        </w:rPr>
        <w:t>8</w:t>
      </w:r>
      <w:r>
        <w:rPr>
          <w:rFonts w:hint="eastAsia" w:ascii="宋体" w:hAnsi="宋体" w:eastAsia="宋体" w:cs="宋体"/>
          <w:bCs/>
          <w:szCs w:val="36"/>
        </w:rPr>
        <w:t xml:space="preserve"> </w:t>
      </w:r>
      <w:r>
        <w:rPr>
          <w:rFonts w:hint="eastAsia" w:ascii="宋体" w:hAnsi="宋体" w:cs="宋体"/>
          <w:bCs/>
          <w:szCs w:val="36"/>
          <w:lang w:val="en-US" w:eastAsia="zh-CN"/>
        </w:rPr>
        <w:t>复合发生器产品质量说明书及维修保养说明</w:t>
      </w:r>
      <w:r>
        <w:tab/>
      </w:r>
      <w:r>
        <w:fldChar w:fldCharType="begin"/>
      </w:r>
      <w:r>
        <w:instrText xml:space="preserve"> PAGEREF _Toc22561 \h </w:instrText>
      </w:r>
      <w:r>
        <w:fldChar w:fldCharType="separate"/>
      </w:r>
      <w:r>
        <w:t>389</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_Toc27183 </w:instrText>
      </w:r>
      <w:r>
        <w:rPr>
          <w:szCs w:val="32"/>
        </w:rPr>
        <w:fldChar w:fldCharType="separate"/>
      </w:r>
      <w:r>
        <w:rPr>
          <w:rFonts w:hint="default" w:ascii="Times New Roman" w:hAnsi="Times New Roman" w:eastAsia="宋体" w:cs="Times New Roman"/>
          <w:bCs/>
          <w:szCs w:val="36"/>
        </w:rPr>
        <w:t>附件</w:t>
      </w:r>
      <w:r>
        <w:rPr>
          <w:rFonts w:hint="default" w:ascii="Times New Roman" w:hAnsi="Times New Roman" w:eastAsia="宋体" w:cs="Times New Roman"/>
          <w:bCs/>
          <w:szCs w:val="36"/>
          <w:lang w:val="en-US" w:eastAsia="zh-CN"/>
        </w:rPr>
        <w:t>2</w:t>
      </w:r>
      <w:r>
        <w:rPr>
          <w:rFonts w:hint="eastAsia" w:cs="Times New Roman"/>
          <w:bCs/>
          <w:szCs w:val="36"/>
          <w:lang w:val="en-US" w:eastAsia="zh-CN"/>
        </w:rPr>
        <w:t>9</w:t>
      </w:r>
      <w:r>
        <w:rPr>
          <w:rFonts w:hint="default" w:ascii="Times New Roman" w:hAnsi="Times New Roman" w:eastAsia="宋体" w:cs="Times New Roman"/>
          <w:bCs/>
          <w:szCs w:val="36"/>
        </w:rPr>
        <w:t xml:space="preserve"> </w:t>
      </w:r>
      <w:r>
        <w:rPr>
          <w:rFonts w:hint="eastAsia" w:ascii="Times New Roman" w:hAnsi="Times New Roman" w:eastAsia="宋体" w:cs="Times New Roman"/>
          <w:bCs/>
          <w:szCs w:val="36"/>
          <w:lang w:val="en-US" w:eastAsia="zh-CN"/>
        </w:rPr>
        <w:t>安全阀、压力表、空气呼吸器及气体报警仪等设备设施检测检验机构资质证书</w:t>
      </w:r>
      <w:r>
        <w:tab/>
      </w:r>
      <w:r>
        <w:fldChar w:fldCharType="begin"/>
      </w:r>
      <w:r>
        <w:instrText xml:space="preserve"> PAGEREF _Toc27183 \h </w:instrText>
      </w:r>
      <w:r>
        <w:fldChar w:fldCharType="separate"/>
      </w:r>
      <w:r>
        <w:t>394</w:t>
      </w:r>
      <w:r>
        <w:fldChar w:fldCharType="end"/>
      </w:r>
      <w:r>
        <w:rPr>
          <w:color w:val="0070C0"/>
          <w:szCs w:val="32"/>
        </w:rPr>
        <w:fldChar w:fldCharType="end"/>
      </w:r>
    </w:p>
    <w:p>
      <w:pPr>
        <w:pStyle w:val="36"/>
        <w:tabs>
          <w:tab w:val="right" w:leader="dot" w:pos="8306"/>
          <w:tab w:val="clear" w:pos="8302"/>
        </w:tabs>
      </w:pPr>
      <w:r>
        <w:rPr>
          <w:color w:val="0070C0"/>
          <w:szCs w:val="32"/>
        </w:rPr>
        <w:fldChar w:fldCharType="begin"/>
      </w:r>
      <w:r>
        <w:rPr>
          <w:szCs w:val="32"/>
        </w:rPr>
        <w:instrText xml:space="preserve"> HYPERLINK \l _Toc27267 </w:instrText>
      </w:r>
      <w:r>
        <w:rPr>
          <w:szCs w:val="32"/>
        </w:rPr>
        <w:fldChar w:fldCharType="separate"/>
      </w:r>
      <w:r>
        <w:rPr>
          <w:rFonts w:hint="eastAsia" w:ascii="Times New Roman" w:hAnsi="Times New Roman" w:eastAsia="宋体" w:cs="Times New Roman"/>
          <w:bCs/>
          <w:szCs w:val="36"/>
          <w:lang w:val="en-US" w:eastAsia="zh-CN"/>
        </w:rPr>
        <w:t>附件30专家组评审意见及报告修改说明</w:t>
      </w:r>
      <w:r>
        <w:tab/>
      </w:r>
      <w:r>
        <w:fldChar w:fldCharType="begin"/>
      </w:r>
      <w:r>
        <w:instrText xml:space="preserve"> PAGEREF _Toc27267 \h </w:instrText>
      </w:r>
      <w:r>
        <w:fldChar w:fldCharType="separate"/>
      </w:r>
      <w:r>
        <w:t>409</w:t>
      </w:r>
      <w:r>
        <w:fldChar w:fldCharType="end"/>
      </w:r>
      <w:r>
        <w:rPr>
          <w:color w:val="0070C0"/>
          <w:szCs w:val="32"/>
        </w:rPr>
        <w:fldChar w:fldCharType="end"/>
      </w:r>
    </w:p>
    <w:p>
      <w:pPr>
        <w:keepNext w:val="0"/>
        <w:keepLines w:val="0"/>
        <w:pageBreakBefore w:val="0"/>
        <w:widowControl w:val="0"/>
        <w:kinsoku/>
        <w:wordWrap/>
        <w:overflowPunct/>
        <w:topLinePunct w:val="0"/>
        <w:autoSpaceDE/>
        <w:autoSpaceDN/>
        <w:bidi w:val="0"/>
        <w:adjustRightInd w:val="0"/>
        <w:snapToGrid w:val="0"/>
        <w:spacing w:line="324" w:lineRule="auto"/>
        <w:textAlignment w:val="auto"/>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425" w:num="1"/>
          <w:docGrid w:type="linesAndChars" w:linePitch="312" w:charSpace="0"/>
        </w:sectPr>
      </w:pPr>
      <w:r>
        <w:rPr>
          <w:color w:val="0070C0"/>
          <w:szCs w:val="32"/>
        </w:rPr>
        <w:fldChar w:fldCharType="end"/>
      </w:r>
    </w:p>
    <w:p>
      <w:pPr>
        <w:pStyle w:val="3"/>
        <w:adjustRightInd w:val="0"/>
        <w:snapToGrid w:val="0"/>
        <w:spacing w:line="360" w:lineRule="auto"/>
        <w:rPr>
          <w:rFonts w:eastAsia="楷体_GB2312"/>
          <w:b/>
          <w:color w:val="000000" w:themeColor="text1"/>
          <w:sz w:val="36"/>
          <w:szCs w:val="36"/>
          <w14:textFill>
            <w14:solidFill>
              <w14:schemeClr w14:val="tx1"/>
            </w14:solidFill>
          </w14:textFill>
        </w:rPr>
      </w:pPr>
      <w:bookmarkStart w:id="0" w:name="_Toc3848"/>
      <w:r>
        <w:rPr>
          <w:rFonts w:hint="eastAsia" w:eastAsia="楷体_GB2312"/>
          <w:b/>
          <w:color w:val="000000" w:themeColor="text1"/>
          <w:sz w:val="36"/>
          <w:szCs w:val="36"/>
          <w14:textFill>
            <w14:solidFill>
              <w14:schemeClr w14:val="tx1"/>
            </w14:solidFill>
          </w14:textFill>
        </w:rPr>
        <w:t>1</w:t>
      </w:r>
      <w:r>
        <w:rPr>
          <w:rFonts w:eastAsia="楷体_GB2312"/>
          <w:b/>
          <w:color w:val="000000" w:themeColor="text1"/>
          <w:sz w:val="36"/>
          <w:szCs w:val="36"/>
          <w14:textFill>
            <w14:solidFill>
              <w14:schemeClr w14:val="tx1"/>
            </w14:solidFill>
          </w14:textFill>
        </w:rPr>
        <w:t xml:space="preserve"> </w:t>
      </w:r>
      <w:r>
        <w:rPr>
          <w:rFonts w:hint="eastAsia" w:ascii="宋体" w:hAnsi="宋体" w:eastAsia="宋体" w:cs="宋体"/>
          <w:b/>
          <w:color w:val="000000" w:themeColor="text1"/>
          <w:sz w:val="36"/>
          <w:szCs w:val="36"/>
          <w14:textFill>
            <w14:solidFill>
              <w14:schemeClr w14:val="tx1"/>
            </w14:solidFill>
          </w14:textFill>
        </w:rPr>
        <w:t>总则</w:t>
      </w:r>
      <w:bookmarkEnd w:id="0"/>
    </w:p>
    <w:p>
      <w:pPr>
        <w:pStyle w:val="4"/>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1" w:name="_Toc9830"/>
      <w:bookmarkStart w:id="2" w:name="_Toc202759398"/>
      <w:r>
        <w:rPr>
          <w:rFonts w:hint="eastAsia" w:ascii="Times New Roman" w:hAnsi="Times New Roman"/>
          <w:b w:val="0"/>
          <w:bCs/>
          <w:color w:val="000000" w:themeColor="text1"/>
          <w:szCs w:val="32"/>
          <w14:textFill>
            <w14:solidFill>
              <w14:schemeClr w14:val="tx1"/>
            </w14:solidFill>
          </w14:textFill>
        </w:rPr>
        <w:t>1.1</w:t>
      </w:r>
      <w:r>
        <w:rPr>
          <w:rFonts w:ascii="Times New Roman" w:hAnsi="Times New Roman"/>
          <w:b w:val="0"/>
          <w:bCs/>
          <w:color w:val="000000" w:themeColor="text1"/>
          <w:szCs w:val="32"/>
          <w14:textFill>
            <w14:solidFill>
              <w14:schemeClr w14:val="tx1"/>
            </w14:solidFill>
          </w14:textFill>
        </w:rPr>
        <w:t xml:space="preserve"> </w:t>
      </w:r>
      <w:r>
        <w:rPr>
          <w:rFonts w:hint="eastAsia" w:ascii="Times New Roman" w:hAnsi="Times New Roman"/>
          <w:b w:val="0"/>
          <w:bCs/>
          <w:color w:val="000000" w:themeColor="text1"/>
          <w:szCs w:val="32"/>
          <w14:textFill>
            <w14:solidFill>
              <w14:schemeClr w14:val="tx1"/>
            </w14:solidFill>
          </w14:textFill>
        </w:rPr>
        <w:t>评价目的</w:t>
      </w:r>
      <w:bookmarkEnd w:id="1"/>
      <w:bookmarkEnd w:id="2"/>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按照《安全生产许可证条例》（国务院令[2004]第397号，2014修订版）、《非煤矿矿山企业安全生产许可证实施办法》（国家安全生产监督管理总局令[2009]第20号，2015修订版）的规定，陆上石油天然气企业必须进行安全现状评价，通过评价做出客观的评价结论，明确被评价单位是否具备陆上石油天然气企业的各项安全生产条件，为</w:t>
      </w:r>
      <w:r>
        <w:rPr>
          <w:rFonts w:hint="eastAsia"/>
          <w:color w:val="000000" w:themeColor="text1"/>
          <w:sz w:val="28"/>
          <w:szCs w:val="28"/>
          <w:lang w:val="en-US" w:eastAsia="zh-CN"/>
          <w14:textFill>
            <w14:solidFill>
              <w14:schemeClr w14:val="tx1"/>
            </w14:solidFill>
          </w14:textFill>
        </w:rPr>
        <w:t>应急</w:t>
      </w:r>
      <w:r>
        <w:rPr>
          <w:rFonts w:hint="eastAsia"/>
          <w:color w:val="000000" w:themeColor="text1"/>
          <w:sz w:val="28"/>
          <w:szCs w:val="28"/>
          <w14:textFill>
            <w14:solidFill>
              <w14:schemeClr w14:val="tx1"/>
            </w14:solidFill>
          </w14:textFill>
        </w:rPr>
        <w:t>管理部门实施监督管理提供依据。</w:t>
      </w:r>
    </w:p>
    <w:p>
      <w:pPr>
        <w:adjustRightInd w:val="0"/>
        <w:snapToGrid w:val="0"/>
        <w:spacing w:line="360" w:lineRule="auto"/>
        <w:ind w:firstLine="560" w:firstLineChars="200"/>
        <w:rPr>
          <w:rFonts w:cs="宋体"/>
          <w:color w:val="000000" w:themeColor="text1"/>
          <w:kern w:val="0"/>
          <w:sz w:val="28"/>
          <w:szCs w:val="28"/>
          <w14:textFill>
            <w14:solidFill>
              <w14:schemeClr w14:val="tx1"/>
            </w14:solidFill>
          </w14:textFill>
        </w:rPr>
      </w:pPr>
      <w:r>
        <w:rPr>
          <w:rFonts w:hint="eastAsia"/>
          <w:color w:val="000000" w:themeColor="text1"/>
          <w:sz w:val="28"/>
          <w:szCs w:val="28"/>
          <w14:textFill>
            <w14:solidFill>
              <w14:schemeClr w14:val="tx1"/>
            </w14:solidFill>
          </w14:textFill>
        </w:rPr>
        <w:t>2、通过对</w:t>
      </w:r>
      <w:r>
        <w:rPr>
          <w:rFonts w:hint="eastAsia"/>
          <w:color w:val="000000" w:themeColor="text1"/>
          <w:sz w:val="28"/>
          <w:szCs w:val="28"/>
          <w:lang w:eastAsia="zh-CN"/>
          <w14:textFill>
            <w14:solidFill>
              <w14:schemeClr w14:val="tx1"/>
            </w14:solidFill>
          </w14:textFill>
        </w:rPr>
        <w:t>山东华曦石油技术服务有限公司</w:t>
      </w:r>
      <w:r>
        <w:rPr>
          <w:rFonts w:hint="eastAsia"/>
          <w:color w:val="000000" w:themeColor="text1"/>
          <w:sz w:val="28"/>
          <w:szCs w:val="28"/>
          <w14:textFill>
            <w14:solidFill>
              <w14:schemeClr w14:val="tx1"/>
            </w14:solidFill>
          </w14:textFill>
        </w:rPr>
        <w:t>井下作业</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lang w:eastAsia="zh-CN"/>
          <w14:textFill>
            <w14:solidFill>
              <w14:schemeClr w14:val="tx1"/>
            </w14:solidFill>
          </w14:textFill>
        </w:rPr>
        <w:t>注气（蒸汽</w:t>
      </w:r>
      <w:r>
        <w:rPr>
          <w:rFonts w:hint="eastAsia"/>
          <w:color w:val="000000" w:themeColor="text1"/>
          <w:sz w:val="28"/>
          <w:szCs w:val="28"/>
          <w14:textFill>
            <w14:solidFill>
              <w14:schemeClr w14:val="tx1"/>
            </w14:solidFill>
          </w14:textFill>
        </w:rPr>
        <w:t>）现有的生产</w:t>
      </w:r>
      <w:r>
        <w:rPr>
          <w:color w:val="000000" w:themeColor="text1"/>
          <w:sz w:val="28"/>
          <w:szCs w:val="28"/>
          <w14:textFill>
            <w14:solidFill>
              <w14:schemeClr w14:val="tx1"/>
            </w14:solidFill>
          </w14:textFill>
        </w:rPr>
        <w:t>设施、设备</w:t>
      </w:r>
      <w:r>
        <w:rPr>
          <w:rFonts w:hint="eastAsia"/>
          <w:color w:val="000000" w:themeColor="text1"/>
          <w:sz w:val="28"/>
          <w:szCs w:val="28"/>
          <w14:textFill>
            <w14:solidFill>
              <w14:schemeClr w14:val="tx1"/>
            </w14:solidFill>
          </w14:textFill>
        </w:rPr>
        <w:t>的</w:t>
      </w:r>
      <w:r>
        <w:rPr>
          <w:color w:val="000000" w:themeColor="text1"/>
          <w:sz w:val="28"/>
          <w:szCs w:val="28"/>
          <w14:textFill>
            <w14:solidFill>
              <w14:schemeClr w14:val="tx1"/>
            </w14:solidFill>
          </w14:textFill>
        </w:rPr>
        <w:t>实际运行状况及管理状况的</w:t>
      </w:r>
      <w:r>
        <w:rPr>
          <w:rFonts w:hint="eastAsia"/>
          <w:color w:val="000000" w:themeColor="text1"/>
          <w:sz w:val="28"/>
          <w:szCs w:val="28"/>
          <w14:textFill>
            <w14:solidFill>
              <w14:schemeClr w14:val="tx1"/>
            </w14:solidFill>
          </w14:textFill>
        </w:rPr>
        <w:t>调查、分析，识别作业</w:t>
      </w:r>
      <w:r>
        <w:rPr>
          <w:rFonts w:hint="eastAsia" w:cs="宋体"/>
          <w:color w:val="000000" w:themeColor="text1"/>
          <w:kern w:val="0"/>
          <w:sz w:val="28"/>
          <w:szCs w:val="28"/>
          <w14:textFill>
            <w14:solidFill>
              <w14:schemeClr w14:val="tx1"/>
            </w14:solidFill>
          </w14:textFill>
        </w:rPr>
        <w:t>过程中存在的主要危险、有害因素，对企业在</w:t>
      </w:r>
      <w:r>
        <w:rPr>
          <w:rFonts w:hint="eastAsia" w:cs="宋体"/>
          <w:color w:val="000000" w:themeColor="text1"/>
          <w:kern w:val="0"/>
          <w:sz w:val="28"/>
          <w:szCs w:val="28"/>
          <w:lang w:val="en-US" w:eastAsia="zh-CN"/>
          <w14:textFill>
            <w14:solidFill>
              <w14:schemeClr w14:val="tx1"/>
            </w14:solidFill>
          </w14:textFill>
        </w:rPr>
        <w:t>现场作业、</w:t>
      </w:r>
      <w:r>
        <w:rPr>
          <w:rFonts w:hint="eastAsia" w:cs="宋体"/>
          <w:color w:val="000000" w:themeColor="text1"/>
          <w:kern w:val="0"/>
          <w:sz w:val="28"/>
          <w:szCs w:val="28"/>
          <w14:textFill>
            <w14:solidFill>
              <w14:schemeClr w14:val="tx1"/>
            </w14:solidFill>
          </w14:textFill>
        </w:rPr>
        <w:t>安全管理方面与标准和法规的符合性进行评价，对不符合国家标准的作法提出整改建议并补充相应的安全对策措施。</w:t>
      </w:r>
    </w:p>
    <w:p>
      <w:pPr>
        <w:pStyle w:val="4"/>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3" w:name="_Toc9820"/>
      <w:r>
        <w:rPr>
          <w:rFonts w:hint="eastAsia" w:ascii="Times New Roman" w:hAnsi="Times New Roman"/>
          <w:b w:val="0"/>
          <w:bCs/>
          <w:color w:val="000000" w:themeColor="text1"/>
          <w:szCs w:val="32"/>
          <w14:textFill>
            <w14:solidFill>
              <w14:schemeClr w14:val="tx1"/>
            </w14:solidFill>
          </w14:textFill>
        </w:rPr>
        <w:t>1.2</w:t>
      </w:r>
      <w:r>
        <w:rPr>
          <w:rFonts w:ascii="Times New Roman" w:hAnsi="Times New Roman"/>
          <w:b w:val="0"/>
          <w:bCs/>
          <w:color w:val="000000" w:themeColor="text1"/>
          <w:szCs w:val="32"/>
          <w14:textFill>
            <w14:solidFill>
              <w14:schemeClr w14:val="tx1"/>
            </w14:solidFill>
          </w14:textFill>
        </w:rPr>
        <w:t xml:space="preserve"> </w:t>
      </w:r>
      <w:r>
        <w:rPr>
          <w:rFonts w:hint="eastAsia" w:ascii="Times New Roman" w:hAnsi="Times New Roman"/>
          <w:b w:val="0"/>
          <w:bCs/>
          <w:color w:val="000000" w:themeColor="text1"/>
          <w:szCs w:val="32"/>
          <w14:textFill>
            <w14:solidFill>
              <w14:schemeClr w14:val="tx1"/>
            </w14:solidFill>
          </w14:textFill>
        </w:rPr>
        <w:t>评价依据</w:t>
      </w:r>
      <w:bookmarkEnd w:id="3"/>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bookmarkStart w:id="4" w:name="_Toc215277127"/>
      <w:bookmarkStart w:id="5" w:name="_Toc215277128"/>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.2.1</w:t>
      </w:r>
      <w:r>
        <w:rPr>
          <w:rFonts w:hint="eastAsia" w:eastAsia="黑体"/>
          <w:b w:val="0"/>
          <w:snapToGrid w:val="0"/>
          <w:color w:val="000000" w:themeColor="text1"/>
          <w:kern w:val="0"/>
          <w:sz w:val="28"/>
          <w:szCs w:val="28"/>
          <w14:textFill>
            <w14:solidFill>
              <w14:schemeClr w14:val="tx1"/>
            </w14:solidFill>
          </w14:textFill>
        </w:rPr>
        <w:t xml:space="preserve"> 法律</w:t>
      </w:r>
    </w:p>
    <w:p>
      <w:pPr>
        <w:pStyle w:val="126"/>
        <w:keepNext w:val="0"/>
        <w:keepLines w:val="0"/>
        <w:pageBreakBefore w:val="0"/>
        <w:widowControl w:val="0"/>
        <w:numPr>
          <w:ilvl w:val="0"/>
          <w:numId w:val="3"/>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安全生产法》（2002年6月29日第九届全国人民代表大会常务委员会第二十八次会议通过，2021年6月10日第十三届全国人民代表大会常务委员会第二十九次会议《关于修改&lt;中华人民共和国安全生产法&gt;的决定》第三次修正。中华人民共和国主席令[2014]第13号，[2021]第88号令修正）</w:t>
      </w:r>
    </w:p>
    <w:p>
      <w:pPr>
        <w:pStyle w:val="126"/>
        <w:keepNext w:val="0"/>
        <w:keepLines w:val="0"/>
        <w:pageBreakBefore w:val="0"/>
        <w:widowControl w:val="0"/>
        <w:numPr>
          <w:ilvl w:val="0"/>
          <w:numId w:val="3"/>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劳动法》（1994年7月5日第八届全国人民代表大会常务委员会第八次会议通过，根据2018年12月29日第十三届全国人民代表大会常务委员会第七次会议《关于修改〈中华人民共和国劳动法〉等七部法律的决定》第二次修正。主席令[2018]第24号修正）</w:t>
      </w:r>
    </w:p>
    <w:p>
      <w:pPr>
        <w:pStyle w:val="126"/>
        <w:keepNext w:val="0"/>
        <w:keepLines w:val="0"/>
        <w:pageBreakBefore w:val="0"/>
        <w:widowControl w:val="0"/>
        <w:numPr>
          <w:ilvl w:val="0"/>
          <w:numId w:val="3"/>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《中华人民共和国突发事件应对法》（主席令[2007]第69号，中华人民共和国第十届全国人民代表大会常务委员会第二十九次会议于2007年8月30日通过，自2007年11月1日起施行。主席令[2007]第69号）</w:t>
      </w:r>
    </w:p>
    <w:p>
      <w:pPr>
        <w:pStyle w:val="126"/>
        <w:keepNext w:val="0"/>
        <w:keepLines w:val="0"/>
        <w:pageBreakBefore w:val="0"/>
        <w:widowControl w:val="0"/>
        <w:numPr>
          <w:ilvl w:val="0"/>
          <w:numId w:val="3"/>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消防法》（1998年4月29日第九届全国人民代表大会常务委员会第二次会议通过，根据2021年4月29日第十三届全国人民代表大会常务委员会第二十八次会议《关于修改〈中华人民共和国道路交通安全法〉等八部法律的决定》第二次修正。主席令[2021]第81号修正）</w:t>
      </w:r>
    </w:p>
    <w:p>
      <w:pPr>
        <w:pStyle w:val="126"/>
        <w:keepNext w:val="0"/>
        <w:keepLines w:val="0"/>
        <w:pageBreakBefore w:val="0"/>
        <w:widowControl w:val="0"/>
        <w:numPr>
          <w:ilvl w:val="0"/>
          <w:numId w:val="3"/>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《中华人民共和国防震减灾法》（第八届全国人民代表大会常务委员会第二十九次会议于1997年12月29日通过，2008年12月27日第十一届全国人民代表大会常务委员会第六次会议修订。主席令[2008]第7号）</w:t>
      </w:r>
    </w:p>
    <w:p>
      <w:pPr>
        <w:pStyle w:val="126"/>
        <w:keepNext w:val="0"/>
        <w:keepLines w:val="0"/>
        <w:pageBreakBefore w:val="0"/>
        <w:widowControl w:val="0"/>
        <w:numPr>
          <w:ilvl w:val="0"/>
          <w:numId w:val="3"/>
        </w:numPr>
        <w:bidi w:val="0"/>
        <w:adjustRightInd w:val="0"/>
        <w:snapToGrid w:val="0"/>
        <w:spacing w:line="360" w:lineRule="auto"/>
        <w:ind w:left="0" w:firstLine="560"/>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《中华人民共和国职业病防治法》（根据2018年12月29日第十三届全国人民代表大会常务委员会第七次会议《关于修改〈中华人民共和国劳动法〉等七部法律的决定》第四次修正。主席令[2018]第52号修正）</w:t>
      </w:r>
    </w:p>
    <w:p>
      <w:pPr>
        <w:pStyle w:val="126"/>
        <w:keepNext w:val="0"/>
        <w:keepLines w:val="0"/>
        <w:pageBreakBefore w:val="0"/>
        <w:widowControl w:val="0"/>
        <w:numPr>
          <w:ilvl w:val="0"/>
          <w:numId w:val="3"/>
        </w:numPr>
        <w:bidi w:val="0"/>
        <w:adjustRightInd w:val="0"/>
        <w:snapToGrid w:val="0"/>
        <w:spacing w:line="360" w:lineRule="auto"/>
        <w:ind w:left="0" w:firstLine="560"/>
        <w:rPr>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《中华人民共和国特种设备安全法》（中华人民共和国第十二届全国人民代表大会常务委员会第三次会议于2013年6月29日通过，自2014年1月1日起施行。主席令[2013]第4号）</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w:t>
      </w:r>
      <w:r>
        <w:rPr>
          <w:rFonts w:hint="eastAsia" w:eastAsia="黑体"/>
          <w:b w:val="0"/>
          <w:snapToGrid w:val="0"/>
          <w:color w:val="000000" w:themeColor="text1"/>
          <w:kern w:val="0"/>
          <w:sz w:val="28"/>
          <w:szCs w:val="28"/>
          <w14:textFill>
            <w14:solidFill>
              <w14:schemeClr w14:val="tx1"/>
            </w14:solidFill>
          </w14:textFill>
        </w:rPr>
        <w:t>2 行政法规</w:t>
      </w:r>
    </w:p>
    <w:p>
      <w:pPr>
        <w:pStyle w:val="126"/>
        <w:numPr>
          <w:ilvl w:val="0"/>
          <w:numId w:val="4"/>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《安全生产许可证条例》（国务院令[2004]第397号，[2014]第653号修订）</w:t>
      </w:r>
    </w:p>
    <w:p>
      <w:pPr>
        <w:pStyle w:val="126"/>
        <w:numPr>
          <w:ilvl w:val="0"/>
          <w:numId w:val="4"/>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《生产安全事故报告和调查处理条例》（国务院令[2007]第493号）</w:t>
      </w:r>
    </w:p>
    <w:p>
      <w:pPr>
        <w:pStyle w:val="126"/>
        <w:numPr>
          <w:ilvl w:val="0"/>
          <w:numId w:val="4"/>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《特种设备安全监察条例》（国务院令[2009]第549号）</w:t>
      </w:r>
    </w:p>
    <w:p>
      <w:pPr>
        <w:pStyle w:val="126"/>
        <w:numPr>
          <w:ilvl w:val="0"/>
          <w:numId w:val="4"/>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《工伤保险条例》（国务院令[2010]第586号）</w:t>
      </w:r>
    </w:p>
    <w:p>
      <w:pPr>
        <w:pStyle w:val="126"/>
        <w:numPr>
          <w:ilvl w:val="0"/>
          <w:numId w:val="4"/>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《危险化学品管理安全管理条例》（国务院令[2013]第645号修订）</w:t>
      </w:r>
    </w:p>
    <w:p>
      <w:pPr>
        <w:pStyle w:val="126"/>
        <w:numPr>
          <w:ilvl w:val="0"/>
          <w:numId w:val="4"/>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《生产安全事故应急条例》</w:t>
      </w:r>
      <w:r>
        <w:rPr>
          <w:rFonts w:hint="eastAsia"/>
          <w:color w:val="000000" w:themeColor="text1"/>
          <w:sz w:val="28"/>
          <w:lang w:eastAsia="zh-CN"/>
          <w14:textFill>
            <w14:solidFill>
              <w14:schemeClr w14:val="tx1"/>
            </w14:solidFill>
          </w14:textFill>
        </w:rPr>
        <w:t>（国务院令</w:t>
      </w:r>
      <w:r>
        <w:rPr>
          <w:rFonts w:hint="eastAsia"/>
          <w:color w:val="000000" w:themeColor="text1"/>
          <w:sz w:val="28"/>
          <w14:textFill>
            <w14:solidFill>
              <w14:schemeClr w14:val="tx1"/>
            </w14:solidFill>
          </w14:textFill>
        </w:rPr>
        <w:t>第</w:t>
      </w:r>
      <w:r>
        <w:rPr>
          <w:rFonts w:hint="eastAsia"/>
          <w:color w:val="000000" w:themeColor="text1"/>
          <w:sz w:val="28"/>
          <w:lang w:val="en-US" w:eastAsia="zh-CN"/>
          <w14:textFill>
            <w14:solidFill>
              <w14:schemeClr w14:val="tx1"/>
            </w14:solidFill>
          </w14:textFill>
        </w:rPr>
        <w:t>708</w:t>
      </w:r>
      <w:r>
        <w:rPr>
          <w:rFonts w:hint="eastAsia"/>
          <w:color w:val="000000" w:themeColor="text1"/>
          <w:sz w:val="28"/>
          <w14:textFill>
            <w14:solidFill>
              <w14:schemeClr w14:val="tx1"/>
            </w14:solidFill>
          </w14:textFill>
        </w:rPr>
        <w:t>号</w:t>
      </w:r>
      <w:r>
        <w:rPr>
          <w:rFonts w:hint="eastAsia"/>
          <w:color w:val="000000" w:themeColor="text1"/>
          <w:sz w:val="28"/>
          <w:lang w:eastAsia="zh-CN"/>
          <w14:textFill>
            <w14:solidFill>
              <w14:schemeClr w14:val="tx1"/>
            </w14:solidFill>
          </w14:textFill>
        </w:rPr>
        <w:t>，2018年12月5日国务院第33次常务会议通过）</w:t>
      </w:r>
    </w:p>
    <w:p>
      <w:pPr>
        <w:pStyle w:val="126"/>
        <w:numPr>
          <w:ilvl w:val="0"/>
          <w:numId w:val="4"/>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《特种设备作业人员监督管理办法》（2005年1月10日国家质量监督检验检疫总局令第70号公布，2011</w:t>
      </w:r>
      <w:r>
        <w:rPr>
          <w:rFonts w:hint="eastAsia"/>
          <w:color w:val="000000" w:themeColor="text1"/>
          <w:sz w:val="28"/>
          <w:lang w:val="en-US" w:eastAsia="zh-CN"/>
          <w14:textFill>
            <w14:solidFill>
              <w14:schemeClr w14:val="tx1"/>
            </w14:solidFill>
          </w14:textFill>
        </w:rPr>
        <w:t>年修订</w:t>
      </w:r>
      <w:r>
        <w:rPr>
          <w:rFonts w:hint="eastAsia"/>
          <w:color w:val="000000" w:themeColor="text1"/>
          <w:sz w:val="28"/>
          <w:lang w:eastAsia="zh-CN"/>
          <w14:textFill>
            <w14:solidFill>
              <w14:schemeClr w14:val="tx1"/>
            </w14:solidFill>
          </w14:textFill>
        </w:rPr>
        <w:t>）</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w:t>
      </w:r>
      <w:r>
        <w:rPr>
          <w:rFonts w:hint="eastAsia" w:eastAsia="黑体"/>
          <w:b w:val="0"/>
          <w:snapToGrid w:val="0"/>
          <w:color w:val="000000" w:themeColor="text1"/>
          <w:kern w:val="0"/>
          <w:sz w:val="28"/>
          <w:szCs w:val="28"/>
          <w14:textFill>
            <w14:solidFill>
              <w14:schemeClr w14:val="tx1"/>
            </w14:solidFill>
          </w14:textFill>
        </w:rPr>
        <w:t>.3 地方性法规</w:t>
      </w:r>
    </w:p>
    <w:p>
      <w:pPr>
        <w:pStyle w:val="126"/>
        <w:numPr>
          <w:ilvl w:val="0"/>
          <w:numId w:val="5"/>
        </w:numPr>
        <w:adjustRightInd w:val="0"/>
        <w:snapToGrid w:val="0"/>
        <w:spacing w:line="360" w:lineRule="auto"/>
        <w:ind w:left="0" w:firstLine="560"/>
        <w:rPr>
          <w:color w:val="000000" w:themeColor="text1"/>
          <w:sz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《山东省安全生产条例》（2021年12月3日山东省第十三届人民代表大会常务委员会第三十二次会议修订）</w:t>
      </w:r>
    </w:p>
    <w:p>
      <w:pPr>
        <w:pStyle w:val="126"/>
        <w:numPr>
          <w:ilvl w:val="0"/>
          <w:numId w:val="5"/>
        </w:numPr>
        <w:adjustRightInd w:val="0"/>
        <w:snapToGrid w:val="0"/>
        <w:spacing w:line="360" w:lineRule="auto"/>
        <w:ind w:left="0" w:firstLine="560"/>
        <w:rPr>
          <w:color w:val="000000" w:themeColor="text1"/>
          <w:sz w:val="28"/>
          <w14:textFill>
            <w14:solidFill>
              <w14:schemeClr w14:val="tx1"/>
            </w14:solidFill>
          </w14:textFill>
        </w:rPr>
      </w:pPr>
      <w:r>
        <w:rPr>
          <w:color w:val="000000" w:themeColor="text1"/>
          <w:sz w:val="28"/>
          <w14:textFill>
            <w14:solidFill>
              <w14:schemeClr w14:val="tx1"/>
            </w14:solidFill>
          </w14:textFill>
        </w:rPr>
        <w:t>《山东省消防条例》（山东省第十一届人大常委会第21次会议修订）</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w:t>
      </w:r>
      <w:r>
        <w:rPr>
          <w:rFonts w:hint="eastAsia" w:eastAsia="黑体"/>
          <w:b w:val="0"/>
          <w:snapToGrid w:val="0"/>
          <w:color w:val="000000" w:themeColor="text1"/>
          <w:kern w:val="0"/>
          <w:sz w:val="28"/>
          <w:szCs w:val="28"/>
          <w14:textFill>
            <w14:solidFill>
              <w14:schemeClr w14:val="tx1"/>
            </w14:solidFill>
          </w14:textFill>
        </w:rPr>
        <w:t>.4 部门规章</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w:t>
      </w:r>
      <w:r>
        <w:rPr>
          <w:rFonts w:hint="eastAsia"/>
          <w:sz w:val="28"/>
          <w:szCs w:val="28"/>
        </w:rPr>
        <w:t>生</w:t>
      </w:r>
      <w:r>
        <w:rPr>
          <w:rFonts w:hint="eastAsia" w:ascii="Times New Roman" w:hAnsi="Times New Roman" w:cs="Times New Roman"/>
          <w:color w:val="000000" w:themeColor="text1"/>
          <w:sz w:val="28"/>
          <w:szCs w:val="28"/>
          <w14:textFill>
            <w14:solidFill>
              <w14:schemeClr w14:val="tx1"/>
            </w14:solidFill>
          </w14:textFill>
        </w:rPr>
        <w:t>产经营单位安全培训规定》（国家安全监督管理总局令[2006]第3号，第80号修订）</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《生产安全事故罚款处罚规定（试行）》（国家安全生产监督管理总局令[2007]第13号，第42号、第77号修订）</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《安全生产事故隐患排查治理暂行规定》（国家安全生产监督管理总局令[2007]第16号）</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《非煤矿矿山企业安全生产许可证实施办法》（国家安全生产监督管理总局令[2009]第20号，第78号修订）</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《特种作业人员安全技术培训考核管理规定》（国家安全生产监督管理总局令[2010]第30号，第80号令修订）</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《危险化学品重大危险源监督管理暂行规定》（国家安全生产监督管理总局令[2011]第40号，第79号修订版）</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highlight w:val="none"/>
          <w14:textFill>
            <w14:solidFill>
              <w14:schemeClr w14:val="tx1"/>
            </w14:solidFill>
          </w14:textFill>
        </w:rPr>
      </w:pPr>
      <w:r>
        <w:rPr>
          <w:rFonts w:hint="eastAsia" w:ascii="Times New Roman" w:hAnsi="Times New Roman" w:cs="Times New Roman"/>
          <w:color w:val="000000" w:themeColor="text1"/>
          <w:sz w:val="28"/>
          <w:szCs w:val="28"/>
          <w:highlight w:val="none"/>
          <w14:textFill>
            <w14:solidFill>
              <w14:schemeClr w14:val="tx1"/>
            </w14:solidFill>
          </w14:textFill>
        </w:rPr>
        <w:t>《企业安全生产费用提取和使用管理办法》（财资[2022]136号）</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《安全生产培训管理办法》（国家安全生产监督管理总局令[2012]第44号，第80号修订）</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《防雷减灾管理办法》（中国气象局令[2013]第24号）</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《非煤矿山外包工程安全管理暂行办法》（国家安全生产监督管理总局令[2013]第62号，第78号修订）</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《危险化学品目录（2015版）》（安全监管总局、工业和信息化部、公安部、环境保护部、交通运输部、农业部、国家卫生计生委、质检总局、铁路局、民航局公告[2015]第5号）</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《职业病危害因素分类目录》（国卫疾控发[2015]92号）</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《国家安全监管总局办公厅关于印发危险化学品目录（2015版）实施指南（试行）的通知》</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《生产安全事故应急预案管理办法》（国家安全生产监督管理总局令[2016]第88号，应急管理部第2号令修订）</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《安全生产责任保险实施办法》（安监总办[2017]140号）</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《注册安全工程师分类管理办法》（安监总人事[2017]118号）</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rFonts w:hint="eastAsia"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《注册安全工程师职业合格制度规定》（应急[2019]8号）</w:t>
      </w:r>
    </w:p>
    <w:p>
      <w:pPr>
        <w:pStyle w:val="126"/>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firstLine="560"/>
        <w:textAlignment w:val="auto"/>
        <w:rPr>
          <w:color w:val="000000" w:themeColor="text1"/>
          <w:sz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《应急管理部办公厅关于石油天然气企业安全生产许可的复函》（应急厅[2021]244号）</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w:t>
      </w:r>
      <w:r>
        <w:rPr>
          <w:rFonts w:hint="eastAsia" w:eastAsia="黑体"/>
          <w:b w:val="0"/>
          <w:snapToGrid w:val="0"/>
          <w:color w:val="000000" w:themeColor="text1"/>
          <w:kern w:val="0"/>
          <w:sz w:val="28"/>
          <w:szCs w:val="28"/>
          <w14:textFill>
            <w14:solidFill>
              <w14:schemeClr w14:val="tx1"/>
            </w14:solidFill>
          </w14:textFill>
        </w:rPr>
        <w:t>.5 地方政府规章</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《山东省生产经营单位安全生产主体责任规定》（山东省人民政府令[2018]第311号修订）</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《山东省安全生产风险管控办法》（山东省人民政府令[2020]第331号）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《山东省生产安全事故应急办法》（山东省人民政府令[2021]第341号）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《山东省生产安全事故隐患排查治理办法》（山东省人民政府令[2022]第347号）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《山东省生产安全事故报告和调查处理办法》（山东省人民政府令第342号</w:t>
      </w:r>
      <w:r>
        <w:rPr>
          <w:rFonts w:hint="default" w:ascii="Times New Roman" w:hAnsi="Times New Roman" w:eastAsia="宋体" w:cs="Times New Roman"/>
          <w:color w:val="auto"/>
          <w:sz w:val="28"/>
          <w:lang w:eastAsia="zh-CN"/>
        </w:rPr>
        <w:t>，2022年4月25日，经山东省人民政府令第349号修订</w:t>
      </w:r>
      <w:r>
        <w:rPr>
          <w:rFonts w:hint="eastAsia" w:ascii="Times New Roman" w:hAnsi="Times New Roman" w:eastAsia="宋体" w:cs="Times New Roman"/>
          <w:color w:val="auto"/>
          <w:sz w:val="28"/>
          <w:lang w:val="en-US" w:eastAsia="zh-CN"/>
        </w:rPr>
        <w:t>）</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《硫化氢防护安全管理规定（试行）》（鲁安监发[2008]51号）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《山东省非煤矿矿山企业安全生产许可证实施方案》（鲁安监发[2009]133号）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《关于印发&lt;山东省非煤矿山重特大生产安全事故预防措施&gt;的通知》（鲁安监发[2010]43号）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《关于进一步加强非煤矿山安全生产工作的意见》（鲁安监发[2013]86号）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《关于进一步加强非煤矿山安全生产标准化建设工作的通知》（鲁安监发[2011]146号，2015修订版）</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《关于开展石油天然气企业安全生产标准化建设工作的通知》（鲁安监发[2013]77号，2015修订版）</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《关于认真落实国家安全监管总局62号令切实加强非煤矿山外包工程安全管理的通知》（鲁安监发[2014]28号，2015修订版）</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《关于印发&lt;山东省非煤矿山企业安全生产风险分级监管暂行办法&gt;和&lt;山东省非煤矿山企业安全生产风险分级标准（试行）&gt;的通知》（鲁安监发[2015]151号）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《关于印发山东省生产经营单位全员安全生产责任清单的通知》鲁安办发[2021]50号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《山东省人民政府办公厅关于印发山东省生产经营单位安全总监制度实施办法（试行）的通知》（鲁政办字[2021]60号）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《关于对钻井、物探、测井、录井、井下作业、油建企业实施安全生产许可的通知》鲁应急函[2021]86号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w:t>
      </w:r>
      <w:r>
        <w:rPr>
          <w:rFonts w:hint="eastAsia"/>
          <w:sz w:val="28"/>
          <w:szCs w:val="28"/>
          <w:lang w:val="en-US" w:eastAsia="zh-CN"/>
        </w:rPr>
        <w:t>山</w:t>
      </w:r>
      <w:r>
        <w:rPr>
          <w:rFonts w:hint="eastAsia" w:ascii="Times New Roman" w:hAnsi="Times New Roman" w:eastAsia="宋体" w:cs="Times New Roman"/>
          <w:color w:val="auto"/>
          <w:sz w:val="28"/>
          <w:lang w:val="en-US" w:eastAsia="zh-CN"/>
        </w:rPr>
        <w:t>东省企业安全生产“晨会”制度规范（试行）》（鲁安发[2022]4号）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《关于印发《关于规范和加强安全生产安全生产培训考核工作的实施意见》的通知》</w:t>
      </w:r>
      <w:r>
        <w:rPr>
          <w:rFonts w:hint="eastAsia" w:cs="Times New Roman"/>
          <w:color w:val="auto"/>
          <w:sz w:val="28"/>
          <w:lang w:val="en-US" w:eastAsia="zh-CN"/>
        </w:rPr>
        <w:t>（</w:t>
      </w:r>
      <w:r>
        <w:rPr>
          <w:rFonts w:hint="eastAsia" w:ascii="Times New Roman" w:hAnsi="Times New Roman" w:eastAsia="宋体" w:cs="Times New Roman"/>
          <w:color w:val="auto"/>
          <w:sz w:val="28"/>
          <w:lang w:val="en-US" w:eastAsia="zh-CN"/>
        </w:rPr>
        <w:t>鲁应急发[2022]6号</w:t>
      </w:r>
      <w:r>
        <w:rPr>
          <w:rFonts w:hint="eastAsia" w:cs="Times New Roman"/>
          <w:color w:val="auto"/>
          <w:sz w:val="28"/>
          <w:lang w:val="en-US" w:eastAsia="zh-CN"/>
        </w:rPr>
        <w:t>）</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《重点行业领域重大安全风险隐患清单》（鲁安发[2022]11号）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《关于转发省应急厅〈关于对钻井、物探、测井、录井、钻井作业、油建企业实施安全生产许可的通知〉的通知》（东应急函字</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2021</w:t>
      </w:r>
      <w:r>
        <w:rPr>
          <w:rFonts w:hint="eastAsia" w:ascii="Times New Roman" w:hAnsi="Times New Roman" w:eastAsia="宋体" w:cs="Times New Roman"/>
          <w:color w:val="auto"/>
          <w:sz w:val="28"/>
          <w:lang w:val="en-US" w:eastAsia="zh-CN"/>
        </w:rPr>
        <w:t>]</w:t>
      </w:r>
      <w:r>
        <w:rPr>
          <w:rFonts w:hint="default" w:ascii="Times New Roman" w:hAnsi="Times New Roman" w:eastAsia="宋体" w:cs="Times New Roman"/>
          <w:color w:val="auto"/>
          <w:sz w:val="28"/>
          <w:lang w:val="en-US" w:eastAsia="zh-CN"/>
        </w:rPr>
        <w:t>49号）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《东营市应急管理局关于进一步规范非煤矿矿山《安全生产许可证》颁发管理有关问题的函》东应急函字[2021]50号</w:t>
      </w:r>
    </w:p>
    <w:p>
      <w:pPr>
        <w:pStyle w:val="126"/>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eastAsia="宋体" w:cs="Times New Roman"/>
          <w:color w:val="auto"/>
          <w:sz w:val="28"/>
          <w:lang w:val="en-US" w:eastAsia="zh-CN"/>
        </w:rPr>
        <w:t>关于印发《非煤矿矿山安全生产许可证申请自查要点》的通知（东应急函字[2022]13号）</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w:t>
      </w:r>
      <w:r>
        <w:rPr>
          <w:rFonts w:eastAsia="黑体"/>
          <w:b w:val="0"/>
          <w:snapToGrid w:val="0"/>
          <w:color w:val="000000" w:themeColor="text1"/>
          <w:kern w:val="0"/>
          <w:sz w:val="28"/>
          <w:szCs w:val="28"/>
          <w14:textFill>
            <w14:solidFill>
              <w14:schemeClr w14:val="tx1"/>
            </w14:solidFill>
          </w14:textFill>
        </w:rPr>
        <w:t>.2</w:t>
      </w:r>
      <w:r>
        <w:rPr>
          <w:rFonts w:hint="eastAsia" w:eastAsia="黑体"/>
          <w:b w:val="0"/>
          <w:snapToGrid w:val="0"/>
          <w:color w:val="000000" w:themeColor="text1"/>
          <w:kern w:val="0"/>
          <w:sz w:val="28"/>
          <w:szCs w:val="28"/>
          <w14:textFill>
            <w14:solidFill>
              <w14:schemeClr w14:val="tx1"/>
            </w14:solidFill>
          </w14:textFill>
        </w:rPr>
        <w:t>.6 国家标准</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w:t>
      </w:r>
      <w:r>
        <w:rPr>
          <w:rFonts w:hint="eastAsia"/>
          <w:sz w:val="28"/>
          <w:szCs w:val="28"/>
        </w:rPr>
        <w:t>图形符号 安全色和安全标志 第1部分：安全标志和安全标记的设计原则</w:t>
      </w:r>
      <w:r>
        <w:rPr>
          <w:rFonts w:hint="eastAsia"/>
          <w:color w:val="000000" w:themeColor="text1"/>
          <w:sz w:val="28"/>
          <w14:textFill>
            <w14:solidFill>
              <w14:schemeClr w14:val="tx1"/>
            </w14:solidFill>
          </w14:textFill>
        </w:rPr>
        <w:t>》</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 2893.1-2013</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《图形符号 安全色和安全标志 第5部分：安全标志使用原则与要求》（</w:t>
      </w:r>
      <w:r>
        <w:rPr>
          <w:rFonts w:hint="eastAsia"/>
          <w:color w:val="000000" w:themeColor="text1"/>
          <w:sz w:val="28"/>
          <w14:textFill>
            <w14:solidFill>
              <w14:schemeClr w14:val="tx1"/>
            </w14:solidFill>
          </w14:textFill>
        </w:rPr>
        <w:t>GB/T 2893.5-2020</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《安全标志及其使用导则》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GB2894-2008</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《生产设备安全卫生设计总则》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GB5083-1999</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《企业职工伤亡事故分类》</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GB6441-1986</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《防止静电事故通用导则》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GB12158-2006</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sz w:val="28"/>
        </w:rPr>
        <w:t>《危险货物品名表》</w:t>
      </w:r>
      <w:r>
        <w:rPr>
          <w:rFonts w:hint="default"/>
          <w:color w:val="000000" w:themeColor="text1"/>
          <w:sz w:val="28"/>
          <w14:textFill>
            <w14:solidFill>
              <w14:schemeClr w14:val="tx1"/>
            </w14:solidFill>
          </w14:textFill>
        </w:rPr>
        <w:t>（</w:t>
      </w:r>
      <w:r>
        <w:rPr>
          <w:rFonts w:hint="eastAsia"/>
          <w:sz w:val="28"/>
        </w:rPr>
        <w:t>GB12268-2012</w:t>
      </w:r>
      <w:r>
        <w:rPr>
          <w:rFonts w:hint="default"/>
          <w:color w:val="000000" w:themeColor="text1"/>
          <w:sz w:val="28"/>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《石油与石油设施雷电安全规范》</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GB15599-2009</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《危险化学品重大危险源辨识》</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GB18218-20</w:t>
      </w:r>
      <w:r>
        <w:rPr>
          <w:color w:val="000000" w:themeColor="text1"/>
          <w:sz w:val="28"/>
          <w14:textFill>
            <w14:solidFill>
              <w14:schemeClr w14:val="tx1"/>
            </w14:solidFill>
          </w14:textFill>
        </w:rPr>
        <w:t>18</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《个体防护装备配备规范 第1部分：总则》（GB 39800.</w:t>
      </w:r>
      <w:r>
        <w:rPr>
          <w:rFonts w:hint="eastAsia"/>
          <w:color w:val="000000" w:themeColor="text1"/>
          <w:sz w:val="28"/>
          <w:lang w:val="en-US" w:eastAsia="zh-CN"/>
          <w14:textFill>
            <w14:solidFill>
              <w14:schemeClr w14:val="tx1"/>
            </w14:solidFill>
          </w14:textFill>
        </w:rPr>
        <w:t>1</w:t>
      </w:r>
      <w:r>
        <w:rPr>
          <w:rFonts w:hint="eastAsia"/>
          <w:color w:val="000000" w:themeColor="text1"/>
          <w:sz w:val="28"/>
          <w14:textFill>
            <w14:solidFill>
              <w14:schemeClr w14:val="tx1"/>
            </w14:solidFill>
          </w14:textFill>
        </w:rPr>
        <w:t>-2020）</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《个体防护装备配备规范 第2部分：石油、化工、天然气》</w:t>
      </w:r>
      <w:r>
        <w:rPr>
          <w:rFonts w:hint="eastAsia"/>
          <w:color w:val="000000" w:themeColor="text1"/>
          <w:sz w:val="28"/>
          <w:lang w:val="en-US" w:eastAsia="zh-CN"/>
          <w14:textFill>
            <w14:solidFill>
              <w14:schemeClr w14:val="tx1"/>
            </w14:solidFill>
          </w14:textFill>
        </w:rPr>
        <w:t xml:space="preserve">  </w:t>
      </w:r>
      <w:r>
        <w:rPr>
          <w:rFonts w:hint="eastAsia"/>
          <w:color w:val="000000" w:themeColor="text1"/>
          <w:sz w:val="28"/>
          <w14:textFill>
            <w14:solidFill>
              <w14:schemeClr w14:val="tx1"/>
            </w14:solidFill>
          </w14:textFill>
        </w:rPr>
        <w:t>（GB 39800.2-2020）</w:t>
      </w:r>
    </w:p>
    <w:p>
      <w:pPr>
        <w:pStyle w:val="126"/>
        <w:numPr>
          <w:ilvl w:val="0"/>
          <w:numId w:val="8"/>
        </w:numPr>
        <w:adjustRightInd w:val="0"/>
        <w:snapToGrid w:val="0"/>
        <w:spacing w:line="360" w:lineRule="auto"/>
        <w:ind w:left="0" w:firstLine="560"/>
        <w:rPr>
          <w:rFonts w:hint="default"/>
          <w:color w:val="000000" w:themeColor="text1"/>
          <w:sz w:val="28"/>
          <w14:textFill>
            <w14:solidFill>
              <w14:schemeClr w14:val="tx1"/>
            </w14:solidFill>
          </w14:textFill>
        </w:rPr>
      </w:pPr>
      <w:r>
        <w:rPr>
          <w:rFonts w:hint="default"/>
          <w:color w:val="000000" w:themeColor="text1"/>
          <w:sz w:val="28"/>
          <w14:textFill>
            <w14:solidFill>
              <w14:schemeClr w14:val="tx1"/>
            </w14:solidFill>
          </w14:textFill>
        </w:rPr>
        <w:t>《低压配电设计规范》（GB50054-2011）</w:t>
      </w:r>
    </w:p>
    <w:p>
      <w:pPr>
        <w:pStyle w:val="126"/>
        <w:numPr>
          <w:ilvl w:val="0"/>
          <w:numId w:val="8"/>
        </w:numPr>
        <w:adjustRightInd w:val="0"/>
        <w:snapToGrid w:val="0"/>
        <w:spacing w:line="360" w:lineRule="auto"/>
        <w:ind w:left="0" w:firstLine="560"/>
        <w:rPr>
          <w:rFonts w:hint="default"/>
          <w:color w:val="000000" w:themeColor="text1"/>
          <w:sz w:val="28"/>
          <w14:textFill>
            <w14:solidFill>
              <w14:schemeClr w14:val="tx1"/>
            </w14:solidFill>
          </w14:textFill>
        </w:rPr>
      </w:pPr>
      <w:r>
        <w:rPr>
          <w:rFonts w:hint="default"/>
          <w:color w:val="000000" w:themeColor="text1"/>
          <w:sz w:val="28"/>
          <w14:textFill>
            <w14:solidFill>
              <w14:schemeClr w14:val="tx1"/>
            </w14:solidFill>
          </w14:textFill>
        </w:rPr>
        <w:t>《</w:t>
      </w:r>
      <w:r>
        <w:rPr>
          <w:rFonts w:hint="eastAsia"/>
          <w:color w:val="000000" w:themeColor="text1"/>
          <w:sz w:val="28"/>
          <w:lang w:eastAsia="zh-CN"/>
          <w14:textFill>
            <w14:solidFill>
              <w14:schemeClr w14:val="tx1"/>
            </w14:solidFill>
          </w14:textFill>
        </w:rPr>
        <w:t>锅炉房</w:t>
      </w:r>
      <w:r>
        <w:rPr>
          <w:rFonts w:hint="default"/>
          <w:color w:val="000000" w:themeColor="text1"/>
          <w:sz w:val="28"/>
          <w14:textFill>
            <w14:solidFill>
              <w14:schemeClr w14:val="tx1"/>
            </w14:solidFill>
          </w14:textFill>
        </w:rPr>
        <w:t>设计规范》（GB500</w:t>
      </w:r>
      <w:r>
        <w:rPr>
          <w:rFonts w:hint="eastAsia"/>
          <w:color w:val="000000" w:themeColor="text1"/>
          <w:sz w:val="28"/>
          <w:lang w:val="en-US" w:eastAsia="zh-CN"/>
          <w14:textFill>
            <w14:solidFill>
              <w14:schemeClr w14:val="tx1"/>
            </w14:solidFill>
          </w14:textFill>
        </w:rPr>
        <w:t>41</w:t>
      </w:r>
      <w:r>
        <w:rPr>
          <w:rFonts w:hint="default"/>
          <w:color w:val="000000" w:themeColor="text1"/>
          <w:sz w:val="28"/>
          <w14:textFill>
            <w14:solidFill>
              <w14:schemeClr w14:val="tx1"/>
            </w14:solidFill>
          </w14:textFill>
        </w:rPr>
        <w:t>-20</w:t>
      </w:r>
      <w:r>
        <w:rPr>
          <w:rFonts w:hint="eastAsia"/>
          <w:color w:val="000000" w:themeColor="text1"/>
          <w:sz w:val="28"/>
          <w:lang w:val="en-US" w:eastAsia="zh-CN"/>
          <w14:textFill>
            <w14:solidFill>
              <w14:schemeClr w14:val="tx1"/>
            </w14:solidFill>
          </w14:textFill>
        </w:rPr>
        <w:t>20</w:t>
      </w:r>
      <w:r>
        <w:rPr>
          <w:rFonts w:hint="default"/>
          <w:color w:val="000000" w:themeColor="text1"/>
          <w:sz w:val="28"/>
          <w14:textFill>
            <w14:solidFill>
              <w14:schemeClr w14:val="tx1"/>
            </w14:solidFill>
          </w14:textFill>
        </w:rPr>
        <w:t>）</w:t>
      </w:r>
    </w:p>
    <w:p>
      <w:pPr>
        <w:pStyle w:val="126"/>
        <w:numPr>
          <w:ilvl w:val="0"/>
          <w:numId w:val="8"/>
        </w:numPr>
        <w:adjustRightInd w:val="0"/>
        <w:snapToGrid w:val="0"/>
        <w:spacing w:line="360" w:lineRule="auto"/>
        <w:ind w:left="0" w:firstLine="560"/>
        <w:rPr>
          <w:rFonts w:hint="default"/>
          <w:color w:val="000000" w:themeColor="text1"/>
          <w:sz w:val="28"/>
          <w14:textFill>
            <w14:solidFill>
              <w14:schemeClr w14:val="tx1"/>
            </w14:solidFill>
          </w14:textFill>
        </w:rPr>
      </w:pPr>
      <w:r>
        <w:rPr>
          <w:rFonts w:hint="eastAsia"/>
          <w:color w:val="000000" w:themeColor="text1"/>
          <w:sz w:val="28"/>
          <w:lang w:eastAsia="zh-CN"/>
          <w14:textFill>
            <w14:solidFill>
              <w14:schemeClr w14:val="tx1"/>
            </w14:solidFill>
          </w14:textFill>
        </w:rPr>
        <w:t>《建筑灭火器配置设计规范》（GB50140-2005）</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firstLine="560"/>
        <w:jc w:val="left"/>
        <w:textAlignment w:val="auto"/>
        <w:rPr>
          <w:rFonts w:hint="default"/>
          <w:color w:val="000000" w:themeColor="text1"/>
          <w:sz w:val="28"/>
          <w14:textFill>
            <w14:solidFill>
              <w14:schemeClr w14:val="tx1"/>
            </w14:solidFill>
          </w14:textFill>
        </w:rPr>
      </w:pPr>
      <w:r>
        <w:rPr>
          <w:rFonts w:hint="eastAsia"/>
          <w:color w:val="000000" w:themeColor="text1"/>
          <w:sz w:val="28"/>
          <w:lang w:val="en-US" w:eastAsia="zh-CN"/>
          <w14:textFill>
            <w14:solidFill>
              <w14:schemeClr w14:val="tx1"/>
            </w14:solidFill>
          </w14:textFill>
        </w:rPr>
        <w:t>《电气装置安装工程 接地装置施工及验收规范》        （GB 50169-2016）</w:t>
      </w:r>
    </w:p>
    <w:p>
      <w:pPr>
        <w:pStyle w:val="126"/>
        <w:numPr>
          <w:ilvl w:val="0"/>
          <w:numId w:val="8"/>
        </w:numPr>
        <w:adjustRightInd w:val="0"/>
        <w:snapToGrid w:val="0"/>
        <w:spacing w:line="360" w:lineRule="auto"/>
        <w:ind w:left="0" w:firstLine="560"/>
        <w:rPr>
          <w:rFonts w:hint="default"/>
          <w:color w:val="000000" w:themeColor="text1"/>
          <w:sz w:val="28"/>
          <w14:textFill>
            <w14:solidFill>
              <w14:schemeClr w14:val="tx1"/>
            </w14:solidFill>
          </w14:textFill>
        </w:rPr>
      </w:pPr>
      <w:r>
        <w:rPr>
          <w:rFonts w:hint="default"/>
          <w:color w:val="000000" w:themeColor="text1"/>
          <w:sz w:val="28"/>
          <w14:textFill>
            <w14:solidFill>
              <w14:schemeClr w14:val="tx1"/>
            </w14:solidFill>
          </w14:textFill>
        </w:rPr>
        <w:t>《石油天然气工程设计防火规范》（</w:t>
      </w:r>
      <w:r>
        <w:rPr>
          <w:rFonts w:hint="default"/>
          <w:color w:val="000000" w:themeColor="text1"/>
          <w:sz w:val="28"/>
          <w:lang w:eastAsia="zh-CN"/>
          <w14:textFill>
            <w14:solidFill>
              <w14:schemeClr w14:val="tx1"/>
            </w14:solidFill>
          </w14:textFill>
        </w:rPr>
        <w:t>GB50183-20</w:t>
      </w:r>
      <w:r>
        <w:rPr>
          <w:rFonts w:hint="eastAsia"/>
          <w:color w:val="000000" w:themeColor="text1"/>
          <w:sz w:val="28"/>
          <w:lang w:val="en-US" w:eastAsia="zh-CN"/>
          <w14:textFill>
            <w14:solidFill>
              <w14:schemeClr w14:val="tx1"/>
            </w14:solidFill>
          </w14:textFill>
        </w:rPr>
        <w:t>04</w:t>
      </w:r>
      <w:r>
        <w:rPr>
          <w:rFonts w:hint="default"/>
          <w:color w:val="000000" w:themeColor="text1"/>
          <w:sz w:val="28"/>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lang w:val="en-US" w:eastAsia="zh-CN"/>
          <w14:textFill>
            <w14:solidFill>
              <w14:schemeClr w14:val="tx1"/>
            </w14:solidFill>
          </w14:textFill>
        </w:rPr>
        <w:t>《工业企业设计卫生标准》（</w:t>
      </w:r>
      <w:r>
        <w:rPr>
          <w:rFonts w:hint="default"/>
          <w:color w:val="000000" w:themeColor="text1"/>
          <w:sz w:val="28"/>
          <w:lang w:val="en-US" w:eastAsia="zh-CN"/>
          <w14:textFill>
            <w14:solidFill>
              <w14:schemeClr w14:val="tx1"/>
            </w14:solidFill>
          </w14:textFill>
        </w:rPr>
        <w:t>GBZ1-2010</w:t>
      </w:r>
      <w:r>
        <w:rPr>
          <w:rFonts w:hint="eastAsia"/>
          <w:color w:val="000000" w:themeColor="text1"/>
          <w:sz w:val="28"/>
          <w:lang w:val="en-US" w:eastAsia="zh-CN"/>
          <w14:textFill>
            <w14:solidFill>
              <w14:schemeClr w14:val="tx1"/>
            </w14:solidFill>
          </w14:textFill>
        </w:rPr>
        <w:t xml:space="preserve">） </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lang w:val="en-US" w:eastAsia="zh-CN"/>
          <w14:textFill>
            <w14:solidFill>
              <w14:schemeClr w14:val="tx1"/>
            </w14:solidFill>
          </w14:textFill>
        </w:rPr>
        <w:t>《工作场所职业病危害警示标识》（</w:t>
      </w:r>
      <w:r>
        <w:rPr>
          <w:rFonts w:hint="default"/>
          <w:color w:val="000000" w:themeColor="text1"/>
          <w:sz w:val="28"/>
          <w:lang w:val="en-US" w:eastAsia="zh-CN"/>
          <w14:textFill>
            <w14:solidFill>
              <w14:schemeClr w14:val="tx1"/>
            </w14:solidFill>
          </w14:textFill>
        </w:rPr>
        <w:t>GBZ158-2003</w:t>
      </w:r>
      <w:r>
        <w:rPr>
          <w:rFonts w:hint="eastAsia"/>
          <w:color w:val="000000" w:themeColor="text1"/>
          <w:sz w:val="28"/>
          <w:lang w:val="en-US" w:eastAsia="zh-CN"/>
          <w14:textFill>
            <w14:solidFill>
              <w14:schemeClr w14:val="tx1"/>
            </w14:solidFill>
          </w14:textFill>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firstLine="560"/>
        <w:textAlignment w:val="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《工作场所有害因素职业接触限值第1部分：化学有害因素》</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GBZ2.1-20</w:t>
      </w:r>
      <w:r>
        <w:rPr>
          <w:rFonts w:hint="eastAsia"/>
          <w:color w:val="000000" w:themeColor="text1"/>
          <w:sz w:val="28"/>
          <w:lang w:val="en-US" w:eastAsia="zh-CN"/>
          <w14:textFill>
            <w14:solidFill>
              <w14:schemeClr w14:val="tx1"/>
            </w14:solidFill>
          </w14:textFill>
        </w:rPr>
        <w:t>19</w:t>
      </w:r>
      <w:r>
        <w:rPr>
          <w:rFonts w:hint="eastAsia"/>
          <w:color w:val="000000" w:themeColor="text1"/>
          <w:sz w:val="28"/>
          <w:lang w:eastAsia="zh-CN"/>
          <w14:textFill>
            <w14:solidFill>
              <w14:schemeClr w14:val="tx1"/>
            </w14:solidFill>
          </w14:textFill>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firstLine="560"/>
        <w:textAlignment w:val="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《工作场所有害因素职业接触限值第2部分：物理因素》</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GBZ2.2-2007</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《火灾分类》</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GB/T4968-2008</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《生产过程安全卫生要求总则》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GB/T12801-2008</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《生产过程危险和有害因素分类与代码》</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GB/T13861-2022</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《企业安全生产标准化基本规范》</w:t>
      </w:r>
      <w:r>
        <w:rPr>
          <w:rFonts w:hint="eastAsia"/>
          <w:color w:val="000000" w:themeColor="text1"/>
          <w:sz w:val="28"/>
          <w:lang w:eastAsia="zh-CN"/>
          <w14:textFill>
            <w14:solidFill>
              <w14:schemeClr w14:val="tx1"/>
            </w14:solidFill>
          </w14:textFill>
        </w:rPr>
        <w:t>（</w:t>
      </w:r>
      <w:r>
        <w:rPr>
          <w:color w:val="000000" w:themeColor="text1"/>
          <w:sz w:val="28"/>
          <w14:textFill>
            <w14:solidFill>
              <w14:schemeClr w14:val="tx1"/>
            </w14:solidFill>
          </w14:textFill>
        </w:rPr>
        <w:t>GB/T33000-2016</w:t>
      </w:r>
      <w:r>
        <w:rPr>
          <w:rFonts w:hint="eastAsia"/>
          <w:color w:val="000000" w:themeColor="text1"/>
          <w:sz w:val="28"/>
          <w:lang w:eastAsia="zh-CN"/>
          <w14:textFill>
            <w14:solidFill>
              <w14:schemeClr w14:val="tx1"/>
            </w14:solidFill>
          </w14:textFill>
        </w:rPr>
        <w:t>）</w:t>
      </w:r>
    </w:p>
    <w:p>
      <w:pPr>
        <w:pStyle w:val="126"/>
        <w:numPr>
          <w:ilvl w:val="0"/>
          <w:numId w:val="8"/>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《用电安全导则》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GB/T13869-20</w:t>
      </w:r>
      <w:r>
        <w:rPr>
          <w:rFonts w:hint="eastAsia"/>
          <w:color w:val="000000" w:themeColor="text1"/>
          <w:sz w:val="28"/>
          <w:lang w:val="en-US" w:eastAsia="zh-CN"/>
          <w14:textFill>
            <w14:solidFill>
              <w14:schemeClr w14:val="tx1"/>
            </w14:solidFill>
          </w14:textFill>
        </w:rPr>
        <w:t>17</w:t>
      </w:r>
      <w:r>
        <w:rPr>
          <w:rFonts w:hint="eastAsia"/>
          <w:color w:val="000000" w:themeColor="text1"/>
          <w:sz w:val="28"/>
          <w:lang w:eastAsia="zh-CN"/>
          <w14:textFill>
            <w14:solidFill>
              <w14:schemeClr w14:val="tx1"/>
            </w14:solidFill>
          </w14:textFill>
        </w:rPr>
        <w:t>）</w:t>
      </w:r>
    </w:p>
    <w:p>
      <w:pPr>
        <w:pStyle w:val="126"/>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firstLine="560"/>
        <w:jc w:val="left"/>
        <w:textAlignment w:val="auto"/>
        <w:rPr>
          <w:rFonts w:hint="eastAsia"/>
          <w:b w:val="0"/>
          <w:bCs w:val="0"/>
          <w:color w:val="000000" w:themeColor="text1"/>
          <w:sz w:val="28"/>
          <w14:textFill>
            <w14:solidFill>
              <w14:schemeClr w14:val="tx1"/>
            </w14:solidFill>
          </w14:textFill>
        </w:rPr>
      </w:pPr>
      <w:r>
        <w:rPr>
          <w:rFonts w:hint="eastAsia"/>
          <w:b w:val="0"/>
          <w:bCs w:val="0"/>
          <w:color w:val="000000" w:themeColor="text1"/>
          <w:sz w:val="28"/>
          <w:lang w:val="en-US" w:eastAsia="zh-CN"/>
          <w14:textFill>
            <w14:solidFill>
              <w14:schemeClr w14:val="tx1"/>
            </w14:solidFill>
          </w14:textFill>
        </w:rPr>
        <w:t>《生产经营单位生产安全事故应急预案编制导则》（GB/T29639-2020）</w:t>
      </w:r>
    </w:p>
    <w:p>
      <w:pPr>
        <w:pStyle w:val="126"/>
        <w:numPr>
          <w:ilvl w:val="0"/>
          <w:numId w:val="8"/>
        </w:numPr>
        <w:adjustRightInd w:val="0"/>
        <w:snapToGrid w:val="0"/>
        <w:spacing w:line="360" w:lineRule="auto"/>
        <w:ind w:left="0" w:firstLine="560"/>
        <w:rPr>
          <w:rFonts w:hint="default"/>
          <w:color w:val="000000" w:themeColor="text1"/>
          <w:sz w:val="28"/>
          <w14:textFill>
            <w14:solidFill>
              <w14:schemeClr w14:val="tx1"/>
            </w14:solidFill>
          </w14:textFill>
        </w:rPr>
      </w:pPr>
      <w:r>
        <w:rPr>
          <w:rFonts w:hint="default"/>
          <w:color w:val="000000" w:themeColor="text1"/>
          <w:sz w:val="28"/>
          <w14:textFill>
            <w14:solidFill>
              <w14:schemeClr w14:val="tx1"/>
            </w14:solidFill>
          </w14:textFill>
        </w:rPr>
        <w:t>《</w:t>
      </w:r>
      <w:r>
        <w:rPr>
          <w:rFonts w:hint="eastAsia"/>
          <w:sz w:val="28"/>
          <w:szCs w:val="28"/>
          <w:lang w:eastAsia="zh-CN"/>
        </w:rPr>
        <w:t>工业锅炉水质</w:t>
      </w:r>
      <w:r>
        <w:rPr>
          <w:rFonts w:hint="default"/>
          <w:color w:val="000000" w:themeColor="text1"/>
          <w:sz w:val="28"/>
          <w14:textFill>
            <w14:solidFill>
              <w14:schemeClr w14:val="tx1"/>
            </w14:solidFill>
          </w14:textFill>
        </w:rPr>
        <w:t>》（GB</w:t>
      </w:r>
      <w:r>
        <w:rPr>
          <w:rFonts w:hint="eastAsia"/>
          <w:color w:val="000000" w:themeColor="text1"/>
          <w:sz w:val="28"/>
          <w:lang w:val="en-US" w:eastAsia="zh-CN"/>
          <w14:textFill>
            <w14:solidFill>
              <w14:schemeClr w14:val="tx1"/>
            </w14:solidFill>
          </w14:textFill>
        </w:rPr>
        <w:t>/T1576</w:t>
      </w:r>
      <w:r>
        <w:rPr>
          <w:rFonts w:hint="default"/>
          <w:color w:val="000000" w:themeColor="text1"/>
          <w:sz w:val="28"/>
          <w14:textFill>
            <w14:solidFill>
              <w14:schemeClr w14:val="tx1"/>
            </w14:solidFill>
          </w14:textFill>
        </w:rPr>
        <w:t>-</w:t>
      </w:r>
      <w:r>
        <w:rPr>
          <w:rFonts w:hint="eastAsia"/>
          <w:color w:val="000000" w:themeColor="text1"/>
          <w:sz w:val="28"/>
          <w:lang w:val="en-US" w:eastAsia="zh-CN"/>
          <w14:textFill>
            <w14:solidFill>
              <w14:schemeClr w14:val="tx1"/>
            </w14:solidFill>
          </w14:textFill>
        </w:rPr>
        <w:t>2018</w:t>
      </w:r>
      <w:r>
        <w:rPr>
          <w:rFonts w:hint="default"/>
          <w:color w:val="000000" w:themeColor="text1"/>
          <w:sz w:val="28"/>
          <w14:textFill>
            <w14:solidFill>
              <w14:schemeClr w14:val="tx1"/>
            </w14:solidFill>
          </w14:textFill>
        </w:rPr>
        <w:t>）</w:t>
      </w:r>
    </w:p>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1.2.7 行业、地方标准</w:t>
      </w:r>
    </w:p>
    <w:p>
      <w:pPr>
        <w:pStyle w:val="260"/>
        <w:numPr>
          <w:ilvl w:val="0"/>
          <w:numId w:val="9"/>
        </w:numPr>
        <w:adjustRightInd w:val="0"/>
        <w:snapToGrid w:val="0"/>
        <w:spacing w:line="360" w:lineRule="auto"/>
        <w:ind w:left="0" w:firstLine="544"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w:t>
      </w:r>
      <w:r>
        <w:rPr>
          <w:rFonts w:hint="eastAsia"/>
          <w:sz w:val="28"/>
          <w:szCs w:val="28"/>
        </w:rPr>
        <w:t>石</w:t>
      </w:r>
      <w:r>
        <w:rPr>
          <w:rFonts w:hint="eastAsia"/>
          <w:bCs/>
          <w:color w:val="000000" w:themeColor="text1"/>
          <w:spacing w:val="-4"/>
          <w:sz w:val="28"/>
          <w:szCs w:val="28"/>
          <w14:textFill>
            <w14:solidFill>
              <w14:schemeClr w14:val="tx1"/>
            </w14:solidFill>
          </w14:textFill>
        </w:rPr>
        <w:t>油天然气安全规程》</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AQ2012-2007</w:t>
      </w:r>
      <w:r>
        <w:rPr>
          <w:rFonts w:hint="eastAsia"/>
          <w:bCs/>
          <w:color w:val="000000" w:themeColor="text1"/>
          <w:spacing w:val="-4"/>
          <w:sz w:val="28"/>
          <w:szCs w:val="28"/>
          <w:lang w:eastAsia="zh-CN"/>
          <w14:textFill>
            <w14:solidFill>
              <w14:schemeClr w14:val="tx1"/>
            </w14:solidFill>
          </w14:textFill>
        </w:rPr>
        <w:t>）</w:t>
      </w:r>
    </w:p>
    <w:p>
      <w:pPr>
        <w:pStyle w:val="260"/>
        <w:numPr>
          <w:ilvl w:val="0"/>
          <w:numId w:val="9"/>
        </w:numPr>
        <w:adjustRightInd w:val="0"/>
        <w:snapToGrid w:val="0"/>
        <w:spacing w:line="360" w:lineRule="auto"/>
        <w:ind w:left="0" w:firstLine="544" w:firstLineChars="0"/>
        <w:rPr>
          <w:color w:val="000000" w:themeColor="text1"/>
          <w:sz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《石油行业安全生产标准化</w:t>
      </w:r>
      <w:r>
        <w:rPr>
          <w:rFonts w:hint="eastAsia"/>
          <w:bCs/>
          <w:color w:val="000000" w:themeColor="text1"/>
          <w:spacing w:val="-4"/>
          <w:sz w:val="28"/>
          <w:szCs w:val="28"/>
          <w:lang w:val="en-US" w:eastAsia="zh-CN"/>
          <w14:textFill>
            <w14:solidFill>
              <w14:schemeClr w14:val="tx1"/>
            </w14:solidFill>
          </w14:textFill>
        </w:rPr>
        <w:t xml:space="preserve"> </w:t>
      </w:r>
      <w:r>
        <w:rPr>
          <w:rFonts w:hint="eastAsia"/>
          <w:bCs/>
          <w:color w:val="000000" w:themeColor="text1"/>
          <w:spacing w:val="-4"/>
          <w:sz w:val="28"/>
          <w:szCs w:val="28"/>
          <w14:textFill>
            <w14:solidFill>
              <w14:schemeClr w14:val="tx1"/>
            </w14:solidFill>
          </w14:textFill>
        </w:rPr>
        <w:t>井下作业实施规范》</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AQ2041-2012</w:t>
      </w:r>
      <w:r>
        <w:rPr>
          <w:rFonts w:hint="eastAsia"/>
          <w:bCs/>
          <w:color w:val="000000" w:themeColor="text1"/>
          <w:spacing w:val="-4"/>
          <w:sz w:val="28"/>
          <w:szCs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《安全评价通则》</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AQ8001-2007</w:t>
      </w:r>
      <w:r>
        <w:rPr>
          <w:rFonts w:hint="eastAsia"/>
          <w:color w:val="000000" w:themeColor="text1"/>
          <w:sz w:val="28"/>
          <w:lang w:eastAsia="zh-CN"/>
          <w14:textFill>
            <w14:solidFill>
              <w14:schemeClr w14:val="tx1"/>
            </w14:solidFill>
          </w14:textFill>
        </w:rPr>
        <w:t>）</w:t>
      </w:r>
    </w:p>
    <w:p>
      <w:pPr>
        <w:pStyle w:val="126"/>
        <w:numPr>
          <w:ilvl w:val="0"/>
          <w:numId w:val="9"/>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w:t>
      </w:r>
      <w:r>
        <w:rPr>
          <w:rFonts w:hint="eastAsia"/>
          <w:color w:val="000000" w:themeColor="text1"/>
          <w:sz w:val="28"/>
          <w:lang w:val="en-US" w:eastAsia="zh-CN"/>
          <w14:textFill>
            <w14:solidFill>
              <w14:schemeClr w14:val="tx1"/>
            </w14:solidFill>
          </w14:textFill>
        </w:rPr>
        <w:t>生产安全事故应急演练基本规范</w:t>
      </w:r>
      <w:r>
        <w:rPr>
          <w:rFonts w:hint="eastAsia"/>
          <w:color w:val="000000" w:themeColor="text1"/>
          <w:sz w:val="28"/>
          <w14:textFill>
            <w14:solidFill>
              <w14:schemeClr w14:val="tx1"/>
            </w14:solidFill>
          </w14:textFill>
        </w:rPr>
        <w:t>》（AQ</w:t>
      </w:r>
      <w:r>
        <w:rPr>
          <w:rFonts w:hint="eastAsia"/>
          <w:color w:val="000000" w:themeColor="text1"/>
          <w:sz w:val="28"/>
          <w:lang w:val="en-US" w:eastAsia="zh-CN"/>
          <w14:textFill>
            <w14:solidFill>
              <w14:schemeClr w14:val="tx1"/>
            </w14:solidFill>
          </w14:textFill>
        </w:rPr>
        <w:t>/T9007</w:t>
      </w:r>
      <w:r>
        <w:rPr>
          <w:rFonts w:hint="eastAsia"/>
          <w:color w:val="000000" w:themeColor="text1"/>
          <w:sz w:val="28"/>
          <w14:textFill>
            <w14:solidFill>
              <w14:schemeClr w14:val="tx1"/>
            </w14:solidFill>
          </w14:textFill>
        </w:rPr>
        <w:t>-20</w:t>
      </w:r>
      <w:r>
        <w:rPr>
          <w:rFonts w:hint="eastAsia"/>
          <w:color w:val="000000" w:themeColor="text1"/>
          <w:sz w:val="28"/>
          <w:lang w:val="en-US" w:eastAsia="zh-CN"/>
          <w14:textFill>
            <w14:solidFill>
              <w14:schemeClr w14:val="tx1"/>
            </w14:solidFill>
          </w14:textFill>
        </w:rPr>
        <w:t>19</w:t>
      </w:r>
      <w:r>
        <w:rPr>
          <w:rFonts w:hint="eastAsia"/>
          <w:color w:val="000000" w:themeColor="text1"/>
          <w:sz w:val="28"/>
          <w14:textFill>
            <w14:solidFill>
              <w14:schemeClr w14:val="tx1"/>
            </w14:solidFill>
          </w14:textFill>
        </w:rPr>
        <w:t>）</w:t>
      </w:r>
    </w:p>
    <w:p>
      <w:pPr>
        <w:pStyle w:val="126"/>
        <w:numPr>
          <w:ilvl w:val="0"/>
          <w:numId w:val="9"/>
        </w:numPr>
        <w:adjustRightInd w:val="0"/>
        <w:snapToGrid w:val="0"/>
        <w:spacing w:line="360" w:lineRule="auto"/>
        <w:ind w:left="0" w:firstLine="560"/>
        <w:rPr>
          <w:rFonts w:hint="eastAsia"/>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w:t>
      </w:r>
      <w:r>
        <w:rPr>
          <w:rFonts w:hint="eastAsia"/>
          <w:color w:val="000000" w:themeColor="text1"/>
          <w:sz w:val="28"/>
          <w:lang w:val="en-US" w:eastAsia="zh-CN"/>
          <w14:textFill>
            <w14:solidFill>
              <w14:schemeClr w14:val="tx1"/>
            </w14:solidFill>
          </w14:textFill>
        </w:rPr>
        <w:t>生产安全事故应急演练评估规范</w:t>
      </w:r>
      <w:r>
        <w:rPr>
          <w:rFonts w:hint="eastAsia"/>
          <w:color w:val="000000" w:themeColor="text1"/>
          <w:sz w:val="28"/>
          <w14:textFill>
            <w14:solidFill>
              <w14:schemeClr w14:val="tx1"/>
            </w14:solidFill>
          </w14:textFill>
        </w:rPr>
        <w:t>》（AQ</w:t>
      </w:r>
      <w:r>
        <w:rPr>
          <w:rFonts w:hint="eastAsia"/>
          <w:color w:val="000000" w:themeColor="text1"/>
          <w:sz w:val="28"/>
          <w:lang w:val="en-US" w:eastAsia="zh-CN"/>
          <w14:textFill>
            <w14:solidFill>
              <w14:schemeClr w14:val="tx1"/>
            </w14:solidFill>
          </w14:textFill>
        </w:rPr>
        <w:t>/T9009</w:t>
      </w:r>
      <w:r>
        <w:rPr>
          <w:rFonts w:hint="eastAsia"/>
          <w:color w:val="000000" w:themeColor="text1"/>
          <w:sz w:val="28"/>
          <w14:textFill>
            <w14:solidFill>
              <w14:schemeClr w14:val="tx1"/>
            </w14:solidFill>
          </w14:textFill>
        </w:rPr>
        <w:t>-20</w:t>
      </w:r>
      <w:r>
        <w:rPr>
          <w:rFonts w:hint="eastAsia"/>
          <w:color w:val="000000" w:themeColor="text1"/>
          <w:sz w:val="28"/>
          <w:lang w:val="en-US" w:eastAsia="zh-CN"/>
          <w14:textFill>
            <w14:solidFill>
              <w14:schemeClr w14:val="tx1"/>
            </w14:solidFill>
          </w14:textFill>
        </w:rPr>
        <w:t>15</w:t>
      </w:r>
      <w:r>
        <w:rPr>
          <w:rFonts w:hint="eastAsia"/>
          <w:color w:val="000000" w:themeColor="text1"/>
          <w:sz w:val="28"/>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60"/>
        <w:jc w:val="left"/>
        <w:textAlignment w:val="auto"/>
        <w:rPr>
          <w:bCs/>
          <w:color w:val="000000" w:themeColor="text1"/>
          <w:spacing w:val="-4"/>
          <w:sz w:val="28"/>
          <w:szCs w:val="28"/>
          <w14:textFill>
            <w14:solidFill>
              <w14:schemeClr w14:val="tx1"/>
            </w14:solidFill>
          </w14:textFill>
        </w:rPr>
      </w:pPr>
      <w:r>
        <w:rPr>
          <w:rFonts w:hint="eastAsia"/>
          <w:color w:val="000000" w:themeColor="text1"/>
          <w:sz w:val="28"/>
          <w14:textFill>
            <w14:solidFill>
              <w14:schemeClr w14:val="tx1"/>
            </w14:solidFill>
          </w14:textFill>
        </w:rPr>
        <w:t>《</w:t>
      </w:r>
      <w:r>
        <w:rPr>
          <w:rFonts w:hint="eastAsia"/>
          <w:color w:val="000000" w:themeColor="text1"/>
          <w:sz w:val="28"/>
          <w:lang w:val="en-US" w:eastAsia="zh-CN"/>
          <w14:textFill>
            <w14:solidFill>
              <w14:schemeClr w14:val="tx1"/>
            </w14:solidFill>
          </w14:textFill>
        </w:rPr>
        <w:t>生产经营单位生产安全事故应急预案评估指南</w:t>
      </w:r>
      <w:r>
        <w:rPr>
          <w:rFonts w:hint="eastAsia"/>
          <w:color w:val="000000" w:themeColor="text1"/>
          <w:sz w:val="28"/>
          <w14:textFill>
            <w14:solidFill>
              <w14:schemeClr w14:val="tx1"/>
            </w14:solidFill>
          </w14:textFill>
        </w:rPr>
        <w:t>》（AQ</w:t>
      </w:r>
      <w:r>
        <w:rPr>
          <w:rFonts w:hint="eastAsia"/>
          <w:color w:val="000000" w:themeColor="text1"/>
          <w:sz w:val="28"/>
          <w:lang w:val="en-US" w:eastAsia="zh-CN"/>
          <w14:textFill>
            <w14:solidFill>
              <w14:schemeClr w14:val="tx1"/>
            </w14:solidFill>
          </w14:textFill>
        </w:rPr>
        <w:t>/T9011</w:t>
      </w:r>
      <w:r>
        <w:rPr>
          <w:rFonts w:hint="eastAsia"/>
          <w:color w:val="000000" w:themeColor="text1"/>
          <w:sz w:val="28"/>
          <w14:textFill>
            <w14:solidFill>
              <w14:schemeClr w14:val="tx1"/>
            </w14:solidFill>
          </w14:textFill>
        </w:rPr>
        <w:t>-20</w:t>
      </w:r>
      <w:r>
        <w:rPr>
          <w:rFonts w:hint="eastAsia"/>
          <w:color w:val="000000" w:themeColor="text1"/>
          <w:sz w:val="28"/>
          <w:lang w:val="en-US" w:eastAsia="zh-CN"/>
          <w14:textFill>
            <w14:solidFill>
              <w14:schemeClr w14:val="tx1"/>
            </w14:solidFill>
          </w14:textFill>
        </w:rPr>
        <w:t>19</w:t>
      </w:r>
      <w:r>
        <w:rPr>
          <w:rFonts w:hint="eastAsia"/>
          <w:color w:val="000000" w:themeColor="text1"/>
          <w:sz w:val="28"/>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60"/>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《稠油注汽系统设计规范》</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 xml:space="preserve">SY/T </w:t>
      </w:r>
      <w:r>
        <w:rPr>
          <w:rFonts w:hint="eastAsia"/>
          <w:bCs/>
          <w:color w:val="000000" w:themeColor="text1"/>
          <w:spacing w:val="-4"/>
          <w:sz w:val="28"/>
          <w:szCs w:val="28"/>
          <w:lang w:val="en-US" w:eastAsia="zh-CN"/>
          <w14:textFill>
            <w14:solidFill>
              <w14:schemeClr w14:val="tx1"/>
            </w14:solidFill>
          </w14:textFill>
        </w:rPr>
        <w:t>00</w:t>
      </w:r>
      <w:r>
        <w:rPr>
          <w:rFonts w:hint="eastAsia"/>
          <w:bCs/>
          <w:color w:val="000000" w:themeColor="text1"/>
          <w:spacing w:val="-4"/>
          <w:sz w:val="28"/>
          <w:szCs w:val="28"/>
          <w14:textFill>
            <w14:solidFill>
              <w14:schemeClr w14:val="tx1"/>
            </w14:solidFill>
          </w14:textFill>
        </w:rPr>
        <w:t>27-20</w:t>
      </w:r>
      <w:r>
        <w:rPr>
          <w:rFonts w:hint="eastAsia"/>
          <w:bCs/>
          <w:color w:val="000000" w:themeColor="text1"/>
          <w:spacing w:val="-4"/>
          <w:sz w:val="28"/>
          <w:szCs w:val="28"/>
          <w:lang w:val="en-US" w:eastAsia="zh-CN"/>
          <w14:textFill>
            <w14:solidFill>
              <w14:schemeClr w14:val="tx1"/>
            </w14:solidFill>
          </w14:textFill>
        </w:rPr>
        <w:t>14</w:t>
      </w:r>
      <w:r>
        <w:rPr>
          <w:rFonts w:hint="eastAsia"/>
          <w:bCs/>
          <w:color w:val="000000" w:themeColor="text1"/>
          <w:spacing w:val="-4"/>
          <w:sz w:val="28"/>
          <w:szCs w:val="28"/>
          <w:lang w:eastAsia="zh-CN"/>
          <w14:textFill>
            <w14:solidFill>
              <w14:schemeClr w14:val="tx1"/>
            </w14:solidFill>
          </w14:textFill>
        </w:rPr>
        <w:t>）</w:t>
      </w:r>
    </w:p>
    <w:p>
      <w:pPr>
        <w:pStyle w:val="126"/>
        <w:numPr>
          <w:ilvl w:val="0"/>
          <w:numId w:val="9"/>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w:t>
      </w:r>
      <w:r>
        <w:rPr>
          <w:rFonts w:hint="default"/>
          <w:bCs/>
          <w:color w:val="000000" w:themeColor="text1"/>
          <w:spacing w:val="-4"/>
          <w:sz w:val="28"/>
          <w:szCs w:val="28"/>
          <w14:textFill>
            <w14:solidFill>
              <w14:schemeClr w14:val="tx1"/>
            </w14:solidFill>
          </w14:textFill>
        </w:rPr>
        <w:t>油田注汽锅炉制造安装技术规范</w:t>
      </w:r>
      <w:r>
        <w:rPr>
          <w:rFonts w:hint="eastAsia"/>
          <w:bCs/>
          <w:color w:val="000000" w:themeColor="text1"/>
          <w:spacing w:val="-4"/>
          <w:sz w:val="28"/>
          <w:szCs w:val="28"/>
          <w14:textFill>
            <w14:solidFill>
              <w14:schemeClr w14:val="tx1"/>
            </w14:solidFill>
          </w14:textFill>
        </w:rPr>
        <w:t>》</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 xml:space="preserve">SY/T </w:t>
      </w:r>
      <w:r>
        <w:rPr>
          <w:rFonts w:hint="eastAsia"/>
          <w:bCs/>
          <w:color w:val="000000" w:themeColor="text1"/>
          <w:spacing w:val="-4"/>
          <w:sz w:val="28"/>
          <w:szCs w:val="28"/>
          <w:lang w:val="en-US" w:eastAsia="zh-CN"/>
          <w14:textFill>
            <w14:solidFill>
              <w14:schemeClr w14:val="tx1"/>
            </w14:solidFill>
          </w14:textFill>
        </w:rPr>
        <w:t>0441</w:t>
      </w:r>
      <w:r>
        <w:rPr>
          <w:rFonts w:hint="eastAsia"/>
          <w:bCs/>
          <w:color w:val="000000" w:themeColor="text1"/>
          <w:spacing w:val="-4"/>
          <w:sz w:val="28"/>
          <w:szCs w:val="28"/>
          <w14:textFill>
            <w14:solidFill>
              <w14:schemeClr w14:val="tx1"/>
            </w14:solidFill>
          </w14:textFill>
        </w:rPr>
        <w:t>-20</w:t>
      </w:r>
      <w:r>
        <w:rPr>
          <w:rFonts w:hint="eastAsia"/>
          <w:bCs/>
          <w:color w:val="000000" w:themeColor="text1"/>
          <w:spacing w:val="-4"/>
          <w:sz w:val="28"/>
          <w:szCs w:val="28"/>
          <w:lang w:val="en-US" w:eastAsia="zh-CN"/>
          <w14:textFill>
            <w14:solidFill>
              <w14:schemeClr w14:val="tx1"/>
            </w14:solidFill>
          </w14:textFill>
        </w:rPr>
        <w:t>18）</w:t>
      </w:r>
    </w:p>
    <w:p>
      <w:pPr>
        <w:pStyle w:val="126"/>
        <w:numPr>
          <w:ilvl w:val="0"/>
          <w:numId w:val="9"/>
        </w:numPr>
        <w:adjustRightInd w:val="0"/>
        <w:snapToGrid w:val="0"/>
        <w:spacing w:line="360" w:lineRule="auto"/>
        <w:ind w:left="0" w:firstLine="560"/>
        <w:rPr>
          <w:bCs/>
          <w:color w:val="000000" w:themeColor="text1"/>
          <w:spacing w:val="-4"/>
          <w:sz w:val="28"/>
          <w:szCs w:val="28"/>
          <w14:textFill>
            <w14:solidFill>
              <w14:schemeClr w14:val="tx1"/>
            </w14:solidFill>
          </w14:textFill>
        </w:rPr>
      </w:pPr>
      <w:r>
        <w:rPr>
          <w:rFonts w:hint="eastAsia"/>
          <w:color w:val="000000" w:themeColor="text1"/>
          <w:sz w:val="28"/>
          <w14:textFill>
            <w14:solidFill>
              <w14:schemeClr w14:val="tx1"/>
            </w14:solidFill>
          </w14:textFill>
        </w:rPr>
        <w:t>《</w:t>
      </w:r>
      <w:r>
        <w:rPr>
          <w:rFonts w:hint="eastAsia"/>
          <w:bCs/>
          <w:color w:val="000000" w:themeColor="text1"/>
          <w:spacing w:val="-4"/>
          <w:sz w:val="28"/>
          <w:szCs w:val="28"/>
          <w14:textFill>
            <w14:solidFill>
              <w14:schemeClr w14:val="tx1"/>
            </w14:solidFill>
          </w14:textFill>
        </w:rPr>
        <w:t>石油天然气钻井、开发、储运防火防爆安全生产技术规程》</w:t>
      </w:r>
      <w:r>
        <w:rPr>
          <w:rFonts w:hint="eastAsia"/>
          <w:bCs/>
          <w:color w:val="000000" w:themeColor="text1"/>
          <w:spacing w:val="-4"/>
          <w:sz w:val="28"/>
          <w:szCs w:val="28"/>
          <w:lang w:val="en-US"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w:t>
      </w:r>
      <w:r>
        <w:rPr>
          <w:rFonts w:hint="eastAsia"/>
          <w:bCs/>
          <w:color w:val="000000" w:themeColor="text1"/>
          <w:spacing w:val="-4"/>
          <w:sz w:val="28"/>
          <w:szCs w:val="28"/>
          <w:lang w:val="en-US" w:eastAsia="zh-CN"/>
          <w14:textFill>
            <w14:solidFill>
              <w14:schemeClr w14:val="tx1"/>
            </w14:solidFill>
          </w14:textFill>
        </w:rPr>
        <w:t>/T</w:t>
      </w:r>
      <w:r>
        <w:rPr>
          <w:rFonts w:hint="eastAsia"/>
          <w:bCs/>
          <w:color w:val="000000" w:themeColor="text1"/>
          <w:spacing w:val="-4"/>
          <w:sz w:val="28"/>
          <w:szCs w:val="28"/>
          <w14:textFill>
            <w14:solidFill>
              <w14:schemeClr w14:val="tx1"/>
            </w14:solidFill>
          </w14:textFill>
        </w:rPr>
        <w:t>5225-201</w:t>
      </w:r>
      <w:r>
        <w:rPr>
          <w:rFonts w:hint="eastAsia"/>
          <w:bCs/>
          <w:color w:val="000000" w:themeColor="text1"/>
          <w:spacing w:val="-4"/>
          <w:sz w:val="28"/>
          <w:szCs w:val="28"/>
          <w:lang w:val="en-US" w:eastAsia="zh-CN"/>
          <w14:textFill>
            <w14:solidFill>
              <w14:schemeClr w14:val="tx1"/>
            </w14:solidFill>
          </w14:textFill>
        </w:rPr>
        <w:t>9）</w:t>
      </w:r>
    </w:p>
    <w:p>
      <w:pPr>
        <w:pStyle w:val="126"/>
        <w:numPr>
          <w:ilvl w:val="0"/>
          <w:numId w:val="9"/>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《井下作业安全规程》</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 5727-20</w:t>
      </w:r>
      <w:r>
        <w:rPr>
          <w:rFonts w:hint="eastAsia"/>
          <w:bCs/>
          <w:color w:val="000000" w:themeColor="text1"/>
          <w:spacing w:val="-4"/>
          <w:sz w:val="28"/>
          <w:szCs w:val="28"/>
          <w:lang w:val="en-US" w:eastAsia="zh-CN"/>
          <w14:textFill>
            <w14:solidFill>
              <w14:schemeClr w14:val="tx1"/>
            </w14:solidFill>
          </w14:textFill>
        </w:rPr>
        <w:t>20</w:t>
      </w:r>
      <w:r>
        <w:rPr>
          <w:rFonts w:hint="eastAsia"/>
          <w:bCs/>
          <w:color w:val="000000" w:themeColor="text1"/>
          <w:spacing w:val="-4"/>
          <w:sz w:val="28"/>
          <w:szCs w:val="28"/>
          <w:lang w:eastAsia="zh-CN"/>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60"/>
        <w:jc w:val="left"/>
        <w:textAlignment w:val="auto"/>
        <w:rPr>
          <w:bCs/>
          <w:color w:val="000000" w:themeColor="text1"/>
          <w:spacing w:val="-4"/>
          <w:sz w:val="28"/>
          <w:szCs w:val="28"/>
          <w14:textFill>
            <w14:solidFill>
              <w14:schemeClr w14:val="tx1"/>
            </w14:solidFill>
          </w14:textFill>
        </w:rPr>
      </w:pPr>
      <w:r>
        <w:rPr>
          <w:rFonts w:hint="eastAsia" w:ascii="Times New Roman" w:hAnsi="Times New Roman" w:eastAsia="宋体" w:cs="Times New Roman"/>
          <w:color w:val="000000" w:themeColor="text1"/>
          <w:sz w:val="28"/>
          <w14:textFill>
            <w14:solidFill>
              <w14:schemeClr w14:val="tx1"/>
            </w14:solidFill>
          </w14:textFill>
        </w:rPr>
        <w:t>《石油与天然气井井控安全技术考核管理规则》</w:t>
      </w:r>
      <w:r>
        <w:rPr>
          <w:rFonts w:hint="eastAsia"/>
          <w:color w:val="000000" w:themeColor="text1"/>
          <w:sz w:val="28"/>
          <w14:textFill>
            <w14:solidFill>
              <w14:schemeClr w14:val="tx1"/>
            </w14:solidFill>
          </w14:textFill>
        </w:rPr>
        <w:t>（SY</w:t>
      </w:r>
      <w:r>
        <w:rPr>
          <w:rFonts w:hint="eastAsia"/>
          <w:color w:val="000000" w:themeColor="text1"/>
          <w:sz w:val="28"/>
          <w:lang w:val="en-US" w:eastAsia="zh-CN"/>
          <w14:textFill>
            <w14:solidFill>
              <w14:schemeClr w14:val="tx1"/>
            </w14:solidFill>
          </w14:textFill>
        </w:rPr>
        <w:t>/T</w:t>
      </w:r>
      <w:r>
        <w:rPr>
          <w:rFonts w:hint="eastAsia"/>
          <w:color w:val="000000" w:themeColor="text1"/>
          <w:sz w:val="28"/>
          <w14:textFill>
            <w14:solidFill>
              <w14:schemeClr w14:val="tx1"/>
            </w14:solidFill>
          </w14:textFill>
        </w:rPr>
        <w:t>5742-20</w:t>
      </w:r>
      <w:r>
        <w:rPr>
          <w:rFonts w:hint="eastAsia"/>
          <w:color w:val="000000" w:themeColor="text1"/>
          <w:sz w:val="28"/>
          <w:lang w:val="en-US" w:eastAsia="zh-CN"/>
          <w14:textFill>
            <w14:solidFill>
              <w14:schemeClr w14:val="tx1"/>
            </w14:solidFill>
          </w14:textFill>
        </w:rPr>
        <w:t>19</w:t>
      </w:r>
      <w:r>
        <w:rPr>
          <w:rFonts w:hint="eastAsia"/>
          <w:color w:val="000000" w:themeColor="text1"/>
          <w:sz w:val="28"/>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60"/>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w:t>
      </w:r>
      <w:r>
        <w:rPr>
          <w:rFonts w:hint="default"/>
          <w:bCs/>
          <w:color w:val="000000" w:themeColor="text1"/>
          <w:spacing w:val="-4"/>
          <w:sz w:val="28"/>
          <w:szCs w:val="28"/>
          <w14:textFill>
            <w14:solidFill>
              <w14:schemeClr w14:val="tx1"/>
            </w14:solidFill>
          </w14:textFill>
        </w:rPr>
        <w:t>油田专用湿蒸汽发生器安全规范</w:t>
      </w:r>
      <w:r>
        <w:rPr>
          <w:rFonts w:hint="eastAsia"/>
          <w:bCs/>
          <w:color w:val="000000" w:themeColor="text1"/>
          <w:spacing w:val="-4"/>
          <w:sz w:val="28"/>
          <w:szCs w:val="28"/>
          <w14:textFill>
            <w14:solidFill>
              <w14:schemeClr w14:val="tx1"/>
            </w14:solidFill>
          </w14:textFill>
        </w:rPr>
        <w:t>》</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w:t>
      </w:r>
      <w:r>
        <w:rPr>
          <w:rFonts w:hint="eastAsia"/>
          <w:bCs/>
          <w:color w:val="000000" w:themeColor="text1"/>
          <w:spacing w:val="-4"/>
          <w:sz w:val="28"/>
          <w:szCs w:val="28"/>
          <w:lang w:val="en-US" w:eastAsia="zh-CN"/>
          <w14:textFill>
            <w14:solidFill>
              <w14:schemeClr w14:val="tx1"/>
            </w14:solidFill>
          </w14:textFill>
        </w:rPr>
        <w:t>5854</w:t>
      </w:r>
      <w:r>
        <w:rPr>
          <w:rFonts w:hint="eastAsia"/>
          <w:bCs/>
          <w:color w:val="000000" w:themeColor="text1"/>
          <w:spacing w:val="-4"/>
          <w:sz w:val="28"/>
          <w:szCs w:val="28"/>
          <w14:textFill>
            <w14:solidFill>
              <w14:schemeClr w14:val="tx1"/>
            </w14:solidFill>
          </w14:textFill>
        </w:rPr>
        <w:t>-20</w:t>
      </w:r>
      <w:r>
        <w:rPr>
          <w:rFonts w:hint="eastAsia"/>
          <w:bCs/>
          <w:color w:val="000000" w:themeColor="text1"/>
          <w:spacing w:val="-4"/>
          <w:sz w:val="28"/>
          <w:szCs w:val="28"/>
          <w:lang w:val="en-US" w:eastAsia="zh-CN"/>
          <w14:textFill>
            <w14:solidFill>
              <w14:schemeClr w14:val="tx1"/>
            </w14:solidFill>
          </w14:textFill>
        </w:rPr>
        <w:t>19）</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44" w:firstLineChars="200"/>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《油田注汽锅炉及配套水处理系统运行技术规程》</w:t>
      </w:r>
    </w:p>
    <w:p>
      <w:pPr>
        <w:pStyle w:val="12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 xml:space="preserve">SY/T </w:t>
      </w:r>
      <w:r>
        <w:rPr>
          <w:rFonts w:hint="eastAsia"/>
          <w:bCs/>
          <w:color w:val="000000" w:themeColor="text1"/>
          <w:spacing w:val="-4"/>
          <w:sz w:val="28"/>
          <w:szCs w:val="28"/>
          <w:lang w:val="en-US" w:eastAsia="zh-CN"/>
          <w14:textFill>
            <w14:solidFill>
              <w14:schemeClr w14:val="tx1"/>
            </w14:solidFill>
          </w14:textFill>
        </w:rPr>
        <w:t>6086</w:t>
      </w:r>
      <w:r>
        <w:rPr>
          <w:rFonts w:hint="eastAsia"/>
          <w:bCs/>
          <w:color w:val="000000" w:themeColor="text1"/>
          <w:spacing w:val="-4"/>
          <w:sz w:val="28"/>
          <w:szCs w:val="28"/>
          <w14:textFill>
            <w14:solidFill>
              <w14:schemeClr w14:val="tx1"/>
            </w14:solidFill>
          </w14:textFill>
        </w:rPr>
        <w:t>-20</w:t>
      </w:r>
      <w:r>
        <w:rPr>
          <w:rFonts w:hint="eastAsia"/>
          <w:bCs/>
          <w:color w:val="000000" w:themeColor="text1"/>
          <w:spacing w:val="-4"/>
          <w:sz w:val="28"/>
          <w:szCs w:val="28"/>
          <w:lang w:val="en-US" w:eastAsia="zh-CN"/>
          <w14:textFill>
            <w14:solidFill>
              <w14:schemeClr w14:val="tx1"/>
            </w14:solidFill>
          </w14:textFill>
        </w:rPr>
        <w:t>19）</w:t>
      </w:r>
    </w:p>
    <w:p>
      <w:pPr>
        <w:pStyle w:val="126"/>
        <w:numPr>
          <w:ilvl w:val="0"/>
          <w:numId w:val="9"/>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lang w:val="en-US" w:eastAsia="zh-CN"/>
          <w14:textFill>
            <w14:solidFill>
              <w14:schemeClr w14:val="tx1"/>
            </w14:solidFill>
          </w14:textFill>
        </w:rPr>
        <w:t>《蒸汽吞吐作业规程》（</w:t>
      </w:r>
      <w:r>
        <w:rPr>
          <w:bCs/>
          <w:color w:val="000000" w:themeColor="text1"/>
          <w:spacing w:val="-4"/>
          <w:sz w:val="28"/>
          <w:szCs w:val="28"/>
          <w14:textFill>
            <w14:solidFill>
              <w14:schemeClr w14:val="tx1"/>
            </w14:solidFill>
          </w14:textFill>
        </w:rPr>
        <w:t>SY</w:t>
      </w:r>
      <w:r>
        <w:rPr>
          <w:rFonts w:hint="eastAsia"/>
          <w:bCs/>
          <w:color w:val="000000" w:themeColor="text1"/>
          <w:spacing w:val="-4"/>
          <w:sz w:val="28"/>
          <w:szCs w:val="28"/>
          <w:lang w:val="en-US" w:eastAsia="zh-CN"/>
          <w14:textFill>
            <w14:solidFill>
              <w14:schemeClr w14:val="tx1"/>
            </w14:solidFill>
          </w14:textFill>
        </w:rPr>
        <w:t>/</w:t>
      </w:r>
      <w:r>
        <w:rPr>
          <w:bCs/>
          <w:color w:val="000000" w:themeColor="text1"/>
          <w:spacing w:val="-4"/>
          <w:sz w:val="28"/>
          <w:szCs w:val="28"/>
          <w14:textFill>
            <w14:solidFill>
              <w14:schemeClr w14:val="tx1"/>
            </w14:solidFill>
          </w14:textFill>
        </w:rPr>
        <w:t>T</w:t>
      </w:r>
      <w:r>
        <w:rPr>
          <w:rFonts w:hint="eastAsia"/>
          <w:bCs/>
          <w:color w:val="000000" w:themeColor="text1"/>
          <w:spacing w:val="-4"/>
          <w:sz w:val="28"/>
          <w:szCs w:val="28"/>
          <w:lang w:val="en-US" w:eastAsia="zh-CN"/>
          <w14:textFill>
            <w14:solidFill>
              <w14:schemeClr w14:val="tx1"/>
            </w14:solidFill>
          </w14:textFill>
        </w:rPr>
        <w:t>6089</w:t>
      </w:r>
      <w:r>
        <w:rPr>
          <w:bCs/>
          <w:color w:val="000000" w:themeColor="text1"/>
          <w:spacing w:val="-4"/>
          <w:sz w:val="28"/>
          <w:szCs w:val="28"/>
          <w14:textFill>
            <w14:solidFill>
              <w14:schemeClr w14:val="tx1"/>
            </w14:solidFill>
          </w14:textFill>
        </w:rPr>
        <w:t>-201</w:t>
      </w:r>
      <w:r>
        <w:rPr>
          <w:rFonts w:hint="eastAsia"/>
          <w:bCs/>
          <w:color w:val="000000" w:themeColor="text1"/>
          <w:spacing w:val="-4"/>
          <w:sz w:val="28"/>
          <w:szCs w:val="28"/>
          <w:lang w:val="en-US" w:eastAsia="zh-CN"/>
          <w14:textFill>
            <w14:solidFill>
              <w14:schemeClr w14:val="tx1"/>
            </w14:solidFill>
          </w14:textFill>
        </w:rPr>
        <w:t>2）</w:t>
      </w:r>
    </w:p>
    <w:p>
      <w:pPr>
        <w:pStyle w:val="126"/>
        <w:numPr>
          <w:ilvl w:val="0"/>
          <w:numId w:val="9"/>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lang w:val="en-US" w:eastAsia="zh-CN"/>
          <w14:textFill>
            <w14:solidFill>
              <w14:schemeClr w14:val="tx1"/>
            </w14:solidFill>
          </w14:textFill>
        </w:rPr>
        <w:t>《油气井井喷着火抢险作法》（</w:t>
      </w:r>
      <w:r>
        <w:rPr>
          <w:rFonts w:hint="default"/>
          <w:bCs/>
          <w:color w:val="000000" w:themeColor="text1"/>
          <w:spacing w:val="-4"/>
          <w:sz w:val="28"/>
          <w:szCs w:val="28"/>
          <w:lang w:val="en-US" w:eastAsia="zh-CN"/>
          <w14:textFill>
            <w14:solidFill>
              <w14:schemeClr w14:val="tx1"/>
            </w14:solidFill>
          </w14:textFill>
        </w:rPr>
        <w:t>SY/T6203-2014</w:t>
      </w:r>
      <w:r>
        <w:rPr>
          <w:rFonts w:hint="eastAsia"/>
          <w:bCs/>
          <w:color w:val="000000" w:themeColor="text1"/>
          <w:spacing w:val="-4"/>
          <w:sz w:val="28"/>
          <w:szCs w:val="28"/>
          <w:lang w:val="en-US" w:eastAsia="zh-CN"/>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60"/>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《石油天然气工业健康、安全与环境管理体系》</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SY/T6276-2014</w:t>
      </w:r>
      <w:r>
        <w:rPr>
          <w:rFonts w:hint="eastAsia"/>
          <w:bCs/>
          <w:color w:val="000000" w:themeColor="text1"/>
          <w:spacing w:val="-4"/>
          <w:sz w:val="28"/>
          <w:szCs w:val="28"/>
          <w:lang w:eastAsia="zh-CN"/>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60"/>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lang w:val="en-US" w:eastAsia="zh-CN"/>
          <w14:textFill>
            <w14:solidFill>
              <w14:schemeClr w14:val="tx1"/>
            </w14:solidFill>
          </w14:textFill>
        </w:rPr>
        <w:t>《硫化氢环境人身防护规范》（SY/T6277-2017）</w:t>
      </w:r>
    </w:p>
    <w:p>
      <w:pPr>
        <w:pStyle w:val="126"/>
        <w:numPr>
          <w:ilvl w:val="0"/>
          <w:numId w:val="9"/>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《防止静电、雷电和杂散电流引燃的措施》</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w:t>
      </w:r>
      <w:r>
        <w:rPr>
          <w:bCs/>
          <w:color w:val="000000" w:themeColor="text1"/>
          <w:spacing w:val="-4"/>
          <w:sz w:val="28"/>
          <w:szCs w:val="28"/>
          <w14:textFill>
            <w14:solidFill>
              <w14:schemeClr w14:val="tx1"/>
            </w14:solidFill>
          </w14:textFill>
        </w:rPr>
        <w:t>Y/T 6319-2016</w:t>
      </w:r>
      <w:r>
        <w:rPr>
          <w:rFonts w:hint="eastAsia"/>
          <w:bCs/>
          <w:color w:val="000000" w:themeColor="text1"/>
          <w:spacing w:val="-4"/>
          <w:sz w:val="28"/>
          <w:szCs w:val="28"/>
          <w:lang w:eastAsia="zh-CN"/>
          <w14:textFill>
            <w14:solidFill>
              <w14:schemeClr w14:val="tx1"/>
            </w14:solidFill>
          </w14:textFill>
        </w:rPr>
        <w:t>）</w:t>
      </w:r>
    </w:p>
    <w:p>
      <w:pPr>
        <w:pStyle w:val="126"/>
        <w:numPr>
          <w:ilvl w:val="0"/>
          <w:numId w:val="9"/>
        </w:numPr>
        <w:adjustRightInd w:val="0"/>
        <w:snapToGrid w:val="0"/>
        <w:spacing w:line="360" w:lineRule="auto"/>
        <w:ind w:firstLineChars="0"/>
        <w:rPr>
          <w:rFonts w:hint="eastAsia"/>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《稠油注汽</w:t>
      </w:r>
      <w:r>
        <w:rPr>
          <w:rFonts w:hint="eastAsia"/>
          <w:bCs/>
          <w:color w:val="000000" w:themeColor="text1"/>
          <w:spacing w:val="-4"/>
          <w:sz w:val="28"/>
          <w:szCs w:val="28"/>
          <w:lang w:eastAsia="zh-CN"/>
          <w14:textFill>
            <w14:solidFill>
              <w14:schemeClr w14:val="tx1"/>
            </w14:solidFill>
          </w14:textFill>
        </w:rPr>
        <w:t>热力开采安全技术规范</w:t>
      </w:r>
      <w:r>
        <w:rPr>
          <w:rFonts w:hint="eastAsia"/>
          <w:bCs/>
          <w:color w:val="000000" w:themeColor="text1"/>
          <w:spacing w:val="-4"/>
          <w:sz w:val="28"/>
          <w:szCs w:val="28"/>
          <w14:textFill>
            <w14:solidFill>
              <w14:schemeClr w14:val="tx1"/>
            </w14:solidFill>
          </w14:textFill>
        </w:rPr>
        <w:t>》</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w:t>
      </w:r>
      <w:r>
        <w:rPr>
          <w:rFonts w:hint="eastAsia"/>
          <w:bCs/>
          <w:color w:val="000000" w:themeColor="text1"/>
          <w:spacing w:val="-4"/>
          <w:sz w:val="28"/>
          <w:szCs w:val="28"/>
          <w:lang w:val="en-US" w:eastAsia="zh-CN"/>
          <w14:textFill>
            <w14:solidFill>
              <w14:schemeClr w14:val="tx1"/>
            </w14:solidFill>
          </w14:textFill>
        </w:rPr>
        <w:t>6354</w:t>
      </w:r>
      <w:r>
        <w:rPr>
          <w:rFonts w:hint="eastAsia"/>
          <w:bCs/>
          <w:color w:val="000000" w:themeColor="text1"/>
          <w:spacing w:val="-4"/>
          <w:sz w:val="28"/>
          <w:szCs w:val="28"/>
          <w14:textFill>
            <w14:solidFill>
              <w14:schemeClr w14:val="tx1"/>
            </w14:solidFill>
          </w14:textFill>
        </w:rPr>
        <w:t>-20</w:t>
      </w:r>
      <w:r>
        <w:rPr>
          <w:rFonts w:hint="eastAsia"/>
          <w:bCs/>
          <w:color w:val="000000" w:themeColor="text1"/>
          <w:spacing w:val="-4"/>
          <w:sz w:val="28"/>
          <w:szCs w:val="28"/>
          <w:lang w:val="en-US" w:eastAsia="zh-CN"/>
          <w14:textFill>
            <w14:solidFill>
              <w14:schemeClr w14:val="tx1"/>
            </w14:solidFill>
          </w14:textFill>
        </w:rPr>
        <w:t>16）</w:t>
      </w:r>
    </w:p>
    <w:p>
      <w:pPr>
        <w:pStyle w:val="126"/>
        <w:numPr>
          <w:ilvl w:val="0"/>
          <w:numId w:val="9"/>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《石油天然气生产专用安全标志》</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SY/T6355-2017</w:t>
      </w:r>
      <w:r>
        <w:rPr>
          <w:rFonts w:hint="eastAsia"/>
          <w:bCs/>
          <w:color w:val="000000" w:themeColor="text1"/>
          <w:spacing w:val="-4"/>
          <w:sz w:val="28"/>
          <w:szCs w:val="28"/>
          <w:lang w:eastAsia="zh-CN"/>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44" w:firstLineChars="200"/>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《石油天然气作业场所劳动防护用品配备规范</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（SY/T6524-2017）</w:t>
      </w:r>
    </w:p>
    <w:p>
      <w:pPr>
        <w:pStyle w:val="126"/>
        <w:numPr>
          <w:ilvl w:val="0"/>
          <w:numId w:val="9"/>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lang w:val="en-US"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硫化氢环境井下作业场所作业安全规范</w:t>
      </w:r>
      <w:r>
        <w:rPr>
          <w:rFonts w:hint="eastAsia"/>
          <w:bCs/>
          <w:color w:val="000000" w:themeColor="text1"/>
          <w:spacing w:val="-4"/>
          <w:sz w:val="28"/>
          <w:szCs w:val="28"/>
          <w:lang w:val="en-US"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w:t>
      </w:r>
      <w:r>
        <w:rPr>
          <w:rFonts w:hint="eastAsia"/>
          <w:bCs/>
          <w:color w:val="000000" w:themeColor="text1"/>
          <w:spacing w:val="-4"/>
          <w:sz w:val="28"/>
          <w:szCs w:val="28"/>
          <w:lang w:val="en-US"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T 6610-2017</w:t>
      </w:r>
      <w:r>
        <w:rPr>
          <w:rFonts w:hint="eastAsia"/>
          <w:bCs/>
          <w:color w:val="000000" w:themeColor="text1"/>
          <w:spacing w:val="-4"/>
          <w:sz w:val="28"/>
          <w:szCs w:val="28"/>
          <w:lang w:val="en-US" w:eastAsia="zh-CN"/>
          <w14:textFill>
            <w14:solidFill>
              <w14:schemeClr w14:val="tx1"/>
            </w14:solidFill>
          </w14:textFill>
        </w:rPr>
        <w:t>）</w:t>
      </w:r>
    </w:p>
    <w:p>
      <w:pPr>
        <w:pStyle w:val="126"/>
        <w:numPr>
          <w:ilvl w:val="0"/>
          <w:numId w:val="9"/>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《井下作业井控技术规程》</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SY/T6690-20</w:t>
      </w:r>
      <w:r>
        <w:rPr>
          <w:bCs/>
          <w:color w:val="000000" w:themeColor="text1"/>
          <w:spacing w:val="-4"/>
          <w:sz w:val="28"/>
          <w:szCs w:val="28"/>
          <w14:textFill>
            <w14:solidFill>
              <w14:schemeClr w14:val="tx1"/>
            </w14:solidFill>
          </w14:textFill>
        </w:rPr>
        <w:t>16</w:t>
      </w:r>
      <w:r>
        <w:rPr>
          <w:rFonts w:hint="eastAsia"/>
          <w:bCs/>
          <w:color w:val="000000" w:themeColor="text1"/>
          <w:spacing w:val="-4"/>
          <w:sz w:val="28"/>
          <w:szCs w:val="28"/>
          <w:lang w:eastAsia="zh-CN"/>
          <w14:textFill>
            <w14:solidFill>
              <w14:schemeClr w14:val="tx1"/>
            </w14:solidFill>
          </w14:textFill>
        </w:rPr>
        <w:t>）</w:t>
      </w:r>
    </w:p>
    <w:p>
      <w:pPr>
        <w:pStyle w:val="126"/>
        <w:numPr>
          <w:ilvl w:val="0"/>
          <w:numId w:val="9"/>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lang w:val="en-US" w:eastAsia="zh-CN"/>
          <w14:textFill>
            <w14:solidFill>
              <w14:schemeClr w14:val="tx1"/>
            </w14:solidFill>
          </w14:textFill>
        </w:rPr>
        <w:t>《硫化氢防护安全培训规范》（</w:t>
      </w:r>
      <w:r>
        <w:rPr>
          <w:rFonts w:hint="default"/>
          <w:bCs/>
          <w:color w:val="000000" w:themeColor="text1"/>
          <w:spacing w:val="-4"/>
          <w:sz w:val="28"/>
          <w:szCs w:val="28"/>
          <w:lang w:val="en-US" w:eastAsia="zh-CN"/>
          <w14:textFill>
            <w14:solidFill>
              <w14:schemeClr w14:val="tx1"/>
            </w14:solidFill>
          </w14:textFill>
        </w:rPr>
        <w:t>SY/T7356-2017</w:t>
      </w:r>
      <w:r>
        <w:rPr>
          <w:rFonts w:hint="eastAsia"/>
          <w:bCs/>
          <w:color w:val="000000" w:themeColor="text1"/>
          <w:spacing w:val="-4"/>
          <w:sz w:val="28"/>
          <w:szCs w:val="28"/>
          <w:lang w:val="en-US" w:eastAsia="zh-CN"/>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44" w:firstLineChars="200"/>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lang w:val="en-US" w:eastAsia="zh-CN"/>
          <w14:textFill>
            <w14:solidFill>
              <w14:schemeClr w14:val="tx1"/>
            </w14:solidFill>
          </w14:textFill>
        </w:rPr>
        <w:t>《石油天然气工程项目安全现状评价报告编写规则》（</w:t>
      </w:r>
      <w:r>
        <w:rPr>
          <w:rFonts w:hint="default"/>
          <w:bCs/>
          <w:color w:val="000000" w:themeColor="text1"/>
          <w:spacing w:val="-4"/>
          <w:sz w:val="28"/>
          <w:szCs w:val="28"/>
          <w:lang w:val="en-US" w:eastAsia="zh-CN"/>
          <w14:textFill>
            <w14:solidFill>
              <w14:schemeClr w14:val="tx1"/>
            </w14:solidFill>
          </w14:textFill>
        </w:rPr>
        <w:t>SY/T6778-2010</w:t>
      </w:r>
      <w:r>
        <w:rPr>
          <w:rFonts w:hint="eastAsia"/>
          <w:bCs/>
          <w:color w:val="000000" w:themeColor="text1"/>
          <w:spacing w:val="-4"/>
          <w:sz w:val="28"/>
          <w:szCs w:val="28"/>
          <w:lang w:val="en-US" w:eastAsia="zh-CN"/>
          <w14:textFill>
            <w14:solidFill>
              <w14:schemeClr w14:val="tx1"/>
            </w14:solidFill>
          </w14:textFill>
        </w:rPr>
        <w:t xml:space="preserve">） </w:t>
      </w:r>
    </w:p>
    <w:p>
      <w:pPr>
        <w:pStyle w:val="126"/>
        <w:numPr>
          <w:ilvl w:val="0"/>
          <w:numId w:val="9"/>
        </w:numPr>
        <w:adjustRightInd w:val="0"/>
        <w:snapToGrid w:val="0"/>
        <w:spacing w:line="360" w:lineRule="auto"/>
        <w:ind w:firstLineChars="0"/>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《山东省劳动防护用品配备标准》</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DB37/1922-2011</w:t>
      </w:r>
      <w:r>
        <w:rPr>
          <w:rFonts w:hint="eastAsia"/>
          <w:bCs/>
          <w:color w:val="000000" w:themeColor="text1"/>
          <w:spacing w:val="-4"/>
          <w:sz w:val="28"/>
          <w:szCs w:val="28"/>
          <w:lang w:eastAsia="zh-CN"/>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44"/>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《非煤矿山企业安全生产风险分级管控体系细则》</w:t>
      </w:r>
      <w:r>
        <w:rPr>
          <w:rFonts w:hint="eastAsia"/>
          <w:bCs/>
          <w:color w:val="000000" w:themeColor="text1"/>
          <w:spacing w:val="-4"/>
          <w:sz w:val="28"/>
          <w:szCs w:val="28"/>
          <w:lang w:val="en-US" w:eastAsia="zh-CN"/>
          <w14:textFill>
            <w14:solidFill>
              <w14:schemeClr w14:val="tx1"/>
            </w14:solidFill>
          </w14:textFill>
        </w:rPr>
        <w:t xml:space="preserve">      </w:t>
      </w:r>
      <w:r>
        <w:rPr>
          <w:rFonts w:hint="eastAsia"/>
          <w:bCs/>
          <w:color w:val="000000" w:themeColor="text1"/>
          <w:spacing w:val="-4"/>
          <w:sz w:val="28"/>
          <w:szCs w:val="28"/>
          <w:lang w:eastAsia="zh-CN"/>
          <w14:textFill>
            <w14:solidFill>
              <w14:schemeClr w14:val="tx1"/>
            </w14:solidFill>
          </w14:textFill>
        </w:rPr>
        <w:t>（</w:t>
      </w:r>
      <w:r>
        <w:rPr>
          <w:bCs/>
          <w:color w:val="000000" w:themeColor="text1"/>
          <w:spacing w:val="-4"/>
          <w:sz w:val="28"/>
          <w:szCs w:val="28"/>
          <w14:textFill>
            <w14:solidFill>
              <w14:schemeClr w14:val="tx1"/>
            </w14:solidFill>
          </w14:textFill>
        </w:rPr>
        <w:t>DB37</w:t>
      </w:r>
      <w:r>
        <w:rPr>
          <w:rFonts w:hint="eastAsia"/>
          <w:bCs/>
          <w:color w:val="000000" w:themeColor="text1"/>
          <w:spacing w:val="-4"/>
          <w:sz w:val="28"/>
          <w:szCs w:val="28"/>
          <w14:textFill>
            <w14:solidFill>
              <w14:schemeClr w14:val="tx1"/>
            </w14:solidFill>
          </w14:textFill>
        </w:rPr>
        <w:t>/</w:t>
      </w:r>
      <w:r>
        <w:rPr>
          <w:bCs/>
          <w:color w:val="000000" w:themeColor="text1"/>
          <w:spacing w:val="-4"/>
          <w:sz w:val="28"/>
          <w:szCs w:val="28"/>
          <w14:textFill>
            <w14:solidFill>
              <w14:schemeClr w14:val="tx1"/>
            </w14:solidFill>
          </w14:textFill>
        </w:rPr>
        <w:t>T 2972-2017</w:t>
      </w:r>
      <w:r>
        <w:rPr>
          <w:rFonts w:hint="eastAsia"/>
          <w:bCs/>
          <w:color w:val="000000" w:themeColor="text1"/>
          <w:spacing w:val="-4"/>
          <w:sz w:val="28"/>
          <w:szCs w:val="28"/>
          <w:lang w:eastAsia="zh-CN"/>
          <w14:textFill>
            <w14:solidFill>
              <w14:schemeClr w14:val="tx1"/>
            </w14:solidFill>
          </w14:textFill>
        </w:rPr>
        <w:t>）</w:t>
      </w:r>
    </w:p>
    <w:p>
      <w:pPr>
        <w:pStyle w:val="126"/>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544"/>
        <w:jc w:val="left"/>
        <w:textAlignment w:val="auto"/>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《非煤矿山企业生产安全事故隐患排查治理体系细则》</w:t>
      </w:r>
      <w:r>
        <w:rPr>
          <w:rFonts w:hint="eastAsia"/>
          <w:bCs/>
          <w:color w:val="000000" w:themeColor="text1"/>
          <w:spacing w:val="-4"/>
          <w:sz w:val="28"/>
          <w:szCs w:val="28"/>
          <w:lang w:val="en-US" w:eastAsia="zh-CN"/>
          <w14:textFill>
            <w14:solidFill>
              <w14:schemeClr w14:val="tx1"/>
            </w14:solidFill>
          </w14:textFill>
        </w:rPr>
        <w:t xml:space="preserve"> </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DB37/T 3013-2017</w:t>
      </w:r>
      <w:r>
        <w:rPr>
          <w:rFonts w:hint="eastAsia"/>
          <w:bCs/>
          <w:color w:val="000000" w:themeColor="text1"/>
          <w:spacing w:val="-4"/>
          <w:sz w:val="28"/>
          <w:szCs w:val="28"/>
          <w:lang w:eastAsia="zh-CN"/>
          <w14:textFill>
            <w14:solidFill>
              <w14:schemeClr w14:val="tx1"/>
            </w14:solidFill>
          </w14:textFill>
        </w:rPr>
        <w:t>）</w:t>
      </w:r>
    </w:p>
    <w:p>
      <w:pPr>
        <w:pStyle w:val="126"/>
        <w:numPr>
          <w:ilvl w:val="0"/>
          <w:numId w:val="9"/>
        </w:numPr>
        <w:adjustRightInd w:val="0"/>
        <w:snapToGrid w:val="0"/>
        <w:spacing w:line="360" w:lineRule="auto"/>
        <w:ind w:left="0" w:firstLine="544"/>
        <w:rPr>
          <w:bCs/>
          <w:color w:val="000000" w:themeColor="text1"/>
          <w:spacing w:val="-4"/>
          <w:sz w:val="28"/>
          <w:szCs w:val="28"/>
          <w14:textFill>
            <w14:solidFill>
              <w14:schemeClr w14:val="tx1"/>
            </w14:solidFill>
          </w14:textFill>
        </w:rPr>
      </w:pPr>
      <w:r>
        <w:rPr>
          <w:rFonts w:hint="eastAsia"/>
          <w:bCs/>
          <w:color w:val="000000" w:themeColor="text1"/>
          <w:spacing w:val="-4"/>
          <w:sz w:val="28"/>
          <w:szCs w:val="28"/>
          <w14:textFill>
            <w14:solidFill>
              <w14:schemeClr w14:val="tx1"/>
            </w14:solidFill>
          </w14:textFill>
        </w:rPr>
        <w:t>《</w:t>
      </w:r>
      <w:r>
        <w:rPr>
          <w:rFonts w:hint="eastAsia"/>
          <w:sz w:val="28"/>
          <w:szCs w:val="28"/>
        </w:rPr>
        <w:t>固</w:t>
      </w:r>
      <w:r>
        <w:rPr>
          <w:rFonts w:hint="eastAsia"/>
          <w:bCs/>
          <w:color w:val="000000" w:themeColor="text1"/>
          <w:spacing w:val="-4"/>
          <w:sz w:val="28"/>
          <w:szCs w:val="28"/>
          <w14:textFill>
            <w14:solidFill>
              <w14:schemeClr w14:val="tx1"/>
            </w14:solidFill>
          </w14:textFill>
        </w:rPr>
        <w:t>定式压力容器安全技术监察规程》</w:t>
      </w:r>
      <w:r>
        <w:rPr>
          <w:rFonts w:hint="eastAsia"/>
          <w:bCs/>
          <w:color w:val="000000" w:themeColor="text1"/>
          <w:spacing w:val="-4"/>
          <w:sz w:val="28"/>
          <w:szCs w:val="28"/>
          <w:lang w:eastAsia="zh-CN"/>
          <w14:textFill>
            <w14:solidFill>
              <w14:schemeClr w14:val="tx1"/>
            </w14:solidFill>
          </w14:textFill>
        </w:rPr>
        <w:t>（</w:t>
      </w:r>
      <w:r>
        <w:rPr>
          <w:rFonts w:hint="eastAsia"/>
          <w:bCs/>
          <w:color w:val="000000" w:themeColor="text1"/>
          <w:spacing w:val="-4"/>
          <w:sz w:val="28"/>
          <w:szCs w:val="28"/>
          <w14:textFill>
            <w14:solidFill>
              <w14:schemeClr w14:val="tx1"/>
            </w14:solidFill>
          </w14:textFill>
        </w:rPr>
        <w:t>行业标准第1号修改单</w:t>
      </w:r>
      <w:r>
        <w:rPr>
          <w:rFonts w:hint="eastAsia"/>
          <w:bCs/>
          <w:color w:val="000000" w:themeColor="text1"/>
          <w:spacing w:val="-4"/>
          <w:sz w:val="28"/>
          <w:szCs w:val="28"/>
          <w:lang w:eastAsia="zh-CN"/>
          <w14:textFill>
            <w14:solidFill>
              <w14:schemeClr w14:val="tx1"/>
            </w14:solidFill>
          </w14:textFill>
        </w:rPr>
        <w:t>）</w:t>
      </w:r>
      <w:r>
        <w:rPr>
          <w:bCs/>
          <w:color w:val="000000" w:themeColor="text1"/>
          <w:spacing w:val="-4"/>
          <w:sz w:val="28"/>
          <w:szCs w:val="28"/>
          <w14:textFill>
            <w14:solidFill>
              <w14:schemeClr w14:val="tx1"/>
            </w14:solidFill>
          </w14:textFill>
        </w:rPr>
        <w:t>（</w:t>
      </w:r>
      <w:r>
        <w:rPr>
          <w:rFonts w:hint="eastAsia"/>
          <w:bCs/>
          <w:color w:val="000000" w:themeColor="text1"/>
          <w:spacing w:val="-4"/>
          <w:sz w:val="28"/>
          <w:szCs w:val="28"/>
          <w14:textFill>
            <w14:solidFill>
              <w14:schemeClr w14:val="tx1"/>
            </w14:solidFill>
          </w14:textFill>
        </w:rPr>
        <w:t>TSG 21-2016/XG1-2020</w:t>
      </w:r>
      <w:r>
        <w:rPr>
          <w:bCs/>
          <w:color w:val="000000" w:themeColor="text1"/>
          <w:spacing w:val="-4"/>
          <w:sz w:val="28"/>
          <w:szCs w:val="28"/>
          <w14:textFill>
            <w14:solidFill>
              <w14:schemeClr w14:val="tx1"/>
            </w14:solidFill>
          </w14:textFill>
        </w:rPr>
        <w:t>）</w:t>
      </w:r>
    </w:p>
    <w:p>
      <w:pPr>
        <w:pStyle w:val="126"/>
        <w:numPr>
          <w:ilvl w:val="0"/>
          <w:numId w:val="9"/>
        </w:numPr>
        <w:adjustRightInd w:val="0"/>
        <w:snapToGrid w:val="0"/>
        <w:spacing w:line="360" w:lineRule="auto"/>
        <w:ind w:left="0" w:firstLine="544"/>
        <w:rPr>
          <w:bCs/>
          <w:color w:val="000000" w:themeColor="text1"/>
          <w:spacing w:val="-4"/>
          <w:sz w:val="28"/>
          <w:szCs w:val="28"/>
          <w14:textFill>
            <w14:solidFill>
              <w14:schemeClr w14:val="tx1"/>
            </w14:solidFill>
          </w14:textFill>
        </w:rPr>
      </w:pPr>
      <w:r>
        <w:rPr>
          <w:bCs/>
          <w:color w:val="000000" w:themeColor="text1"/>
          <w:spacing w:val="-4"/>
          <w:sz w:val="28"/>
          <w:szCs w:val="28"/>
          <w14:textFill>
            <w14:solidFill>
              <w14:schemeClr w14:val="tx1"/>
            </w14:solidFill>
          </w14:textFill>
        </w:rPr>
        <w:t>《</w:t>
      </w:r>
      <w:r>
        <w:rPr>
          <w:rFonts w:hint="eastAsia"/>
          <w:bCs/>
          <w:color w:val="000000" w:themeColor="text1"/>
          <w:spacing w:val="-4"/>
          <w:sz w:val="28"/>
          <w:szCs w:val="28"/>
          <w:lang w:eastAsia="zh-CN"/>
          <w14:textFill>
            <w14:solidFill>
              <w14:schemeClr w14:val="tx1"/>
            </w14:solidFill>
          </w14:textFill>
        </w:rPr>
        <w:t>安全阀安全技术监察规程</w:t>
      </w:r>
      <w:r>
        <w:rPr>
          <w:bCs/>
          <w:color w:val="000000" w:themeColor="text1"/>
          <w:spacing w:val="-4"/>
          <w:sz w:val="28"/>
          <w:szCs w:val="28"/>
          <w14:textFill>
            <w14:solidFill>
              <w14:schemeClr w14:val="tx1"/>
            </w14:solidFill>
          </w14:textFill>
        </w:rPr>
        <w:t xml:space="preserve">》（TSG </w:t>
      </w:r>
      <w:r>
        <w:rPr>
          <w:rFonts w:hint="eastAsia"/>
          <w:bCs/>
          <w:color w:val="000000" w:themeColor="text1"/>
          <w:spacing w:val="-4"/>
          <w:sz w:val="28"/>
          <w:szCs w:val="28"/>
          <w:lang w:val="en-US" w:eastAsia="zh-CN"/>
          <w14:textFill>
            <w14:solidFill>
              <w14:schemeClr w14:val="tx1"/>
            </w14:solidFill>
          </w14:textFill>
        </w:rPr>
        <w:t>ZF</w:t>
      </w:r>
      <w:r>
        <w:rPr>
          <w:bCs/>
          <w:color w:val="000000" w:themeColor="text1"/>
          <w:spacing w:val="-4"/>
          <w:sz w:val="28"/>
          <w:szCs w:val="28"/>
          <w14:textFill>
            <w14:solidFill>
              <w14:schemeClr w14:val="tx1"/>
            </w14:solidFill>
          </w14:textFill>
        </w:rPr>
        <w:t>001-20</w:t>
      </w:r>
      <w:r>
        <w:rPr>
          <w:rFonts w:hint="eastAsia"/>
          <w:bCs/>
          <w:color w:val="000000" w:themeColor="text1"/>
          <w:spacing w:val="-4"/>
          <w:sz w:val="28"/>
          <w:szCs w:val="28"/>
          <w:lang w:val="en-US" w:eastAsia="zh-CN"/>
          <w14:textFill>
            <w14:solidFill>
              <w14:schemeClr w14:val="tx1"/>
            </w14:solidFill>
          </w14:textFill>
        </w:rPr>
        <w:t>06</w:t>
      </w:r>
      <w:r>
        <w:rPr>
          <w:bCs/>
          <w:color w:val="000000" w:themeColor="text1"/>
          <w:spacing w:val="-4"/>
          <w:sz w:val="28"/>
          <w:szCs w:val="28"/>
          <w14:textFill>
            <w14:solidFill>
              <w14:schemeClr w14:val="tx1"/>
            </w14:solidFill>
          </w14:textFill>
        </w:rPr>
        <w:t>）</w:t>
      </w:r>
    </w:p>
    <w:p>
      <w:pPr>
        <w:pStyle w:val="126"/>
        <w:numPr>
          <w:ilvl w:val="0"/>
          <w:numId w:val="9"/>
        </w:numPr>
        <w:adjustRightInd w:val="0"/>
        <w:snapToGrid w:val="0"/>
        <w:spacing w:line="360" w:lineRule="auto"/>
        <w:ind w:left="0" w:firstLine="544"/>
        <w:rPr>
          <w:bCs/>
          <w:color w:val="000000" w:themeColor="text1"/>
          <w:spacing w:val="-4"/>
          <w:sz w:val="28"/>
          <w:szCs w:val="28"/>
          <w14:textFill>
            <w14:solidFill>
              <w14:schemeClr w14:val="tx1"/>
            </w14:solidFill>
          </w14:textFill>
        </w:rPr>
      </w:pPr>
      <w:r>
        <w:rPr>
          <w:bCs/>
          <w:color w:val="000000" w:themeColor="text1"/>
          <w:spacing w:val="-4"/>
          <w:sz w:val="28"/>
          <w:szCs w:val="28"/>
          <w14:textFill>
            <w14:solidFill>
              <w14:schemeClr w14:val="tx1"/>
            </w14:solidFill>
          </w14:textFill>
        </w:rPr>
        <w:t>《</w:t>
      </w:r>
      <w:r>
        <w:rPr>
          <w:rFonts w:hint="eastAsia"/>
          <w:bCs/>
          <w:color w:val="000000" w:themeColor="text1"/>
          <w:spacing w:val="-4"/>
          <w:sz w:val="28"/>
          <w:szCs w:val="28"/>
          <w:lang w:eastAsia="zh-CN"/>
          <w14:textFill>
            <w14:solidFill>
              <w14:schemeClr w14:val="tx1"/>
            </w14:solidFill>
          </w14:textFill>
        </w:rPr>
        <w:t>锅炉安全技术规程</w:t>
      </w:r>
      <w:r>
        <w:rPr>
          <w:bCs/>
          <w:color w:val="000000" w:themeColor="text1"/>
          <w:spacing w:val="-4"/>
          <w:sz w:val="28"/>
          <w:szCs w:val="28"/>
          <w14:textFill>
            <w14:solidFill>
              <w14:schemeClr w14:val="tx1"/>
            </w14:solidFill>
          </w14:textFill>
        </w:rPr>
        <w:t xml:space="preserve">》（TSG </w:t>
      </w:r>
      <w:r>
        <w:rPr>
          <w:rFonts w:hint="eastAsia"/>
          <w:bCs/>
          <w:color w:val="000000" w:themeColor="text1"/>
          <w:spacing w:val="-4"/>
          <w:sz w:val="28"/>
          <w:szCs w:val="28"/>
          <w:lang w:val="en-US" w:eastAsia="zh-CN"/>
          <w14:textFill>
            <w14:solidFill>
              <w14:schemeClr w14:val="tx1"/>
            </w14:solidFill>
          </w14:textFill>
        </w:rPr>
        <w:t>1</w:t>
      </w:r>
      <w:r>
        <w:rPr>
          <w:bCs/>
          <w:color w:val="000000" w:themeColor="text1"/>
          <w:spacing w:val="-4"/>
          <w:sz w:val="28"/>
          <w:szCs w:val="28"/>
          <w14:textFill>
            <w14:solidFill>
              <w14:schemeClr w14:val="tx1"/>
            </w14:solidFill>
          </w14:textFill>
        </w:rPr>
        <w:t>1-20</w:t>
      </w:r>
      <w:r>
        <w:rPr>
          <w:rFonts w:hint="eastAsia"/>
          <w:bCs/>
          <w:color w:val="000000" w:themeColor="text1"/>
          <w:spacing w:val="-4"/>
          <w:sz w:val="28"/>
          <w:szCs w:val="28"/>
          <w:lang w:val="en-US" w:eastAsia="zh-CN"/>
          <w14:textFill>
            <w14:solidFill>
              <w14:schemeClr w14:val="tx1"/>
            </w14:solidFill>
          </w14:textFill>
        </w:rPr>
        <w:t>20</w:t>
      </w:r>
      <w:r>
        <w:rPr>
          <w:bCs/>
          <w:color w:val="000000" w:themeColor="text1"/>
          <w:spacing w:val="-4"/>
          <w:sz w:val="28"/>
          <w:szCs w:val="28"/>
          <w14:textFill>
            <w14:solidFill>
              <w14:schemeClr w14:val="tx1"/>
            </w14:solidFill>
          </w14:textFill>
        </w:rPr>
        <w:t>）</w:t>
      </w:r>
    </w:p>
    <w:bookmarkEnd w:id="4"/>
    <w:bookmarkEnd w:id="5"/>
    <w:p>
      <w:pPr>
        <w:pStyle w:val="5"/>
        <w:adjustRightInd w:val="0"/>
        <w:snapToGrid w:val="0"/>
        <w:spacing w:before="0" w:after="0" w:line="360" w:lineRule="auto"/>
        <w:rPr>
          <w:rFonts w:eastAsia="黑体"/>
          <w:b w:val="0"/>
          <w:snapToGrid w:val="0"/>
          <w:color w:val="000000" w:themeColor="text1"/>
          <w:kern w:val="0"/>
          <w:sz w:val="28"/>
          <w:szCs w:val="28"/>
          <w14:textFill>
            <w14:solidFill>
              <w14:schemeClr w14:val="tx1"/>
            </w14:solidFill>
          </w14:textFill>
        </w:rPr>
      </w:pPr>
      <w:bookmarkStart w:id="6" w:name="_Toc215277129"/>
      <w:r>
        <w:rPr>
          <w:rFonts w:hint="eastAsia" w:eastAsia="黑体"/>
          <w:b w:val="0"/>
          <w:snapToGrid w:val="0"/>
          <w:color w:val="000000" w:themeColor="text1"/>
          <w:kern w:val="0"/>
          <w:sz w:val="28"/>
          <w:szCs w:val="28"/>
          <w14:textFill>
            <w14:solidFill>
              <w14:schemeClr w14:val="tx1"/>
            </w14:solidFill>
          </w14:textFill>
        </w:rPr>
        <w:t>1.2.</w:t>
      </w:r>
      <w:r>
        <w:rPr>
          <w:rFonts w:eastAsia="黑体"/>
          <w:b w:val="0"/>
          <w:snapToGrid w:val="0"/>
          <w:color w:val="000000" w:themeColor="text1"/>
          <w:kern w:val="0"/>
          <w:sz w:val="28"/>
          <w:szCs w:val="28"/>
          <w14:textFill>
            <w14:solidFill>
              <w14:schemeClr w14:val="tx1"/>
            </w14:solidFill>
          </w14:textFill>
        </w:rPr>
        <w:t xml:space="preserve">8 </w:t>
      </w:r>
      <w:r>
        <w:rPr>
          <w:rFonts w:hint="eastAsia" w:eastAsia="黑体"/>
          <w:b w:val="0"/>
          <w:snapToGrid w:val="0"/>
          <w:color w:val="000000" w:themeColor="text1"/>
          <w:kern w:val="0"/>
          <w:sz w:val="28"/>
          <w:szCs w:val="28"/>
          <w14:textFill>
            <w14:solidFill>
              <w14:schemeClr w14:val="tx1"/>
            </w14:solidFill>
          </w14:textFill>
        </w:rPr>
        <w:t>工程有关技术文件</w:t>
      </w:r>
      <w:bookmarkEnd w:id="6"/>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rFonts w:hint="eastAsia"/>
          <w:snapToGrid w:val="0"/>
          <w:color w:val="000000" w:themeColor="text1"/>
          <w:kern w:val="0"/>
          <w:sz w:val="28"/>
          <w14:textFill>
            <w14:solidFill>
              <w14:schemeClr w14:val="tx1"/>
            </w14:solidFill>
          </w14:textFill>
        </w:rPr>
        <w:t>1</w:t>
      </w:r>
      <w:r>
        <w:rPr>
          <w:rFonts w:hint="eastAsia"/>
          <w:snapToGrid w:val="0"/>
          <w:color w:val="000000" w:themeColor="text1"/>
          <w:kern w:val="0"/>
          <w:sz w:val="28"/>
          <w:lang w:val="en-US" w:eastAsia="zh-CN"/>
          <w14:textFill>
            <w14:solidFill>
              <w14:schemeClr w14:val="tx1"/>
            </w14:solidFill>
          </w14:textFill>
        </w:rPr>
        <w:t xml:space="preserve">. </w:t>
      </w:r>
      <w:r>
        <w:rPr>
          <w:rFonts w:hint="eastAsia"/>
          <w:color w:val="000000" w:themeColor="text1"/>
          <w:sz w:val="28"/>
          <w:szCs w:val="28"/>
          <w:lang w:eastAsia="zh-CN"/>
          <w14:textFill>
            <w14:solidFill>
              <w14:schemeClr w14:val="tx1"/>
            </w14:solidFill>
          </w14:textFill>
        </w:rPr>
        <w:t>山东华曦石油技术服务有限公司</w:t>
      </w:r>
      <w:r>
        <w:rPr>
          <w:rFonts w:hint="eastAsia"/>
          <w:color w:val="000000" w:themeColor="text1"/>
          <w:sz w:val="28"/>
          <w:szCs w:val="28"/>
          <w14:textFill>
            <w14:solidFill>
              <w14:schemeClr w14:val="tx1"/>
            </w14:solidFill>
          </w14:textFill>
        </w:rPr>
        <w:t>井下作业项目安全现状评价技术服务合同</w:t>
      </w:r>
      <w:r>
        <w:rPr>
          <w:rFonts w:hint="eastAsia"/>
          <w:snapToGrid w:val="0"/>
          <w:color w:val="000000" w:themeColor="text1"/>
          <w:kern w:val="0"/>
          <w:sz w:val="28"/>
          <w14:textFill>
            <w14:solidFill>
              <w14:schemeClr w14:val="tx1"/>
            </w14:solidFill>
          </w14:textFill>
        </w:rPr>
        <w:t>。</w:t>
      </w:r>
    </w:p>
    <w:p>
      <w:pPr>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rFonts w:hint="eastAsia"/>
          <w:snapToGrid w:val="0"/>
          <w:color w:val="000000" w:themeColor="text1"/>
          <w:kern w:val="0"/>
          <w:sz w:val="28"/>
          <w14:textFill>
            <w14:solidFill>
              <w14:schemeClr w14:val="tx1"/>
            </w14:solidFill>
          </w14:textFill>
        </w:rPr>
        <w:t>2</w:t>
      </w:r>
      <w:r>
        <w:rPr>
          <w:rFonts w:hint="eastAsia"/>
          <w:snapToGrid w:val="0"/>
          <w:color w:val="000000" w:themeColor="text1"/>
          <w:kern w:val="0"/>
          <w:sz w:val="28"/>
          <w:lang w:val="en-US" w:eastAsia="zh-CN"/>
          <w14:textFill>
            <w14:solidFill>
              <w14:schemeClr w14:val="tx1"/>
            </w14:solidFill>
          </w14:textFill>
        </w:rPr>
        <w:t xml:space="preserve">. </w:t>
      </w:r>
      <w:r>
        <w:rPr>
          <w:rFonts w:hint="eastAsia"/>
          <w:color w:val="000000" w:themeColor="text1"/>
          <w:sz w:val="28"/>
          <w:szCs w:val="28"/>
          <w:lang w:eastAsia="zh-CN"/>
          <w14:textFill>
            <w14:solidFill>
              <w14:schemeClr w14:val="tx1"/>
            </w14:solidFill>
          </w14:textFill>
        </w:rPr>
        <w:t>山东华曦石油技术服务有限公司</w:t>
      </w:r>
      <w:r>
        <w:rPr>
          <w:rFonts w:hint="eastAsia"/>
          <w:snapToGrid w:val="0"/>
          <w:color w:val="000000" w:themeColor="text1"/>
          <w:kern w:val="0"/>
          <w:sz w:val="28"/>
          <w14:textFill>
            <w14:solidFill>
              <w14:schemeClr w14:val="tx1"/>
            </w14:solidFill>
          </w14:textFill>
        </w:rPr>
        <w:t>提供的有关文件、资料。</w:t>
      </w:r>
    </w:p>
    <w:p>
      <w:pPr>
        <w:tabs>
          <w:tab w:val="left" w:pos="6120"/>
        </w:tabs>
        <w:adjustRightInd w:val="0"/>
        <w:snapToGrid w:val="0"/>
        <w:spacing w:line="360" w:lineRule="auto"/>
        <w:ind w:firstLine="560" w:firstLineChars="200"/>
        <w:rPr>
          <w:snapToGrid w:val="0"/>
          <w:color w:val="000000" w:themeColor="text1"/>
          <w:kern w:val="0"/>
          <w:sz w:val="28"/>
          <w14:textFill>
            <w14:solidFill>
              <w14:schemeClr w14:val="tx1"/>
            </w14:solidFill>
          </w14:textFill>
        </w:rPr>
      </w:pPr>
      <w:r>
        <w:rPr>
          <w:rFonts w:hint="eastAsia"/>
          <w:snapToGrid w:val="0"/>
          <w:color w:val="000000" w:themeColor="text1"/>
          <w:kern w:val="0"/>
          <w:sz w:val="28"/>
          <w14:textFill>
            <w14:solidFill>
              <w14:schemeClr w14:val="tx1"/>
            </w14:solidFill>
          </w14:textFill>
        </w:rPr>
        <w:t>3</w:t>
      </w:r>
      <w:r>
        <w:rPr>
          <w:rFonts w:hint="eastAsia"/>
          <w:snapToGrid w:val="0"/>
          <w:color w:val="000000" w:themeColor="text1"/>
          <w:kern w:val="0"/>
          <w:sz w:val="28"/>
          <w:lang w:val="en-US" w:eastAsia="zh-CN"/>
          <w14:textFill>
            <w14:solidFill>
              <w14:schemeClr w14:val="tx1"/>
            </w14:solidFill>
          </w14:textFill>
        </w:rPr>
        <w:t xml:space="preserve">. </w:t>
      </w:r>
      <w:r>
        <w:rPr>
          <w:rFonts w:hint="eastAsia"/>
          <w:snapToGrid w:val="0"/>
          <w:color w:val="000000" w:themeColor="text1"/>
          <w:kern w:val="0"/>
          <w:sz w:val="28"/>
          <w14:textFill>
            <w14:solidFill>
              <w14:schemeClr w14:val="tx1"/>
            </w14:solidFill>
          </w14:textFill>
        </w:rPr>
        <w:t>其他与该工程安全评价有关的技术资料。</w:t>
      </w:r>
    </w:p>
    <w:p>
      <w:pPr>
        <w:pStyle w:val="4"/>
        <w:adjustRightInd w:val="0"/>
        <w:snapToGrid w:val="0"/>
        <w:spacing w:before="0" w:after="0" w:line="360" w:lineRule="auto"/>
        <w:rPr>
          <w:rFonts w:hint="default" w:ascii="Times New Roman" w:hAnsi="Times New Roman" w:eastAsia="黑体"/>
          <w:b w:val="0"/>
          <w:bCs/>
          <w:color w:val="auto"/>
          <w:szCs w:val="32"/>
          <w:lang w:val="en-US" w:eastAsia="zh-CN"/>
        </w:rPr>
      </w:pPr>
      <w:bookmarkStart w:id="7" w:name="_Toc202759399"/>
      <w:bookmarkStart w:id="8" w:name="_Toc27258"/>
      <w:r>
        <w:rPr>
          <w:rFonts w:hint="eastAsia" w:ascii="Times New Roman" w:hAnsi="Times New Roman"/>
          <w:b w:val="0"/>
          <w:bCs/>
          <w:color w:val="auto"/>
          <w:szCs w:val="32"/>
        </w:rPr>
        <w:t>1.3</w:t>
      </w:r>
      <w:r>
        <w:rPr>
          <w:rFonts w:ascii="Times New Roman" w:hAnsi="Times New Roman"/>
          <w:b w:val="0"/>
          <w:bCs/>
          <w:color w:val="auto"/>
          <w:szCs w:val="32"/>
        </w:rPr>
        <w:t xml:space="preserve"> </w:t>
      </w:r>
      <w:r>
        <w:rPr>
          <w:rFonts w:hint="eastAsia" w:ascii="Times New Roman" w:hAnsi="Times New Roman"/>
          <w:b w:val="0"/>
          <w:bCs/>
          <w:color w:val="auto"/>
          <w:szCs w:val="32"/>
        </w:rPr>
        <w:t>评价范围</w:t>
      </w:r>
      <w:bookmarkEnd w:id="7"/>
      <w:bookmarkEnd w:id="8"/>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lang w:val="en-US" w:eastAsia="zh-CN"/>
        </w:rPr>
        <w:t>根据企业石油天然气服务业务情况，并与企业协商确定，</w:t>
      </w:r>
      <w:r>
        <w:rPr>
          <w:rFonts w:hint="eastAsia"/>
          <w:color w:val="auto"/>
          <w:sz w:val="28"/>
          <w:szCs w:val="28"/>
        </w:rPr>
        <w:t>本次评价范围为</w:t>
      </w:r>
      <w:r>
        <w:rPr>
          <w:rFonts w:hint="eastAsia"/>
          <w:color w:val="auto"/>
          <w:sz w:val="28"/>
          <w:szCs w:val="28"/>
          <w:lang w:eastAsia="zh-CN"/>
        </w:rPr>
        <w:t>山东华曦石油技术服务有限公司</w:t>
      </w:r>
      <w:r>
        <w:rPr>
          <w:rFonts w:hint="eastAsia"/>
          <w:color w:val="auto"/>
          <w:sz w:val="28"/>
          <w:szCs w:val="28"/>
        </w:rPr>
        <w:t>井下作业</w:t>
      </w:r>
      <w:r>
        <w:rPr>
          <w:rFonts w:hint="eastAsia"/>
          <w:color w:val="auto"/>
          <w:sz w:val="28"/>
          <w:szCs w:val="28"/>
          <w:lang w:eastAsia="zh-CN"/>
        </w:rPr>
        <w:t>-注气（蒸汽）</w:t>
      </w:r>
      <w:r>
        <w:rPr>
          <w:rFonts w:hint="eastAsia"/>
          <w:color w:val="auto"/>
          <w:sz w:val="28"/>
          <w:szCs w:val="28"/>
        </w:rPr>
        <w:t>项目有关的设施、设备的实际运行状况以及安全管理状况，</w:t>
      </w:r>
      <w:r>
        <w:rPr>
          <w:rFonts w:hint="eastAsia" w:cs="宋体"/>
          <w:color w:val="auto"/>
          <w:kern w:val="0"/>
          <w:sz w:val="28"/>
          <w:szCs w:val="28"/>
        </w:rPr>
        <w:t>通过对危险有害因素和企业现有的安全技术设施的分析，确定公司是否具备从事</w:t>
      </w:r>
      <w:r>
        <w:rPr>
          <w:rFonts w:hint="eastAsia"/>
          <w:color w:val="auto"/>
          <w:sz w:val="28"/>
          <w:szCs w:val="28"/>
        </w:rPr>
        <w:t>井下作业-注气（蒸汽）项目</w:t>
      </w:r>
      <w:r>
        <w:rPr>
          <w:rFonts w:hint="eastAsia" w:cs="宋体"/>
          <w:color w:val="auto"/>
          <w:kern w:val="0"/>
          <w:sz w:val="28"/>
          <w:szCs w:val="28"/>
        </w:rPr>
        <w:t>的各项安全生产条件</w:t>
      </w:r>
      <w:r>
        <w:rPr>
          <w:rFonts w:hint="eastAsia"/>
          <w:color w:val="auto"/>
          <w:sz w:val="28"/>
          <w:szCs w:val="28"/>
        </w:rPr>
        <w:t>。</w:t>
      </w:r>
    </w:p>
    <w:p>
      <w:pPr>
        <w:adjustRightInd w:val="0"/>
        <w:snapToGrid w:val="0"/>
        <w:spacing w:line="360" w:lineRule="auto"/>
        <w:ind w:firstLine="570"/>
        <w:rPr>
          <w:rFonts w:hint="default" w:ascii="Times New Roman" w:hAnsi="Times New Roman" w:cs="Times New Roman"/>
          <w:b/>
          <w:bCs/>
          <w:color w:val="auto"/>
          <w:sz w:val="24"/>
          <w:szCs w:val="24"/>
        </w:rPr>
      </w:pPr>
      <w:r>
        <w:rPr>
          <w:rFonts w:hint="default" w:ascii="Times New Roman" w:hAnsi="Times New Roman" w:cs="Times New Roman"/>
          <w:color w:val="auto"/>
          <w:sz w:val="28"/>
          <w:szCs w:val="28"/>
          <w:lang w:val="en-US" w:eastAsia="zh-CN"/>
        </w:rPr>
        <w:t>具体评价范围如表1-1所示：</w:t>
      </w:r>
    </w:p>
    <w:p>
      <w:pPr>
        <w:pStyle w:val="62"/>
        <w:adjustRightInd w:val="0"/>
        <w:snapToGrid w:val="0"/>
        <w:spacing w:line="360" w:lineRule="auto"/>
        <w:ind w:firstLine="0" w:firstLineChars="0"/>
        <w:jc w:val="center"/>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1</w:t>
      </w:r>
      <w:r>
        <w:rPr>
          <w:rFonts w:hint="default" w:ascii="Times New Roman" w:hAnsi="Times New Roman" w:cs="Times New Roman"/>
          <w:b/>
          <w:bCs/>
          <w:color w:val="auto"/>
          <w:sz w:val="24"/>
          <w:szCs w:val="24"/>
        </w:rPr>
        <w:t>-1</w:t>
      </w:r>
      <w:r>
        <w:rPr>
          <w:rFonts w:hint="default" w:ascii="Times New Roman" w:hAnsi="Times New Roman" w:cs="Times New Roman"/>
          <w:b/>
          <w:bCs/>
          <w:color w:val="auto"/>
          <w:sz w:val="24"/>
          <w:szCs w:val="24"/>
          <w:lang w:val="en-US" w:eastAsia="zh-CN"/>
        </w:rPr>
        <w:t>评价范围</w:t>
      </w:r>
      <w:r>
        <w:rPr>
          <w:rFonts w:hint="default" w:ascii="Times New Roman" w:hAnsi="Times New Roman" w:cs="Times New Roman"/>
          <w:b/>
          <w:bCs/>
          <w:color w:val="auto"/>
          <w:sz w:val="24"/>
          <w:szCs w:val="24"/>
        </w:rPr>
        <w:t>一览表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83"/>
        <w:gridCol w:w="4313"/>
        <w:gridCol w:w="27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0"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Cs w:val="21"/>
                <w:lang w:val="en-US" w:eastAsia="zh-CN"/>
              </w:rPr>
            </w:pPr>
            <w:r>
              <w:rPr>
                <w:rFonts w:hint="default" w:ascii="Times New Roman" w:hAnsi="Times New Roman" w:cs="Times New Roman"/>
                <w:b/>
                <w:color w:val="auto"/>
                <w:kern w:val="0"/>
                <w:szCs w:val="21"/>
                <w:lang w:val="en-US" w:eastAsia="zh-CN"/>
              </w:rPr>
              <w:t>项目类型</w:t>
            </w:r>
          </w:p>
        </w:tc>
        <w:tc>
          <w:tcPr>
            <w:tcW w:w="2531"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Cs w:val="21"/>
                <w:lang w:val="en-US" w:eastAsia="zh-CN"/>
              </w:rPr>
            </w:pPr>
            <w:r>
              <w:rPr>
                <w:rFonts w:hint="eastAsia" w:ascii="Times New Roman" w:hAnsi="Times New Roman" w:cs="Times New Roman"/>
                <w:b/>
                <w:color w:val="auto"/>
                <w:kern w:val="0"/>
                <w:szCs w:val="21"/>
                <w:lang w:val="en-US" w:eastAsia="zh-CN"/>
              </w:rPr>
              <w:t>具体内容</w:t>
            </w:r>
          </w:p>
        </w:tc>
        <w:tc>
          <w:tcPr>
            <w:tcW w:w="1598"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color w:val="0070C0"/>
                <w:kern w:val="0"/>
                <w:szCs w:val="21"/>
                <w:lang w:val="en-US" w:eastAsia="zh-CN"/>
              </w:rPr>
            </w:pPr>
            <w:r>
              <w:rPr>
                <w:rFonts w:hint="default" w:ascii="Times New Roman" w:hAnsi="Times New Roman" w:cs="Times New Roman"/>
                <w:b/>
                <w:color w:val="auto"/>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0"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作业内容</w:t>
            </w:r>
          </w:p>
        </w:tc>
        <w:tc>
          <w:tcPr>
            <w:tcW w:w="2531"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油井注</w:t>
            </w:r>
            <w:r>
              <w:rPr>
                <w:rFonts w:hint="eastAsia" w:cs="Times New Roman"/>
                <w:color w:val="auto"/>
                <w:szCs w:val="21"/>
                <w:lang w:val="en-US" w:eastAsia="zh-CN"/>
              </w:rPr>
              <w:t>蒸汽、</w:t>
            </w:r>
            <w:r>
              <w:rPr>
                <w:rFonts w:hint="eastAsia" w:ascii="Times New Roman" w:hAnsi="Times New Roman" w:eastAsia="宋体" w:cs="Times New Roman"/>
                <w:color w:val="auto"/>
                <w:szCs w:val="21"/>
                <w:lang w:val="en-US" w:eastAsia="zh-CN"/>
              </w:rPr>
              <w:t>注高干度复合气</w:t>
            </w:r>
          </w:p>
        </w:tc>
        <w:tc>
          <w:tcPr>
            <w:tcW w:w="1598"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70C0"/>
                <w:szCs w:val="21"/>
                <w:lang w:val="en-US" w:eastAsia="zh-CN"/>
              </w:rPr>
            </w:pPr>
            <w:r>
              <w:rPr>
                <w:rFonts w:hint="eastAsia" w:cs="Times New Roman"/>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组织机构</w:t>
            </w:r>
          </w:p>
        </w:tc>
        <w:tc>
          <w:tcPr>
            <w:tcW w:w="2531"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涉及企业机密，不予公开</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70C0"/>
                <w:kern w:val="0"/>
                <w:sz w:val="24"/>
                <w:szCs w:val="24"/>
                <w:u w:val="none"/>
                <w:lang w:val="en-US" w:eastAsia="zh-CN" w:bidi="ar"/>
              </w:rPr>
            </w:pPr>
            <w:r>
              <w:rPr>
                <w:rFonts w:hint="eastAsia" w:cs="Times New Roman"/>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作业区域</w:t>
            </w:r>
          </w:p>
        </w:tc>
        <w:tc>
          <w:tcPr>
            <w:tcW w:w="2531"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胜利油田区域内</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70C0"/>
                <w:kern w:val="0"/>
                <w:sz w:val="24"/>
                <w:szCs w:val="24"/>
                <w:u w:val="none"/>
                <w:lang w:val="en-US" w:eastAsia="zh-CN" w:bidi="ar"/>
              </w:rPr>
            </w:pPr>
            <w:r>
              <w:rPr>
                <w:rFonts w:hint="eastAsia" w:ascii="Times New Roman" w:hAnsi="Times New Roman" w:eastAsia="宋体" w:cs="Times New Roman"/>
                <w:color w:val="auto"/>
                <w:szCs w:val="21"/>
                <w:highlight w:val="none"/>
                <w:lang w:val="en-US" w:eastAsia="zh-CN"/>
              </w:rPr>
              <w:t>油田准入证明见附件</w:t>
            </w:r>
            <w:r>
              <w:rPr>
                <w:rFonts w:hint="eastAsia" w:cs="Times New Roman"/>
                <w:color w:val="auto"/>
                <w:szCs w:val="21"/>
                <w:highlight w:val="none"/>
                <w:lang w:val="en-US" w:eastAsia="zh-CN"/>
              </w:rPr>
              <w:t>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主要作业流程</w:t>
            </w:r>
          </w:p>
        </w:tc>
        <w:tc>
          <w:tcPr>
            <w:tcW w:w="2531"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人员、设备、材料进入井场；现场作业（注蒸汽、注高干度复合气）；清理井场，人员、设备离场。</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70C0"/>
                <w:kern w:val="0"/>
                <w:sz w:val="24"/>
                <w:szCs w:val="24"/>
                <w:u w:val="none"/>
                <w:lang w:val="en-US" w:eastAsia="zh-CN" w:bidi="ar"/>
              </w:rPr>
            </w:pPr>
            <w:r>
              <w:rPr>
                <w:rFonts w:hint="eastAsia" w:ascii="Times New Roman" w:hAnsi="Times New Roman" w:cs="Times New Roman"/>
                <w:color w:val="auto"/>
                <w:szCs w:val="21"/>
                <w:lang w:val="en-US" w:eastAsia="zh-CN"/>
              </w:rPr>
              <w:t>详细作业流程见报告第2.3.2节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70C0"/>
                <w:szCs w:val="21"/>
                <w:lang w:val="en-US" w:eastAsia="zh-CN"/>
              </w:rPr>
            </w:pPr>
            <w:r>
              <w:rPr>
                <w:rFonts w:hint="default" w:ascii="Times New Roman" w:hAnsi="Times New Roman" w:cs="Times New Roman"/>
                <w:color w:val="auto"/>
                <w:szCs w:val="21"/>
                <w:lang w:val="en-US" w:eastAsia="zh-CN"/>
              </w:rPr>
              <w:t>主要设备设施</w:t>
            </w:r>
          </w:p>
        </w:tc>
        <w:tc>
          <w:tcPr>
            <w:tcW w:w="2531"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70C0"/>
                <w:szCs w:val="21"/>
                <w:lang w:val="en-US" w:eastAsia="zh-CN"/>
              </w:rPr>
            </w:pPr>
            <w:r>
              <w:rPr>
                <w:rFonts w:hint="eastAsia" w:cs="Times New Roman"/>
                <w:color w:val="auto"/>
                <w:szCs w:val="21"/>
                <w:lang w:val="en-US" w:eastAsia="zh-CN"/>
              </w:rPr>
              <w:t>注汽锅炉1台、复合发生器5台、空压机7台</w:t>
            </w:r>
            <w:r>
              <w:rPr>
                <w:rFonts w:hint="eastAsia"/>
                <w:lang w:val="en-US" w:eastAsia="zh-CN"/>
              </w:rPr>
              <w:t>等。</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70C0"/>
                <w:szCs w:val="21"/>
                <w:lang w:val="en-US" w:eastAsia="zh-CN"/>
              </w:rPr>
            </w:pPr>
            <w:r>
              <w:rPr>
                <w:rFonts w:hint="eastAsia" w:ascii="Times New Roman" w:hAnsi="Times New Roman" w:eastAsia="宋体" w:cs="Times New Roman"/>
                <w:color w:val="auto"/>
                <w:szCs w:val="21"/>
                <w:lang w:val="en-US" w:eastAsia="zh-CN"/>
              </w:rPr>
              <w:t>详细设备设施情况见</w:t>
            </w:r>
            <w:r>
              <w:rPr>
                <w:rFonts w:hint="eastAsia" w:cs="Times New Roman"/>
                <w:color w:val="auto"/>
                <w:szCs w:val="21"/>
                <w:lang w:val="en-US" w:eastAsia="zh-CN"/>
              </w:rPr>
              <w:t>第</w:t>
            </w:r>
            <w:r>
              <w:rPr>
                <w:rFonts w:hint="eastAsia" w:ascii="Times New Roman" w:hAnsi="Times New Roman" w:eastAsia="宋体" w:cs="Times New Roman"/>
                <w:color w:val="auto"/>
                <w:szCs w:val="21"/>
                <w:lang w:val="en-US" w:eastAsia="zh-CN"/>
              </w:rPr>
              <w:t>2.3.</w:t>
            </w:r>
            <w:r>
              <w:rPr>
                <w:rFonts w:hint="eastAsia" w:cs="Times New Roman"/>
                <w:color w:val="auto"/>
                <w:szCs w:val="21"/>
                <w:lang w:val="en-US" w:eastAsia="zh-CN"/>
              </w:rPr>
              <w:t>4</w:t>
            </w:r>
            <w:r>
              <w:rPr>
                <w:rFonts w:hint="eastAsia" w:ascii="Times New Roman" w:hAnsi="Times New Roman" w:eastAsia="宋体" w:cs="Times New Roman"/>
                <w:color w:val="auto"/>
                <w:szCs w:val="21"/>
                <w:lang w:val="en-US" w:eastAsia="zh-CN"/>
              </w:rPr>
              <w:t>节</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凡涉及该公司的环保问题、污水处理、职业卫生评价、办公生活设施、厂外运输、物料输送以及其他厂区、其他项目等，则应执行国家有关规定和相关标准，不在本评价范围。</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olor w:val="000000" w:themeColor="text1"/>
          <w:sz w:val="28"/>
          <w:szCs w:val="28"/>
          <w:lang w:val="en-US" w:eastAsia="zh-CN"/>
          <w14:textFill>
            <w14:solidFill>
              <w14:schemeClr w14:val="tx1"/>
            </w14:solidFill>
          </w14:textFill>
        </w:rPr>
      </w:pPr>
      <w:bookmarkStart w:id="9" w:name="_Toc202759400"/>
      <w:r>
        <w:rPr>
          <w:rFonts w:hint="eastAsia"/>
          <w:color w:val="000000" w:themeColor="text1"/>
          <w:sz w:val="28"/>
          <w:szCs w:val="28"/>
          <w:lang w:val="en-US" w:eastAsia="zh-CN"/>
          <w14:textFill>
            <w14:solidFill>
              <w14:schemeClr w14:val="tx1"/>
            </w14:solidFill>
          </w14:textFill>
        </w:rPr>
        <w:t>根据《非煤矿矿山企业安全生产许可证实施办法》（国家安全生产监督管理总局令[2009]第20号，2015修订版）、《东营市应急管理局关于进一步规范非煤矿矿山《安全生产许可证》颁发管理有关问题的函》（东应急函字[2021]50号），企业安全生产许可证申请范围为：井下作业-注气（蒸汽）</w:t>
      </w:r>
      <w:r>
        <w:rPr>
          <w:rFonts w:hint="eastAsia"/>
          <w:color w:val="000000" w:themeColor="text1"/>
          <w:sz w:val="28"/>
          <w:szCs w:val="28"/>
          <w:lang w:eastAsia="zh-CN"/>
          <w14:textFill>
            <w14:solidFill>
              <w14:schemeClr w14:val="tx1"/>
            </w14:solidFill>
          </w14:textFill>
        </w:rPr>
        <w:t>项目</w:t>
      </w:r>
      <w:r>
        <w:rPr>
          <w:rFonts w:hint="eastAsia"/>
          <w:color w:val="000000" w:themeColor="text1"/>
          <w:sz w:val="28"/>
          <w:szCs w:val="28"/>
          <w:lang w:val="en-US" w:eastAsia="zh-CN"/>
          <w14:textFill>
            <w14:solidFill>
              <w14:schemeClr w14:val="tx1"/>
            </w14:solidFill>
          </w14:textFill>
        </w:rPr>
        <w:t>，本次安全评价范围与企业安全生产许可证申请范围一致。</w:t>
      </w:r>
    </w:p>
    <w:p>
      <w:pPr>
        <w:pStyle w:val="4"/>
        <w:adjustRightInd w:val="0"/>
        <w:snapToGrid w:val="0"/>
        <w:spacing w:before="0" w:after="0" w:line="360" w:lineRule="auto"/>
        <w:rPr>
          <w:rFonts w:ascii="Times New Roman" w:hAnsi="Times New Roman"/>
          <w:b w:val="0"/>
          <w:bCs/>
          <w:color w:val="auto"/>
          <w:szCs w:val="32"/>
        </w:rPr>
      </w:pPr>
      <w:bookmarkStart w:id="10" w:name="_Toc20368"/>
      <w:r>
        <w:rPr>
          <w:rFonts w:hint="eastAsia" w:ascii="Times New Roman" w:hAnsi="Times New Roman"/>
          <w:b w:val="0"/>
          <w:bCs/>
          <w:color w:val="auto"/>
          <w:szCs w:val="32"/>
        </w:rPr>
        <w:t>1.4</w:t>
      </w:r>
      <w:r>
        <w:rPr>
          <w:rFonts w:ascii="Times New Roman" w:hAnsi="Times New Roman"/>
          <w:b w:val="0"/>
          <w:bCs/>
          <w:color w:val="auto"/>
          <w:szCs w:val="32"/>
        </w:rPr>
        <w:t xml:space="preserve"> </w:t>
      </w:r>
      <w:r>
        <w:rPr>
          <w:rFonts w:hint="eastAsia" w:ascii="Times New Roman" w:hAnsi="Times New Roman"/>
          <w:b w:val="0"/>
          <w:bCs/>
          <w:color w:val="auto"/>
          <w:szCs w:val="32"/>
        </w:rPr>
        <w:t>评价程序</w:t>
      </w:r>
      <w:bookmarkEnd w:id="9"/>
      <w:bookmarkEnd w:id="10"/>
    </w:p>
    <w:p>
      <w:pPr>
        <w:adjustRightInd w:val="0"/>
        <w:snapToGrid w:val="0"/>
        <w:spacing w:line="360" w:lineRule="auto"/>
        <w:ind w:firstLine="560" w:firstLineChars="200"/>
        <w:rPr>
          <w:rFonts w:hint="eastAsia" w:ascii="Times New Roman" w:hAnsi="Times New Roman" w:eastAsia="宋体" w:cs="Times New Roman"/>
          <w:color w:val="auto"/>
          <w:sz w:val="28"/>
          <w:szCs w:val="28"/>
        </w:rPr>
      </w:pPr>
      <w:bookmarkStart w:id="11" w:name="_Toc202759401"/>
      <w:r>
        <w:rPr>
          <w:rFonts w:hint="eastAsia" w:ascii="Times New Roman" w:hAnsi="Times New Roman" w:eastAsia="宋体" w:cs="Times New Roman"/>
          <w:color w:val="auto"/>
          <w:sz w:val="28"/>
          <w:szCs w:val="28"/>
        </w:rPr>
        <w:t>安全现状评价工作程序如下：</w:t>
      </w:r>
    </w:p>
    <w:p>
      <w:pPr>
        <w:numPr>
          <w:ilvl w:val="0"/>
          <w:numId w:val="10"/>
        </w:numPr>
        <w:adjustRightInd w:val="0"/>
        <w:snapToGrid w:val="0"/>
        <w:spacing w:line="360" w:lineRule="auto"/>
        <w:ind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前期准备阶段：收集有关资料；</w:t>
      </w:r>
    </w:p>
    <w:p>
      <w:pPr>
        <w:numPr>
          <w:ilvl w:val="0"/>
          <w:numId w:val="10"/>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辨识与分析危险、有害因素；</w:t>
      </w:r>
    </w:p>
    <w:p>
      <w:pPr>
        <w:numPr>
          <w:ilvl w:val="0"/>
          <w:numId w:val="10"/>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划分评价单元，选择评价方法；</w:t>
      </w:r>
    </w:p>
    <w:p>
      <w:pPr>
        <w:numPr>
          <w:ilvl w:val="0"/>
          <w:numId w:val="10"/>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实施评价阶段：对作业情况及安全管理情况进行现场检查、调查，运用相应的评价方法进行定性定量评价； </w:t>
      </w:r>
    </w:p>
    <w:p>
      <w:pPr>
        <w:numPr>
          <w:ilvl w:val="0"/>
          <w:numId w:val="10"/>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提出安全对策措施及建议； </w:t>
      </w:r>
    </w:p>
    <w:p>
      <w:pPr>
        <w:numPr>
          <w:ilvl w:val="0"/>
          <w:numId w:val="10"/>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作出评价结论，编制完成安全现状评价报告</w:t>
      </w:r>
      <w:r>
        <w:rPr>
          <w:rFonts w:hint="eastAsia" w:ascii="Times New Roman" w:hAnsi="Times New Roman" w:eastAsia="宋体" w:cs="Times New Roman"/>
          <w:color w:val="auto"/>
          <w:sz w:val="28"/>
          <w:szCs w:val="28"/>
        </w:rPr>
        <w:t>。</w:t>
      </w:r>
    </w:p>
    <w:p>
      <w:pPr>
        <w:adjustRightInd w:val="0"/>
        <w:snapToGrid w:val="0"/>
        <w:spacing w:line="360" w:lineRule="auto"/>
        <w:jc w:val="left"/>
        <w:rPr>
          <w:rFonts w:hint="eastAsia"/>
          <w:color w:val="auto"/>
          <w:sz w:val="28"/>
          <w:szCs w:val="28"/>
        </w:rPr>
      </w:pPr>
      <w:r>
        <w:rPr>
          <w:color w:val="auto"/>
          <w:sz w:val="28"/>
        </w:rPr>
        <mc:AlternateContent>
          <mc:Choice Requires="wps">
            <w:drawing>
              <wp:anchor distT="0" distB="0" distL="114300" distR="114300" simplePos="0" relativeHeight="251664384" behindDoc="0" locked="0" layoutInCell="1" allowOverlap="1">
                <wp:simplePos x="0" y="0"/>
                <wp:positionH relativeFrom="column">
                  <wp:posOffset>1623060</wp:posOffset>
                </wp:positionH>
                <wp:positionV relativeFrom="paragraph">
                  <wp:posOffset>142240</wp:posOffset>
                </wp:positionV>
                <wp:extent cx="2411730" cy="396240"/>
                <wp:effectExtent l="6350" t="6350" r="20320" b="16510"/>
                <wp:wrapNone/>
                <wp:docPr id="15" name="文本框 15"/>
                <wp:cNvGraphicFramePr/>
                <a:graphic xmlns:a="http://schemas.openxmlformats.org/drawingml/2006/main">
                  <a:graphicData uri="http://schemas.microsoft.com/office/word/2010/wordprocessingShape">
                    <wps:wsp>
                      <wps:cNvSpPr txBox="1"/>
                      <wps:spPr>
                        <a:xfrm>
                          <a:off x="2657475" y="3616325"/>
                          <a:ext cx="2411730" cy="396240"/>
                        </a:xfrm>
                        <a:prstGeom prst="rect">
                          <a:avLst/>
                        </a:prstGeom>
                      </wps:spPr>
                      <wps:style>
                        <a:lnRef idx="2">
                          <a:schemeClr val="accent1"/>
                        </a:lnRef>
                        <a:fillRef idx="1">
                          <a:schemeClr val="lt1"/>
                        </a:fillRef>
                        <a:effectRef idx="0">
                          <a:schemeClr val="accent1"/>
                        </a:effectRef>
                        <a:fontRef idx="minor">
                          <a:schemeClr val="dk1"/>
                        </a:fontRef>
                      </wps:style>
                      <wps:txbx>
                        <w:txbxContent>
                          <w:p>
                            <w:pPr>
                              <w:jc w:val="center"/>
                              <w:rPr>
                                <w:rFonts w:hint="eastAsia" w:eastAsia="宋体"/>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前期准备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8pt;margin-top:11.2pt;height:31.2pt;width:189.9pt;z-index:251664384;mso-width-relative:page;mso-height-relative:page;" fillcolor="#FFFFFF [3201]" filled="t" stroked="t" coordsize="21600,21600" o:gfxdata="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KWA29LV&#10;AAAACQEAAA8AAAAAAAAAAQAgAAAAIgAAAGRycy9kb3ducmV2LnhtbFBLAQIUABQAAAAIAIdO4kB1&#10;rzTAlQIAABgFAAAOAAAAAAAAAAEAIAAAACQBAABkcnMvZTJvRG9jLnhtbFBLBQYAAAAABgAGAFkB&#10;AAArBgAAAAA=&#10;">
                <v:fill on="t" focussize="0,0"/>
                <v:stroke weight="1pt" color="#5B9BD5 [3204]" miterlimit="8" joinstyle="miter"/>
                <v:imagedata o:title=""/>
                <o:lock v:ext="edit" aspectratio="f"/>
                <v:textbox>
                  <w:txbxContent>
                    <w:p>
                      <w:pPr>
                        <w:jc w:val="center"/>
                        <w:rPr>
                          <w:rFonts w:hint="eastAsia" w:eastAsia="宋体"/>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前期准备</w:t>
                      </w:r>
                    </w:p>
                  </w:txbxContent>
                </v:textbox>
              </v:shape>
            </w:pict>
          </mc:Fallback>
        </mc:AlternateContent>
      </w:r>
      <w:r>
        <w:rPr>
          <w:rFonts w:hint="eastAsia"/>
          <w:color w:val="auto"/>
          <w:sz w:val="28"/>
          <w:szCs w:val="28"/>
        </w:rPr>
        <w:t>具体程序见下图1-1。</w:t>
      </w:r>
    </w:p>
    <w:p>
      <w:pPr>
        <w:pStyle w:val="2"/>
      </w:pPr>
    </w:p>
    <w:p>
      <w:pPr>
        <w:pStyle w:val="260"/>
        <w:kinsoku w:val="0"/>
        <w:overflowPunct w:val="0"/>
        <w:spacing w:beforeLines="0" w:afterLines="0" w:line="6678" w:lineRule="exact"/>
        <w:ind w:left="2090" w:leftChars="0" w:firstLine="14" w:firstLineChars="5"/>
        <w:rPr>
          <w:rFonts w:hint="default" w:ascii="Times New Roman" w:hAnsi="Times New Roman" w:eastAsia="Times New Roman"/>
          <w:color w:val="0070C0"/>
          <w:position w:val="-134"/>
          <w:sz w:val="20"/>
          <w:szCs w:val="24"/>
        </w:rPr>
      </w:pPr>
      <w:r>
        <w:rPr>
          <w:sz w:val="28"/>
        </w:rPr>
        <mc:AlternateContent>
          <mc:Choice Requires="wps">
            <w:drawing>
              <wp:anchor distT="0" distB="0" distL="114300" distR="114300" simplePos="0" relativeHeight="251675648" behindDoc="0" locked="0" layoutInCell="1" allowOverlap="1">
                <wp:simplePos x="0" y="0"/>
                <wp:positionH relativeFrom="column">
                  <wp:posOffset>1689735</wp:posOffset>
                </wp:positionH>
                <wp:positionV relativeFrom="paragraph">
                  <wp:posOffset>3922395</wp:posOffset>
                </wp:positionV>
                <wp:extent cx="2411730" cy="423545"/>
                <wp:effectExtent l="6350" t="6350" r="20320" b="12065"/>
                <wp:wrapNone/>
                <wp:docPr id="101" name="文本框 101"/>
                <wp:cNvGraphicFramePr/>
                <a:graphic xmlns:a="http://schemas.openxmlformats.org/drawingml/2006/main">
                  <a:graphicData uri="http://schemas.microsoft.com/office/word/2010/wordprocessingShape">
                    <wps:wsp>
                      <wps:cNvSpPr txBox="1"/>
                      <wps:spPr>
                        <a:xfrm>
                          <a:off x="0" y="0"/>
                          <a:ext cx="2411730" cy="423545"/>
                        </a:xfrm>
                        <a:prstGeom prst="rect">
                          <a:avLst/>
                        </a:prstGeom>
                      </wps:spPr>
                      <wps:style>
                        <a:lnRef idx="2">
                          <a:schemeClr val="accent1"/>
                        </a:lnRef>
                        <a:fillRef idx="1">
                          <a:schemeClr val="lt1"/>
                        </a:fillRef>
                        <a:effectRef idx="0">
                          <a:schemeClr val="accent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编制安全现状评价报告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3.05pt;margin-top:308.85pt;height:33.35pt;width:189.9pt;z-index:251675648;mso-width-relative:page;mso-height-relative:page;" fillcolor="#FFFFFF [3201]" filled="t" stroked="t" coordsize="21600,21600" o:gfxdata="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C4vIXl2AAAAAsBAAAPAAAA&#10;AAAAAAEAIAAAACIAAABkcnMvZG93bnJldi54bWxQSwECFAAUAAAACACHTuJAA6Htz4cCAAAOBQAA&#10;DgAAAAAAAAABACAAAAAnAQAAZHJzL2Uyb0RvYy54bWxQSwUGAAAAAAYABgBZAQAAIAYAAAAA&#10;">
                <v:fill on="t" focussize="0,0"/>
                <v:stroke weight="1pt" color="#5B9BD5 [3204]"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编制安全现状评价报告</w:t>
                      </w:r>
                    </w:p>
                  </w:txbxContent>
                </v:textbox>
              </v:shape>
            </w:pict>
          </mc:Fallback>
        </mc:AlternateContent>
      </w:r>
      <w:r>
        <w:rPr>
          <w:sz w:val="28"/>
        </w:rPr>
        <mc:AlternateContent>
          <mc:Choice Requires="wps">
            <w:drawing>
              <wp:anchor distT="0" distB="0" distL="114300" distR="114300" simplePos="0" relativeHeight="251674624" behindDoc="0" locked="0" layoutInCell="1" allowOverlap="1">
                <wp:simplePos x="0" y="0"/>
                <wp:positionH relativeFrom="column">
                  <wp:posOffset>1683385</wp:posOffset>
                </wp:positionH>
                <wp:positionV relativeFrom="paragraph">
                  <wp:posOffset>3334385</wp:posOffset>
                </wp:positionV>
                <wp:extent cx="2411730" cy="396240"/>
                <wp:effectExtent l="6350" t="6350" r="20320" b="16510"/>
                <wp:wrapNone/>
                <wp:docPr id="94" name="文本框 94"/>
                <wp:cNvGraphicFramePr/>
                <a:graphic xmlns:a="http://schemas.openxmlformats.org/drawingml/2006/main">
                  <a:graphicData uri="http://schemas.microsoft.com/office/word/2010/wordprocessingShape">
                    <wps:wsp>
                      <wps:cNvSpPr txBox="1"/>
                      <wps:spPr>
                        <a:xfrm>
                          <a:off x="0" y="0"/>
                          <a:ext cx="2411730" cy="396240"/>
                        </a:xfrm>
                        <a:prstGeom prst="rect">
                          <a:avLst/>
                        </a:prstGeom>
                      </wps:spPr>
                      <wps:style>
                        <a:lnRef idx="2">
                          <a:schemeClr val="accent1"/>
                        </a:lnRef>
                        <a:fillRef idx="1">
                          <a:schemeClr val="lt1"/>
                        </a:fillRef>
                        <a:effectRef idx="0">
                          <a:schemeClr val="accent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作出评价结论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2.55pt;margin-top:262.55pt;height:31.2pt;width:189.9pt;z-index:251674624;mso-width-relative:page;mso-height-relative:page;" fillcolor="#FFFFFF [3201]" filled="t" stroked="t" coordsize="21600,21600" o:gfxdata="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1ze/8dcAAAALAQAADwAA&#10;AAAAAAABACAAAAAiAAAAZHJzL2Rvd25yZXYueG1sUEsBAhQAFAAAAAgAh07iQOU6JoiJAgAADAUA&#10;AA4AAAAAAAAAAQAgAAAAJgEAAGRycy9lMm9Eb2MueG1sUEsFBgAAAAAGAAYAWQEAACEGAAAAAA==&#10;">
                <v:fill on="t" focussize="0,0"/>
                <v:stroke weight="1pt" color="#5B9BD5 [3204]"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作出评价结论</w:t>
                      </w:r>
                    </w:p>
                  </w:txbxContent>
                </v:textbox>
              </v:shape>
            </w:pict>
          </mc:Fallback>
        </mc:AlternateContent>
      </w:r>
      <w:r>
        <w:rPr>
          <w:sz w:val="28"/>
        </w:rPr>
        <mc:AlternateContent>
          <mc:Choice Requires="wps">
            <w:drawing>
              <wp:anchor distT="0" distB="0" distL="114300" distR="114300" simplePos="0" relativeHeight="251677696" behindDoc="0" locked="0" layoutInCell="1" allowOverlap="1">
                <wp:simplePos x="0" y="0"/>
                <wp:positionH relativeFrom="column">
                  <wp:posOffset>2878455</wp:posOffset>
                </wp:positionH>
                <wp:positionV relativeFrom="paragraph">
                  <wp:posOffset>3084195</wp:posOffset>
                </wp:positionV>
                <wp:extent cx="3175" cy="250190"/>
                <wp:effectExtent l="48260" t="0" r="55245" b="8890"/>
                <wp:wrapNone/>
                <wp:docPr id="104" name="直接箭头连接符 104"/>
                <wp:cNvGraphicFramePr/>
                <a:graphic xmlns:a="http://schemas.openxmlformats.org/drawingml/2006/main">
                  <a:graphicData uri="http://schemas.microsoft.com/office/word/2010/wordprocessingShape">
                    <wps:wsp>
                      <wps:cNvCnPr/>
                      <wps:spPr>
                        <a:xfrm flipH="1">
                          <a:off x="3868420" y="7441565"/>
                          <a:ext cx="3175" cy="25019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26.65pt;margin-top:242.85pt;height:19.7pt;width:0.25pt;z-index:251677696;mso-width-relative:page;mso-height-relative:page;" filled="f" stroked="t" coordsize="21600,21600" o:gfxdata="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P&#10;DJkU2QAAAAsBAAAPAAAAAAAAAAEAIAAAACIAAABkcnMvZG93bnJldi54bWxQSwECFAAUAAAACACH&#10;TuJAx1YngyMCAAD6AwAADgAAAAAAAAABACAAAAAoAQAAZHJzL2Uyb0RvYy54bWxQSwUGAAAAAAYA&#10;BgBZAQAAvQUAAAAA&#10;">
                <v:fill on="f" focussize="0,0"/>
                <v:stroke weight="0.5pt" color="#5B9BD5 [3204]"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73600" behindDoc="0" locked="0" layoutInCell="1" allowOverlap="1">
                <wp:simplePos x="0" y="0"/>
                <wp:positionH relativeFrom="column">
                  <wp:posOffset>1664335</wp:posOffset>
                </wp:positionH>
                <wp:positionV relativeFrom="paragraph">
                  <wp:posOffset>2703830</wp:posOffset>
                </wp:positionV>
                <wp:extent cx="2411730" cy="396240"/>
                <wp:effectExtent l="6350" t="6350" r="20320" b="16510"/>
                <wp:wrapNone/>
                <wp:docPr id="91" name="文本框 91"/>
                <wp:cNvGraphicFramePr/>
                <a:graphic xmlns:a="http://schemas.openxmlformats.org/drawingml/2006/main">
                  <a:graphicData uri="http://schemas.microsoft.com/office/word/2010/wordprocessingShape">
                    <wps:wsp>
                      <wps:cNvSpPr txBox="1"/>
                      <wps:spPr>
                        <a:xfrm>
                          <a:off x="0" y="0"/>
                          <a:ext cx="2411730" cy="396240"/>
                        </a:xfrm>
                        <a:prstGeom prst="rect">
                          <a:avLst/>
                        </a:prstGeom>
                      </wps:spPr>
                      <wps:style>
                        <a:lnRef idx="2">
                          <a:schemeClr val="accent1"/>
                        </a:lnRef>
                        <a:fillRef idx="1">
                          <a:schemeClr val="lt1"/>
                        </a:fillRef>
                        <a:effectRef idx="0">
                          <a:schemeClr val="accent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提出安全对策措施建议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05pt;margin-top:212.9pt;height:31.2pt;width:189.9pt;z-index:251673600;mso-width-relative:page;mso-height-relative:page;" fillcolor="#FFFFFF [3201]" filled="t" stroked="t" coordsize="21600,21600" o:gfxdata="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UDVPS1wAAAAsBAAAPAAAA&#10;AAAAAAEAIAAAACIAAABkcnMvZG93bnJldi54bWxQSwECFAAUAAAACACHTuJArSoNhYgCAAAMBQAA&#10;DgAAAAAAAAABACAAAAAmAQAAZHJzL2Uyb0RvYy54bWxQSwUGAAAAAAYABgBZAQAAIAYAAAAA&#10;">
                <v:fill on="t" focussize="0,0"/>
                <v:stroke weight="1pt" color="#5B9BD5 [3204]"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提出安全对策措施建议</w:t>
                      </w:r>
                    </w:p>
                  </w:txbxContent>
                </v:textbox>
              </v:shape>
            </w:pict>
          </mc:Fallback>
        </mc:AlternateContent>
      </w:r>
      <w:r>
        <w:rPr>
          <w:sz w:val="28"/>
        </w:rPr>
        <mc:AlternateContent>
          <mc:Choice Requires="wps">
            <w:drawing>
              <wp:anchor distT="0" distB="0" distL="114300" distR="114300" simplePos="0" relativeHeight="251672576" behindDoc="0" locked="0" layoutInCell="1" allowOverlap="1">
                <wp:simplePos x="0" y="0"/>
                <wp:positionH relativeFrom="column">
                  <wp:posOffset>1664335</wp:posOffset>
                </wp:positionH>
                <wp:positionV relativeFrom="paragraph">
                  <wp:posOffset>2108200</wp:posOffset>
                </wp:positionV>
                <wp:extent cx="2411730" cy="396240"/>
                <wp:effectExtent l="6350" t="6350" r="20320" b="16510"/>
                <wp:wrapNone/>
                <wp:docPr id="90" name="文本框 90"/>
                <wp:cNvGraphicFramePr/>
                <a:graphic xmlns:a="http://schemas.openxmlformats.org/drawingml/2006/main">
                  <a:graphicData uri="http://schemas.microsoft.com/office/word/2010/wordprocessingShape">
                    <wps:wsp>
                      <wps:cNvSpPr txBox="1"/>
                      <wps:spPr>
                        <a:xfrm>
                          <a:off x="0" y="0"/>
                          <a:ext cx="2411730" cy="396240"/>
                        </a:xfrm>
                        <a:prstGeom prst="rect">
                          <a:avLst/>
                        </a:prstGeom>
                      </wps:spPr>
                      <wps:style>
                        <a:lnRef idx="2">
                          <a:schemeClr val="accent1"/>
                        </a:lnRef>
                        <a:fillRef idx="1">
                          <a:schemeClr val="lt1"/>
                        </a:fillRef>
                        <a:effectRef idx="0">
                          <a:schemeClr val="accent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定性、定量评价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05pt;margin-top:166pt;height:31.2pt;width:189.9pt;z-index:251672576;mso-width-relative:page;mso-height-relative:page;" fillcolor="#FFFFFF [3201]" filled="t" stroked="t" coordsize="21600,21600" o:gfxdata="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BeLvAY1wAAAAsBAAAPAAAA&#10;AAAAAAEAIAAAACIAAABkcnMvZG93bnJldi54bWxQSwECFAAUAAAACACHTuJAeod/MIgCAAAMBQAA&#10;DgAAAAAAAAABACAAAAAmAQAAZHJzL2Uyb0RvYy54bWxQSwUGAAAAAAYABgBZAQAAIAYAAAAA&#10;">
                <v:fill on="t" focussize="0,0"/>
                <v:stroke weight="1pt" color="#5B9BD5 [3204]"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定性、定量评价</w:t>
                      </w:r>
                    </w:p>
                  </w:txbxContent>
                </v:textbox>
              </v:shape>
            </w:pict>
          </mc:Fallback>
        </mc:AlternateContent>
      </w:r>
      <w:r>
        <w:rPr>
          <w:sz w:val="28"/>
        </w:rPr>
        <mc:AlternateContent>
          <mc:Choice Requires="wps">
            <w:drawing>
              <wp:anchor distT="0" distB="0" distL="114300" distR="114300" simplePos="0" relativeHeight="251670528" behindDoc="0" locked="0" layoutInCell="1" allowOverlap="1">
                <wp:simplePos x="0" y="0"/>
                <wp:positionH relativeFrom="column">
                  <wp:posOffset>1668145</wp:posOffset>
                </wp:positionH>
                <wp:positionV relativeFrom="paragraph">
                  <wp:posOffset>1494155</wp:posOffset>
                </wp:positionV>
                <wp:extent cx="2411730" cy="407035"/>
                <wp:effectExtent l="6350" t="6350" r="20320" b="13335"/>
                <wp:wrapNone/>
                <wp:docPr id="84" name="文本框 84"/>
                <wp:cNvGraphicFramePr/>
                <a:graphic xmlns:a="http://schemas.openxmlformats.org/drawingml/2006/main">
                  <a:graphicData uri="http://schemas.microsoft.com/office/word/2010/wordprocessingShape">
                    <wps:wsp>
                      <wps:cNvSpPr txBox="1"/>
                      <wps:spPr>
                        <a:xfrm>
                          <a:off x="0" y="0"/>
                          <a:ext cx="2411730" cy="407035"/>
                        </a:xfrm>
                        <a:prstGeom prst="rect">
                          <a:avLst/>
                        </a:prstGeom>
                      </wps:spPr>
                      <wps:style>
                        <a:lnRef idx="2">
                          <a:schemeClr val="accent1"/>
                        </a:lnRef>
                        <a:fillRef idx="1">
                          <a:schemeClr val="lt1"/>
                        </a:fillRef>
                        <a:effectRef idx="0">
                          <a:schemeClr val="accent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选择评价方法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35pt;margin-top:117.65pt;height:32.05pt;width:189.9pt;z-index:251670528;mso-width-relative:page;mso-height-relative:page;" fillcolor="#FFFFFF [3201]" filled="t" stroked="t" coordsize="21600,21600" o:gfxdata="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jNEAv2AAAAAsBAAAPAAAA&#10;AAAAAAEAIAAAACIAAABkcnMvZG93bnJldi54bWxQSwECFAAUAAAACACHTuJA+JtRVocCAAAMBQAA&#10;DgAAAAAAAAABACAAAAAnAQAAZHJzL2Uyb0RvYy54bWxQSwUGAAAAAAYABgBZAQAAIAYAAAAA&#10;">
                <v:fill on="t" focussize="0,0"/>
                <v:stroke weight="1pt" color="#5B9BD5 [3204]"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选择评价方法</w:t>
                      </w:r>
                    </w:p>
                  </w:txbxContent>
                </v:textbox>
              </v:shape>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1644015</wp:posOffset>
                </wp:positionH>
                <wp:positionV relativeFrom="paragraph">
                  <wp:posOffset>848360</wp:posOffset>
                </wp:positionV>
                <wp:extent cx="2411730" cy="396240"/>
                <wp:effectExtent l="6350" t="6350" r="20320" b="16510"/>
                <wp:wrapNone/>
                <wp:docPr id="53" name="文本框 53"/>
                <wp:cNvGraphicFramePr/>
                <a:graphic xmlns:a="http://schemas.openxmlformats.org/drawingml/2006/main">
                  <a:graphicData uri="http://schemas.microsoft.com/office/word/2010/wordprocessingShape">
                    <wps:wsp>
                      <wps:cNvSpPr txBox="1"/>
                      <wps:spPr>
                        <a:xfrm>
                          <a:off x="0" y="0"/>
                          <a:ext cx="2411730" cy="396240"/>
                        </a:xfrm>
                        <a:prstGeom prst="rect">
                          <a:avLst/>
                        </a:prstGeom>
                      </wps:spPr>
                      <wps:style>
                        <a:lnRef idx="2">
                          <a:schemeClr val="accent1"/>
                        </a:lnRef>
                        <a:fillRef idx="1">
                          <a:schemeClr val="lt1"/>
                        </a:fillRef>
                        <a:effectRef idx="0">
                          <a:schemeClr val="accent1"/>
                        </a:effectRef>
                        <a:fontRef idx="minor">
                          <a:schemeClr val="dk1"/>
                        </a:fontRef>
                      </wps:style>
                      <wps:txbx>
                        <w:txbxContent>
                          <w:p>
                            <w:pPr>
                              <w:jc w:val="center"/>
                              <w:rPr>
                                <w:rFonts w:hint="eastAsia"/>
                                <w:lang w:val="en-US" w:eastAsia="zh-CN"/>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划分评价单元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45pt;margin-top:66.8pt;height:31.2pt;width:189.9pt;z-index:251668480;mso-width-relative:page;mso-height-relative:page;" fillcolor="#FFFFFF [3201]" filled="t" stroked="t" coordsize="21600,21600" o:gfxdata="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W8r6+NcAAAALAQAADwAA&#10;AAAAAAABACAAAAAiAAAAZHJzL2Rvd25yZXYueG1sUEsBAhQAFAAAAAgAh07iQPoOgJSJAgAADAUA&#10;AA4AAAAAAAAAAQAgAAAAJgEAAGRycy9lMm9Eb2MueG1sUEsFBgAAAAAGAAYAWQEAACEGAAAAAA==&#10;">
                <v:fill on="t" focussize="0,0"/>
                <v:stroke weight="1pt" color="#5B9BD5 [3204]" miterlimit="8" joinstyle="miter"/>
                <v:imagedata o:title=""/>
                <o:lock v:ext="edit" aspectratio="f"/>
                <v:textbox>
                  <w:txbxContent>
                    <w:p>
                      <w:pPr>
                        <w:jc w:val="center"/>
                        <w:rPr>
                          <w:rFonts w:hint="eastAsia"/>
                          <w:lang w:val="en-US" w:eastAsia="zh-CN"/>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划分评价单元</w:t>
                      </w:r>
                    </w:p>
                  </w:txbxContent>
                </v:textbox>
              </v:shape>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column">
                  <wp:posOffset>1623060</wp:posOffset>
                </wp:positionH>
                <wp:positionV relativeFrom="paragraph">
                  <wp:posOffset>222250</wp:posOffset>
                </wp:positionV>
                <wp:extent cx="2411730" cy="396240"/>
                <wp:effectExtent l="6350" t="6350" r="20320" b="16510"/>
                <wp:wrapNone/>
                <wp:docPr id="26" name="文本框 26"/>
                <wp:cNvGraphicFramePr/>
                <a:graphic xmlns:a="http://schemas.openxmlformats.org/drawingml/2006/main">
                  <a:graphicData uri="http://schemas.microsoft.com/office/word/2010/wordprocessingShape">
                    <wps:wsp>
                      <wps:cNvSpPr txBox="1"/>
                      <wps:spPr>
                        <a:xfrm>
                          <a:off x="0" y="0"/>
                          <a:ext cx="2411730" cy="396240"/>
                        </a:xfrm>
                        <a:prstGeom prst="rect">
                          <a:avLst/>
                        </a:prstGeom>
                      </wps:spPr>
                      <wps:style>
                        <a:lnRef idx="2">
                          <a:schemeClr val="accent1"/>
                        </a:lnRef>
                        <a:fillRef idx="1">
                          <a:schemeClr val="lt1"/>
                        </a:fillRef>
                        <a:effectRef idx="0">
                          <a:schemeClr val="accent1"/>
                        </a:effectRef>
                        <a:fontRef idx="minor">
                          <a:schemeClr val="dk1"/>
                        </a:fontRef>
                      </wps:style>
                      <wps:txb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辨识与分析危险、有害因素</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8pt;margin-top:17.5pt;height:31.2pt;width:189.9pt;z-index:251666432;mso-width-relative:page;mso-height-relative:page;" fillcolor="#FFFFFF [3201]" filled="t" stroked="t" coordsize="21600,21600" o:gfxdata="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PJKLg9cAAAAJAQAADwAA&#10;AAAAAAABACAAAAAiAAAAZHJzL2Rvd25yZXYueG1sUEsBAhQAFAAAAAgAh07iQLSXpdGJAgAADAUA&#10;AA4AAAAAAAAAAQAgAAAAJgEAAGRycy9lMm9Eb2MueG1sUEsFBgAAAAAGAAYAWQEAACEGAAAAAA==&#10;">
                <v:fill on="t" focussize="0,0"/>
                <v:stroke weight="1pt" color="#5B9BD5 [3204]" miterlimit="8" joinstyle="miter"/>
                <v:imagedata o:title=""/>
                <o:lock v:ext="edit" aspectratio="f"/>
                <v:textbox>
                  <w:txbxContent>
                    <w:p>
                      <w:pPr>
                        <w:jc w:val="cente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辨识与分析危险、有害因素</w:t>
                      </w:r>
                    </w:p>
                    <w:p>
                      <w:pPr>
                        <w:rPr>
                          <w:rFonts w:hint="eastAsia"/>
                          <w:lang w:val="en-US" w:eastAsia="zh-CN"/>
                        </w:rPr>
                      </w:pPr>
                    </w:p>
                  </w:txbxContent>
                </v:textbox>
              </v:shape>
            </w:pict>
          </mc:Fallback>
        </mc:AlternateContent>
      </w:r>
      <w:r>
        <w:rPr>
          <w:sz w:val="28"/>
        </w:rPr>
        <mc:AlternateContent>
          <mc:Choice Requires="wps">
            <w:drawing>
              <wp:anchor distT="0" distB="0" distL="114300" distR="114300" simplePos="0" relativeHeight="251676672" behindDoc="0" locked="0" layoutInCell="1" allowOverlap="1">
                <wp:simplePos x="0" y="0"/>
                <wp:positionH relativeFrom="column">
                  <wp:posOffset>2870200</wp:posOffset>
                </wp:positionH>
                <wp:positionV relativeFrom="paragraph">
                  <wp:posOffset>2504440</wp:posOffset>
                </wp:positionV>
                <wp:extent cx="0" cy="199390"/>
                <wp:effectExtent l="48895" t="0" r="57785" b="13970"/>
                <wp:wrapNone/>
                <wp:docPr id="103" name="直接箭头连接符 103"/>
                <wp:cNvGraphicFramePr/>
                <a:graphic xmlns:a="http://schemas.openxmlformats.org/drawingml/2006/main">
                  <a:graphicData uri="http://schemas.microsoft.com/office/word/2010/wordprocessingShape">
                    <wps:wsp>
                      <wps:cNvCnPr>
                        <a:stCxn id="90" idx="2"/>
                        <a:endCxn id="91" idx="0"/>
                      </wps:cNvCnPr>
                      <wps:spPr>
                        <a:xfrm>
                          <a:off x="3866515" y="6786880"/>
                          <a:ext cx="0" cy="19939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6pt;margin-top:197.2pt;height:15.7pt;width:0pt;z-index:251676672;mso-width-relative:page;mso-height-relative:page;" filled="f" stroked="t" coordsize="21600,21600" o:gfxdata="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uTRV/XAAAACwEAAA8AAAAAAAAAAQAgAAAAIgAAAGRycy9kb3ducmV2LnhtbFBL&#10;AQIUABQAAAAIAIdO4kBKI9fPMAIAAC8EAAAOAAAAAAAAAAEAIAAAACYBAABkcnMvZTJvRG9jLnht&#10;bFBLBQYAAAAABgAGAFkBAADIBQAAAAA=&#10;">
                <v:fill on="f" focussize="0,0"/>
                <v:stroke weight="0.5pt" color="#5B9BD5 [3204]"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71552" behindDoc="0" locked="0" layoutInCell="1" allowOverlap="1">
                <wp:simplePos x="0" y="0"/>
                <wp:positionH relativeFrom="column">
                  <wp:posOffset>2874010</wp:posOffset>
                </wp:positionH>
                <wp:positionV relativeFrom="paragraph">
                  <wp:posOffset>1901190</wp:posOffset>
                </wp:positionV>
                <wp:extent cx="5080" cy="197485"/>
                <wp:effectExtent l="46355" t="0" r="55245" b="635"/>
                <wp:wrapNone/>
                <wp:docPr id="89" name="直接箭头连接符 89"/>
                <wp:cNvGraphicFramePr/>
                <a:graphic xmlns:a="http://schemas.openxmlformats.org/drawingml/2006/main">
                  <a:graphicData uri="http://schemas.microsoft.com/office/word/2010/wordprocessingShape">
                    <wps:wsp>
                      <wps:cNvCnPr>
                        <a:stCxn id="84" idx="2"/>
                      </wps:cNvCnPr>
                      <wps:spPr>
                        <a:xfrm>
                          <a:off x="3843655" y="6602095"/>
                          <a:ext cx="5080" cy="1974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6.3pt;margin-top:149.7pt;height:15.55pt;width:0.4pt;z-index:251671552;mso-width-relative:page;mso-height-relative:page;" filled="f" stroked="t" coordsize="21600,21600" o:gfxdata="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WdO7J2QAAAAsBAAAPAAAAAAAAAAEAIAAAACIAAABkcnMvZG93bnJldi54bWxQSwECFAAU&#10;AAAACACHTuJAgtzX8SkCAAAVBAAADgAAAAAAAAABACAAAAAoAQAAZHJzL2Uyb0RvYy54bWxQSwUG&#10;AAAAAAYABgBZAQAAwwUAAAAA&#10;">
                <v:fill on="f" focussize="0,0"/>
                <v:stroke weight="0.5pt" color="#5B9BD5 [3204]"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9504" behindDoc="0" locked="0" layoutInCell="1" allowOverlap="1">
                <wp:simplePos x="0" y="0"/>
                <wp:positionH relativeFrom="column">
                  <wp:posOffset>2849880</wp:posOffset>
                </wp:positionH>
                <wp:positionV relativeFrom="paragraph">
                  <wp:posOffset>1244600</wp:posOffset>
                </wp:positionV>
                <wp:extent cx="6985" cy="222885"/>
                <wp:effectExtent l="45085" t="0" r="54610" b="5715"/>
                <wp:wrapNone/>
                <wp:docPr id="75" name="直接箭头连接符 75"/>
                <wp:cNvGraphicFramePr/>
                <a:graphic xmlns:a="http://schemas.openxmlformats.org/drawingml/2006/main">
                  <a:graphicData uri="http://schemas.microsoft.com/office/word/2010/wordprocessingShape">
                    <wps:wsp>
                      <wps:cNvCnPr>
                        <a:stCxn id="53" idx="2"/>
                      </wps:cNvCnPr>
                      <wps:spPr>
                        <a:xfrm>
                          <a:off x="3860800" y="5782945"/>
                          <a:ext cx="6985" cy="2228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4.4pt;margin-top:98pt;height:17.55pt;width:0.55pt;z-index:251669504;mso-width-relative:page;mso-height-relative:page;" filled="f" stroked="t" coordsize="21600,21600" o:gfxdata="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BGQYmjYAAAACwEAAA8AAAAAAAAAAQAgAAAAIgAAAGRycy9kb3ducmV2LnhtbFBLAQIUABQA&#10;AAAIAIdO4kCPoiA/KQIAABUEAAAOAAAAAAAAAAEAIAAAACcBAABkcnMvZTJvRG9jLnhtbFBLBQYA&#10;AAAABgAGAFkBAADCBQAAAAA=&#10;">
                <v:fill on="f" focussize="0,0"/>
                <v:stroke weight="0.5pt" color="#5B9BD5 [3204]"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7456" behindDoc="0" locked="0" layoutInCell="1" allowOverlap="1">
                <wp:simplePos x="0" y="0"/>
                <wp:positionH relativeFrom="column">
                  <wp:posOffset>2828925</wp:posOffset>
                </wp:positionH>
                <wp:positionV relativeFrom="paragraph">
                  <wp:posOffset>618490</wp:posOffset>
                </wp:positionV>
                <wp:extent cx="8255" cy="230505"/>
                <wp:effectExtent l="43815" t="0" r="54610" b="13335"/>
                <wp:wrapNone/>
                <wp:docPr id="52" name="直接箭头连接符 52"/>
                <wp:cNvGraphicFramePr/>
                <a:graphic xmlns:a="http://schemas.openxmlformats.org/drawingml/2006/main">
                  <a:graphicData uri="http://schemas.microsoft.com/office/word/2010/wordprocessingShape">
                    <wps:wsp>
                      <wps:cNvCnPr>
                        <a:stCxn id="26" idx="2"/>
                      </wps:cNvCnPr>
                      <wps:spPr>
                        <a:xfrm>
                          <a:off x="3860165" y="4954905"/>
                          <a:ext cx="8255" cy="23050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2.75pt;margin-top:48.7pt;height:18.15pt;width:0.65pt;z-index:251667456;mso-width-relative:page;mso-height-relative:page;" filled="f" stroked="t" coordsize="21600,21600" o:gfxdata="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udMKM2AAAAAoBAAAPAAAAAAAAAAEAIAAAACIAAABkcnMvZG93bnJldi54bWxQSwECFAAU&#10;AAAACACHTuJADqiAkyoCAAAVBAAADgAAAAAAAAABACAAAAAnAQAAZHJzL2Uyb0RvYy54bWxQSwUG&#10;AAAAAAYABgBZAQAAwwUAAAAA&#10;">
                <v:fill on="f" focussize="0,0"/>
                <v:stroke weight="0.5pt" color="#5B9BD5 [3204]" miterlimit="8" joinstyle="miter" endarrow="open"/>
                <v:imagedata o:title=""/>
                <o:lock v:ext="edit" aspectratio="f"/>
              </v:shape>
            </w:pict>
          </mc:Fallback>
        </mc:AlternateContent>
      </w:r>
      <w:r>
        <w:rPr>
          <w:sz w:val="20"/>
        </w:rPr>
        <mc:AlternateContent>
          <mc:Choice Requires="wps">
            <w:drawing>
              <wp:anchor distT="0" distB="0" distL="114300" distR="114300" simplePos="0" relativeHeight="251665408" behindDoc="0" locked="0" layoutInCell="1" allowOverlap="1">
                <wp:simplePos x="0" y="0"/>
                <wp:positionH relativeFrom="column">
                  <wp:posOffset>2828925</wp:posOffset>
                </wp:positionH>
                <wp:positionV relativeFrom="paragraph">
                  <wp:posOffset>-5715</wp:posOffset>
                </wp:positionV>
                <wp:extent cx="0" cy="227965"/>
                <wp:effectExtent l="48895" t="0" r="57785" b="635"/>
                <wp:wrapNone/>
                <wp:docPr id="17" name="直接箭头连接符 17"/>
                <wp:cNvGraphicFramePr/>
                <a:graphic xmlns:a="http://schemas.openxmlformats.org/drawingml/2006/main">
                  <a:graphicData uri="http://schemas.microsoft.com/office/word/2010/wordprocessingShape">
                    <wps:wsp>
                      <wps:cNvCnPr>
                        <a:stCxn id="15" idx="2"/>
                        <a:endCxn id="26" idx="0"/>
                      </wps:cNvCnPr>
                      <wps:spPr>
                        <a:xfrm>
                          <a:off x="3869690" y="4135755"/>
                          <a:ext cx="0" cy="22796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2.75pt;margin-top:-0.45pt;height:17.95pt;width:0pt;z-index:251665408;mso-width-relative:page;mso-height-relative:page;" filled="f" stroked="t" coordsize="21600,21600" o:gfxdata="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761T1QAAAAgBAAAPAAAAAAAAAAEAIAAAACIAAABkcnMvZG93bnJldi54bWxQSwEC&#10;FAAUAAAACACHTuJAJq7rWTACAAAtBAAADgAAAAAAAAABACAAAAAkAQAAZHJzL2Uyb0RvYy54bWxQ&#10;SwUGAAAAAAYABgBZAQAAxgUAAAAA&#10;">
                <v:fill on="f" focussize="0,0"/>
                <v:stroke weight="0.5pt" color="#5B9BD5 [3204]" miterlimit="8" joinstyle="miter" endarrow="open"/>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jc w:val="center"/>
        <w:textAlignment w:val="auto"/>
        <w:rPr>
          <w:rFonts w:hint="default" w:ascii="Times New Roman" w:hAnsi="Times New Roman" w:cs="Times New Roman"/>
          <w:b/>
          <w:bCs w:val="0"/>
          <w:color w:val="auto"/>
          <w:sz w:val="24"/>
          <w:szCs w:val="28"/>
        </w:rPr>
      </w:pPr>
      <w:r>
        <w:rPr>
          <w:sz w:val="28"/>
        </w:rPr>
        <mc:AlternateContent>
          <mc:Choice Requires="wps">
            <w:drawing>
              <wp:anchor distT="0" distB="0" distL="114300" distR="114300" simplePos="0" relativeHeight="251678720" behindDoc="0" locked="0" layoutInCell="1" allowOverlap="1">
                <wp:simplePos x="0" y="0"/>
                <wp:positionH relativeFrom="column">
                  <wp:posOffset>2886710</wp:posOffset>
                </wp:positionH>
                <wp:positionV relativeFrom="paragraph">
                  <wp:posOffset>-509905</wp:posOffset>
                </wp:positionV>
                <wp:extent cx="2540" cy="213360"/>
                <wp:effectExtent l="48260" t="0" r="55880" b="0"/>
                <wp:wrapNone/>
                <wp:docPr id="105" name="直接箭头连接符 105"/>
                <wp:cNvGraphicFramePr/>
                <a:graphic xmlns:a="http://schemas.openxmlformats.org/drawingml/2006/main">
                  <a:graphicData uri="http://schemas.microsoft.com/office/word/2010/wordprocessingShape">
                    <wps:wsp>
                      <wps:cNvCnPr>
                        <a:stCxn id="94" idx="2"/>
                      </wps:cNvCnPr>
                      <wps:spPr>
                        <a:xfrm flipH="1">
                          <a:off x="3856355" y="8122285"/>
                          <a:ext cx="2540" cy="2133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27.3pt;margin-top:-40.15pt;height:16.8pt;width:0.2pt;z-index:251678720;mso-width-relative:page;mso-height-relative:page;" filled="f" stroked="t" coordsize="21600,21600" o:gfxdata="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JiQW9oAAAALAQAADwAAAAAAAAABACAAAAAiAAAAZHJzL2Rvd25yZXYu&#10;eG1sUEsBAhQAFAAAAAgAh07iQE7WreMyAgAAIQQAAA4AAAAAAAAAAQAgAAAAKQEAAGRycy9lMm9E&#10;b2MueG1sUEsFBgAAAAAGAAYAWQEAAM0FAAAAAA==&#10;">
                <v:fill on="f" focussize="0,0"/>
                <v:stroke weight="0.5pt" color="#5B9BD5 [3204]" miterlimit="8" joinstyle="miter" endarrow="open"/>
                <v:imagedata o:title=""/>
                <o:lock v:ext="edit" aspectratio="f"/>
              </v:shape>
            </w:pict>
          </mc:Fallback>
        </mc:AlternateContent>
      </w:r>
      <w:r>
        <w:rPr>
          <w:rFonts w:hint="default" w:ascii="Times New Roman" w:hAnsi="Times New Roman" w:cs="Times New Roman"/>
          <w:b/>
          <w:bCs w:val="0"/>
          <w:color w:val="auto"/>
          <w:sz w:val="24"/>
          <w:szCs w:val="28"/>
        </w:rPr>
        <w:t>图1-1  安全现状评价程序</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color w:val="0070C0"/>
          <w:sz w:val="28"/>
          <w:szCs w:val="28"/>
        </w:rPr>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AndChars" w:linePitch="312" w:charSpace="0"/>
        </w:sectPr>
      </w:pPr>
    </w:p>
    <w:bookmarkEnd w:id="11"/>
    <w:p>
      <w:pPr>
        <w:pStyle w:val="3"/>
        <w:adjustRightInd w:val="0"/>
        <w:snapToGrid w:val="0"/>
        <w:spacing w:line="360" w:lineRule="auto"/>
        <w:rPr>
          <w:rFonts w:eastAsia="楷体_GB2312"/>
          <w:b/>
          <w:color w:val="auto"/>
          <w:sz w:val="36"/>
          <w:szCs w:val="36"/>
        </w:rPr>
      </w:pPr>
      <w:bookmarkStart w:id="12" w:name="_Toc285310333"/>
      <w:bookmarkStart w:id="13" w:name="_Toc291144363"/>
      <w:bookmarkStart w:id="14" w:name="_Toc244964626"/>
      <w:bookmarkStart w:id="15" w:name="_Toc276394619"/>
      <w:bookmarkStart w:id="16" w:name="_Toc248650007"/>
      <w:r>
        <w:rPr>
          <w:rFonts w:hint="eastAsia" w:eastAsia="楷体_GB2312"/>
          <w:b/>
          <w:color w:val="auto"/>
          <w:sz w:val="36"/>
          <w:szCs w:val="36"/>
          <w:lang w:val="en-US" w:eastAsia="zh-CN"/>
        </w:rPr>
        <w:t xml:space="preserve">   </w:t>
      </w:r>
      <w:bookmarkStart w:id="17" w:name="_Toc21427"/>
      <w:r>
        <w:rPr>
          <w:rFonts w:hint="eastAsia" w:eastAsia="楷体_GB2312"/>
          <w:b/>
          <w:color w:val="auto"/>
          <w:sz w:val="36"/>
          <w:szCs w:val="36"/>
        </w:rPr>
        <w:t>2</w:t>
      </w:r>
      <w:r>
        <w:rPr>
          <w:rFonts w:eastAsia="楷体_GB2312"/>
          <w:b/>
          <w:color w:val="auto"/>
          <w:sz w:val="36"/>
          <w:szCs w:val="36"/>
        </w:rPr>
        <w:t xml:space="preserve"> </w:t>
      </w:r>
      <w:r>
        <w:rPr>
          <w:rFonts w:hint="eastAsia" w:ascii="宋体" w:hAnsi="宋体" w:eastAsia="宋体" w:cs="宋体"/>
          <w:b/>
          <w:color w:val="auto"/>
          <w:sz w:val="36"/>
          <w:szCs w:val="36"/>
        </w:rPr>
        <w:t>被评价单位基本情况</w:t>
      </w:r>
      <w:bookmarkEnd w:id="12"/>
      <w:bookmarkEnd w:id="17"/>
    </w:p>
    <w:p>
      <w:pPr>
        <w:pStyle w:val="4"/>
        <w:adjustRightInd w:val="0"/>
        <w:snapToGrid w:val="0"/>
        <w:spacing w:before="0" w:after="0" w:line="360" w:lineRule="auto"/>
        <w:rPr>
          <w:rFonts w:ascii="Times New Roman" w:hAnsi="Times New Roman"/>
          <w:b w:val="0"/>
          <w:bCs/>
          <w:color w:val="auto"/>
          <w:szCs w:val="32"/>
        </w:rPr>
      </w:pPr>
      <w:bookmarkStart w:id="18" w:name="_Toc285310334"/>
      <w:bookmarkStart w:id="19" w:name="_Toc5642"/>
      <w:r>
        <w:rPr>
          <w:rFonts w:hint="eastAsia" w:ascii="Times New Roman" w:hAnsi="Times New Roman"/>
          <w:b w:val="0"/>
          <w:bCs/>
          <w:color w:val="auto"/>
          <w:szCs w:val="32"/>
        </w:rPr>
        <w:t>2.1</w:t>
      </w:r>
      <w:bookmarkEnd w:id="18"/>
      <w:r>
        <w:rPr>
          <w:rFonts w:ascii="Times New Roman" w:hAnsi="Times New Roman"/>
          <w:b w:val="0"/>
          <w:bCs/>
          <w:color w:val="auto"/>
          <w:szCs w:val="32"/>
        </w:rPr>
        <w:t xml:space="preserve"> </w:t>
      </w:r>
      <w:r>
        <w:rPr>
          <w:rFonts w:hint="eastAsia" w:ascii="Times New Roman" w:hAnsi="Times New Roman"/>
          <w:b w:val="0"/>
          <w:bCs/>
          <w:color w:val="auto"/>
          <w:szCs w:val="32"/>
        </w:rPr>
        <w:t>企业概况</w:t>
      </w:r>
      <w:bookmarkEnd w:id="19"/>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val="en-US" w:eastAsia="zh-CN"/>
        </w:rPr>
      </w:pPr>
      <w:r>
        <w:rPr>
          <w:rFonts w:hint="default" w:ascii="Times New Roman" w:hAnsi="Times New Roman" w:eastAsia="宋体" w:cs="Times New Roman"/>
          <w:sz w:val="28"/>
          <w:szCs w:val="28"/>
        </w:rPr>
        <w:t>涉及企业机密，不予公开</w:t>
      </w:r>
      <w:r>
        <w:rPr>
          <w:rFonts w:hint="eastAsia" w:cs="Times New Roman"/>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rPr>
        <w:t>公司研发的热采井注高干度复合气专利工艺技术，已获得稠油资源丰富的中国、美国、俄罗斯、加拿大、巴西发明专利，并荣获第四届山东省专利二等奖，至今国内外尚无与本专利类似或接近的技术。</w:t>
      </w:r>
      <w:r>
        <w:rPr>
          <w:rFonts w:hint="eastAsia" w:cs="Times New Roman"/>
          <w:sz w:val="28"/>
          <w:szCs w:val="28"/>
          <w:lang w:val="en-US" w:eastAsia="zh-CN"/>
        </w:rPr>
        <w:t>专利证书见报告附件2。</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公司目前拥有900型、1200型高干度复合气系统共5套。2018年以来，累计开展本发明专利工艺600余井次，周期结束520井次，分布在胜利油田多个采油厂的37个单元，油藏类型从普通稠油到特超稠油油藏、从弱边水到强边水油藏、从薄层到中厚层油藏均有应用。</w:t>
      </w:r>
    </w:p>
    <w:p>
      <w:pPr>
        <w:keepNext w:val="0"/>
        <w:keepLines w:val="0"/>
        <w:pageBreakBefore w:val="0"/>
        <w:widowControl w:val="0"/>
        <w:wordWrap/>
        <w:bidi w:val="0"/>
        <w:adjustRightInd w:val="0"/>
        <w:snapToGrid w:val="0"/>
        <w:spacing w:line="360" w:lineRule="auto"/>
        <w:ind w:firstLine="560" w:firstLineChars="200"/>
        <w:rPr>
          <w:rFonts w:hint="eastAsia"/>
          <w:lang w:eastAsia="zh-CN"/>
        </w:rPr>
      </w:pPr>
      <w:r>
        <w:rPr>
          <w:rFonts w:hint="default"/>
          <w:color w:val="000000" w:themeColor="text1"/>
          <w:sz w:val="28"/>
          <w:szCs w:val="28"/>
          <w:lang w:val="en-US" w:eastAsia="zh-CN"/>
          <w14:textFill>
            <w14:solidFill>
              <w14:schemeClr w14:val="tx1"/>
            </w14:solidFill>
          </w14:textFill>
        </w:rPr>
        <w:t>根据《关于对钻井、物探、测井、录井、井下作业、油建企业实施安全生产许可的通知》（鲁应急函</w:t>
      </w:r>
      <w:r>
        <w:rPr>
          <w:rFonts w:hint="default"/>
          <w:color w:val="000000" w:themeColor="text1"/>
          <w:sz w:val="28"/>
          <w:szCs w:val="28"/>
          <w14:textFill>
            <w14:solidFill>
              <w14:schemeClr w14:val="tx1"/>
            </w14:solidFill>
          </w14:textFill>
        </w:rPr>
        <w:t>[20</w:t>
      </w:r>
      <w:r>
        <w:rPr>
          <w:rFonts w:hint="default"/>
          <w:color w:val="000000" w:themeColor="text1"/>
          <w:sz w:val="28"/>
          <w:szCs w:val="28"/>
          <w:lang w:val="en-US" w:eastAsia="zh-CN"/>
          <w14:textFill>
            <w14:solidFill>
              <w14:schemeClr w14:val="tx1"/>
            </w14:solidFill>
          </w14:textFill>
        </w:rPr>
        <w:t>21</w:t>
      </w:r>
      <w:r>
        <w:rPr>
          <w:rFonts w:hint="default"/>
          <w:color w:val="000000" w:themeColor="text1"/>
          <w:sz w:val="28"/>
          <w:szCs w:val="28"/>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86号）、《东营市应急管理局关于进一步规范非煤矿矿山《安全生产许可证》颁发管理有关问题的函》（东应急函字</w:t>
      </w:r>
      <w:r>
        <w:rPr>
          <w:rFonts w:hint="default"/>
          <w:color w:val="000000" w:themeColor="text1"/>
          <w:sz w:val="28"/>
          <w:szCs w:val="28"/>
          <w14:textFill>
            <w14:solidFill>
              <w14:schemeClr w14:val="tx1"/>
            </w14:solidFill>
          </w14:textFill>
        </w:rPr>
        <w:t>[20</w:t>
      </w:r>
      <w:r>
        <w:rPr>
          <w:rFonts w:hint="default"/>
          <w:color w:val="000000" w:themeColor="text1"/>
          <w:sz w:val="28"/>
          <w:szCs w:val="28"/>
          <w:lang w:val="en-US" w:eastAsia="zh-CN"/>
          <w14:textFill>
            <w14:solidFill>
              <w14:schemeClr w14:val="tx1"/>
            </w14:solidFill>
          </w14:textFill>
        </w:rPr>
        <w:t>21</w:t>
      </w:r>
      <w:r>
        <w:rPr>
          <w:rFonts w:hint="default"/>
          <w:color w:val="000000" w:themeColor="text1"/>
          <w:sz w:val="28"/>
          <w:szCs w:val="28"/>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50号）等文件要求，</w:t>
      </w:r>
      <w:r>
        <w:rPr>
          <w:rFonts w:hint="eastAsia"/>
          <w:color w:val="auto"/>
          <w:sz w:val="28"/>
          <w:szCs w:val="28"/>
          <w:lang w:eastAsia="zh-CN"/>
        </w:rPr>
        <w:t>山东华曦石油技术服务有限公司</w:t>
      </w:r>
      <w:r>
        <w:rPr>
          <w:rFonts w:hint="default"/>
          <w:color w:val="000000" w:themeColor="text1"/>
          <w:sz w:val="28"/>
          <w:szCs w:val="28"/>
          <w:lang w:val="en-US" w:eastAsia="zh-CN"/>
          <w14:textFill>
            <w14:solidFill>
              <w14:schemeClr w14:val="tx1"/>
            </w14:solidFill>
          </w14:textFill>
        </w:rPr>
        <w:t>现申请</w:t>
      </w:r>
      <w:r>
        <w:rPr>
          <w:rFonts w:hint="eastAsia"/>
          <w:color w:val="000000" w:themeColor="text1"/>
          <w:sz w:val="28"/>
          <w:szCs w:val="28"/>
          <w:lang w:val="en-US" w:eastAsia="zh-CN"/>
          <w14:textFill>
            <w14:solidFill>
              <w14:schemeClr w14:val="tx1"/>
            </w14:solidFill>
          </w14:textFill>
        </w:rPr>
        <w:t>井下作业-注气（蒸汽）</w:t>
      </w:r>
      <w:r>
        <w:rPr>
          <w:rFonts w:hint="eastAsia"/>
          <w:color w:val="000000" w:themeColor="text1"/>
          <w:sz w:val="28"/>
          <w:szCs w:val="28"/>
          <w14:textFill>
            <w14:solidFill>
              <w14:schemeClr w14:val="tx1"/>
            </w14:solidFill>
          </w14:textFill>
        </w:rPr>
        <w:t>项目</w:t>
      </w:r>
      <w:r>
        <w:rPr>
          <w:rFonts w:hint="default"/>
          <w:color w:val="000000" w:themeColor="text1"/>
          <w:sz w:val="28"/>
          <w:szCs w:val="28"/>
          <w:lang w:val="en-US" w:eastAsia="zh-CN"/>
          <w14:textFill>
            <w14:solidFill>
              <w14:schemeClr w14:val="tx1"/>
            </w14:solidFill>
          </w14:textFill>
        </w:rPr>
        <w:t>安全生产许可证。</w:t>
      </w:r>
    </w:p>
    <w:p>
      <w:pPr>
        <w:pStyle w:val="4"/>
        <w:adjustRightInd w:val="0"/>
        <w:snapToGrid w:val="0"/>
        <w:spacing w:before="0" w:after="0" w:line="360" w:lineRule="auto"/>
        <w:rPr>
          <w:rFonts w:ascii="Times New Roman" w:hAnsi="Times New Roman"/>
          <w:b w:val="0"/>
          <w:bCs/>
          <w:color w:val="auto"/>
          <w:szCs w:val="32"/>
        </w:rPr>
      </w:pPr>
      <w:r>
        <w:rPr>
          <w:rFonts w:hint="eastAsia" w:ascii="Times New Roman" w:hAnsi="Times New Roman"/>
          <w:b w:val="0"/>
          <w:bCs/>
          <w:color w:val="auto"/>
          <w:szCs w:val="32"/>
          <w:lang w:val="en-US" w:eastAsia="zh-CN"/>
        </w:rPr>
        <w:t xml:space="preserve"> </w:t>
      </w:r>
      <w:bookmarkStart w:id="20" w:name="_Toc26613"/>
      <w:r>
        <w:rPr>
          <w:rFonts w:hint="eastAsia" w:ascii="Times New Roman" w:hAnsi="Times New Roman"/>
          <w:b w:val="0"/>
          <w:bCs/>
          <w:color w:val="auto"/>
          <w:szCs w:val="32"/>
        </w:rPr>
        <w:t>2.</w:t>
      </w:r>
      <w:r>
        <w:rPr>
          <w:rFonts w:ascii="Times New Roman" w:hAnsi="Times New Roman"/>
          <w:b w:val="0"/>
          <w:bCs/>
          <w:color w:val="auto"/>
          <w:szCs w:val="32"/>
        </w:rPr>
        <w:t xml:space="preserve">2 </w:t>
      </w:r>
      <w:r>
        <w:rPr>
          <w:rFonts w:hint="eastAsia" w:ascii="Times New Roman" w:hAnsi="Times New Roman"/>
          <w:b w:val="0"/>
          <w:bCs/>
          <w:color w:val="auto"/>
          <w:szCs w:val="32"/>
        </w:rPr>
        <w:t>机构设置</w:t>
      </w:r>
      <w:bookmarkEnd w:id="20"/>
    </w:p>
    <w:p>
      <w:pPr>
        <w:bidi w:val="0"/>
        <w:rPr>
          <w:rFonts w:hint="eastAsia"/>
        </w:rPr>
      </w:pPr>
      <w:r>
        <w:rPr>
          <w:rFonts w:hint="eastAsia"/>
          <w:color w:val="auto"/>
          <w:sz w:val="28"/>
          <w:szCs w:val="28"/>
          <w:highlight w:val="none"/>
          <w:lang w:eastAsia="zh-CN"/>
        </w:rPr>
        <w:t>涉及企业机密，不予</w:t>
      </w:r>
      <w:r>
        <w:rPr>
          <w:rFonts w:hint="eastAsia"/>
          <w:color w:val="auto"/>
          <w:sz w:val="28"/>
          <w:szCs w:val="28"/>
          <w:highlight w:val="none"/>
          <w:lang w:val="en-US" w:eastAsia="zh-CN"/>
        </w:rPr>
        <w:t>公开</w:t>
      </w:r>
      <w:r>
        <w:rPr>
          <w:rFonts w:hint="eastAsia"/>
          <w:color w:val="auto"/>
          <w:sz w:val="28"/>
          <w:szCs w:val="28"/>
          <w:highlight w:val="none"/>
          <w:lang w:eastAsia="zh-CN"/>
        </w:rPr>
        <w:t>。</w:t>
      </w:r>
    </w:p>
    <w:p>
      <w:pPr>
        <w:pStyle w:val="4"/>
        <w:adjustRightInd w:val="0"/>
        <w:snapToGrid w:val="0"/>
        <w:spacing w:before="0" w:after="0" w:line="360" w:lineRule="auto"/>
        <w:rPr>
          <w:rFonts w:ascii="Times New Roman" w:hAnsi="Times New Roman"/>
          <w:b w:val="0"/>
          <w:bCs/>
          <w:color w:val="auto"/>
          <w:szCs w:val="32"/>
        </w:rPr>
      </w:pPr>
      <w:bookmarkStart w:id="21" w:name="_Toc285310336"/>
      <w:bookmarkStart w:id="22" w:name="_Toc22480"/>
      <w:bookmarkStart w:id="23" w:name="_Toc202759402"/>
      <w:r>
        <w:rPr>
          <w:rFonts w:hint="eastAsia" w:ascii="Times New Roman" w:hAnsi="Times New Roman"/>
          <w:b w:val="0"/>
          <w:bCs/>
          <w:color w:val="auto"/>
          <w:szCs w:val="32"/>
        </w:rPr>
        <w:t>2.</w:t>
      </w:r>
      <w:r>
        <w:rPr>
          <w:rFonts w:ascii="Times New Roman" w:hAnsi="Times New Roman"/>
          <w:b w:val="0"/>
          <w:bCs/>
          <w:color w:val="auto"/>
          <w:szCs w:val="32"/>
        </w:rPr>
        <w:t xml:space="preserve">3 </w:t>
      </w:r>
      <w:r>
        <w:rPr>
          <w:rFonts w:hint="eastAsia" w:ascii="Times New Roman" w:hAnsi="Times New Roman"/>
          <w:b w:val="0"/>
          <w:bCs/>
          <w:color w:val="auto"/>
          <w:szCs w:val="32"/>
        </w:rPr>
        <w:t>主要装备、设施、作业场所概况</w:t>
      </w:r>
      <w:bookmarkEnd w:id="21"/>
      <w:bookmarkEnd w:id="22"/>
    </w:p>
    <w:p>
      <w:pPr>
        <w:pStyle w:val="5"/>
        <w:adjustRightInd w:val="0"/>
        <w:snapToGrid w:val="0"/>
        <w:spacing w:before="0" w:after="0" w:line="360" w:lineRule="auto"/>
        <w:rPr>
          <w:rFonts w:eastAsia="黑体"/>
          <w:b w:val="0"/>
          <w:snapToGrid w:val="0"/>
          <w:color w:val="auto"/>
          <w:kern w:val="0"/>
          <w:sz w:val="28"/>
          <w:szCs w:val="28"/>
        </w:rPr>
      </w:pPr>
      <w:r>
        <w:rPr>
          <w:rFonts w:hint="eastAsia" w:eastAsia="黑体"/>
          <w:b w:val="0"/>
          <w:snapToGrid w:val="0"/>
          <w:color w:val="auto"/>
          <w:kern w:val="0"/>
          <w:sz w:val="28"/>
          <w:szCs w:val="28"/>
        </w:rPr>
        <w:t>2.</w:t>
      </w:r>
      <w:r>
        <w:rPr>
          <w:rFonts w:eastAsia="黑体"/>
          <w:b w:val="0"/>
          <w:snapToGrid w:val="0"/>
          <w:color w:val="auto"/>
          <w:kern w:val="0"/>
          <w:sz w:val="28"/>
          <w:szCs w:val="28"/>
        </w:rPr>
        <w:t>3</w:t>
      </w:r>
      <w:r>
        <w:rPr>
          <w:rFonts w:hint="eastAsia" w:eastAsia="黑体"/>
          <w:b w:val="0"/>
          <w:snapToGrid w:val="0"/>
          <w:color w:val="auto"/>
          <w:kern w:val="0"/>
          <w:sz w:val="28"/>
          <w:szCs w:val="28"/>
        </w:rPr>
        <w:t>.1</w:t>
      </w:r>
      <w:r>
        <w:rPr>
          <w:rFonts w:eastAsia="黑体"/>
          <w:b w:val="0"/>
          <w:snapToGrid w:val="0"/>
          <w:color w:val="auto"/>
          <w:kern w:val="0"/>
          <w:sz w:val="28"/>
          <w:szCs w:val="28"/>
        </w:rPr>
        <w:t xml:space="preserve"> </w:t>
      </w:r>
      <w:r>
        <w:rPr>
          <w:rFonts w:hint="eastAsia" w:eastAsia="黑体"/>
          <w:b w:val="0"/>
          <w:snapToGrid w:val="0"/>
          <w:color w:val="auto"/>
          <w:kern w:val="0"/>
          <w:sz w:val="28"/>
          <w:szCs w:val="28"/>
        </w:rPr>
        <w:t>作业类型</w:t>
      </w:r>
    </w:p>
    <w:p>
      <w:pPr>
        <w:pStyle w:val="15"/>
        <w:adjustRightInd w:val="0"/>
        <w:snapToGrid w:val="0"/>
        <w:spacing w:line="360" w:lineRule="auto"/>
        <w:ind w:firstLine="560"/>
        <w:rPr>
          <w:rFonts w:hint="eastAsia"/>
          <w:b/>
          <w:color w:val="auto"/>
          <w:sz w:val="28"/>
          <w:szCs w:val="28"/>
        </w:rPr>
      </w:pPr>
      <w:r>
        <w:rPr>
          <w:rFonts w:hint="eastAsia"/>
          <w:color w:val="auto"/>
          <w:sz w:val="28"/>
          <w:szCs w:val="28"/>
          <w:lang w:eastAsia="zh-CN"/>
        </w:rPr>
        <w:t>山东华曦石油技术服务有限公司</w:t>
      </w:r>
      <w:r>
        <w:rPr>
          <w:rFonts w:hint="eastAsia"/>
          <w:color w:val="auto"/>
          <w:sz w:val="28"/>
          <w:szCs w:val="28"/>
        </w:rPr>
        <w:t>井下作业类型主要是油井注蒸汽、注高干度复合气。</w:t>
      </w:r>
      <w:r>
        <w:rPr>
          <w:rFonts w:hint="eastAsia"/>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color w:val="auto"/>
          <w:sz w:val="28"/>
          <w:szCs w:val="28"/>
          <w:highlight w:val="none"/>
          <w:lang w:eastAsia="zh-CN"/>
        </w:rPr>
        <w:t>涉及企业机密，不予</w:t>
      </w:r>
      <w:r>
        <w:rPr>
          <w:rFonts w:hint="eastAsia"/>
          <w:color w:val="auto"/>
          <w:sz w:val="28"/>
          <w:szCs w:val="28"/>
          <w:highlight w:val="none"/>
          <w:lang w:val="en-US" w:eastAsia="zh-CN"/>
        </w:rPr>
        <w:t>公开</w:t>
      </w:r>
      <w:r>
        <w:rPr>
          <w:rFonts w:hint="eastAsia"/>
          <w:color w:val="auto"/>
          <w:sz w:val="28"/>
          <w:szCs w:val="28"/>
          <w:highlight w:val="none"/>
          <w:lang w:eastAsia="zh-CN"/>
        </w:rPr>
        <w:t>。</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2"/>
        <w:textAlignment w:val="auto"/>
        <w:rPr>
          <w:rFonts w:hint="default"/>
          <w:b/>
          <w:color w:val="0070C0"/>
          <w:sz w:val="28"/>
          <w:szCs w:val="28"/>
          <w:lang w:val="en-US"/>
        </w:rPr>
      </w:pPr>
      <w:r>
        <w:rPr>
          <w:b/>
          <w:color w:val="auto"/>
          <w:sz w:val="28"/>
          <w:szCs w:val="28"/>
        </w:rPr>
        <w:t>2.</w:t>
      </w:r>
      <w:r>
        <w:rPr>
          <w:rFonts w:hint="eastAsia"/>
          <w:b/>
          <w:color w:val="auto"/>
          <w:sz w:val="28"/>
          <w:szCs w:val="28"/>
          <w:lang w:val="en-US" w:eastAsia="zh-CN"/>
        </w:rPr>
        <w:t>注汽作业</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eastAsia="黑体"/>
          <w:b w:val="0"/>
          <w:snapToGrid w:val="0"/>
          <w:color w:val="auto"/>
          <w:kern w:val="0"/>
          <w:sz w:val="28"/>
          <w:szCs w:val="28"/>
        </w:rPr>
      </w:pPr>
      <w:r>
        <w:rPr>
          <w:rFonts w:hint="default" w:ascii="Times New Roman" w:hAnsi="Times New Roman" w:cs="Times New Roman"/>
          <w:sz w:val="28"/>
          <w:szCs w:val="28"/>
          <w:lang w:eastAsia="zh-CN"/>
        </w:rPr>
        <w:t>注汽作业属于井下作业，常用于稠油热采。注汽作业是油层吞入蒸汽的过程，根据设计要求的施工参数（注入压力、注汽速度、蒸汽干度、周期注汽量），把高温高压饱和蒸汽注入油层。注入蒸汽优先进入高渗透带，而且由于蒸汽与油藏流体的密度差，蒸汽占据油层的上部。油层内的温度分布并不均匀，靠近井眼处的地层及油层的上部温度相对较高，随着注汽过程的进行，被蒸汽加热的区域越来越大。当注入蒸汽量达到设计的周期蒸汽注入量时，油层平均温度达到最高。</w:t>
      </w:r>
      <w:r>
        <w:rPr>
          <w:rFonts w:hint="eastAsia" w:ascii="Times New Roman" w:hAnsi="Times New Roman" w:cs="Times New Roman"/>
          <w:sz w:val="28"/>
          <w:szCs w:val="28"/>
          <w:lang w:val="en-US" w:eastAsia="zh-CN"/>
        </w:rPr>
        <w:t xml:space="preserve">                       </w:t>
      </w:r>
    </w:p>
    <w:p>
      <w:pPr>
        <w:pStyle w:val="5"/>
        <w:adjustRightInd w:val="0"/>
        <w:snapToGrid w:val="0"/>
        <w:spacing w:before="0" w:after="0" w:line="360" w:lineRule="auto"/>
        <w:rPr>
          <w:rFonts w:eastAsia="黑体"/>
          <w:b w:val="0"/>
          <w:snapToGrid w:val="0"/>
          <w:color w:val="auto"/>
          <w:kern w:val="0"/>
          <w:sz w:val="28"/>
          <w:szCs w:val="28"/>
        </w:rPr>
      </w:pPr>
      <w:r>
        <w:rPr>
          <w:rFonts w:hint="eastAsia" w:eastAsia="黑体"/>
          <w:b w:val="0"/>
          <w:snapToGrid w:val="0"/>
          <w:color w:val="auto"/>
          <w:kern w:val="0"/>
          <w:sz w:val="28"/>
          <w:szCs w:val="28"/>
        </w:rPr>
        <w:t>2.</w:t>
      </w:r>
      <w:r>
        <w:rPr>
          <w:rFonts w:eastAsia="黑体"/>
          <w:b w:val="0"/>
          <w:snapToGrid w:val="0"/>
          <w:color w:val="auto"/>
          <w:kern w:val="0"/>
          <w:sz w:val="28"/>
          <w:szCs w:val="28"/>
        </w:rPr>
        <w:t>3</w:t>
      </w:r>
      <w:r>
        <w:rPr>
          <w:rFonts w:hint="eastAsia" w:eastAsia="黑体"/>
          <w:b w:val="0"/>
          <w:snapToGrid w:val="0"/>
          <w:color w:val="auto"/>
          <w:kern w:val="0"/>
          <w:sz w:val="28"/>
          <w:szCs w:val="28"/>
        </w:rPr>
        <w:t>.2</w:t>
      </w:r>
      <w:r>
        <w:rPr>
          <w:rFonts w:eastAsia="黑体"/>
          <w:b w:val="0"/>
          <w:snapToGrid w:val="0"/>
          <w:color w:val="auto"/>
          <w:kern w:val="0"/>
          <w:sz w:val="28"/>
          <w:szCs w:val="28"/>
        </w:rPr>
        <w:t xml:space="preserve"> </w:t>
      </w:r>
      <w:r>
        <w:rPr>
          <w:rFonts w:hint="eastAsia" w:eastAsia="黑体"/>
          <w:b w:val="0"/>
          <w:snapToGrid w:val="0"/>
          <w:color w:val="auto"/>
          <w:kern w:val="0"/>
          <w:sz w:val="28"/>
          <w:szCs w:val="28"/>
        </w:rPr>
        <w:t>作业流程</w:t>
      </w:r>
    </w:p>
    <w:p>
      <w:pPr>
        <w:pStyle w:val="15"/>
        <w:adjustRightInd w:val="0"/>
        <w:snapToGrid w:val="0"/>
        <w:spacing w:line="360" w:lineRule="auto"/>
        <w:ind w:firstLine="562"/>
        <w:rPr>
          <w:b/>
          <w:color w:val="auto"/>
          <w:sz w:val="28"/>
          <w:highlight w:val="none"/>
        </w:rPr>
      </w:pPr>
      <w:r>
        <w:rPr>
          <w:rFonts w:hint="eastAsia"/>
          <w:b/>
          <w:color w:val="auto"/>
          <w:sz w:val="28"/>
          <w:highlight w:val="none"/>
          <w:lang w:val="en-US" w:eastAsia="zh-CN"/>
        </w:rPr>
        <w:t>1</w:t>
      </w:r>
      <w:r>
        <w:rPr>
          <w:b/>
          <w:color w:val="auto"/>
          <w:sz w:val="28"/>
          <w:highlight w:val="none"/>
        </w:rPr>
        <w:t>.</w:t>
      </w:r>
      <w:r>
        <w:rPr>
          <w:rFonts w:hint="eastAsia"/>
          <w:b/>
          <w:color w:val="auto"/>
          <w:sz w:val="28"/>
          <w:highlight w:val="none"/>
          <w:lang w:val="en-US" w:eastAsia="zh-CN"/>
        </w:rPr>
        <w:t>注汽施工</w:t>
      </w:r>
      <w:r>
        <w:rPr>
          <w:rFonts w:hint="eastAsia"/>
          <w:b/>
          <w:color w:val="auto"/>
          <w:sz w:val="28"/>
          <w:highlight w:val="none"/>
        </w:rPr>
        <w:t>作业流程</w:t>
      </w:r>
    </w:p>
    <w:p>
      <w:pPr>
        <w:keepNext/>
        <w:keepLines/>
        <w:pageBreakBefore w:val="0"/>
        <w:widowControl w:val="0"/>
        <w:kinsoku/>
        <w:wordWrap/>
        <w:overflowPunct/>
        <w:topLinePunct w:val="0"/>
        <w:autoSpaceDE/>
        <w:autoSpaceDN/>
        <w:bidi w:val="0"/>
        <w:adjustRightInd w:val="0"/>
        <w:snapToGrid w:val="0"/>
        <w:spacing w:before="157" w:beforeLines="50" w:after="0" w:line="360" w:lineRule="auto"/>
        <w:ind w:firstLine="240" w:firstLineChars="100"/>
        <w:textAlignment w:val="auto"/>
        <w:outlineLvl w:val="9"/>
        <w:rPr>
          <w:rFonts w:hint="eastAsia"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涉及企业机密，不予公开。</w:t>
      </w:r>
    </w:p>
    <w:p>
      <w:pPr>
        <w:pStyle w:val="5"/>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eastAsia" w:ascii="Times New Roman" w:hAnsi="Times New Roman" w:eastAsia="宋体" w:cs="Times New Roman"/>
          <w:b w:val="0"/>
          <w:snapToGrid w:val="0"/>
          <w:kern w:val="0"/>
          <w:sz w:val="28"/>
          <w:szCs w:val="28"/>
          <w:lang w:val="en-US" w:eastAsia="zh-CN"/>
        </w:rPr>
      </w:pPr>
      <w:r>
        <w:rPr>
          <w:rFonts w:hint="eastAsia" w:ascii="Times New Roman" w:hAnsi="Times New Roman" w:eastAsia="宋体" w:cs="Times New Roman"/>
          <w:b w:val="0"/>
          <w:snapToGrid w:val="0"/>
          <w:kern w:val="0"/>
          <w:sz w:val="28"/>
          <w:szCs w:val="28"/>
        </w:rPr>
        <w:t>2.</w:t>
      </w:r>
      <w:r>
        <w:rPr>
          <w:rFonts w:ascii="Times New Roman" w:hAnsi="Times New Roman" w:eastAsia="宋体" w:cs="Times New Roman"/>
          <w:b w:val="0"/>
          <w:snapToGrid w:val="0"/>
          <w:kern w:val="0"/>
          <w:sz w:val="28"/>
          <w:szCs w:val="28"/>
        </w:rPr>
        <w:t>3</w:t>
      </w:r>
      <w:r>
        <w:rPr>
          <w:rFonts w:hint="eastAsia" w:ascii="Times New Roman" w:hAnsi="Times New Roman" w:eastAsia="宋体" w:cs="Times New Roman"/>
          <w:b w:val="0"/>
          <w:snapToGrid w:val="0"/>
          <w:kern w:val="0"/>
          <w:sz w:val="28"/>
          <w:szCs w:val="28"/>
        </w:rPr>
        <w:t>.</w:t>
      </w:r>
      <w:r>
        <w:rPr>
          <w:rFonts w:ascii="Times New Roman" w:hAnsi="Times New Roman" w:eastAsia="宋体" w:cs="Times New Roman"/>
          <w:b w:val="0"/>
          <w:snapToGrid w:val="0"/>
          <w:kern w:val="0"/>
          <w:sz w:val="28"/>
          <w:szCs w:val="28"/>
        </w:rPr>
        <w:t xml:space="preserve">3 </w:t>
      </w:r>
      <w:r>
        <w:rPr>
          <w:rFonts w:hint="eastAsia" w:ascii="黑体" w:hAnsi="黑体" w:eastAsia="黑体" w:cs="黑体"/>
          <w:b w:val="0"/>
          <w:snapToGrid w:val="0"/>
          <w:kern w:val="0"/>
          <w:sz w:val="28"/>
          <w:szCs w:val="28"/>
          <w:lang w:val="en-US" w:eastAsia="zh-CN"/>
        </w:rPr>
        <w:t>基层队伍介绍</w:t>
      </w:r>
    </w:p>
    <w:p>
      <w:pPr>
        <w:keepNext/>
        <w:keepLines/>
        <w:pageBreakBefore w:val="0"/>
        <w:widowControl w:val="0"/>
        <w:kinsoku/>
        <w:wordWrap/>
        <w:overflowPunct/>
        <w:topLinePunct w:val="0"/>
        <w:autoSpaceDE/>
        <w:autoSpaceDN/>
        <w:bidi w:val="0"/>
        <w:adjustRightInd w:val="0"/>
        <w:snapToGrid w:val="0"/>
        <w:spacing w:before="0" w:after="0" w:line="360" w:lineRule="auto"/>
        <w:ind w:firstLine="480" w:firstLineChars="200"/>
        <w:textAlignment w:val="auto"/>
        <w:outlineLvl w:val="9"/>
        <w:rPr>
          <w:rFonts w:hint="eastAsia" w:ascii="Times New Roman" w:hAnsi="Times New Roman" w:eastAsia="宋体" w:cs="Times New Roman"/>
          <w:b/>
          <w:bCs/>
          <w:color w:val="auto"/>
          <w:kern w:val="2"/>
          <w:sz w:val="24"/>
          <w:szCs w:val="28"/>
          <w:lang w:val="en-US" w:eastAsia="zh-CN" w:bidi="ar-SA"/>
        </w:rPr>
      </w:pPr>
      <w:r>
        <w:rPr>
          <w:rFonts w:hint="eastAsia" w:ascii="Times New Roman" w:hAnsi="Times New Roman" w:eastAsia="宋体" w:cs="Times New Roman"/>
          <w:b/>
          <w:bCs/>
          <w:color w:val="auto"/>
          <w:kern w:val="2"/>
          <w:sz w:val="24"/>
          <w:szCs w:val="28"/>
          <w:lang w:val="en-US" w:eastAsia="zh-CN" w:bidi="ar-SA"/>
        </w:rPr>
        <w:t>涉及企业机密，不予公开</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eastAsia="黑体"/>
          <w:b w:val="0"/>
          <w:snapToGrid w:val="0"/>
          <w:color w:val="auto"/>
          <w:kern w:val="0"/>
          <w:sz w:val="28"/>
          <w:szCs w:val="28"/>
        </w:rPr>
      </w:pPr>
      <w:r>
        <w:rPr>
          <w:rFonts w:hint="eastAsia" w:eastAsia="黑体"/>
          <w:b w:val="0"/>
          <w:snapToGrid w:val="0"/>
          <w:color w:val="auto"/>
          <w:kern w:val="0"/>
          <w:sz w:val="28"/>
          <w:szCs w:val="28"/>
        </w:rPr>
        <w:t>2.</w:t>
      </w:r>
      <w:r>
        <w:rPr>
          <w:rFonts w:eastAsia="黑体"/>
          <w:b w:val="0"/>
          <w:snapToGrid w:val="0"/>
          <w:color w:val="auto"/>
          <w:kern w:val="0"/>
          <w:sz w:val="28"/>
          <w:szCs w:val="28"/>
        </w:rPr>
        <w:t>3</w:t>
      </w:r>
      <w:r>
        <w:rPr>
          <w:rFonts w:hint="eastAsia" w:eastAsia="黑体"/>
          <w:b w:val="0"/>
          <w:snapToGrid w:val="0"/>
          <w:color w:val="auto"/>
          <w:kern w:val="0"/>
          <w:sz w:val="28"/>
          <w:szCs w:val="28"/>
        </w:rPr>
        <w:t>.</w:t>
      </w:r>
      <w:r>
        <w:rPr>
          <w:rFonts w:hint="eastAsia" w:eastAsia="黑体"/>
          <w:b w:val="0"/>
          <w:snapToGrid w:val="0"/>
          <w:color w:val="auto"/>
          <w:kern w:val="0"/>
          <w:sz w:val="28"/>
          <w:szCs w:val="28"/>
          <w:lang w:val="en-US" w:eastAsia="zh-CN"/>
        </w:rPr>
        <w:t>4</w:t>
      </w:r>
      <w:r>
        <w:rPr>
          <w:rFonts w:eastAsia="黑体"/>
          <w:b w:val="0"/>
          <w:snapToGrid w:val="0"/>
          <w:color w:val="auto"/>
          <w:kern w:val="0"/>
          <w:sz w:val="28"/>
          <w:szCs w:val="28"/>
        </w:rPr>
        <w:t xml:space="preserve"> </w:t>
      </w:r>
      <w:r>
        <w:rPr>
          <w:rFonts w:hint="eastAsia" w:eastAsia="黑体"/>
          <w:b w:val="0"/>
          <w:snapToGrid w:val="0"/>
          <w:color w:val="auto"/>
          <w:kern w:val="0"/>
          <w:sz w:val="28"/>
          <w:szCs w:val="28"/>
        </w:rPr>
        <w:t>装备、设施的配备</w:t>
      </w:r>
    </w:p>
    <w:p>
      <w:pPr>
        <w:pStyle w:val="15"/>
        <w:adjustRightInd w:val="0"/>
        <w:snapToGrid w:val="0"/>
        <w:spacing w:line="360" w:lineRule="auto"/>
        <w:ind w:firstLine="560"/>
        <w:rPr>
          <w:rFonts w:hint="eastAsia"/>
          <w:b/>
          <w:bCs/>
          <w:i/>
          <w:iCs/>
          <w:color w:val="auto"/>
          <w:sz w:val="24"/>
          <w:szCs w:val="28"/>
        </w:rPr>
      </w:pPr>
      <w:r>
        <w:rPr>
          <w:rFonts w:hint="eastAsia"/>
          <w:sz w:val="28"/>
          <w:szCs w:val="28"/>
          <w:lang w:eastAsia="zh-CN"/>
        </w:rPr>
        <w:t>山</w:t>
      </w:r>
      <w:r>
        <w:rPr>
          <w:rFonts w:hint="eastAsia"/>
          <w:color w:val="auto"/>
          <w:sz w:val="28"/>
          <w:szCs w:val="28"/>
          <w:lang w:eastAsia="zh-CN"/>
        </w:rPr>
        <w:t>东华曦石油技术服务有限</w:t>
      </w:r>
      <w:r>
        <w:rPr>
          <w:rFonts w:hint="eastAsia" w:ascii="Times New Roman" w:hAnsi="Times New Roman" w:cs="Times New Roman"/>
          <w:color w:val="auto"/>
          <w:sz w:val="28"/>
          <w:szCs w:val="28"/>
          <w:lang w:eastAsia="zh-CN"/>
        </w:rPr>
        <w:t>公司</w:t>
      </w:r>
      <w:r>
        <w:rPr>
          <w:rFonts w:hint="eastAsia" w:cs="Times New Roman"/>
          <w:color w:val="auto"/>
          <w:sz w:val="28"/>
          <w:szCs w:val="28"/>
          <w:lang w:val="en-US" w:eastAsia="zh-CN"/>
        </w:rPr>
        <w:t>所用作业设备皆自有，</w:t>
      </w:r>
      <w:r>
        <w:rPr>
          <w:rFonts w:hint="eastAsia" w:ascii="Times New Roman" w:hAnsi="Times New Roman" w:cs="Times New Roman"/>
          <w:color w:val="auto"/>
          <w:sz w:val="28"/>
          <w:szCs w:val="28"/>
          <w:lang w:eastAsia="zh-CN"/>
        </w:rPr>
        <w:t>注高干度</w:t>
      </w:r>
      <w:r>
        <w:rPr>
          <w:rFonts w:hint="eastAsia" w:ascii="Times New Roman" w:hAnsi="Times New Roman" w:cs="Times New Roman"/>
          <w:color w:val="auto"/>
          <w:sz w:val="28"/>
          <w:szCs w:val="28"/>
          <w:lang w:val="en-US" w:eastAsia="zh-CN"/>
        </w:rPr>
        <w:t>复合气</w:t>
      </w:r>
      <w:r>
        <w:rPr>
          <w:rFonts w:hint="eastAsia"/>
          <w:color w:val="auto"/>
          <w:sz w:val="28"/>
          <w:szCs w:val="28"/>
        </w:rPr>
        <w:t>作业</w:t>
      </w:r>
      <w:r>
        <w:rPr>
          <w:rFonts w:hint="eastAsia"/>
          <w:color w:val="auto"/>
          <w:sz w:val="28"/>
        </w:rPr>
        <w:t>主要设备情况见表2-</w:t>
      </w:r>
      <w:r>
        <w:rPr>
          <w:rFonts w:hint="eastAsia"/>
          <w:color w:val="auto"/>
          <w:sz w:val="28"/>
          <w:lang w:val="en-US" w:eastAsia="zh-CN"/>
        </w:rPr>
        <w:t>2</w:t>
      </w:r>
      <w:r>
        <w:rPr>
          <w:rFonts w:hint="eastAsia"/>
          <w:color w:val="auto"/>
          <w:sz w:val="28"/>
        </w:rPr>
        <w:t>，注汽作业主要设备设施情况见表2-</w:t>
      </w:r>
      <w:r>
        <w:rPr>
          <w:rFonts w:hint="eastAsia"/>
          <w:color w:val="auto"/>
          <w:sz w:val="28"/>
          <w:lang w:val="en-US" w:eastAsia="zh-CN"/>
        </w:rPr>
        <w:t>3</w:t>
      </w:r>
      <w:r>
        <w:rPr>
          <w:rFonts w:hint="eastAsia"/>
          <w:color w:val="auto"/>
          <w:sz w:val="28"/>
        </w:rPr>
        <w:t>，主要安全</w:t>
      </w:r>
      <w:r>
        <w:rPr>
          <w:rFonts w:hint="eastAsia"/>
          <w:color w:val="auto"/>
          <w:sz w:val="28"/>
          <w:lang w:val="en-US" w:eastAsia="zh-CN"/>
        </w:rPr>
        <w:t>设备</w:t>
      </w:r>
      <w:r>
        <w:rPr>
          <w:rFonts w:hint="eastAsia"/>
          <w:color w:val="auto"/>
          <w:sz w:val="28"/>
        </w:rPr>
        <w:t>设施配置情况见表2-</w:t>
      </w:r>
      <w:r>
        <w:rPr>
          <w:rFonts w:hint="eastAsia"/>
          <w:color w:val="auto"/>
          <w:sz w:val="28"/>
          <w:lang w:val="en-US" w:eastAsia="zh-CN"/>
        </w:rPr>
        <w:t>4</w:t>
      </w:r>
      <w:r>
        <w:rPr>
          <w:rFonts w:hint="eastAsia"/>
          <w:color w:val="auto"/>
          <w:sz w:val="28"/>
          <w:lang w:eastAsia="zh-CN"/>
        </w:rPr>
        <w:t>，</w:t>
      </w:r>
      <w:r>
        <w:rPr>
          <w:rFonts w:hint="eastAsia"/>
          <w:color w:val="auto"/>
          <w:sz w:val="28"/>
          <w:lang w:val="en-US" w:eastAsia="zh-CN"/>
        </w:rPr>
        <w:t>消防及应急设施配置情况见表2-5。</w:t>
      </w:r>
    </w:p>
    <w:p>
      <w:pPr>
        <w:pStyle w:val="15"/>
        <w:adjustRightInd w:val="0"/>
        <w:snapToGrid w:val="0"/>
        <w:spacing w:line="360" w:lineRule="auto"/>
        <w:ind w:firstLine="480"/>
        <w:jc w:val="both"/>
        <w:rPr>
          <w:rFonts w:hint="eastAsia"/>
          <w:b/>
          <w:bCs/>
          <w:color w:val="auto"/>
          <w:sz w:val="24"/>
          <w:szCs w:val="28"/>
        </w:rPr>
      </w:pPr>
      <w:r>
        <w:rPr>
          <w:rFonts w:hint="eastAsia"/>
          <w:b/>
          <w:bCs/>
          <w:color w:val="auto"/>
          <w:sz w:val="24"/>
          <w:szCs w:val="28"/>
        </w:rPr>
        <w:t>涉及企业机密，不予公开</w:t>
      </w:r>
    </w:p>
    <w:p>
      <w:pPr>
        <w:pStyle w:val="15"/>
        <w:adjustRightInd w:val="0"/>
        <w:snapToGrid w:val="0"/>
        <w:spacing w:line="360" w:lineRule="auto"/>
        <w:ind w:firstLine="480"/>
        <w:jc w:val="center"/>
        <w:rPr>
          <w:rFonts w:hint="eastAsia"/>
          <w:b/>
          <w:bCs/>
          <w:color w:val="auto"/>
          <w:sz w:val="24"/>
          <w:szCs w:val="28"/>
        </w:rPr>
      </w:pPr>
    </w:p>
    <w:p>
      <w:pPr>
        <w:pStyle w:val="5"/>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default" w:eastAsia="黑体"/>
          <w:b w:val="0"/>
          <w:snapToGrid w:val="0"/>
          <w:color w:val="auto"/>
          <w:kern w:val="0"/>
          <w:sz w:val="28"/>
          <w:szCs w:val="28"/>
          <w:lang w:val="en-US" w:eastAsia="zh-CN"/>
        </w:rPr>
      </w:pPr>
      <w:r>
        <w:rPr>
          <w:rFonts w:hint="eastAsia" w:eastAsia="黑体"/>
          <w:b w:val="0"/>
          <w:snapToGrid w:val="0"/>
          <w:color w:val="auto"/>
          <w:kern w:val="0"/>
          <w:sz w:val="28"/>
          <w:szCs w:val="28"/>
        </w:rPr>
        <w:t>2.3.</w:t>
      </w:r>
      <w:r>
        <w:rPr>
          <w:rFonts w:hint="eastAsia" w:eastAsia="黑体"/>
          <w:b w:val="0"/>
          <w:snapToGrid w:val="0"/>
          <w:color w:val="auto"/>
          <w:kern w:val="0"/>
          <w:sz w:val="28"/>
          <w:szCs w:val="28"/>
          <w:lang w:val="en-US" w:eastAsia="zh-CN"/>
        </w:rPr>
        <w:t>5</w:t>
      </w:r>
      <w:r>
        <w:rPr>
          <w:rFonts w:hint="eastAsia" w:eastAsia="黑体"/>
          <w:b w:val="0"/>
          <w:snapToGrid w:val="0"/>
          <w:color w:val="auto"/>
          <w:kern w:val="0"/>
          <w:sz w:val="28"/>
          <w:szCs w:val="28"/>
        </w:rPr>
        <w:t xml:space="preserve"> 作业</w:t>
      </w:r>
      <w:r>
        <w:rPr>
          <w:rFonts w:hint="eastAsia" w:eastAsia="黑体"/>
          <w:b w:val="0"/>
          <w:snapToGrid w:val="0"/>
          <w:color w:val="auto"/>
          <w:kern w:val="0"/>
          <w:sz w:val="28"/>
          <w:szCs w:val="28"/>
          <w:lang w:val="en-US" w:eastAsia="zh-CN"/>
        </w:rPr>
        <w:t>区域及自然条件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宋体" w:hAnsi="宋体" w:eastAsia="宋体" w:cs="宋体"/>
          <w:sz w:val="28"/>
          <w:szCs w:val="28"/>
          <w:highlight w:val="none"/>
          <w:lang w:val="en-US" w:eastAsia="zh-CN"/>
        </w:rPr>
      </w:pPr>
      <w:r>
        <w:rPr>
          <w:rFonts w:hint="default" w:ascii="Times New Roman" w:hAnsi="Times New Roman" w:cs="Times New Roman"/>
          <w:color w:val="auto"/>
          <w:sz w:val="28"/>
          <w:szCs w:val="28"/>
          <w:lang w:eastAsia="zh-CN"/>
        </w:rPr>
        <w:t>山东华曦石油技术服务有限公司</w:t>
      </w:r>
      <w:r>
        <w:rPr>
          <w:rFonts w:hint="default" w:ascii="Times New Roman" w:hAnsi="Times New Roman" w:eastAsia="宋体" w:cs="Times New Roman"/>
          <w:color w:val="auto"/>
          <w:sz w:val="28"/>
          <w:szCs w:val="28"/>
          <w:lang w:val="en-US" w:eastAsia="zh-CN"/>
        </w:rPr>
        <w:t>办公地址位于山东省东营市东营区北一路749号华银大</w:t>
      </w:r>
      <w:r>
        <w:rPr>
          <w:rFonts w:hint="eastAsia" w:ascii="宋体" w:hAnsi="宋体" w:eastAsia="宋体"/>
          <w:color w:val="auto"/>
          <w:sz w:val="28"/>
          <w:szCs w:val="28"/>
          <w:lang w:val="en-US" w:eastAsia="zh-CN"/>
        </w:rPr>
        <w:t>厦</w:t>
      </w:r>
      <w:r>
        <w:rPr>
          <w:rFonts w:hint="eastAsia"/>
          <w:color w:val="auto"/>
          <w:sz w:val="28"/>
          <w:szCs w:val="28"/>
        </w:rPr>
        <w:t>，公司业务主要是</w:t>
      </w:r>
      <w:r>
        <w:rPr>
          <w:rFonts w:hint="eastAsia"/>
          <w:color w:val="auto"/>
          <w:sz w:val="28"/>
          <w:szCs w:val="28"/>
          <w:lang w:val="en-US" w:eastAsia="zh-CN"/>
        </w:rPr>
        <w:t>井下作业-注气（蒸汽)</w:t>
      </w:r>
      <w:r>
        <w:rPr>
          <w:rFonts w:hint="eastAsia"/>
          <w:color w:val="000000" w:themeColor="text1"/>
          <w:sz w:val="28"/>
          <w:szCs w:val="28"/>
          <w:lang w:val="en-US" w:eastAsia="zh-CN"/>
          <w14:textFill>
            <w14:solidFill>
              <w14:schemeClr w14:val="tx1"/>
            </w14:solidFill>
          </w14:textFill>
        </w:rPr>
        <w:t>。该公司服务于胜利油田区域，主要是石油开发中心草桥油区、</w:t>
      </w:r>
      <w:r>
        <w:rPr>
          <w:rFonts w:hint="eastAsia"/>
          <w:color w:val="000000" w:themeColor="text1"/>
          <w:sz w:val="28"/>
          <w:szCs w:val="28"/>
          <w:highlight w:val="none"/>
          <w:lang w:val="en-US" w:eastAsia="zh-CN"/>
          <w14:textFill>
            <w14:solidFill>
              <w14:schemeClr w14:val="tx1"/>
            </w14:solidFill>
          </w14:textFill>
        </w:rPr>
        <w:t>王庄油田。</w:t>
      </w:r>
      <w:r>
        <w:rPr>
          <w:rFonts w:hint="eastAsia"/>
          <w:color w:val="000000" w:themeColor="text1"/>
          <w:sz w:val="28"/>
          <w:szCs w:val="28"/>
          <w:highlight w:val="none"/>
          <w14:textFill>
            <w14:solidFill>
              <w14:schemeClr w14:val="tx1"/>
            </w14:solidFill>
          </w14:textFill>
        </w:rPr>
        <w:t>作业地点主要</w:t>
      </w:r>
      <w:r>
        <w:rPr>
          <w:rFonts w:hint="eastAsia"/>
          <w:color w:val="000000" w:themeColor="text1"/>
          <w:sz w:val="28"/>
          <w:szCs w:val="28"/>
          <w:highlight w:val="none"/>
          <w:lang w:val="en-US" w:eastAsia="zh-CN"/>
          <w14:textFill>
            <w14:solidFill>
              <w14:schemeClr w14:val="tx1"/>
            </w14:solidFill>
          </w14:textFill>
        </w:rPr>
        <w:t>位于</w:t>
      </w:r>
      <w:r>
        <w:rPr>
          <w:rFonts w:hint="eastAsia"/>
          <w:color w:val="000000" w:themeColor="text1"/>
          <w:sz w:val="28"/>
          <w:szCs w:val="28"/>
          <w:highlight w:val="none"/>
          <w14:textFill>
            <w14:solidFill>
              <w14:schemeClr w14:val="tx1"/>
            </w14:solidFill>
          </w14:textFill>
        </w:rPr>
        <w:t>东营市</w:t>
      </w:r>
      <w:r>
        <w:rPr>
          <w:rFonts w:hint="eastAsia"/>
          <w:color w:val="000000" w:themeColor="text1"/>
          <w:sz w:val="28"/>
          <w:szCs w:val="28"/>
          <w:highlight w:val="none"/>
          <w:lang w:eastAsia="zh-CN"/>
          <w14:textFill>
            <w14:solidFill>
              <w14:schemeClr w14:val="tx1"/>
            </w14:solidFill>
          </w14:textFill>
        </w:rPr>
        <w:t>、</w:t>
      </w:r>
      <w:r>
        <w:rPr>
          <w:rFonts w:hint="eastAsia"/>
          <w:color w:val="000000" w:themeColor="text1"/>
          <w:sz w:val="28"/>
          <w:szCs w:val="28"/>
          <w:highlight w:val="none"/>
          <w:lang w:val="en-US" w:eastAsia="zh-CN"/>
          <w14:textFill>
            <w14:solidFill>
              <w14:schemeClr w14:val="tx1"/>
            </w14:solidFill>
          </w14:textFill>
        </w:rPr>
        <w:t>滨州市。</w:t>
      </w:r>
    </w:p>
    <w:p>
      <w:pPr>
        <w:pStyle w:val="1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
          <w:bCs/>
          <w:color w:val="auto"/>
          <w:kern w:val="2"/>
          <w:sz w:val="28"/>
          <w:szCs w:val="28"/>
          <w:lang w:eastAsia="zh-CN" w:bidi="ar-SA"/>
        </w:rPr>
      </w:pPr>
      <w:r>
        <w:rPr>
          <w:rFonts w:hint="eastAsia" w:ascii="宋体" w:hAnsi="宋体" w:eastAsia="宋体" w:cs="宋体"/>
          <w:b/>
          <w:bCs/>
          <w:sz w:val="28"/>
          <w:szCs w:val="28"/>
          <w:lang w:val="en-US" w:eastAsia="zh-CN"/>
        </w:rPr>
        <w:t>1.</w:t>
      </w:r>
      <w:r>
        <w:rPr>
          <w:rFonts w:hint="eastAsia"/>
          <w:b/>
          <w:bCs/>
          <w:sz w:val="28"/>
          <w:szCs w:val="28"/>
          <w:lang w:val="en-US" w:eastAsia="zh-CN"/>
        </w:rPr>
        <w:t>东营市自然气象条件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w:t>
      </w: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i w:val="0"/>
          <w:iCs w:val="0"/>
          <w:caps w:val="0"/>
          <w:color w:val="000000" w:themeColor="text1"/>
          <w:spacing w:val="0"/>
          <w:sz w:val="28"/>
          <w:szCs w:val="28"/>
          <w:shd w:val="clear" w:fill="FFFFFF"/>
          <w:lang w:eastAsia="zh-CN"/>
          <w14:textFill>
            <w14:solidFill>
              <w14:schemeClr w14:val="tx1"/>
            </w14:solidFill>
          </w14:textFill>
        </w:rPr>
        <w:t>地形地貌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东营市地处华北坳陷区之济阳坳陷东端，地层自老至新有太古界泰山岩群，古生界</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"https://baike.baidu.com/item/%E5%AF%92%E6%AD%A6%E7%B3%BB"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寒武系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、奥陶系、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"https://baike.baidu.com/item/%E7%9F%B3%E7%82%AD%E7%B3%BB"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石炭系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和</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"https://baike.baidu.com/item/%E4%BA%8C%E5%8F%A0%E7%B3%BB"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二叠系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，中生界侏罗系、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"https://baike.baidu.com/item/%E7%99%BD%E5%9E%A9%E7%B3%BB"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白垩系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，新生界第三系、第四系；缺失元古界，古生界上奥陶统、志留系、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"https://baike.baidu.com/item/%E6%B3%A5%E7%9B%86%E7%B3%BB"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泥盆系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、下古炭统及中生界三叠系。凹陷和凸起自北而南主要有：埕子口凸起（东端）、车镇凹陷（东部）、义和庄凸起（东部）、沾化凹陷（东部）、陈家庄凸起、东营凹陷（东半部）、广饶凸起（部分）等。 </w:t>
      </w:r>
      <w:bookmarkStart w:id="24" w:name="ref_[6]_5460484"/>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东营市地势沿黄河走向自西南向东北倾斜。西南部最高高程为28m（大沽高程，下同），东北部最低高程1m，自然比降为1/8000</w:t>
      </w:r>
      <w:r>
        <w:rPr>
          <w:rFonts w:hint="eastAsia"/>
          <w:color w:val="000000" w:themeColor="text1"/>
          <w:sz w:val="28"/>
          <w:szCs w:val="28"/>
          <w:lang w:val="en-US" w:eastAsia="zh-CN"/>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1/12000；西部最高高程为11m，东部最低高程1m，自然比降为1/7000。黄河穿境而过，背河方向近河高、远河低，背河自然比降为1/7000，河滩地高于背河地2</w:t>
      </w:r>
      <w:r>
        <w:rPr>
          <w:rFonts w:hint="eastAsia"/>
          <w:color w:val="000000" w:themeColor="text1"/>
          <w:sz w:val="28"/>
          <w:szCs w:val="28"/>
          <w:lang w:val="en-US" w:eastAsia="zh-CN"/>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4m，形成“地上悬河”。东营市微地貌有5种类型：古河滩高地，占东营市总面积的4.15%，主要分布于黄河决口扇面上游；河滩高地，占东营市总面积的3.58%，主要分布于黄河河道至大堤之间；微斜平地，占东营市总面积的54.54%，是岗、洼过渡地带；浅平洼地，占东营市总面积的10.68%，小清河以南主要分布于古河滩高地之间，小清河以北主要分布于微斜平地之中、缓岗之间和黄河故道低洼处；海滩地，占东营市总面积的27.05%，与海岸线平行呈带状分布。 </w:t>
      </w:r>
      <w:bookmarkEnd w:id="24"/>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color w:val="000000" w:themeColor="text1"/>
          <w:sz w:val="28"/>
          <w:szCs w:val="28"/>
          <w:lang w:val="en-US" w:eastAsia="zh-CN"/>
          <w14:textFill>
            <w14:solidFill>
              <w14:schemeClr w14:val="tx1"/>
            </w14:solidFill>
          </w14:textFill>
        </w:rPr>
      </w:pPr>
      <w:bookmarkStart w:id="25" w:name="气候"/>
      <w:bookmarkEnd w:id="25"/>
      <w:bookmarkStart w:id="26" w:name="sub5460484_3_3"/>
      <w:bookmarkEnd w:id="26"/>
      <w:bookmarkStart w:id="27" w:name="3-3"/>
      <w:bookmarkEnd w:id="27"/>
      <w:bookmarkStart w:id="28" w:name="3_3"/>
      <w:bookmarkEnd w:id="28"/>
      <w:r>
        <w:rPr>
          <w:rFonts w:hint="eastAsia"/>
          <w:color w:val="000000" w:themeColor="text1"/>
          <w:sz w:val="28"/>
          <w:szCs w:val="28"/>
          <w:lang w:val="en-US" w:eastAsia="zh-CN"/>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2</w:t>
      </w:r>
      <w:r>
        <w:rPr>
          <w:rFonts w:hint="eastAsia"/>
          <w:color w:val="000000" w:themeColor="text1"/>
          <w:sz w:val="28"/>
          <w:szCs w:val="28"/>
          <w:lang w:val="en-US" w:eastAsia="zh-CN"/>
          <w14:textFill>
            <w14:solidFill>
              <w14:schemeClr w14:val="tx1"/>
            </w14:solidFill>
          </w14:textFill>
        </w:rPr>
        <w:t>）</w:t>
      </w:r>
      <w:r>
        <w:rPr>
          <w:rFonts w:hint="default"/>
          <w:color w:val="000000" w:themeColor="text1"/>
          <w:sz w:val="28"/>
          <w:szCs w:val="28"/>
          <w:lang w:val="en-US" w:eastAsia="zh-CN"/>
          <w14:textFill>
            <w14:solidFill>
              <w14:schemeClr w14:val="tx1"/>
            </w14:solidFill>
          </w14:textFill>
        </w:rPr>
        <w:t>气候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东营市地处中纬度，背陆面海，受亚欧大陆和西太平洋共同影响，属暖温带大陆性季风气候，基本气候特征为冬寒夏热，四季分明。春季，干旱多风，早春冷暖无常，常有倒春寒出现，晚春回暖迅速，常发生春旱；夏季，炎热多雨，温高湿大，有时受台风侵袭；秋季，气温下降，雨水骤减，天高气爽；冬季，天气干冷，寒风频吹，多刮北风、西北风，雨雪稀少。主要气象灾害有霜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"https://baike.baidu.com/item/%E5%B9%B2%E7%83%AD%E9%A3%8E"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干热风</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、大风、</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"https://baike.baidu.com/item/%E5%86%B0%E9%9B%B9/35334"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冰雹</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干旱、涝灾、风暴潮灾等。境内南北气候差异不明显。多年平均气温12.8℃，无霜期206天。年平均降水量555.9mm，多集中在夏季，占全年降水量的65%，降水量年际变化大，易形成旱、涝灾害。年平均风速3.7m/s，最小频率风向为NNE。</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left"/>
        <w:textAlignment w:val="auto"/>
        <w:outlineLvl w:val="9"/>
        <w:rPr>
          <w:rFonts w:hint="default" w:ascii="Times New Roman" w:hAnsi="Times New Roman" w:eastAsia="宋体" w:cs="Times New Roman"/>
          <w:color w:val="000000" w:themeColor="text1"/>
          <w:sz w:val="28"/>
          <w:szCs w:val="28"/>
          <w14:textFill>
            <w14:solidFill>
              <w14:schemeClr w14:val="tx1"/>
            </w14:solidFill>
          </w14:textFill>
        </w:rPr>
      </w:pPr>
      <w:r>
        <w:rPr>
          <w:rFonts w:hint="eastAsia" w:cs="Times New Roman"/>
          <w:color w:val="000000" w:themeColor="text1"/>
          <w:kern w:val="0"/>
          <w:sz w:val="28"/>
          <w:szCs w:val="28"/>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8"/>
          <w:szCs w:val="28"/>
          <w:lang w:val="en-US" w:eastAsia="zh-CN" w:bidi="ar"/>
          <w14:textFill>
            <w14:solidFill>
              <w14:schemeClr w14:val="tx1"/>
            </w14:solidFill>
          </w14:textFill>
        </w:rPr>
        <w:t>3</w:t>
      </w:r>
      <w:r>
        <w:rPr>
          <w:rFonts w:hint="eastAsia" w:cs="Times New Roman"/>
          <w:color w:val="000000" w:themeColor="text1"/>
          <w:kern w:val="0"/>
          <w:sz w:val="28"/>
          <w:szCs w:val="28"/>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8"/>
          <w:szCs w:val="28"/>
          <w:lang w:val="en-US" w:eastAsia="zh-CN" w:bidi="ar"/>
          <w14:textFill>
            <w14:solidFill>
              <w14:schemeClr w14:val="tx1"/>
            </w14:solidFill>
          </w14:textFill>
        </w:rPr>
        <w:t xml:space="preserve">地震烈度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kern w:val="0"/>
          <w:szCs w:val="28"/>
          <w:lang w:val="en-US" w:eastAsia="zh-CN" w:bidi="ar"/>
          <w14:textFill>
            <w14:solidFill>
              <w14:schemeClr w14:val="tx1"/>
            </w14:solidFill>
          </w14:textFill>
        </w:rPr>
      </w:pPr>
      <w:r>
        <w:rPr>
          <w:rFonts w:hint="default"/>
          <w:sz w:val="28"/>
          <w:szCs w:val="28"/>
          <w:lang w:val="en-US" w:eastAsia="zh-CN"/>
        </w:rPr>
        <w:t xml:space="preserve">地震烈度为7度，设计基本地震加度速度值为0.10g，所属的设计抗震分组为第三组。 </w:t>
      </w:r>
    </w:p>
    <w:p>
      <w:pPr>
        <w:pStyle w:val="1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宋体" w:hAnsi="宋体" w:eastAsia="宋体" w:cs="宋体"/>
          <w:b/>
          <w:bCs/>
          <w:sz w:val="28"/>
          <w:szCs w:val="28"/>
          <w:lang w:val="en-US" w:eastAsia="zh-CN"/>
        </w:rPr>
      </w:pPr>
      <w:r>
        <w:rPr>
          <w:rFonts w:hint="default" w:ascii="宋体" w:hAnsi="宋体" w:eastAsia="宋体" w:cs="宋体"/>
          <w:b/>
          <w:bCs/>
          <w:sz w:val="28"/>
          <w:szCs w:val="28"/>
          <w:lang w:val="en-US" w:eastAsia="zh-CN"/>
        </w:rPr>
        <w:t>2</w:t>
      </w:r>
      <w:r>
        <w:rPr>
          <w:rFonts w:hint="eastAsia" w:ascii="宋体" w:hAnsi="宋体" w:eastAsia="宋体" w:cs="宋体"/>
          <w:b/>
          <w:bCs/>
          <w:sz w:val="28"/>
          <w:szCs w:val="28"/>
          <w:lang w:val="en-US" w:eastAsia="zh-CN"/>
        </w:rPr>
        <w:t>.</w:t>
      </w:r>
      <w:r>
        <w:rPr>
          <w:rFonts w:hint="default"/>
          <w:b/>
          <w:bCs/>
          <w:sz w:val="28"/>
          <w:szCs w:val="28"/>
          <w:lang w:val="en-US" w:eastAsia="zh-CN"/>
        </w:rPr>
        <w:t>滨州市自然气象条件</w:t>
      </w:r>
    </w:p>
    <w:p>
      <w:pPr>
        <w:pStyle w:val="217"/>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1</w:t>
      </w:r>
      <w:r>
        <w:rPr>
          <w:rFonts w:hint="eastAsia"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地形地貌</w:t>
      </w:r>
    </w:p>
    <w:p>
      <w:pPr>
        <w:pStyle w:val="217"/>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滨州市处于华北新生代沉降区东南部的济阳拗陷中。新生代的下覆基岩是古生代的沉积地层和前震旦纪变质岩系，由数条北东东向断裂分割成几个小的断块，基本无中生代地层，新生代地层直接覆盖于古生代地层之上，断块凹陷形成新生代凹陷盆地，沉积了全套巨厚的新生代地层，该地层为海相、湖相和冲积相碎屑的互层沉积，含大量有机物，有利于石油生成。除邹平南部山区外，全市表层大部为第四纪沉积覆盖，小清河以南处于鲁中山区北麓冲积平原的中尾部，是洪积和冲积平原的叠交地带，其洪积冲积地层厚度一般在100</w:t>
      </w: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200m。小清河以北属黄河冲积沉积，厚度多在200</w:t>
      </w: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400m之间，其中小清河与黄河之间最厚，达400m。长期以来，济阳拗陷区属沉降地带，地壳一直处在一面下陷，一面为河流冲积物填充的状态，尤其是黄河的多泥沙河流的冲积作用占优势，冲积速度大于地壳沉降速度，形成了广大的冲积平原。</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left"/>
        <w:textAlignment w:val="auto"/>
        <w:outlineLvl w:val="9"/>
        <w:rPr>
          <w:rFonts w:hint="default" w:ascii="Times New Roman" w:hAnsi="Times New Roman" w:cs="Times New Roman"/>
          <w:color w:val="000000" w:themeColor="text1"/>
          <w:kern w:val="0"/>
          <w:sz w:val="28"/>
          <w:szCs w:val="28"/>
          <w14:textFill>
            <w14:solidFill>
              <w14:schemeClr w14:val="tx1"/>
            </w14:solidFill>
          </w14:textFill>
        </w:rPr>
      </w:pPr>
      <w:bookmarkStart w:id="29" w:name="4-3"/>
      <w:bookmarkEnd w:id="29"/>
      <w:bookmarkStart w:id="30" w:name="sub19098_4_3"/>
      <w:bookmarkEnd w:id="30"/>
      <w:bookmarkStart w:id="31" w:name="地形地貌"/>
      <w:bookmarkEnd w:id="31"/>
      <w:bookmarkStart w:id="32" w:name="4_3"/>
      <w:bookmarkEnd w:id="32"/>
      <w:r>
        <w:rPr>
          <w:rFonts w:hint="default" w:ascii="Times New Roman" w:hAnsi="Times New Roman" w:cs="Times New Roman"/>
          <w:color w:val="000000" w:themeColor="text1"/>
          <w:kern w:val="0"/>
          <w:sz w:val="28"/>
          <w:szCs w:val="28"/>
          <w14:textFill>
            <w14:solidFill>
              <w14:schemeClr w14:val="tx1"/>
            </w14:solidFill>
          </w14:textFill>
        </w:rPr>
        <w:t>滨州市地势南高北低，大致上由西南向东北倾斜，渐次过渡到大海。以小清河为界，全境呈现南北两种不同类型的地貌特征。小清河以南的邹平南部长白山脉属泰沂山区北麓的低山丘陵区，地势高峻，其主峰摩诃顶海拔826.8m，是全市最高点，其余均为山前倾斜平原，地势平缓，间有缓岗与洼地，海拔高程一般在8</w:t>
      </w:r>
      <w:r>
        <w:rPr>
          <w:rFonts w:hint="eastAsia" w:cs="Times New Roman"/>
          <w:color w:val="000000" w:themeColor="text1"/>
          <w:kern w:val="0"/>
          <w:sz w:val="28"/>
          <w:szCs w:val="28"/>
          <w:lang w:val="en-US" w:eastAsia="zh-CN"/>
          <w14:textFill>
            <w14:solidFill>
              <w14:schemeClr w14:val="tx1"/>
            </w14:solidFill>
          </w14:textFill>
        </w:rPr>
        <w:t>~</w:t>
      </w:r>
      <w:r>
        <w:rPr>
          <w:rFonts w:hint="default" w:ascii="Times New Roman" w:hAnsi="Times New Roman" w:cs="Times New Roman"/>
          <w:color w:val="000000" w:themeColor="text1"/>
          <w:kern w:val="0"/>
          <w:sz w:val="28"/>
          <w:szCs w:val="28"/>
          <w14:textFill>
            <w14:solidFill>
              <w14:schemeClr w14:val="tx1"/>
            </w14:solidFill>
          </w14:textFill>
        </w:rPr>
        <w:t>800m。小清河以北为黄河冲积平原，海拔高程一般在1</w:t>
      </w:r>
      <w:r>
        <w:rPr>
          <w:rFonts w:hint="eastAsia" w:cs="Times New Roman"/>
          <w:color w:val="000000" w:themeColor="text1"/>
          <w:kern w:val="0"/>
          <w:sz w:val="28"/>
          <w:szCs w:val="28"/>
          <w:lang w:val="en-US" w:eastAsia="zh-CN"/>
          <w14:textFill>
            <w14:solidFill>
              <w14:schemeClr w14:val="tx1"/>
            </w14:solidFill>
          </w14:textFill>
        </w:rPr>
        <w:t>~</w:t>
      </w:r>
      <w:r>
        <w:rPr>
          <w:rFonts w:hint="default" w:ascii="Times New Roman" w:hAnsi="Times New Roman" w:cs="Times New Roman"/>
          <w:color w:val="000000" w:themeColor="text1"/>
          <w:kern w:val="0"/>
          <w:sz w:val="28"/>
          <w:szCs w:val="28"/>
          <w14:textFill>
            <w14:solidFill>
              <w14:schemeClr w14:val="tx1"/>
            </w14:solidFill>
          </w14:textFill>
        </w:rPr>
        <w:t>20m，总体上地势低平，由于历史上黄河多次改道和决口泛滥，造成沉积物交错分布，加上河流冲刷、海潮内浸、自然侵蚀和人类活动的影响，形成了低岗、缓坡、浅洼相间，微地貌差异明显的大平小不平的地貌特征。</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left"/>
        <w:textAlignment w:val="auto"/>
        <w:outlineLvl w:val="9"/>
        <w:rPr>
          <w:rFonts w:hint="default" w:ascii="Times New Roman" w:hAnsi="Times New Roman" w:cs="Times New Roman"/>
          <w:color w:val="000000" w:themeColor="text1"/>
          <w:kern w:val="0"/>
          <w:sz w:val="28"/>
          <w:szCs w:val="28"/>
          <w14:textFill>
            <w14:solidFill>
              <w14:schemeClr w14:val="tx1"/>
            </w14:solidFill>
          </w14:textFill>
        </w:rPr>
      </w:pPr>
      <w:r>
        <w:rPr>
          <w:rFonts w:hint="eastAsia" w:ascii="Times New Roman" w:hAnsi="Times New Roman" w:cs="Times New Roman"/>
          <w:color w:val="000000" w:themeColor="text1"/>
          <w:kern w:val="0"/>
          <w:sz w:val="28"/>
          <w:szCs w:val="28"/>
          <w:lang w:eastAsia="zh-CN"/>
          <w14:textFill>
            <w14:solidFill>
              <w14:schemeClr w14:val="tx1"/>
            </w14:solidFill>
          </w14:textFill>
        </w:rPr>
        <w:t>（</w:t>
      </w:r>
      <w:r>
        <w:rPr>
          <w:rFonts w:hint="default" w:ascii="Times New Roman" w:hAnsi="Times New Roman" w:cs="Times New Roman"/>
          <w:color w:val="000000" w:themeColor="text1"/>
          <w:kern w:val="0"/>
          <w:sz w:val="28"/>
          <w:szCs w:val="28"/>
          <w14:textFill>
            <w14:solidFill>
              <w14:schemeClr w14:val="tx1"/>
            </w14:solidFill>
          </w14:textFill>
        </w:rPr>
        <w:t>2</w:t>
      </w:r>
      <w:r>
        <w:rPr>
          <w:rFonts w:hint="eastAsia" w:ascii="Times New Roman" w:hAnsi="Times New Roman" w:cs="Times New Roman"/>
          <w:color w:val="000000" w:themeColor="text1"/>
          <w:kern w:val="0"/>
          <w:sz w:val="28"/>
          <w:szCs w:val="28"/>
          <w:lang w:eastAsia="zh-CN"/>
          <w14:textFill>
            <w14:solidFill>
              <w14:schemeClr w14:val="tx1"/>
            </w14:solidFill>
          </w14:textFill>
        </w:rPr>
        <w:t>）</w:t>
      </w:r>
      <w:r>
        <w:rPr>
          <w:rFonts w:hint="default" w:ascii="Times New Roman" w:hAnsi="Times New Roman" w:cs="Times New Roman"/>
          <w:color w:val="000000" w:themeColor="text1"/>
          <w:kern w:val="0"/>
          <w:sz w:val="28"/>
          <w:szCs w:val="28"/>
          <w14:textFill>
            <w14:solidFill>
              <w14:schemeClr w14:val="tx1"/>
            </w14:solidFill>
          </w14:textFill>
        </w:rPr>
        <w:t>气候气象</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left"/>
        <w:textAlignment w:val="auto"/>
        <w:outlineLvl w:val="9"/>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kern w:val="0"/>
          <w:sz w:val="28"/>
          <w:szCs w:val="28"/>
          <w14:textFill>
            <w14:solidFill>
              <w14:schemeClr w14:val="tx1"/>
            </w14:solidFill>
          </w14:textFill>
        </w:rPr>
        <w:t>滨州市为温带大陆性季风气候特征；多年平均气温12.7℃，降水量564.8mm，平均日照时数2632.0h；风向冬季以偏北风为主，夏季以偏南风为主，年平均风速2.7m/s；年平均地面温度14.7℃，最大冻土深度一般50cm左右，无棣1984年曾达209cm；年平均相对湿度为66%，8月最大为81%；年蒸发量1805.8mm；无霜期205天。</w:t>
      </w:r>
    </w:p>
    <w:p>
      <w:pPr>
        <w:adjustRightInd w:val="0"/>
        <w:snapToGrid w:val="0"/>
        <w:spacing w:line="360" w:lineRule="auto"/>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eastAsia" w:cs="Times New Roman"/>
          <w:color w:val="000000" w:themeColor="text1"/>
          <w:kern w:val="0"/>
          <w:sz w:val="28"/>
          <w:szCs w:val="28"/>
          <w:lang w:eastAsia="zh-CN"/>
          <w14:textFill>
            <w14:solidFill>
              <w14:schemeClr w14:val="tx1"/>
            </w14:solidFill>
          </w14:textFill>
        </w:rPr>
        <w:t>（</w:t>
      </w:r>
      <w:r>
        <w:rPr>
          <w:rFonts w:hint="default" w:ascii="Times New Roman" w:hAnsi="Times New Roman" w:cs="Times New Roman"/>
          <w:color w:val="000000" w:themeColor="text1"/>
          <w:kern w:val="0"/>
          <w:sz w:val="28"/>
          <w:szCs w:val="28"/>
          <w14:textFill>
            <w14:solidFill>
              <w14:schemeClr w14:val="tx1"/>
            </w14:solidFill>
          </w14:textFill>
        </w:rPr>
        <w:t>3</w:t>
      </w:r>
      <w:r>
        <w:rPr>
          <w:rFonts w:hint="eastAsia" w:cs="Times New Roman"/>
          <w:color w:val="000000" w:themeColor="text1"/>
          <w:kern w:val="0"/>
          <w:sz w:val="28"/>
          <w:szCs w:val="28"/>
          <w:lang w:eastAsia="zh-CN"/>
          <w14:textFill>
            <w14:solidFill>
              <w14:schemeClr w14:val="tx1"/>
            </w14:solidFill>
          </w14:textFill>
        </w:rPr>
        <w:t>）</w:t>
      </w:r>
      <w:r>
        <w:rPr>
          <w:rFonts w:hint="default" w:ascii="Times New Roman" w:hAnsi="Times New Roman" w:cs="Times New Roman"/>
          <w:color w:val="000000" w:themeColor="text1"/>
          <w:kern w:val="0"/>
          <w:sz w:val="28"/>
          <w:szCs w:val="28"/>
          <w14:textFill>
            <w14:solidFill>
              <w14:schemeClr w14:val="tx1"/>
            </w14:solidFill>
          </w14:textFill>
        </w:rPr>
        <w:t>地震烈度</w:t>
      </w:r>
    </w:p>
    <w:p>
      <w:pPr>
        <w:keepNext w:val="0"/>
        <w:keepLines w:val="0"/>
        <w:pageBreakBefore w:val="0"/>
        <w:widowControl w:val="0"/>
        <w:suppressLineNumbers w:val="0"/>
        <w:kinsoku/>
        <w:wordWrap/>
        <w:overflowPunct/>
        <w:topLinePunct w:val="0"/>
        <w:autoSpaceDE/>
        <w:autoSpaceDN/>
        <w:bidi w:val="0"/>
        <w:adjustRightInd w:val="0"/>
        <w:snapToGrid w:val="0"/>
        <w:spacing w:line="360" w:lineRule="auto"/>
        <w:ind w:firstLine="560" w:firstLineChars="200"/>
        <w:jc w:val="left"/>
        <w:textAlignment w:val="auto"/>
        <w:outlineLvl w:val="9"/>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kern w:val="0"/>
          <w:sz w:val="28"/>
          <w:szCs w:val="28"/>
          <w14:textFill>
            <w14:solidFill>
              <w14:schemeClr w14:val="tx1"/>
            </w14:solidFill>
          </w14:textFill>
        </w:rPr>
        <w:t>地震烈度为7度，设计基本地震加度速度值为0.10g，所属的设计抗震分组为第三组。</w:t>
      </w:r>
    </w:p>
    <w:p>
      <w:pPr>
        <w:pStyle w:val="217"/>
        <w:adjustRightInd w:val="0"/>
        <w:snapToGrid w:val="0"/>
        <w:spacing w:after="0" w:line="360" w:lineRule="auto"/>
        <w:ind w:firstLine="560" w:firstLineChars="200"/>
        <w:rPr>
          <w:rFonts w:hint="default"/>
          <w:b/>
          <w:bCs/>
          <w:sz w:val="28"/>
          <w:szCs w:val="28"/>
        </w:rPr>
      </w:pPr>
      <w:r>
        <w:rPr>
          <w:rFonts w:hint="eastAsia" w:ascii="宋体" w:hAnsi="宋体" w:cs="宋体"/>
          <w:b/>
          <w:bCs/>
          <w:color w:val="auto"/>
          <w:sz w:val="28"/>
          <w:lang w:val="en-US" w:eastAsia="zh-CN"/>
        </w:rPr>
        <w:t>3</w:t>
      </w:r>
      <w:r>
        <w:rPr>
          <w:rFonts w:hint="eastAsia" w:ascii="宋体" w:hAnsi="宋体" w:eastAsia="宋体" w:cs="宋体"/>
          <w:b/>
          <w:bCs/>
          <w:color w:val="auto"/>
          <w:sz w:val="28"/>
          <w:lang w:eastAsia="zh-CN"/>
        </w:rPr>
        <w:t>.</w:t>
      </w:r>
      <w:r>
        <w:rPr>
          <w:rFonts w:hint="eastAsia"/>
          <w:b/>
          <w:bCs/>
          <w:sz w:val="28"/>
          <w:szCs w:val="28"/>
        </w:rPr>
        <w:t>作业区域井场情况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本项目</w:t>
      </w:r>
      <w:r>
        <w:rPr>
          <w:rFonts w:hint="default" w:ascii="Times New Roman" w:hAnsi="Times New Roman" w:eastAsia="宋体" w:cs="Times New Roman"/>
          <w:sz w:val="28"/>
          <w:szCs w:val="28"/>
          <w:lang w:val="en-US" w:eastAsia="zh-CN"/>
        </w:rPr>
        <w:t>施工作业</w:t>
      </w:r>
      <w:r>
        <w:rPr>
          <w:rFonts w:hint="default" w:ascii="Times New Roman" w:hAnsi="Times New Roman" w:eastAsia="宋体" w:cs="Times New Roman"/>
          <w:sz w:val="28"/>
          <w:szCs w:val="28"/>
        </w:rPr>
        <w:t>所用设备、设施均属于公司所有，仅有各种物资的供应、搬迁车辆利用社会力量，由销售或运输企业负责将货物直接运送到</w:t>
      </w:r>
      <w:r>
        <w:rPr>
          <w:rFonts w:hint="eastAsia" w:cs="Times New Roman"/>
          <w:sz w:val="28"/>
          <w:szCs w:val="28"/>
          <w:lang w:val="en-US" w:eastAsia="zh-CN"/>
        </w:rPr>
        <w:t>作业</w:t>
      </w:r>
      <w:r>
        <w:rPr>
          <w:rFonts w:hint="default" w:ascii="Times New Roman" w:hAnsi="Times New Roman" w:eastAsia="宋体" w:cs="Times New Roman"/>
          <w:sz w:val="28"/>
          <w:szCs w:val="28"/>
        </w:rPr>
        <w:t>现场。</w:t>
      </w:r>
    </w:p>
    <w:p>
      <w:pPr>
        <w:pStyle w:val="4"/>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eastAsia" w:ascii="Times New Roman" w:hAnsi="Times New Roman"/>
          <w:b w:val="0"/>
          <w:bCs/>
          <w:color w:val="000000" w:themeColor="text1"/>
          <w:szCs w:val="32"/>
          <w14:textFill>
            <w14:solidFill>
              <w14:schemeClr w14:val="tx1"/>
            </w14:solidFill>
          </w14:textFill>
        </w:rPr>
      </w:pPr>
      <w:bookmarkStart w:id="33" w:name="_Toc1563"/>
      <w:r>
        <w:rPr>
          <w:rFonts w:hint="eastAsia" w:ascii="Times New Roman" w:hAnsi="Times New Roman"/>
          <w:b w:val="0"/>
          <w:bCs/>
          <w:color w:val="000000" w:themeColor="text1"/>
          <w:szCs w:val="32"/>
          <w14:textFill>
            <w14:solidFill>
              <w14:schemeClr w14:val="tx1"/>
            </w14:solidFill>
          </w14:textFill>
        </w:rPr>
        <w:t>2.4 安全生产管理机构的设置和安全生产管理人员的配备</w:t>
      </w:r>
      <w:bookmarkEnd w:id="33"/>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sz w:val="28"/>
          <w:szCs w:val="28"/>
          <w:lang w:val="en-US" w:eastAsia="zh-CN"/>
        </w:rPr>
      </w:pPr>
      <w:r>
        <w:rPr>
          <w:rFonts w:hint="eastAsia"/>
          <w:color w:val="auto"/>
          <w:sz w:val="28"/>
          <w:lang w:eastAsia="zh-CN"/>
        </w:rPr>
        <w:t>山东华曦石油技术服务有限公司</w:t>
      </w:r>
      <w:r>
        <w:rPr>
          <w:rFonts w:hint="eastAsia"/>
          <w:color w:val="auto"/>
          <w:sz w:val="28"/>
          <w:szCs w:val="28"/>
        </w:rPr>
        <w:t>根据《</w:t>
      </w:r>
      <w:r>
        <w:rPr>
          <w:rFonts w:hint="eastAsia"/>
          <w:color w:val="auto"/>
          <w:sz w:val="28"/>
          <w:lang w:val="en-US" w:eastAsia="zh-CN"/>
        </w:rPr>
        <w:t>关于成立安全部和配置专职安全管理员的通知</w:t>
      </w:r>
      <w:r>
        <w:rPr>
          <w:rFonts w:hint="eastAsia"/>
          <w:color w:val="auto"/>
          <w:sz w:val="28"/>
          <w:szCs w:val="28"/>
        </w:rPr>
        <w:t>》（华曦字（2022）0</w:t>
      </w:r>
      <w:r>
        <w:rPr>
          <w:rFonts w:hint="eastAsia"/>
          <w:color w:val="auto"/>
          <w:sz w:val="28"/>
          <w:szCs w:val="28"/>
          <w:lang w:val="en-US" w:eastAsia="zh-CN"/>
        </w:rPr>
        <w:t>18</w:t>
      </w:r>
      <w:r>
        <w:rPr>
          <w:rFonts w:hint="eastAsia"/>
          <w:color w:val="auto"/>
          <w:sz w:val="28"/>
          <w:szCs w:val="28"/>
        </w:rPr>
        <w:t>号），设</w:t>
      </w:r>
      <w:r>
        <w:rPr>
          <w:rFonts w:hint="eastAsia"/>
          <w:color w:val="auto"/>
          <w:sz w:val="28"/>
          <w:szCs w:val="28"/>
          <w:lang w:val="en-US" w:eastAsia="zh-CN"/>
        </w:rPr>
        <w:t>安全</w:t>
      </w:r>
      <w:r>
        <w:rPr>
          <w:rFonts w:hint="eastAsia"/>
          <w:color w:val="auto"/>
          <w:sz w:val="28"/>
          <w:szCs w:val="28"/>
        </w:rPr>
        <w:t>部为安全生产管理机构，</w:t>
      </w:r>
      <w:r>
        <w:rPr>
          <w:rFonts w:hint="eastAsia"/>
          <w:color w:val="auto"/>
          <w:sz w:val="28"/>
          <w:szCs w:val="28"/>
          <w:lang w:val="en-US" w:eastAsia="zh-CN"/>
        </w:rPr>
        <w:t>武元博为专职安全生产管理人员</w:t>
      </w:r>
      <w:r>
        <w:rPr>
          <w:rFonts w:hint="eastAsia"/>
          <w:color w:val="auto"/>
          <w:sz w:val="28"/>
          <w:lang w:val="en-US" w:eastAsia="zh-CN"/>
        </w:rPr>
        <w:t>。</w:t>
      </w:r>
      <w:r>
        <w:rPr>
          <w:rFonts w:hint="eastAsia" w:cs="Times New Roman"/>
          <w:color w:val="auto"/>
          <w:sz w:val="28"/>
          <w:szCs w:val="28"/>
          <w:lang w:val="en-US" w:eastAsia="zh-CN"/>
        </w:rPr>
        <w:t>安全管理机构成立及安全人员的配备文件见报告附件3。</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color w:val="000000" w:themeColor="text1"/>
          <w:sz w:val="28"/>
          <w:szCs w:val="28"/>
          <w:lang w:val="en-US" w:eastAsia="zh-CN"/>
          <w14:textFill>
            <w14:solidFill>
              <w14:schemeClr w14:val="tx1"/>
            </w14:solidFill>
          </w14:textFill>
        </w:rPr>
      </w:pPr>
      <w:r>
        <w:rPr>
          <w:rFonts w:hint="eastAsia"/>
          <w:color w:val="000000" w:themeColor="text1"/>
          <w:sz w:val="28"/>
          <w:szCs w:val="28"/>
          <w14:textFill>
            <w14:solidFill>
              <w14:schemeClr w14:val="tx1"/>
            </w14:solidFill>
          </w14:textFill>
        </w:rPr>
        <w:t>综上，该公司安全生产管理机构的设置和专职安全生产管理人员（</w:t>
      </w:r>
      <w:r>
        <w:rPr>
          <w:rFonts w:hint="eastAsia"/>
          <w:color w:val="000000" w:themeColor="text1"/>
          <w:sz w:val="28"/>
          <w:szCs w:val="28"/>
          <w:lang w:val="en-US" w:eastAsia="zh-CN"/>
          <w14:textFill>
            <w14:solidFill>
              <w14:schemeClr w14:val="tx1"/>
            </w14:solidFill>
          </w14:textFill>
        </w:rPr>
        <w:t>1</w:t>
      </w:r>
      <w:r>
        <w:rPr>
          <w:rFonts w:hint="eastAsia"/>
          <w:color w:val="000000" w:themeColor="text1"/>
          <w:sz w:val="28"/>
          <w:szCs w:val="28"/>
          <w14:textFill>
            <w14:solidFill>
              <w14:schemeClr w14:val="tx1"/>
            </w14:solidFill>
          </w14:textFill>
        </w:rPr>
        <w:t>名</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同时为注册安全工程师，类别：其他安全</w:t>
      </w:r>
      <w:r>
        <w:rPr>
          <w:rFonts w:hint="eastAsia"/>
          <w:color w:val="000000" w:themeColor="text1"/>
          <w:sz w:val="28"/>
          <w:szCs w:val="28"/>
          <w14:textFill>
            <w14:solidFill>
              <w14:schemeClr w14:val="tx1"/>
            </w14:solidFill>
          </w14:textFill>
        </w:rPr>
        <w:t>）的配备情况符合相关要求。</w:t>
      </w:r>
      <w:r>
        <w:rPr>
          <w:rFonts w:hint="eastAsia"/>
          <w:color w:val="000000" w:themeColor="text1"/>
          <w:sz w:val="28"/>
          <w:szCs w:val="28"/>
          <w:lang w:val="en-US" w:eastAsia="zh-CN"/>
          <w14:textFill>
            <w14:solidFill>
              <w14:schemeClr w14:val="tx1"/>
            </w14:solidFill>
          </w14:textFill>
        </w:rPr>
        <w:t>注册安全工程师证书见报告附件3。</w:t>
      </w:r>
    </w:p>
    <w:p>
      <w:pPr>
        <w:pStyle w:val="4"/>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34" w:name="_Toc13716"/>
      <w:r>
        <w:rPr>
          <w:rFonts w:hint="eastAsia" w:ascii="Times New Roman" w:hAnsi="Times New Roman"/>
          <w:b w:val="0"/>
          <w:bCs/>
          <w:color w:val="000000" w:themeColor="text1"/>
          <w:szCs w:val="32"/>
          <w14:textFill>
            <w14:solidFill>
              <w14:schemeClr w14:val="tx1"/>
            </w14:solidFill>
          </w14:textFill>
        </w:rPr>
        <w:t>2.</w:t>
      </w:r>
      <w:r>
        <w:rPr>
          <w:rFonts w:ascii="Times New Roman" w:hAnsi="Times New Roman"/>
          <w:b w:val="0"/>
          <w:bCs/>
          <w:color w:val="000000" w:themeColor="text1"/>
          <w:szCs w:val="32"/>
          <w14:textFill>
            <w14:solidFill>
              <w14:schemeClr w14:val="tx1"/>
            </w14:solidFill>
          </w14:textFill>
        </w:rPr>
        <w:t xml:space="preserve">5 </w:t>
      </w:r>
      <w:r>
        <w:rPr>
          <w:rFonts w:hint="eastAsia" w:ascii="Times New Roman" w:hAnsi="Times New Roman"/>
          <w:b w:val="0"/>
          <w:bCs/>
          <w:color w:val="000000" w:themeColor="text1"/>
          <w:szCs w:val="32"/>
          <w14:textFill>
            <w14:solidFill>
              <w14:schemeClr w14:val="tx1"/>
            </w14:solidFill>
          </w14:textFill>
        </w:rPr>
        <w:t>安全生产规章制度及操作规程</w:t>
      </w:r>
      <w:bookmarkEnd w:id="34"/>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公司自成立以来，建立健全了以安全生产责任制为主要内容的各项安全管理制度，根据本单位施工工艺、设备和岗位特点制定了各岗位安全操作规程，并汇编成册。</w:t>
      </w:r>
    </w:p>
    <w:p>
      <w:pPr>
        <w:pStyle w:val="5"/>
        <w:adjustRightInd w:val="0"/>
        <w:snapToGrid w:val="0"/>
        <w:spacing w:before="0" w:after="0" w:line="360" w:lineRule="auto"/>
        <w:rPr>
          <w:rFonts w:eastAsia="黑体"/>
          <w:b w:val="0"/>
          <w:snapToGrid w:val="0"/>
          <w:color w:val="000000" w:themeColor="text1"/>
          <w:kern w:val="0"/>
          <w:sz w:val="28"/>
          <w:szCs w:val="28"/>
          <w:highlight w:val="none"/>
          <w14:textFill>
            <w14:solidFill>
              <w14:schemeClr w14:val="tx1"/>
            </w14:solidFill>
          </w14:textFill>
        </w:rPr>
      </w:pPr>
      <w:r>
        <w:rPr>
          <w:rFonts w:hint="eastAsia" w:eastAsia="黑体"/>
          <w:b w:val="0"/>
          <w:snapToGrid w:val="0"/>
          <w:color w:val="000000" w:themeColor="text1"/>
          <w:kern w:val="0"/>
          <w:sz w:val="28"/>
          <w:szCs w:val="28"/>
          <w14:textFill>
            <w14:solidFill>
              <w14:schemeClr w14:val="tx1"/>
            </w14:solidFill>
          </w14:textFill>
        </w:rPr>
        <w:t>2.</w:t>
      </w:r>
      <w:r>
        <w:rPr>
          <w:rFonts w:eastAsia="黑体"/>
          <w:b w:val="0"/>
          <w:snapToGrid w:val="0"/>
          <w:color w:val="000000" w:themeColor="text1"/>
          <w:kern w:val="0"/>
          <w:sz w:val="28"/>
          <w:szCs w:val="28"/>
          <w14:textFill>
            <w14:solidFill>
              <w14:schemeClr w14:val="tx1"/>
            </w14:solidFill>
          </w14:textFill>
        </w:rPr>
        <w:t>5</w:t>
      </w:r>
      <w:r>
        <w:rPr>
          <w:rFonts w:hint="eastAsia" w:eastAsia="黑体"/>
          <w:b w:val="0"/>
          <w:snapToGrid w:val="0"/>
          <w:color w:val="000000" w:themeColor="text1"/>
          <w:kern w:val="0"/>
          <w:sz w:val="28"/>
          <w:szCs w:val="28"/>
          <w14:textFill>
            <w14:solidFill>
              <w14:schemeClr w14:val="tx1"/>
            </w14:solidFill>
          </w14:textFill>
        </w:rPr>
        <w:t>.</w:t>
      </w:r>
      <w:r>
        <w:rPr>
          <w:rFonts w:eastAsia="黑体"/>
          <w:b w:val="0"/>
          <w:snapToGrid w:val="0"/>
          <w:color w:val="000000" w:themeColor="text1"/>
          <w:kern w:val="0"/>
          <w:sz w:val="28"/>
          <w:szCs w:val="28"/>
          <w14:textFill>
            <w14:solidFill>
              <w14:schemeClr w14:val="tx1"/>
            </w14:solidFill>
          </w14:textFill>
        </w:rPr>
        <w:t xml:space="preserve">1 </w:t>
      </w:r>
      <w:r>
        <w:rPr>
          <w:rFonts w:hint="eastAsia" w:eastAsia="黑体"/>
          <w:b w:val="0"/>
          <w:snapToGrid w:val="0"/>
          <w:color w:val="000000" w:themeColor="text1"/>
          <w:kern w:val="0"/>
          <w:sz w:val="28"/>
          <w:szCs w:val="28"/>
          <w:highlight w:val="none"/>
          <w14:textFill>
            <w14:solidFill>
              <w14:schemeClr w14:val="tx1"/>
            </w14:solidFill>
          </w14:textFill>
        </w:rPr>
        <w:t>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color w:val="0070C0"/>
          <w:sz w:val="28"/>
          <w:szCs w:val="28"/>
        </w:rPr>
      </w:pPr>
      <w:r>
        <w:rPr>
          <w:rFonts w:hint="eastAsia"/>
          <w:color w:val="000000" w:themeColor="text1"/>
          <w:sz w:val="28"/>
          <w:szCs w:val="28"/>
          <w14:textFill>
            <w14:solidFill>
              <w14:schemeClr w14:val="tx1"/>
            </w14:solidFill>
          </w14:textFill>
        </w:rPr>
        <w:t>安全生产责任制是根据我国的安全生产方针“安全第一，预防为主，综合治理”和安全生产法规建立的各级领导、职能部门、工程技术人员、岗位操作人员在劳动生产过程中对安全生产层层负责的制度。安全生产责任制是企业岗位责任制的一个组成部分，是企业中最基本的一项安全制度，也是企业安全生产、劳动保护管理制度的核心。该公司已经建立的安全生产责任制主要包括：</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280" w:firstLineChars="100"/>
        <w:textAlignment w:val="auto"/>
        <w:rPr>
          <w:rFonts w:hint="default"/>
          <w:color w:val="auto"/>
          <w:sz w:val="28"/>
          <w:szCs w:val="28"/>
          <w:highlight w:val="none"/>
          <w:lang w:val="en-US" w:eastAsia="zh-CN"/>
        </w:rPr>
      </w:pPr>
      <w:r>
        <w:rPr>
          <w:rFonts w:hint="eastAsia"/>
          <w:color w:val="auto"/>
          <w:sz w:val="28"/>
          <w:szCs w:val="28"/>
          <w:highlight w:val="none"/>
          <w:lang w:val="en-US" w:eastAsia="zh-CN"/>
        </w:rPr>
        <w:t>一、各部门</w:t>
      </w:r>
      <w:r>
        <w:rPr>
          <w:rFonts w:hint="eastAsia"/>
          <w:color w:val="000000" w:themeColor="text1"/>
          <w:sz w:val="28"/>
          <w:szCs w:val="28"/>
          <w14:textFill>
            <w14:solidFill>
              <w14:schemeClr w14:val="tx1"/>
            </w14:solidFill>
          </w14:textFill>
        </w:rPr>
        <w:t>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color w:val="auto"/>
          <w:sz w:val="28"/>
          <w:szCs w:val="28"/>
          <w:highlight w:val="none"/>
          <w:lang w:val="en-US" w:eastAsia="zh-CN"/>
        </w:rPr>
      </w:pPr>
      <w:r>
        <w:rPr>
          <w:rFonts w:hint="eastAsia"/>
          <w:color w:val="auto"/>
          <w:sz w:val="28"/>
          <w:szCs w:val="28"/>
          <w:highlight w:val="none"/>
          <w:lang w:val="en-US" w:eastAsia="zh-CN"/>
        </w:rPr>
        <w:t>1、生产部</w:t>
      </w:r>
      <w:r>
        <w:rPr>
          <w:rFonts w:hint="eastAsia"/>
          <w:color w:val="000000" w:themeColor="text1"/>
          <w:sz w:val="28"/>
          <w:szCs w:val="28"/>
          <w14:textFill>
            <w14:solidFill>
              <w14:schemeClr w14:val="tx1"/>
            </w14:solidFill>
          </w14:textFill>
        </w:rPr>
        <w:t>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color w:val="auto"/>
          <w:sz w:val="28"/>
          <w:szCs w:val="28"/>
          <w:highlight w:val="none"/>
          <w:lang w:val="en-US" w:eastAsia="zh-CN"/>
        </w:rPr>
      </w:pPr>
      <w:r>
        <w:rPr>
          <w:rFonts w:hint="eastAsia"/>
          <w:color w:val="auto"/>
          <w:sz w:val="28"/>
          <w:szCs w:val="28"/>
          <w:highlight w:val="none"/>
          <w:lang w:val="en-US" w:eastAsia="zh-CN"/>
        </w:rPr>
        <w:t>2、安全部</w:t>
      </w:r>
      <w:r>
        <w:rPr>
          <w:rFonts w:hint="eastAsia"/>
          <w:color w:val="000000" w:themeColor="text1"/>
          <w:sz w:val="28"/>
          <w:szCs w:val="28"/>
          <w14:textFill>
            <w14:solidFill>
              <w14:schemeClr w14:val="tx1"/>
            </w14:solidFill>
          </w14:textFill>
        </w:rPr>
        <w:t>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eastAsia"/>
          <w:color w:val="auto"/>
          <w:sz w:val="28"/>
          <w:szCs w:val="28"/>
          <w:highlight w:val="none"/>
          <w:lang w:val="en-US" w:eastAsia="zh-CN"/>
        </w:rPr>
        <w:t>3、财务部</w:t>
      </w:r>
      <w:r>
        <w:rPr>
          <w:rFonts w:hint="eastAsia"/>
          <w:color w:val="000000" w:themeColor="text1"/>
          <w:sz w:val="28"/>
          <w:szCs w:val="28"/>
          <w14:textFill>
            <w14:solidFill>
              <w14:schemeClr w14:val="tx1"/>
            </w14:solidFill>
          </w14:textFill>
        </w:rPr>
        <w:t>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280" w:firstLineChars="100"/>
        <w:textAlignment w:val="auto"/>
        <w:rPr>
          <w:rFonts w:hint="default"/>
          <w:sz w:val="28"/>
          <w:szCs w:val="36"/>
          <w:lang w:val="en-US" w:eastAsia="zh-CN"/>
        </w:rPr>
      </w:pPr>
      <w:r>
        <w:rPr>
          <w:rFonts w:hint="eastAsia"/>
          <w:sz w:val="28"/>
          <w:szCs w:val="36"/>
          <w:lang w:val="en-US" w:eastAsia="zh-CN"/>
        </w:rPr>
        <w:t>二、各岗位</w:t>
      </w:r>
      <w:r>
        <w:rPr>
          <w:rFonts w:hint="eastAsia"/>
          <w:color w:val="000000" w:themeColor="text1"/>
          <w:sz w:val="28"/>
          <w:szCs w:val="28"/>
          <w14:textFill>
            <w14:solidFill>
              <w14:schemeClr w14:val="tx1"/>
            </w14:solidFill>
          </w14:textFill>
        </w:rPr>
        <w:t>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eastAsia="宋体"/>
          <w:color w:val="auto"/>
          <w:sz w:val="28"/>
          <w:szCs w:val="28"/>
          <w:highlight w:val="none"/>
          <w:lang w:val="en-US" w:eastAsia="zh-CN"/>
        </w:rPr>
      </w:pPr>
      <w:r>
        <w:rPr>
          <w:rFonts w:hint="eastAsia"/>
          <w:color w:val="auto"/>
          <w:sz w:val="28"/>
          <w:szCs w:val="28"/>
          <w:highlight w:val="none"/>
          <w:lang w:val="en-US" w:eastAsia="zh-CN"/>
        </w:rPr>
        <w:t>1、</w:t>
      </w:r>
      <w:r>
        <w:rPr>
          <w:rFonts w:hint="eastAsia"/>
          <w:color w:val="auto"/>
          <w:sz w:val="28"/>
          <w:szCs w:val="28"/>
          <w:highlight w:val="none"/>
        </w:rPr>
        <w:t>总经理</w:t>
      </w:r>
      <w:r>
        <w:rPr>
          <w:rFonts w:hint="eastAsia"/>
          <w:color w:val="auto"/>
          <w:sz w:val="28"/>
          <w:szCs w:val="28"/>
          <w:highlight w:val="none"/>
          <w:lang w:val="en-US" w:eastAsia="zh-CN"/>
        </w:rPr>
        <w:t>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highlight w:val="none"/>
          <w:lang w:val="en-US" w:eastAsia="zh-CN"/>
        </w:rPr>
      </w:pPr>
      <w:r>
        <w:rPr>
          <w:rFonts w:hint="eastAsia"/>
          <w:color w:val="auto"/>
          <w:sz w:val="28"/>
          <w:szCs w:val="28"/>
          <w:highlight w:val="none"/>
          <w:lang w:val="en-US" w:eastAsia="zh-CN"/>
        </w:rPr>
        <w:t>2、</w:t>
      </w:r>
      <w:r>
        <w:rPr>
          <w:rFonts w:hint="eastAsia"/>
          <w:color w:val="auto"/>
          <w:sz w:val="28"/>
          <w:szCs w:val="28"/>
          <w:highlight w:val="none"/>
        </w:rPr>
        <w:t>副总经理</w:t>
      </w:r>
      <w:r>
        <w:rPr>
          <w:rFonts w:hint="eastAsia"/>
          <w:color w:val="auto"/>
          <w:sz w:val="28"/>
          <w:szCs w:val="28"/>
          <w:highlight w:val="none"/>
          <w:lang w:val="en-US" w:eastAsia="zh-CN"/>
        </w:rPr>
        <w:t>安全生产责任制</w:t>
      </w:r>
    </w:p>
    <w:p>
      <w:pPr>
        <w:pStyle w:val="61"/>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highlight w:val="none"/>
          <w:lang w:val="en-US" w:eastAsia="zh-CN"/>
        </w:rPr>
      </w:pPr>
      <w:r>
        <w:rPr>
          <w:rFonts w:hint="eastAsia"/>
          <w:color w:val="auto"/>
          <w:sz w:val="28"/>
          <w:szCs w:val="28"/>
          <w:highlight w:val="none"/>
          <w:lang w:val="en-US" w:eastAsia="zh-CN"/>
        </w:rPr>
        <w:t>3、安全员安全生产责任制</w:t>
      </w:r>
    </w:p>
    <w:p>
      <w:pPr>
        <w:pStyle w:val="61"/>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auto"/>
          <w:sz w:val="28"/>
          <w:szCs w:val="28"/>
          <w:highlight w:val="none"/>
          <w:lang w:val="en-US" w:eastAsia="zh-CN"/>
        </w:rPr>
      </w:pPr>
      <w:r>
        <w:rPr>
          <w:rFonts w:hint="eastAsia"/>
          <w:highlight w:val="none"/>
          <w:lang w:val="en-US" w:eastAsia="zh-CN"/>
        </w:rPr>
        <w:t>4、生产部经理</w:t>
      </w:r>
      <w:r>
        <w:rPr>
          <w:rFonts w:hint="eastAsia"/>
          <w:color w:val="auto"/>
          <w:sz w:val="28"/>
          <w:szCs w:val="28"/>
          <w:highlight w:val="none"/>
          <w:lang w:val="en-US" w:eastAsia="zh-CN"/>
        </w:rPr>
        <w:t>安全生产责任制</w:t>
      </w:r>
    </w:p>
    <w:p>
      <w:pPr>
        <w:pStyle w:val="61"/>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color w:val="auto"/>
          <w:sz w:val="28"/>
          <w:szCs w:val="28"/>
          <w:highlight w:val="none"/>
          <w:lang w:val="en-US" w:eastAsia="zh-CN"/>
        </w:rPr>
      </w:pPr>
      <w:r>
        <w:rPr>
          <w:rFonts w:hint="eastAsia"/>
          <w:color w:val="auto"/>
          <w:sz w:val="28"/>
          <w:szCs w:val="28"/>
          <w:highlight w:val="none"/>
          <w:lang w:val="en-US" w:eastAsia="zh-CN"/>
        </w:rPr>
        <w:t>5、工程技术员安全生产责任制</w:t>
      </w:r>
    </w:p>
    <w:p>
      <w:pPr>
        <w:pStyle w:val="61"/>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highlight w:val="none"/>
          <w:lang w:val="en-US" w:eastAsia="zh-CN"/>
        </w:rPr>
      </w:pPr>
      <w:r>
        <w:rPr>
          <w:rFonts w:hint="eastAsia"/>
          <w:highlight w:val="none"/>
          <w:lang w:val="en-US" w:eastAsia="zh-CN"/>
        </w:rPr>
        <w:t>6、财务部主任</w:t>
      </w:r>
      <w:r>
        <w:rPr>
          <w:rFonts w:hint="eastAsia"/>
          <w:color w:val="auto"/>
          <w:sz w:val="28"/>
          <w:szCs w:val="28"/>
          <w:highlight w:val="none"/>
          <w:lang w:val="en-US" w:eastAsia="zh-CN"/>
        </w:rPr>
        <w:t>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highlight w:val="none"/>
        </w:rPr>
      </w:pPr>
      <w:r>
        <w:rPr>
          <w:rFonts w:hint="eastAsia"/>
          <w:color w:val="auto"/>
          <w:sz w:val="28"/>
          <w:szCs w:val="28"/>
          <w:highlight w:val="none"/>
          <w:lang w:val="en-US" w:eastAsia="zh-CN"/>
        </w:rPr>
        <w:t>7、财务部会计安全生产责任制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color w:val="auto"/>
          <w:sz w:val="28"/>
          <w:szCs w:val="28"/>
          <w:highlight w:val="none"/>
          <w:lang w:val="en-US" w:eastAsia="zh-CN"/>
        </w:rPr>
      </w:pPr>
      <w:r>
        <w:rPr>
          <w:rFonts w:hint="eastAsia"/>
          <w:color w:val="auto"/>
          <w:sz w:val="28"/>
          <w:szCs w:val="28"/>
          <w:highlight w:val="none"/>
          <w:lang w:val="en-US" w:eastAsia="zh-CN"/>
        </w:rPr>
        <w:t>8、财务部出纳安全生产责任制</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highlight w:val="none"/>
          <w:lang w:val="en-US" w:eastAsia="zh-CN"/>
        </w:rPr>
      </w:pPr>
      <w:r>
        <w:rPr>
          <w:rFonts w:hint="eastAsia"/>
          <w:color w:val="auto"/>
          <w:sz w:val="28"/>
          <w:szCs w:val="28"/>
          <w:highlight w:val="none"/>
          <w:lang w:val="en-US" w:eastAsia="zh-CN"/>
        </w:rPr>
        <w:t>9、复合气队长安全生产责任制</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olor w:val="auto"/>
          <w:sz w:val="28"/>
          <w:szCs w:val="28"/>
          <w:highlight w:val="none"/>
          <w:lang w:val="en-US" w:eastAsia="zh-CN"/>
        </w:rPr>
      </w:pPr>
      <w:r>
        <w:rPr>
          <w:rFonts w:hint="eastAsia"/>
          <w:color w:val="auto"/>
          <w:sz w:val="28"/>
          <w:szCs w:val="28"/>
          <w:highlight w:val="none"/>
          <w:lang w:val="en-US" w:eastAsia="zh-CN"/>
        </w:rPr>
        <w:t>10、注汽队长安全生产责任制</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highlight w:val="none"/>
          <w:lang w:val="en-US" w:eastAsia="zh-CN"/>
        </w:rPr>
      </w:pPr>
      <w:r>
        <w:rPr>
          <w:rFonts w:hint="eastAsia"/>
          <w:color w:val="auto"/>
          <w:sz w:val="28"/>
          <w:szCs w:val="28"/>
          <w:highlight w:val="none"/>
          <w:lang w:val="en-US" w:eastAsia="zh-CN"/>
        </w:rPr>
        <w:t>11、复合气操作工安全生产责任制</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olor w:val="auto"/>
          <w:sz w:val="28"/>
          <w:szCs w:val="28"/>
          <w:highlight w:val="none"/>
          <w:lang w:val="en-US" w:eastAsia="zh-CN"/>
        </w:rPr>
      </w:pPr>
      <w:r>
        <w:rPr>
          <w:rFonts w:hint="eastAsia"/>
          <w:color w:val="auto"/>
          <w:sz w:val="28"/>
          <w:szCs w:val="28"/>
          <w:highlight w:val="none"/>
          <w:lang w:val="en-US" w:eastAsia="zh-CN"/>
        </w:rPr>
        <w:t>12、注汽操作工安全生产责任制</w:t>
      </w:r>
    </w:p>
    <w:p>
      <w:pPr>
        <w:pStyle w:val="126"/>
        <w:adjustRightInd w:val="0"/>
        <w:snapToGrid w:val="0"/>
        <w:spacing w:line="360" w:lineRule="auto"/>
        <w:ind w:firstLine="560"/>
        <w:rPr>
          <w:rFonts w:hint="eastAsia"/>
          <w:color w:val="0070C0"/>
          <w:sz w:val="28"/>
          <w:szCs w:val="28"/>
        </w:rPr>
      </w:pPr>
      <w:r>
        <w:rPr>
          <w:rFonts w:hint="eastAsia"/>
          <w:color w:val="auto"/>
          <w:sz w:val="28"/>
          <w:szCs w:val="28"/>
        </w:rPr>
        <w:t>该公司已经建立了从</w:t>
      </w:r>
      <w:r>
        <w:rPr>
          <w:rFonts w:hint="eastAsia"/>
          <w:color w:val="auto"/>
          <w:sz w:val="28"/>
          <w:szCs w:val="28"/>
          <w:lang w:val="en-US" w:eastAsia="zh-CN"/>
        </w:rPr>
        <w:t>总</w:t>
      </w:r>
      <w:r>
        <w:rPr>
          <w:rFonts w:hint="eastAsia"/>
          <w:color w:val="auto"/>
          <w:sz w:val="28"/>
          <w:szCs w:val="28"/>
        </w:rPr>
        <w:t>经理到一般员工的安全生产责任制以及各部门的安全职责，符</w:t>
      </w:r>
      <w:r>
        <w:rPr>
          <w:rFonts w:hint="eastAsia"/>
          <w:color w:val="000000" w:themeColor="text1"/>
          <w:sz w:val="28"/>
          <w:szCs w:val="28"/>
          <w14:textFill>
            <w14:solidFill>
              <w14:schemeClr w14:val="tx1"/>
            </w14:solidFill>
          </w14:textFill>
        </w:rPr>
        <w:t>合</w:t>
      </w:r>
      <w:r>
        <w:rPr>
          <w:rFonts w:hint="default" w:ascii="Times New Roman" w:hAnsi="Times New Roman" w:cs="Times New Roman"/>
          <w:color w:val="000000" w:themeColor="text1"/>
          <w:sz w:val="28"/>
          <w:szCs w:val="28"/>
          <w:highlight w:val="none"/>
          <w14:textFill>
            <w14:solidFill>
              <w14:schemeClr w14:val="tx1"/>
            </w14:solidFill>
          </w14:textFill>
        </w:rPr>
        <w:t>《中华人民共和国安全生产法》（主席令[20</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21</w:t>
      </w:r>
      <w:r>
        <w:rPr>
          <w:rFonts w:hint="default" w:ascii="Times New Roman" w:hAnsi="Times New Roman" w:cs="Times New Roman"/>
          <w:color w:val="000000" w:themeColor="text1"/>
          <w:sz w:val="28"/>
          <w:szCs w:val="28"/>
          <w:highlight w:val="none"/>
          <w14:textFill>
            <w14:solidFill>
              <w14:schemeClr w14:val="tx1"/>
            </w14:solidFill>
          </w14:textFill>
        </w:rPr>
        <w:t>]第</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88</w:t>
      </w:r>
      <w:r>
        <w:rPr>
          <w:rFonts w:hint="default" w:ascii="Times New Roman" w:hAnsi="Times New Roman" w:cs="Times New Roman"/>
          <w:color w:val="000000" w:themeColor="text1"/>
          <w:sz w:val="28"/>
          <w:szCs w:val="28"/>
          <w:highlight w:val="none"/>
          <w14:textFill>
            <w14:solidFill>
              <w14:schemeClr w14:val="tx1"/>
            </w14:solidFill>
          </w14:textFill>
        </w:rPr>
        <w:t>号）</w:t>
      </w:r>
      <w:r>
        <w:rPr>
          <w:rFonts w:hint="eastAsia" w:cs="Times New Roman"/>
          <w:color w:val="000000" w:themeColor="text1"/>
          <w:sz w:val="28"/>
          <w:szCs w:val="28"/>
          <w:highlight w:val="none"/>
          <w:lang w:val="en-US" w:eastAsia="zh-CN"/>
          <w14:textFill>
            <w14:solidFill>
              <w14:schemeClr w14:val="tx1"/>
            </w14:solidFill>
          </w14:textFill>
        </w:rPr>
        <w:t>第二十二条</w:t>
      </w:r>
      <w:r>
        <w:rPr>
          <w:rFonts w:hint="eastAsia" w:cs="Times New Roman"/>
          <w:color w:val="000000" w:themeColor="text1"/>
          <w:sz w:val="28"/>
          <w:szCs w:val="28"/>
          <w:highlight w:val="none"/>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《山东省安全生产条例》（2021年12月3日山东省第十三届人民代表大会常务委员会第三十二次会议修订）第十六条、</w:t>
      </w:r>
      <w:r>
        <w:rPr>
          <w:rFonts w:hint="eastAsia"/>
          <w:color w:val="000000" w:themeColor="text1"/>
          <w:sz w:val="28"/>
          <w:szCs w:val="28"/>
          <w14:textFill>
            <w14:solidFill>
              <w14:schemeClr w14:val="tx1"/>
            </w14:solidFill>
          </w14:textFill>
        </w:rPr>
        <w:t>《山东省生产经营单位安全生产主体责任规定》（山东省人民政府令[2018]第311号）中第六条</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《关于印发山东省生产经营单位全员安全生产责任清单的通知》《鲁安办发[2021]50号》的要求，</w:t>
      </w:r>
      <w:r>
        <w:rPr>
          <w:rFonts w:hint="eastAsia"/>
          <w:color w:val="000000" w:themeColor="text1"/>
          <w:sz w:val="28"/>
          <w:szCs w:val="28"/>
          <w14:textFill>
            <w14:solidFill>
              <w14:schemeClr w14:val="tx1"/>
            </w14:solidFill>
          </w14:textFill>
        </w:rPr>
        <w:t>建议企业根据相关规范定期进行修订、完善。</w:t>
      </w:r>
    </w:p>
    <w:p>
      <w:pPr>
        <w:pStyle w:val="5"/>
        <w:adjustRightInd w:val="0"/>
        <w:snapToGrid w:val="0"/>
        <w:spacing w:before="0" w:after="0" w:line="360" w:lineRule="auto"/>
        <w:rPr>
          <w:rFonts w:eastAsia="黑体"/>
          <w:b w:val="0"/>
          <w:snapToGrid w:val="0"/>
          <w:color w:val="auto"/>
          <w:kern w:val="0"/>
          <w:sz w:val="28"/>
          <w:szCs w:val="28"/>
          <w:highlight w:val="none"/>
        </w:rPr>
      </w:pPr>
      <w:r>
        <w:rPr>
          <w:rFonts w:hint="eastAsia" w:eastAsia="黑体"/>
          <w:b w:val="0"/>
          <w:snapToGrid w:val="0"/>
          <w:color w:val="auto"/>
          <w:kern w:val="0"/>
          <w:sz w:val="28"/>
          <w:szCs w:val="28"/>
          <w:highlight w:val="none"/>
        </w:rPr>
        <w:t>2.</w:t>
      </w:r>
      <w:r>
        <w:rPr>
          <w:rFonts w:eastAsia="黑体"/>
          <w:b w:val="0"/>
          <w:snapToGrid w:val="0"/>
          <w:color w:val="auto"/>
          <w:kern w:val="0"/>
          <w:sz w:val="28"/>
          <w:szCs w:val="28"/>
          <w:highlight w:val="none"/>
        </w:rPr>
        <w:t>5</w:t>
      </w:r>
      <w:r>
        <w:rPr>
          <w:rFonts w:hint="eastAsia" w:eastAsia="黑体"/>
          <w:b w:val="0"/>
          <w:snapToGrid w:val="0"/>
          <w:color w:val="auto"/>
          <w:kern w:val="0"/>
          <w:sz w:val="28"/>
          <w:szCs w:val="28"/>
          <w:highlight w:val="none"/>
        </w:rPr>
        <w:t>.</w:t>
      </w:r>
      <w:r>
        <w:rPr>
          <w:rFonts w:eastAsia="黑体"/>
          <w:b w:val="0"/>
          <w:snapToGrid w:val="0"/>
          <w:color w:val="auto"/>
          <w:kern w:val="0"/>
          <w:sz w:val="28"/>
          <w:szCs w:val="28"/>
          <w:highlight w:val="none"/>
        </w:rPr>
        <w:t xml:space="preserve">2 </w:t>
      </w:r>
      <w:r>
        <w:rPr>
          <w:rFonts w:hint="eastAsia" w:eastAsia="黑体"/>
          <w:b w:val="0"/>
          <w:snapToGrid w:val="0"/>
          <w:color w:val="auto"/>
          <w:kern w:val="0"/>
          <w:sz w:val="28"/>
          <w:szCs w:val="28"/>
          <w:highlight w:val="none"/>
        </w:rPr>
        <w:t>安全管理制度</w:t>
      </w:r>
    </w:p>
    <w:p>
      <w:pPr>
        <w:adjustRightInd w:val="0"/>
        <w:snapToGrid w:val="0"/>
        <w:spacing w:line="360" w:lineRule="auto"/>
        <w:ind w:firstLine="560" w:firstLineChars="200"/>
        <w:rPr>
          <w:color w:val="auto"/>
          <w:sz w:val="28"/>
        </w:rPr>
      </w:pPr>
      <w:r>
        <w:rPr>
          <w:rFonts w:hint="eastAsia"/>
          <w:color w:val="auto"/>
          <w:sz w:val="28"/>
        </w:rPr>
        <w:t>公司制定的安全管理制度有：</w:t>
      </w:r>
    </w:p>
    <w:p>
      <w:pPr>
        <w:pStyle w:val="126"/>
        <w:numPr>
          <w:ilvl w:val="0"/>
          <w:numId w:val="11"/>
        </w:numPr>
        <w:adjustRightInd w:val="0"/>
        <w:snapToGrid w:val="0"/>
        <w:spacing w:line="360" w:lineRule="auto"/>
        <w:ind w:firstLineChars="0"/>
        <w:rPr>
          <w:color w:val="auto"/>
          <w:sz w:val="28"/>
        </w:rPr>
      </w:pPr>
      <w:r>
        <w:rPr>
          <w:rFonts w:hint="eastAsia"/>
          <w:color w:val="auto"/>
          <w:sz w:val="28"/>
        </w:rPr>
        <w:t>安全生产例会管理制度</w:t>
      </w:r>
      <w:r>
        <w:rPr>
          <w:rFonts w:hint="eastAsia"/>
          <w:color w:val="auto"/>
          <w:sz w:val="28"/>
        </w:rPr>
        <w:tab/>
      </w:r>
    </w:p>
    <w:p>
      <w:pPr>
        <w:pStyle w:val="126"/>
        <w:numPr>
          <w:ilvl w:val="0"/>
          <w:numId w:val="11"/>
        </w:numPr>
        <w:adjustRightInd w:val="0"/>
        <w:snapToGrid w:val="0"/>
        <w:spacing w:line="360" w:lineRule="auto"/>
        <w:ind w:firstLineChars="0"/>
        <w:rPr>
          <w:color w:val="auto"/>
          <w:sz w:val="28"/>
        </w:rPr>
      </w:pPr>
      <w:r>
        <w:rPr>
          <w:rFonts w:hint="eastAsia"/>
          <w:color w:val="auto"/>
          <w:sz w:val="28"/>
        </w:rPr>
        <w:t>安全生产晨会制度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安全生产资金投入管理制度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安全生产教育培训管理制度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安全设备</w:t>
      </w:r>
      <w:r>
        <w:rPr>
          <w:rFonts w:hint="eastAsia"/>
          <w:color w:val="auto"/>
          <w:sz w:val="28"/>
          <w:lang w:val="en-US" w:eastAsia="zh-CN"/>
        </w:rPr>
        <w:t>设施</w:t>
      </w:r>
      <w:r>
        <w:rPr>
          <w:rFonts w:hint="eastAsia"/>
          <w:color w:val="auto"/>
          <w:sz w:val="28"/>
        </w:rPr>
        <w:t>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职业卫生与健康管理制度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安全生产检查管理制度</w:t>
      </w:r>
    </w:p>
    <w:p>
      <w:pPr>
        <w:pStyle w:val="126"/>
        <w:numPr>
          <w:ilvl w:val="0"/>
          <w:numId w:val="11"/>
        </w:numPr>
        <w:adjustRightInd w:val="0"/>
        <w:snapToGrid w:val="0"/>
        <w:spacing w:line="360" w:lineRule="auto"/>
        <w:ind w:firstLineChars="0"/>
        <w:rPr>
          <w:color w:val="auto"/>
          <w:sz w:val="28"/>
        </w:rPr>
      </w:pPr>
      <w:r>
        <w:rPr>
          <w:rFonts w:hint="eastAsia"/>
          <w:color w:val="auto"/>
          <w:sz w:val="28"/>
          <w:lang w:val="en-US" w:eastAsia="zh-CN"/>
        </w:rPr>
        <w:t>风险分级管控制度</w:t>
      </w:r>
    </w:p>
    <w:p>
      <w:pPr>
        <w:pStyle w:val="126"/>
        <w:numPr>
          <w:ilvl w:val="0"/>
          <w:numId w:val="11"/>
        </w:numPr>
        <w:adjustRightInd w:val="0"/>
        <w:snapToGrid w:val="0"/>
        <w:spacing w:line="360" w:lineRule="auto"/>
        <w:ind w:firstLineChars="0"/>
        <w:rPr>
          <w:color w:val="auto"/>
          <w:sz w:val="28"/>
        </w:rPr>
      </w:pPr>
      <w:r>
        <w:rPr>
          <w:rFonts w:hint="eastAsia"/>
          <w:color w:val="auto"/>
          <w:sz w:val="28"/>
        </w:rPr>
        <w:t>事故隐患排查治理制度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油料储运管理制度</w:t>
      </w:r>
    </w:p>
    <w:p>
      <w:pPr>
        <w:pStyle w:val="126"/>
        <w:numPr>
          <w:ilvl w:val="0"/>
          <w:numId w:val="11"/>
        </w:numPr>
        <w:adjustRightInd w:val="0"/>
        <w:snapToGrid w:val="0"/>
        <w:spacing w:line="360" w:lineRule="auto"/>
        <w:ind w:firstLineChars="0"/>
        <w:rPr>
          <w:color w:val="auto"/>
          <w:sz w:val="28"/>
        </w:rPr>
      </w:pPr>
      <w:r>
        <w:rPr>
          <w:rFonts w:hint="eastAsia"/>
          <w:color w:val="auto"/>
          <w:sz w:val="28"/>
          <w:lang w:val="en-US" w:eastAsia="zh-CN"/>
        </w:rPr>
        <w:t>承包商现场施工安全管理规定</w:t>
      </w:r>
    </w:p>
    <w:p>
      <w:pPr>
        <w:pStyle w:val="126"/>
        <w:numPr>
          <w:ilvl w:val="0"/>
          <w:numId w:val="11"/>
        </w:numPr>
        <w:adjustRightInd w:val="0"/>
        <w:snapToGrid w:val="0"/>
        <w:spacing w:line="360" w:lineRule="auto"/>
        <w:ind w:firstLineChars="0"/>
        <w:rPr>
          <w:color w:val="auto"/>
          <w:sz w:val="28"/>
        </w:rPr>
      </w:pPr>
      <w:r>
        <w:rPr>
          <w:rFonts w:hint="eastAsia"/>
          <w:color w:val="auto"/>
          <w:sz w:val="28"/>
          <w:lang w:val="en-US" w:eastAsia="zh-CN"/>
        </w:rPr>
        <w:t>特种作业人员与特种设备作业人员取证复审管理规定</w:t>
      </w:r>
    </w:p>
    <w:p>
      <w:pPr>
        <w:pStyle w:val="126"/>
        <w:numPr>
          <w:ilvl w:val="0"/>
          <w:numId w:val="11"/>
        </w:numPr>
        <w:adjustRightInd w:val="0"/>
        <w:snapToGrid w:val="0"/>
        <w:spacing w:line="360" w:lineRule="auto"/>
        <w:ind w:firstLineChars="0"/>
        <w:rPr>
          <w:color w:val="auto"/>
          <w:sz w:val="28"/>
        </w:rPr>
      </w:pPr>
      <w:r>
        <w:rPr>
          <w:rFonts w:hint="eastAsia"/>
          <w:color w:val="auto"/>
          <w:sz w:val="28"/>
          <w:lang w:val="en-US" w:eastAsia="zh-CN"/>
        </w:rPr>
        <w:t>交叉作业安全管理规定</w:t>
      </w:r>
    </w:p>
    <w:p>
      <w:pPr>
        <w:pStyle w:val="126"/>
        <w:numPr>
          <w:ilvl w:val="0"/>
          <w:numId w:val="11"/>
        </w:numPr>
        <w:adjustRightInd w:val="0"/>
        <w:snapToGrid w:val="0"/>
        <w:spacing w:line="360" w:lineRule="auto"/>
        <w:ind w:firstLineChars="0"/>
        <w:rPr>
          <w:color w:val="auto"/>
          <w:sz w:val="28"/>
        </w:rPr>
      </w:pPr>
      <w:r>
        <w:rPr>
          <w:rFonts w:hint="eastAsia"/>
          <w:color w:val="auto"/>
          <w:sz w:val="28"/>
          <w:lang w:val="en-US" w:eastAsia="zh-CN"/>
        </w:rPr>
        <w:t>变更管理制度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安全责任追究管理制度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安全生产事故管理制度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劳动防护用品管理制度</w:t>
      </w:r>
    </w:p>
    <w:p>
      <w:pPr>
        <w:pStyle w:val="126"/>
        <w:numPr>
          <w:ilvl w:val="0"/>
          <w:numId w:val="11"/>
        </w:numPr>
        <w:adjustRightInd w:val="0"/>
        <w:snapToGrid w:val="0"/>
        <w:spacing w:line="360" w:lineRule="auto"/>
        <w:ind w:firstLineChars="0"/>
        <w:rPr>
          <w:color w:val="auto"/>
          <w:sz w:val="28"/>
        </w:rPr>
      </w:pPr>
      <w:r>
        <w:rPr>
          <w:rFonts w:hint="eastAsia"/>
          <w:color w:val="auto"/>
          <w:sz w:val="28"/>
          <w:lang w:val="en-US" w:eastAsia="zh-CN"/>
        </w:rPr>
        <w:t>特种设备安全管理制度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领导现场带班制度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安全生产奖惩制度</w:t>
      </w:r>
    </w:p>
    <w:p>
      <w:pPr>
        <w:pStyle w:val="126"/>
        <w:numPr>
          <w:ilvl w:val="0"/>
          <w:numId w:val="11"/>
        </w:numPr>
        <w:adjustRightInd w:val="0"/>
        <w:snapToGrid w:val="0"/>
        <w:spacing w:line="360" w:lineRule="auto"/>
        <w:ind w:firstLineChars="0"/>
        <w:rPr>
          <w:color w:val="auto"/>
          <w:sz w:val="28"/>
        </w:rPr>
      </w:pPr>
      <w:r>
        <w:rPr>
          <w:rFonts w:hint="eastAsia"/>
          <w:color w:val="auto"/>
          <w:sz w:val="28"/>
          <w:lang w:val="en-US" w:eastAsia="zh-CN"/>
        </w:rPr>
        <w:t>应急预案管理制度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24小时应急值班管理制度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应急救援管理制度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受限空间管理制度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吊装作业管理制度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安全生产档案管理制度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交接班管理制度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值班室管理制度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冬季安全生产管理制度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临时用电安全管理制度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车辆管理制度</w:t>
      </w:r>
    </w:p>
    <w:p>
      <w:pPr>
        <w:pStyle w:val="126"/>
        <w:numPr>
          <w:ilvl w:val="0"/>
          <w:numId w:val="11"/>
        </w:numPr>
        <w:adjustRightInd w:val="0"/>
        <w:snapToGrid w:val="0"/>
        <w:spacing w:line="360" w:lineRule="auto"/>
        <w:ind w:firstLineChars="0"/>
        <w:rPr>
          <w:color w:val="auto"/>
          <w:sz w:val="28"/>
        </w:rPr>
      </w:pPr>
      <w:r>
        <w:rPr>
          <w:rFonts w:hint="eastAsia"/>
          <w:color w:val="auto"/>
          <w:sz w:val="28"/>
        </w:rPr>
        <w:t>安全用电管理制度</w:t>
      </w:r>
    </w:p>
    <w:p>
      <w:pPr>
        <w:pStyle w:val="126"/>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auto"/>
          <w:sz w:val="28"/>
        </w:rPr>
      </w:pPr>
      <w:r>
        <w:rPr>
          <w:rFonts w:hint="eastAsia"/>
          <w:color w:val="auto"/>
          <w:sz w:val="28"/>
          <w:lang w:eastAsia="zh-CN"/>
        </w:rPr>
        <w:t>山东华曦石油技术服务有限公司</w:t>
      </w:r>
      <w:r>
        <w:rPr>
          <w:rFonts w:hint="eastAsia"/>
          <w:color w:val="auto"/>
          <w:sz w:val="28"/>
        </w:rPr>
        <w:t>目前运行的安全管理制度健全，经相关负责人审核签发，安全管理制度涵盖了《非煤矿矿山企业安全生产许可证实施办法》（原国家安全监管总局令第20号，2015年安全监管总局令第78号修正）第六条、《山东省安全生产条例》（2021年12月3日山东省第十三届人民代表大会常务委员会第三十二次会议修订）第十五条、《山东省生产经营单位安全生产主体责任规定》（山东省人民政府令[2018]第311号）第七条等要求的各项制度，且运行情况良好，建议企业定期更新完善现有安全管理制度。</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color w:val="0070C0"/>
        </w:rPr>
      </w:pPr>
      <w:r>
        <w:rPr>
          <w:rFonts w:hint="default" w:ascii="Times New Roman" w:hAnsi="Times New Roman" w:eastAsia="宋体" w:cs="Times New Roman"/>
          <w:b/>
          <w:bCs/>
          <w:sz w:val="24"/>
          <w:szCs w:val="24"/>
          <w:lang w:val="en-US" w:eastAsia="zh-CN"/>
        </w:rPr>
        <w:t>表2-</w:t>
      </w:r>
      <w:r>
        <w:rPr>
          <w:rFonts w:hint="eastAsia" w:cs="Times New Roman"/>
          <w:b/>
          <w:bCs/>
          <w:sz w:val="24"/>
          <w:szCs w:val="24"/>
          <w:lang w:val="en-US" w:eastAsia="zh-CN"/>
        </w:rPr>
        <w:t>5</w:t>
      </w:r>
      <w:r>
        <w:rPr>
          <w:rFonts w:hint="default" w:ascii="Times New Roman" w:hAnsi="Times New Roman" w:eastAsia="宋体" w:cs="Times New Roman"/>
          <w:b/>
          <w:bCs/>
          <w:sz w:val="24"/>
          <w:szCs w:val="24"/>
          <w:lang w:val="en-US" w:eastAsia="zh-CN"/>
        </w:rPr>
        <w:t xml:space="preserve"> 制度要求对比一览表</w:t>
      </w:r>
    </w:p>
    <w:tbl>
      <w:tblPr>
        <w:tblStyle w:val="5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450"/>
        <w:gridCol w:w="4115"/>
        <w:gridCol w:w="2978"/>
        <w:gridCol w:w="9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60" w:hRule="atLeas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序号</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kern w:val="0"/>
                <w:szCs w:val="21"/>
                <w:lang w:eastAsia="zh-CN"/>
              </w:rPr>
            </w:pPr>
            <w:r>
              <w:rPr>
                <w:rFonts w:hint="default" w:ascii="Times New Roman" w:hAnsi="Times New Roman" w:eastAsia="宋体" w:cs="Times New Roman"/>
                <w:b/>
                <w:bCs/>
                <w:kern w:val="0"/>
                <w:szCs w:val="21"/>
                <w:lang w:eastAsia="zh-CN"/>
              </w:rPr>
              <w:t>《</w:t>
            </w:r>
            <w:r>
              <w:rPr>
                <w:rFonts w:hint="default" w:ascii="Times New Roman" w:hAnsi="Times New Roman" w:eastAsia="宋体" w:cs="Times New Roman"/>
                <w:b/>
                <w:bCs/>
                <w:kern w:val="0"/>
                <w:szCs w:val="21"/>
              </w:rPr>
              <w:t>非煤矿矿山企业安全生产许可证实施办法》（原国家安全监管总局令第20号，2015年安全监管总局令第78号修正）</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kern w:val="0"/>
                <w:szCs w:val="21"/>
                <w:lang w:val="en-US" w:eastAsia="zh-CN"/>
              </w:rPr>
            </w:pPr>
            <w:r>
              <w:rPr>
                <w:rFonts w:hint="default" w:ascii="Times New Roman" w:hAnsi="Times New Roman" w:eastAsia="宋体" w:cs="Times New Roman"/>
                <w:b/>
                <w:bCs/>
                <w:kern w:val="0"/>
                <w:szCs w:val="21"/>
                <w:lang w:val="en-US" w:eastAsia="zh-CN"/>
              </w:rPr>
              <w:t>企业制定对应的制度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kern w:val="0"/>
                <w:szCs w:val="21"/>
                <w:lang w:val="en-US" w:eastAsia="zh-CN"/>
              </w:rPr>
            </w:pPr>
            <w:r>
              <w:rPr>
                <w:rFonts w:hint="default" w:ascii="Times New Roman" w:hAnsi="Times New Roman" w:eastAsia="宋体" w:cs="Times New Roman"/>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安全生产责任制</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eastAsia" w:ascii="宋体" w:hAnsi="宋体" w:cs="宋体"/>
                <w:szCs w:val="32"/>
                <w:highlight w:val="none"/>
              </w:rPr>
              <w:t>安全生产责任制</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2</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安全检查制度</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Cs w:val="32"/>
              </w:rPr>
              <w:t>安全</w:t>
            </w:r>
            <w:r>
              <w:rPr>
                <w:rFonts w:hint="eastAsia" w:cs="Times New Roman"/>
                <w:szCs w:val="32"/>
                <w:lang w:val="en-US" w:eastAsia="zh-CN"/>
              </w:rPr>
              <w:t>生产</w:t>
            </w:r>
            <w:r>
              <w:rPr>
                <w:rFonts w:hint="default" w:ascii="Times New Roman" w:hAnsi="Times New Roman" w:cs="Times New Roman"/>
                <w:szCs w:val="32"/>
              </w:rPr>
              <w:t>检查</w:t>
            </w:r>
            <w:r>
              <w:rPr>
                <w:rFonts w:hint="eastAsia" w:cs="Times New Roman"/>
                <w:szCs w:val="32"/>
                <w:lang w:val="en-US" w:eastAsia="zh-CN"/>
              </w:rPr>
              <w:t>管理</w:t>
            </w:r>
            <w:r>
              <w:rPr>
                <w:rFonts w:hint="default" w:ascii="Times New Roman" w:hAnsi="Times New Roman" w:cs="Times New Roman"/>
                <w:szCs w:val="32"/>
              </w:rPr>
              <w:t>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
                <w:bCs/>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3</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职业危害预防制度</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Cs w:val="32"/>
              </w:rPr>
              <w:t>职业</w:t>
            </w:r>
            <w:r>
              <w:rPr>
                <w:rFonts w:hint="eastAsia" w:cs="Times New Roman"/>
                <w:szCs w:val="32"/>
                <w:lang w:val="en-US" w:eastAsia="zh-CN"/>
              </w:rPr>
              <w:t>卫生与健康</w:t>
            </w:r>
            <w:r>
              <w:rPr>
                <w:rFonts w:hint="default" w:ascii="Times New Roman" w:hAnsi="Times New Roman" w:cs="Times New Roman"/>
                <w:szCs w:val="32"/>
              </w:rPr>
              <w:t>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4</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安全教育培训制度</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安全</w:t>
            </w:r>
            <w:r>
              <w:rPr>
                <w:rFonts w:hint="eastAsia" w:cs="Times New Roman"/>
                <w:kern w:val="0"/>
                <w:szCs w:val="21"/>
                <w:highlight w:val="none"/>
                <w:lang w:val="en-US" w:eastAsia="zh-CN"/>
              </w:rPr>
              <w:t>生产</w:t>
            </w:r>
            <w:r>
              <w:rPr>
                <w:rFonts w:hint="default" w:ascii="Times New Roman" w:hAnsi="Times New Roman" w:eastAsia="宋体" w:cs="Times New Roman"/>
                <w:kern w:val="0"/>
                <w:szCs w:val="21"/>
                <w:highlight w:val="none"/>
                <w:lang w:val="en-US" w:eastAsia="zh-CN"/>
              </w:rPr>
              <w:t>教育培训管理制度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5</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生产安全事故管理制度</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color w:val="000000" w:themeColor="text1"/>
                <w:kern w:val="0"/>
                <w:szCs w:val="21"/>
                <w:highlight w:val="none"/>
                <w:lang w:val="en-US" w:eastAsia="zh-CN"/>
                <w14:textFill>
                  <w14:solidFill>
                    <w14:schemeClr w14:val="tx1"/>
                  </w14:solidFill>
                </w14:textFill>
              </w:rPr>
            </w:pPr>
            <w:r>
              <w:rPr>
                <w:rFonts w:hint="eastAsia" w:cs="Times New Roman"/>
                <w:b w:val="0"/>
                <w:bCs w:val="0"/>
                <w:color w:val="000000" w:themeColor="text1"/>
                <w:szCs w:val="32"/>
                <w:highlight w:val="none"/>
                <w:lang w:val="en-US" w:eastAsia="zh-CN"/>
                <w14:textFill>
                  <w14:solidFill>
                    <w14:schemeClr w14:val="tx1"/>
                  </w14:solidFill>
                </w14:textFill>
              </w:rPr>
              <w:t>安全生产事故</w:t>
            </w:r>
            <w:r>
              <w:rPr>
                <w:rFonts w:hint="default" w:ascii="Times New Roman" w:hAnsi="Times New Roman" w:cs="Times New Roman"/>
                <w:b w:val="0"/>
                <w:bCs w:val="0"/>
                <w:color w:val="000000" w:themeColor="text1"/>
                <w:szCs w:val="32"/>
                <w:highlight w:val="none"/>
                <w14:textFill>
                  <w14:solidFill>
                    <w14:schemeClr w14:val="tx1"/>
                  </w14:solidFill>
                </w14:textFill>
              </w:rPr>
              <w:t>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color w:val="000000" w:themeColor="text1"/>
                <w:kern w:val="0"/>
                <w:szCs w:val="21"/>
                <w:highlight w:val="none"/>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6</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重大危险源监控和重大隐患整改制度</w:t>
            </w:r>
          </w:p>
        </w:tc>
        <w:tc>
          <w:tcPr>
            <w:tcW w:w="1747" w:type="pct"/>
            <w:tcBorders>
              <w:tl2br w:val="nil"/>
              <w:tr2bl w:val="nil"/>
            </w:tcBorders>
            <w:shd w:val="clear" w:color="auto" w:fill="FFFFFF" w:themeFill="background1"/>
            <w:noWrap/>
            <w:vAlign w:val="center"/>
          </w:tcPr>
          <w:p>
            <w:pPr>
              <w:pStyle w:val="2"/>
              <w:keepNext w:val="0"/>
              <w:keepLines w:val="0"/>
              <w:pageBreakBefore w:val="0"/>
              <w:widowControl w:val="0"/>
              <w:suppressLineNumbers w:val="0"/>
              <w:wordWrap/>
              <w:bidi w:val="0"/>
              <w:spacing w:before="0" w:beforeAutospacing="0" w:after="0" w:afterAutospacing="0"/>
              <w:ind w:left="0" w:right="0"/>
              <w:jc w:val="center"/>
              <w:rPr>
                <w:rFonts w:hint="eastAsia" w:ascii="Times New Roman" w:hAnsi="Times New Roman" w:eastAsia="宋体" w:cs="Times New Roman"/>
                <w:b w:val="0"/>
                <w:bCs w:val="0"/>
                <w:color w:val="000000" w:themeColor="text1"/>
                <w:lang w:val="en-US" w:eastAsia="zh-CN"/>
                <w14:textFill>
                  <w14:solidFill>
                    <w14:schemeClr w14:val="tx1"/>
                  </w14:solidFill>
                </w14:textFill>
              </w:rPr>
            </w:pPr>
            <w:r>
              <w:rPr>
                <w:rFonts w:hint="eastAsia" w:ascii="宋体" w:hAnsi="宋体" w:eastAsia="宋体" w:cs="宋体"/>
                <w:b w:val="0"/>
                <w:bCs w:val="0"/>
                <w:color w:val="auto"/>
                <w:sz w:val="21"/>
                <w:szCs w:val="21"/>
                <w:highlight w:val="none"/>
                <w:lang w:val="en-US" w:eastAsia="zh-CN"/>
              </w:rPr>
              <w:t>不涉及</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color w:val="000000" w:themeColor="text1"/>
                <w:kern w:val="0"/>
                <w:szCs w:val="21"/>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设备安全管理制度</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cs="Times New Roman"/>
                <w:lang w:val="en-US" w:eastAsia="zh-CN"/>
              </w:rPr>
            </w:pPr>
            <w:r>
              <w:rPr>
                <w:rFonts w:hint="default" w:ascii="Times New Roman" w:hAnsi="Times New Roman" w:eastAsia="宋体" w:cs="Times New Roman"/>
                <w:kern w:val="0"/>
                <w:szCs w:val="21"/>
                <w:highlight w:val="none"/>
                <w:lang w:val="en-US" w:eastAsia="zh-CN"/>
              </w:rPr>
              <w:t>特种设备安全管理制度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8</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安全生产档案管理制度</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none"/>
                <w:lang w:val="en-US" w:eastAsia="zh-CN"/>
              </w:rPr>
            </w:pPr>
            <w:r>
              <w:rPr>
                <w:rFonts w:hint="eastAsia" w:cs="Times New Roman"/>
                <w:szCs w:val="32"/>
                <w:lang w:val="en-US" w:eastAsia="zh-CN"/>
              </w:rPr>
              <w:t>安全生产</w:t>
            </w:r>
            <w:r>
              <w:rPr>
                <w:rFonts w:hint="default" w:ascii="Times New Roman" w:hAnsi="Times New Roman" w:cs="Times New Roman"/>
                <w:szCs w:val="32"/>
              </w:rPr>
              <w:t>档案管理制度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9</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安全生产奖惩制度</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cs="Times New Roman"/>
                <w:szCs w:val="32"/>
              </w:rPr>
              <w:t>安全生产奖惩制度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986" w:hRule="atLeas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b/>
                <w:bCs/>
                <w:kern w:val="0"/>
                <w:szCs w:val="21"/>
                <w:lang w:val="en-US" w:eastAsia="zh-CN"/>
              </w:rPr>
              <w:t>序号</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
                <w:bCs/>
                <w:kern w:val="0"/>
                <w:szCs w:val="21"/>
              </w:rPr>
              <w:t>《山东省生产经营单位安全生产主体责任规定》（山东省人民政府令[2018]第311号）</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b/>
                <w:bCs/>
                <w:kern w:val="0"/>
                <w:szCs w:val="21"/>
                <w:lang w:val="en-US" w:eastAsia="zh-CN"/>
              </w:rPr>
              <w:t>企业制定对应的制度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安全生产会议</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cs="Times New Roman"/>
                <w:szCs w:val="32"/>
              </w:rPr>
              <w:t>安全生产例会</w:t>
            </w:r>
            <w:r>
              <w:rPr>
                <w:rFonts w:hint="eastAsia" w:cs="Times New Roman"/>
                <w:szCs w:val="32"/>
                <w:lang w:val="en-US" w:eastAsia="zh-CN"/>
              </w:rPr>
              <w:t>管理</w:t>
            </w:r>
            <w:r>
              <w:rPr>
                <w:rFonts w:hint="default" w:ascii="Times New Roman" w:hAnsi="Times New Roman" w:cs="Times New Roman"/>
                <w:szCs w:val="32"/>
              </w:rPr>
              <w:t>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安全生产资金投入</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cs="Times New Roman"/>
                <w:szCs w:val="32"/>
              </w:rPr>
              <w:t>安全生产</w:t>
            </w:r>
            <w:r>
              <w:rPr>
                <w:rFonts w:hint="eastAsia" w:cs="Times New Roman"/>
                <w:szCs w:val="32"/>
                <w:lang w:val="en-US" w:eastAsia="zh-CN"/>
              </w:rPr>
              <w:t>资金投入</w:t>
            </w:r>
            <w:r>
              <w:rPr>
                <w:rFonts w:hint="default" w:ascii="Times New Roman" w:hAnsi="Times New Roman" w:cs="Times New Roman"/>
                <w:szCs w:val="32"/>
              </w:rPr>
              <w:t>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233" w:hRule="atLeast"/>
          <w:jc w:val="center"/>
        </w:trPr>
        <w:tc>
          <w:tcPr>
            <w:tcW w:w="264" w:type="pct"/>
            <w:vMerge w:val="restar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w:t>
            </w:r>
          </w:p>
        </w:tc>
        <w:tc>
          <w:tcPr>
            <w:tcW w:w="2414" w:type="pct"/>
            <w:vMerge w:val="restar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安全生产教育培训和特种作业人员管理</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安全</w:t>
            </w:r>
            <w:r>
              <w:rPr>
                <w:rFonts w:hint="eastAsia" w:cs="Times New Roman"/>
                <w:kern w:val="0"/>
                <w:szCs w:val="21"/>
                <w:highlight w:val="none"/>
                <w:lang w:val="en-US" w:eastAsia="zh-CN"/>
              </w:rPr>
              <w:t>生产</w:t>
            </w:r>
            <w:r>
              <w:rPr>
                <w:rFonts w:hint="default" w:ascii="Times New Roman" w:hAnsi="Times New Roman" w:eastAsia="宋体" w:cs="Times New Roman"/>
                <w:kern w:val="0"/>
                <w:szCs w:val="21"/>
                <w:highlight w:val="none"/>
                <w:lang w:val="en-US" w:eastAsia="zh-CN"/>
              </w:rPr>
              <w:t>教育培训管理制度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173" w:hRule="atLeast"/>
          <w:jc w:val="center"/>
        </w:trPr>
        <w:tc>
          <w:tcPr>
            <w:tcW w:w="26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241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highlight w:val="none"/>
                <w:lang w:val="en-US" w:eastAsia="zh-CN"/>
              </w:rPr>
            </w:pPr>
            <w:r>
              <w:rPr>
                <w:rFonts w:hint="default" w:ascii="Times New Roman" w:hAnsi="Times New Roman" w:cs="Times New Roman"/>
                <w:szCs w:val="32"/>
              </w:rPr>
              <w:t>特种作业人员</w:t>
            </w:r>
            <w:r>
              <w:rPr>
                <w:rFonts w:hint="eastAsia" w:cs="Times New Roman"/>
                <w:szCs w:val="32"/>
                <w:lang w:val="en-US" w:eastAsia="zh-CN"/>
              </w:rPr>
              <w:t>与特种设备作业人员取证复审</w:t>
            </w:r>
            <w:r>
              <w:rPr>
                <w:rFonts w:hint="default" w:ascii="Times New Roman" w:hAnsi="Times New Roman" w:cs="Times New Roman"/>
                <w:szCs w:val="32"/>
              </w:rPr>
              <w:t>管理</w:t>
            </w:r>
            <w:r>
              <w:rPr>
                <w:rFonts w:hint="eastAsia" w:cs="Times New Roman"/>
                <w:szCs w:val="32"/>
                <w:lang w:val="en-US" w:eastAsia="zh-CN"/>
              </w:rPr>
              <w:t>规定</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4</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劳动防护用品管理</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劳动防护用品管理制度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397" w:hRule="atLeas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5</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安全设施和设备管理</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eastAsia="宋体" w:cs="Times New Roman"/>
                <w:kern w:val="0"/>
                <w:szCs w:val="21"/>
                <w:highlight w:val="none"/>
                <w:lang w:val="en-US" w:eastAsia="zh-CN"/>
              </w:rPr>
              <w:t>安全设备设施管理制度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6</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职业病防治管理</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cs="Times New Roman"/>
                <w:szCs w:val="32"/>
              </w:rPr>
              <w:t>职业</w:t>
            </w:r>
            <w:r>
              <w:rPr>
                <w:rFonts w:hint="eastAsia" w:cs="Times New Roman"/>
                <w:szCs w:val="32"/>
                <w:lang w:val="en-US" w:eastAsia="zh-CN"/>
              </w:rPr>
              <w:t>卫生与健康</w:t>
            </w:r>
            <w:r>
              <w:rPr>
                <w:rFonts w:hint="default" w:ascii="Times New Roman" w:hAnsi="Times New Roman" w:cs="Times New Roman"/>
                <w:szCs w:val="32"/>
              </w:rPr>
              <w:t>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安全生产检查</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cs="Times New Roman"/>
                <w:szCs w:val="32"/>
              </w:rPr>
              <w:t>安全</w:t>
            </w:r>
            <w:r>
              <w:rPr>
                <w:rFonts w:hint="eastAsia" w:cs="Times New Roman"/>
                <w:szCs w:val="32"/>
                <w:lang w:val="en-US" w:eastAsia="zh-CN"/>
              </w:rPr>
              <w:t>生产</w:t>
            </w:r>
            <w:r>
              <w:rPr>
                <w:rFonts w:hint="default" w:ascii="Times New Roman" w:hAnsi="Times New Roman" w:cs="Times New Roman"/>
                <w:szCs w:val="32"/>
              </w:rPr>
              <w:t>检查</w:t>
            </w:r>
            <w:r>
              <w:rPr>
                <w:rFonts w:hint="eastAsia" w:cs="Times New Roman"/>
                <w:szCs w:val="32"/>
                <w:lang w:val="en-US" w:eastAsia="zh-CN"/>
              </w:rPr>
              <w:t>管理</w:t>
            </w:r>
            <w:r>
              <w:rPr>
                <w:rFonts w:hint="default" w:ascii="Times New Roman" w:hAnsi="Times New Roman" w:cs="Times New Roman"/>
                <w:szCs w:val="32"/>
              </w:rPr>
              <w:t>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218" w:hRule="atLeast"/>
          <w:jc w:val="center"/>
        </w:trPr>
        <w:tc>
          <w:tcPr>
            <w:tcW w:w="264" w:type="pct"/>
            <w:vMerge w:val="restar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8</w:t>
            </w:r>
          </w:p>
        </w:tc>
        <w:tc>
          <w:tcPr>
            <w:tcW w:w="2414" w:type="pct"/>
            <w:vMerge w:val="restar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危险作业管理</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临时用电安全管理制度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218" w:hRule="atLeast"/>
          <w:jc w:val="center"/>
        </w:trPr>
        <w:tc>
          <w:tcPr>
            <w:tcW w:w="26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241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cs="Times New Roman"/>
                <w:color w:val="auto"/>
                <w:kern w:val="0"/>
                <w:szCs w:val="21"/>
                <w:highlight w:val="none"/>
                <w:lang w:val="en-US" w:eastAsia="zh-CN"/>
              </w:rPr>
            </w:pPr>
            <w:r>
              <w:rPr>
                <w:rFonts w:hint="eastAsia" w:cs="Times New Roman"/>
                <w:color w:val="auto"/>
                <w:kern w:val="0"/>
                <w:szCs w:val="21"/>
                <w:highlight w:val="none"/>
                <w:lang w:val="en-US" w:eastAsia="zh-CN"/>
              </w:rPr>
              <w:t>受限空间管理制度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218" w:hRule="atLeast"/>
          <w:jc w:val="center"/>
        </w:trPr>
        <w:tc>
          <w:tcPr>
            <w:tcW w:w="26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241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吊装作业管理制度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298" w:hRule="atLeas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9</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事故隐患排查治理</w:t>
            </w:r>
          </w:p>
        </w:tc>
        <w:tc>
          <w:tcPr>
            <w:tcW w:w="1747" w:type="pct"/>
            <w:tcBorders>
              <w:tl2br w:val="nil"/>
              <w:tr2bl w:val="nil"/>
            </w:tcBorders>
            <w:shd w:val="clear" w:color="auto" w:fill="FFFFFF" w:themeFill="background1"/>
            <w:noWrap/>
            <w:vAlign w:val="center"/>
          </w:tcPr>
          <w:p>
            <w:pPr>
              <w:pStyle w:val="2"/>
              <w:keepNext w:val="0"/>
              <w:keepLines w:val="0"/>
              <w:pageBreakBefore w:val="0"/>
              <w:widowControl w:val="0"/>
              <w:suppressLineNumbers w:val="0"/>
              <w:wordWrap/>
              <w:bidi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事故</w:t>
            </w:r>
            <w:r>
              <w:rPr>
                <w:rFonts w:hint="default" w:ascii="Times New Roman" w:hAnsi="Times New Roman" w:cs="Times New Roman" w:eastAsiaTheme="minorEastAsia"/>
                <w:sz w:val="21"/>
                <w:szCs w:val="21"/>
                <w:lang w:val="en-US" w:eastAsia="zh-CN"/>
              </w:rPr>
              <w:t>隐患排查治理制度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10</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重大危险源监控管理</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cs="Times New Roman"/>
                <w:kern w:val="0"/>
                <w:szCs w:val="21"/>
                <w:lang w:val="en-US" w:eastAsia="zh-CN"/>
              </w:rPr>
              <w:t>不涉及</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548" w:hRule="atLeas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11</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安全生产奖惩</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cs="Times New Roman"/>
                <w:szCs w:val="32"/>
              </w:rPr>
              <w:t>安全生产奖惩制度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549" w:hRule="atLeas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12</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事故报告</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eastAsia" w:cs="Times New Roman"/>
                <w:b w:val="0"/>
                <w:bCs w:val="0"/>
                <w:color w:val="000000" w:themeColor="text1"/>
                <w:szCs w:val="32"/>
                <w:highlight w:val="none"/>
                <w:lang w:val="en-US" w:eastAsia="zh-CN"/>
                <w14:textFill>
                  <w14:solidFill>
                    <w14:schemeClr w14:val="tx1"/>
                  </w14:solidFill>
                </w14:textFill>
              </w:rPr>
              <w:t>安全生产事故</w:t>
            </w:r>
            <w:r>
              <w:rPr>
                <w:rFonts w:hint="default" w:ascii="Times New Roman" w:hAnsi="Times New Roman" w:cs="Times New Roman"/>
                <w:b w:val="0"/>
                <w:bCs w:val="0"/>
                <w:color w:val="000000" w:themeColor="text1"/>
                <w:szCs w:val="32"/>
                <w:highlight w:val="none"/>
                <w14:textFill>
                  <w14:solidFill>
                    <w14:schemeClr w14:val="tx1"/>
                  </w14:solidFill>
                </w14:textFill>
              </w:rPr>
              <w:t>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492" w:hRule="atLeas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13</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应急救援</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eastAsia" w:cs="Times New Roman"/>
                <w:kern w:val="0"/>
                <w:szCs w:val="21"/>
                <w:highlight w:val="none"/>
                <w:lang w:val="en-US" w:eastAsia="zh-CN"/>
              </w:rPr>
              <w:t>应急救援管理制度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b/>
                <w:bCs/>
                <w:kern w:val="0"/>
                <w:szCs w:val="21"/>
                <w:lang w:val="en-US" w:eastAsia="zh-CN"/>
              </w:rPr>
              <w:t>序号</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
                <w:bCs/>
                <w:kern w:val="0"/>
                <w:szCs w:val="21"/>
              </w:rPr>
              <w:t>《山东省安全生产条例》（2021年12月3日山东省第十三届人民代表大会常务委员会第三十二次会议修订）</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b/>
                <w:bCs/>
                <w:kern w:val="0"/>
                <w:szCs w:val="21"/>
                <w:lang w:val="en-US" w:eastAsia="zh-CN"/>
              </w:rPr>
              <w:t>企业制定对应的制度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安全生产资金投入</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cs="Times New Roman"/>
                <w:szCs w:val="32"/>
              </w:rPr>
              <w:t>安全生产</w:t>
            </w:r>
            <w:r>
              <w:rPr>
                <w:rFonts w:hint="eastAsia" w:cs="Times New Roman"/>
                <w:szCs w:val="32"/>
                <w:lang w:val="en-US" w:eastAsia="zh-CN"/>
              </w:rPr>
              <w:t>资金投入</w:t>
            </w:r>
            <w:r>
              <w:rPr>
                <w:rFonts w:hint="default" w:ascii="Times New Roman" w:hAnsi="Times New Roman" w:cs="Times New Roman"/>
                <w:szCs w:val="32"/>
              </w:rPr>
              <w:t>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劳动防护用品管理</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Cs w:val="21"/>
                <w:highlight w:val="none"/>
                <w:lang w:val="en-US" w:eastAsia="zh-CN"/>
              </w:rPr>
              <w:t>劳动防护用品管理制度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397" w:hRule="atLeas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3</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安全设施和设备管理</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highlight w:val="yellow"/>
                <w:lang w:val="en-US" w:eastAsia="zh-CN" w:bidi="ar-SA"/>
              </w:rPr>
            </w:pPr>
            <w:r>
              <w:rPr>
                <w:rFonts w:hint="default" w:ascii="Times New Roman" w:hAnsi="Times New Roman" w:eastAsia="宋体" w:cs="Times New Roman"/>
                <w:kern w:val="0"/>
                <w:szCs w:val="21"/>
                <w:highlight w:val="none"/>
                <w:lang w:val="en-US" w:eastAsia="zh-CN"/>
              </w:rPr>
              <w:t>安全设备设施管理制度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4</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安全生产教育和培训</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eastAsia="宋体" w:cs="Times New Roman"/>
                <w:kern w:val="0"/>
                <w:szCs w:val="21"/>
                <w:highlight w:val="none"/>
                <w:lang w:val="en-US" w:eastAsia="zh-CN"/>
              </w:rPr>
              <w:t>安全</w:t>
            </w:r>
            <w:r>
              <w:rPr>
                <w:rFonts w:hint="eastAsia" w:cs="Times New Roman"/>
                <w:kern w:val="0"/>
                <w:szCs w:val="21"/>
                <w:highlight w:val="none"/>
                <w:lang w:val="en-US" w:eastAsia="zh-CN"/>
              </w:rPr>
              <w:t>生产</w:t>
            </w:r>
            <w:r>
              <w:rPr>
                <w:rFonts w:hint="default" w:ascii="Times New Roman" w:hAnsi="Times New Roman" w:eastAsia="宋体" w:cs="Times New Roman"/>
                <w:kern w:val="0"/>
                <w:szCs w:val="21"/>
                <w:highlight w:val="none"/>
                <w:lang w:val="en-US" w:eastAsia="zh-CN"/>
              </w:rPr>
              <w:t>教育培训管理制度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5</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安全生产检查</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highlight w:val="yellow"/>
                <w:lang w:val="en-US" w:eastAsia="zh-CN" w:bidi="ar-SA"/>
              </w:rPr>
            </w:pPr>
            <w:r>
              <w:rPr>
                <w:rFonts w:hint="default" w:ascii="Times New Roman" w:hAnsi="Times New Roman" w:cs="Times New Roman"/>
                <w:szCs w:val="32"/>
              </w:rPr>
              <w:t>安全</w:t>
            </w:r>
            <w:r>
              <w:rPr>
                <w:rFonts w:hint="eastAsia" w:cs="Times New Roman"/>
                <w:szCs w:val="32"/>
                <w:lang w:val="en-US" w:eastAsia="zh-CN"/>
              </w:rPr>
              <w:t>生产</w:t>
            </w:r>
            <w:r>
              <w:rPr>
                <w:rFonts w:hint="default" w:ascii="Times New Roman" w:hAnsi="Times New Roman" w:cs="Times New Roman"/>
                <w:szCs w:val="32"/>
              </w:rPr>
              <w:t>检查</w:t>
            </w:r>
            <w:r>
              <w:rPr>
                <w:rFonts w:hint="eastAsia" w:cs="Times New Roman"/>
                <w:szCs w:val="32"/>
                <w:lang w:val="en-US" w:eastAsia="zh-CN"/>
              </w:rPr>
              <w:t>管理</w:t>
            </w:r>
            <w:r>
              <w:rPr>
                <w:rFonts w:hint="default" w:ascii="Times New Roman" w:hAnsi="Times New Roman" w:cs="Times New Roman"/>
                <w:szCs w:val="32"/>
              </w:rPr>
              <w:t>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6</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风险分级管控</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 w:val="21"/>
                <w:szCs w:val="21"/>
                <w:highlight w:val="yellow"/>
                <w:lang w:val="en-US" w:eastAsia="zh-CN" w:bidi="ar-SA"/>
              </w:rPr>
            </w:pPr>
            <w:r>
              <w:rPr>
                <w:rFonts w:hint="default" w:ascii="Times New Roman" w:hAnsi="Times New Roman" w:cs="Times New Roman" w:eastAsiaTheme="minorEastAsia"/>
                <w:sz w:val="21"/>
                <w:szCs w:val="21"/>
                <w:lang w:val="en-US" w:eastAsia="zh-CN"/>
              </w:rPr>
              <w:t>风险分级管控制度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360" w:hRule="atLeast"/>
          <w:jc w:val="center"/>
        </w:trPr>
        <w:tc>
          <w:tcPr>
            <w:tcW w:w="264" w:type="pct"/>
            <w:vMerge w:val="restar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w:t>
            </w:r>
          </w:p>
        </w:tc>
        <w:tc>
          <w:tcPr>
            <w:tcW w:w="2414" w:type="pct"/>
            <w:vMerge w:val="restar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领导现场带班</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cs="Times New Roman"/>
                <w:szCs w:val="32"/>
              </w:rPr>
              <w:t>领导现场带班制度</w:t>
            </w:r>
          </w:p>
        </w:tc>
        <w:tc>
          <w:tcPr>
            <w:tcW w:w="574" w:type="pct"/>
            <w:vMerge w:val="restar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360" w:hRule="atLeast"/>
          <w:jc w:val="center"/>
        </w:trPr>
        <w:tc>
          <w:tcPr>
            <w:tcW w:w="26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rPr>
            </w:pPr>
          </w:p>
        </w:tc>
        <w:tc>
          <w:tcPr>
            <w:tcW w:w="241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rPr>
            </w:pP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cs="Times New Roman"/>
                <w:bCs/>
                <w:kern w:val="44"/>
                <w:szCs w:val="32"/>
              </w:rPr>
            </w:pPr>
            <w:r>
              <w:rPr>
                <w:rFonts w:hint="default" w:ascii="Times New Roman" w:hAnsi="Times New Roman" w:cs="Times New Roman"/>
                <w:bCs/>
                <w:kern w:val="44"/>
                <w:szCs w:val="32"/>
              </w:rPr>
              <w:t>24小时应急值班管理制度</w:t>
            </w:r>
          </w:p>
        </w:tc>
        <w:tc>
          <w:tcPr>
            <w:tcW w:w="57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cs="Times New Roman"/>
                <w:bCs/>
                <w:kern w:val="44"/>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397" w:hRule="atLeas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8</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隐患排查治理</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eastAsia" w:cs="Times New Roman" w:eastAsiaTheme="minorEastAsia"/>
                <w:sz w:val="21"/>
                <w:szCs w:val="21"/>
                <w:lang w:val="en-US" w:eastAsia="zh-CN"/>
              </w:rPr>
              <w:t>事故隐患排查治理制度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219" w:hRule="atLeast"/>
          <w:jc w:val="center"/>
        </w:trPr>
        <w:tc>
          <w:tcPr>
            <w:tcW w:w="264" w:type="pct"/>
            <w:vMerge w:val="restar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9</w:t>
            </w:r>
          </w:p>
        </w:tc>
        <w:tc>
          <w:tcPr>
            <w:tcW w:w="2414" w:type="pct"/>
            <w:vMerge w:val="restar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危险作业管理</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highlight w:val="yellow"/>
                <w:lang w:val="en-US" w:eastAsia="zh-CN" w:bidi="ar-SA"/>
              </w:rPr>
            </w:pPr>
            <w:r>
              <w:rPr>
                <w:rFonts w:hint="eastAsia" w:cs="Times New Roman"/>
                <w:color w:val="auto"/>
                <w:kern w:val="0"/>
                <w:szCs w:val="21"/>
                <w:highlight w:val="none"/>
                <w:lang w:val="en-US" w:eastAsia="zh-CN"/>
              </w:rPr>
              <w:t>临时用电安全管理制度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219" w:hRule="atLeast"/>
          <w:jc w:val="center"/>
        </w:trPr>
        <w:tc>
          <w:tcPr>
            <w:tcW w:w="26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241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highlight w:val="yellow"/>
                <w:lang w:val="en-US" w:eastAsia="zh-CN" w:bidi="ar-SA"/>
              </w:rPr>
            </w:pPr>
            <w:r>
              <w:rPr>
                <w:rFonts w:hint="eastAsia" w:cs="Times New Roman"/>
                <w:color w:val="auto"/>
                <w:kern w:val="0"/>
                <w:szCs w:val="21"/>
                <w:highlight w:val="none"/>
                <w:lang w:val="en-US" w:eastAsia="zh-CN"/>
              </w:rPr>
              <w:t>受限空间管理制度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trHeight w:val="219" w:hRule="atLeast"/>
          <w:jc w:val="center"/>
        </w:trPr>
        <w:tc>
          <w:tcPr>
            <w:tcW w:w="26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241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highlight w:val="yellow"/>
                <w:lang w:val="en-US" w:eastAsia="zh-CN" w:bidi="ar-SA"/>
              </w:rPr>
            </w:pPr>
            <w:r>
              <w:rPr>
                <w:rFonts w:hint="eastAsia" w:cs="Times New Roman"/>
                <w:color w:val="auto"/>
                <w:kern w:val="0"/>
                <w:szCs w:val="21"/>
                <w:highlight w:val="none"/>
                <w:lang w:val="en-US" w:eastAsia="zh-CN"/>
              </w:rPr>
              <w:t>吊装作业管理制度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10</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安全生产奖惩</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cs="Times New Roman"/>
                <w:szCs w:val="32"/>
              </w:rPr>
              <w:t>安全生产奖惩制度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11</w:t>
            </w:r>
          </w:p>
        </w:tc>
        <w:tc>
          <w:tcPr>
            <w:tcW w:w="241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应急预案管理</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none"/>
                <w:lang w:val="en-US" w:eastAsia="zh-CN"/>
              </w:rPr>
            </w:pPr>
            <w:r>
              <w:rPr>
                <w:rFonts w:hint="eastAsia" w:ascii="Times New Roman" w:hAnsi="Times New Roman" w:eastAsia="宋体" w:cs="Times New Roman"/>
                <w:szCs w:val="32"/>
              </w:rPr>
              <w:t>应急预案管理制度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4" w:type="pct"/>
            <w:vMerge w:val="restar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12</w:t>
            </w:r>
          </w:p>
        </w:tc>
        <w:tc>
          <w:tcPr>
            <w:tcW w:w="2414" w:type="pct"/>
            <w:vMerge w:val="restar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事故报告和事故应急救援</w:t>
            </w: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highlight w:val="yellow"/>
                <w:lang w:val="en-US" w:eastAsia="zh-CN"/>
              </w:rPr>
            </w:pPr>
            <w:r>
              <w:rPr>
                <w:rFonts w:hint="default" w:ascii="Times New Roman" w:hAnsi="Times New Roman" w:cs="Times New Roman"/>
                <w:szCs w:val="32"/>
                <w:highlight w:val="none"/>
              </w:rPr>
              <w:t>安全生产事故管理制度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2414" w:type="pct"/>
            <w:vMerge w:val="continue"/>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c>
          <w:tcPr>
            <w:tcW w:w="1747"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cs="Times New Roman"/>
                <w:szCs w:val="32"/>
                <w:highlight w:val="yellow"/>
              </w:rPr>
            </w:pPr>
            <w:r>
              <w:rPr>
                <w:rFonts w:hint="eastAsia" w:ascii="Times New Roman" w:hAnsi="Times New Roman" w:eastAsia="宋体" w:cs="Times New Roman"/>
                <w:szCs w:val="32"/>
              </w:rPr>
              <w:t>应急救援管理制度</w:t>
            </w:r>
          </w:p>
        </w:tc>
        <w:tc>
          <w:tcPr>
            <w:tcW w:w="574" w:type="pct"/>
            <w:tcBorders>
              <w:tl2br w:val="nil"/>
              <w:tr2bl w:val="nil"/>
            </w:tcBorders>
            <w:shd w:val="clear" w:color="auto" w:fill="FFFFFF" w:themeFill="background1"/>
            <w:noWrap/>
            <w:vAlign w:val="center"/>
          </w:tcPr>
          <w:p>
            <w:pPr>
              <w:keepNext w:val="0"/>
              <w:keepLines w:val="0"/>
              <w:pageBreakBefore w:val="0"/>
              <w:widowControl w:val="0"/>
              <w:suppressLineNumbers w:val="0"/>
              <w:wordWrap/>
              <w:bidi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p>
        </w:tc>
      </w:tr>
    </w:tbl>
    <w:p>
      <w:pPr>
        <w:pStyle w:val="5"/>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eastAsia="黑体"/>
          <w:b w:val="0"/>
          <w:snapToGrid w:val="0"/>
          <w:color w:val="auto"/>
          <w:kern w:val="0"/>
          <w:sz w:val="28"/>
          <w:szCs w:val="28"/>
          <w:highlight w:val="none"/>
        </w:rPr>
      </w:pPr>
      <w:r>
        <w:rPr>
          <w:rFonts w:hint="eastAsia" w:eastAsia="黑体"/>
          <w:b w:val="0"/>
          <w:snapToGrid w:val="0"/>
          <w:color w:val="auto"/>
          <w:kern w:val="0"/>
          <w:sz w:val="28"/>
          <w:szCs w:val="28"/>
          <w:highlight w:val="none"/>
        </w:rPr>
        <w:t>2.</w:t>
      </w:r>
      <w:r>
        <w:rPr>
          <w:rFonts w:eastAsia="黑体"/>
          <w:b w:val="0"/>
          <w:snapToGrid w:val="0"/>
          <w:color w:val="auto"/>
          <w:kern w:val="0"/>
          <w:sz w:val="28"/>
          <w:szCs w:val="28"/>
          <w:highlight w:val="none"/>
        </w:rPr>
        <w:t>5</w:t>
      </w:r>
      <w:r>
        <w:rPr>
          <w:rFonts w:hint="eastAsia" w:eastAsia="黑体"/>
          <w:b w:val="0"/>
          <w:snapToGrid w:val="0"/>
          <w:color w:val="auto"/>
          <w:kern w:val="0"/>
          <w:sz w:val="28"/>
          <w:szCs w:val="28"/>
          <w:highlight w:val="none"/>
        </w:rPr>
        <w:t>.3</w:t>
      </w:r>
      <w:r>
        <w:rPr>
          <w:rFonts w:eastAsia="黑体"/>
          <w:b w:val="0"/>
          <w:snapToGrid w:val="0"/>
          <w:color w:val="auto"/>
          <w:kern w:val="0"/>
          <w:sz w:val="28"/>
          <w:szCs w:val="28"/>
          <w:highlight w:val="none"/>
        </w:rPr>
        <w:t xml:space="preserve"> </w:t>
      </w:r>
      <w:r>
        <w:rPr>
          <w:rFonts w:hint="eastAsia" w:eastAsia="黑体"/>
          <w:b w:val="0"/>
          <w:snapToGrid w:val="0"/>
          <w:color w:val="auto"/>
          <w:kern w:val="0"/>
          <w:sz w:val="28"/>
          <w:szCs w:val="28"/>
          <w:highlight w:val="none"/>
        </w:rPr>
        <w:t>操作规程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lang w:val="en-US" w:eastAsia="zh-CN"/>
        </w:rPr>
      </w:pPr>
      <w:r>
        <w:rPr>
          <w:rFonts w:hint="eastAsia"/>
          <w:color w:val="auto"/>
          <w:sz w:val="28"/>
        </w:rPr>
        <w:t>为了规范</w:t>
      </w:r>
      <w:r>
        <w:rPr>
          <w:rFonts w:hint="eastAsia"/>
          <w:color w:val="auto"/>
          <w:sz w:val="28"/>
          <w:lang w:val="en-US" w:eastAsia="zh-CN"/>
        </w:rPr>
        <w:t>注汽</w:t>
      </w:r>
      <w:r>
        <w:rPr>
          <w:rFonts w:hint="eastAsia"/>
          <w:color w:val="auto"/>
          <w:sz w:val="28"/>
        </w:rPr>
        <w:t>作业活动</w:t>
      </w:r>
      <w:r>
        <w:rPr>
          <w:rFonts w:hint="eastAsia"/>
          <w:color w:val="auto"/>
          <w:sz w:val="28"/>
          <w:lang w:val="en-US" w:eastAsia="zh-CN"/>
        </w:rPr>
        <w:t>和注</w:t>
      </w:r>
      <w:r>
        <w:rPr>
          <w:rFonts w:hint="eastAsia"/>
          <w:color w:val="auto"/>
          <w:sz w:val="28"/>
        </w:rPr>
        <w:t>高干度复合气</w:t>
      </w:r>
      <w:r>
        <w:rPr>
          <w:rFonts w:hint="eastAsia"/>
          <w:color w:val="auto"/>
          <w:sz w:val="28"/>
          <w:lang w:val="en-US" w:eastAsia="zh-CN"/>
        </w:rPr>
        <w:t>作业</w:t>
      </w:r>
      <w:r>
        <w:rPr>
          <w:rFonts w:hint="eastAsia"/>
          <w:color w:val="auto"/>
          <w:sz w:val="28"/>
        </w:rPr>
        <w:t>安全管理，降低作业中的风险，避免因作业造成的隐患，杜绝人身伤害和设备损坏事故的发生，结合本公司实际情况，编制</w:t>
      </w:r>
      <w:r>
        <w:rPr>
          <w:rFonts w:hint="eastAsia"/>
          <w:color w:val="auto"/>
          <w:sz w:val="28"/>
          <w:lang w:val="en-US" w:eastAsia="zh-CN"/>
        </w:rPr>
        <w:t>了</w:t>
      </w:r>
      <w:r>
        <w:rPr>
          <w:rFonts w:hint="eastAsia"/>
          <w:color w:val="auto"/>
          <w:sz w:val="28"/>
        </w:rPr>
        <w:t>本操作规程</w:t>
      </w:r>
      <w:r>
        <w:rPr>
          <w:rFonts w:hint="eastAsia"/>
          <w:color w:val="auto"/>
          <w:sz w:val="28"/>
          <w:lang w:eastAsia="zh-CN"/>
        </w:rPr>
        <w:t>，</w:t>
      </w:r>
      <w:r>
        <w:rPr>
          <w:rFonts w:hint="eastAsia"/>
          <w:color w:val="auto"/>
          <w:sz w:val="28"/>
          <w:lang w:val="en-US" w:eastAsia="zh-CN"/>
        </w:rPr>
        <w:t>包括注汽作业操作规程和注高干度复合气作业操作规程。</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3"/>
        <w:rPr>
          <w:rFonts w:hint="eastAsia" w:ascii="黑体" w:hAnsi="黑体" w:eastAsia="黑体" w:cs="黑体"/>
          <w:b w:val="0"/>
          <w:bCs w:val="0"/>
          <w:color w:val="auto"/>
          <w:kern w:val="2"/>
          <w:szCs w:val="24"/>
          <w:lang w:val="en-US" w:eastAsia="zh-CN" w:bidi="ar-SA"/>
        </w:rPr>
      </w:pPr>
      <w:r>
        <w:rPr>
          <w:rFonts w:hint="default" w:ascii="Times New Roman" w:hAnsi="Times New Roman" w:eastAsia="黑体" w:cs="Times New Roman"/>
          <w:sz w:val="28"/>
          <w:szCs w:val="28"/>
          <w:lang w:val="en-US" w:eastAsia="zh-CN"/>
        </w:rPr>
        <w:t xml:space="preserve">2.5.3.1 </w:t>
      </w:r>
      <w:r>
        <w:rPr>
          <w:rFonts w:hint="eastAsia" w:ascii="黑体" w:hAnsi="黑体" w:eastAsia="黑体" w:cs="黑体"/>
          <w:sz w:val="28"/>
          <w:szCs w:val="28"/>
          <w:lang w:val="en-US" w:eastAsia="zh-CN"/>
        </w:rPr>
        <w:t>注汽作业操作规程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1. 注汽锅炉启停炉操作规程（燃气）</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 xml:space="preserve">2. </w:t>
      </w:r>
      <w:r>
        <w:rPr>
          <w:rFonts w:hint="default"/>
          <w:sz w:val="28"/>
          <w:szCs w:val="28"/>
          <w:lang w:val="en-US" w:eastAsia="zh-CN"/>
        </w:rPr>
        <w:t>北美燃烧器检维修操作规程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 xml:space="preserve">3. </w:t>
      </w:r>
      <w:r>
        <w:rPr>
          <w:rFonts w:hint="default"/>
          <w:sz w:val="28"/>
          <w:szCs w:val="28"/>
          <w:lang w:val="en-US" w:eastAsia="zh-CN"/>
        </w:rPr>
        <w:t>柱塞泵启停操作规程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 xml:space="preserve">4. </w:t>
      </w:r>
      <w:r>
        <w:rPr>
          <w:rFonts w:hint="default"/>
          <w:sz w:val="28"/>
          <w:szCs w:val="28"/>
          <w:lang w:val="en-US" w:eastAsia="zh-CN"/>
        </w:rPr>
        <w:t>变频器启停操作规程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5. 差压变送器投运</w:t>
      </w:r>
      <w:r>
        <w:rPr>
          <w:rFonts w:hint="default"/>
          <w:sz w:val="28"/>
          <w:szCs w:val="28"/>
          <w:lang w:val="en-US" w:eastAsia="zh-CN"/>
        </w:rPr>
        <w:t>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6. 干度取样器</w:t>
      </w:r>
      <w:r>
        <w:rPr>
          <w:rFonts w:hint="default"/>
          <w:sz w:val="28"/>
          <w:szCs w:val="28"/>
          <w:lang w:val="en-US" w:eastAsia="zh-CN"/>
        </w:rPr>
        <w:t>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 xml:space="preserve">7. </w:t>
      </w:r>
      <w:r>
        <w:rPr>
          <w:rFonts w:hint="default"/>
          <w:sz w:val="28"/>
          <w:szCs w:val="28"/>
          <w:lang w:val="en-US" w:eastAsia="zh-CN"/>
        </w:rPr>
        <w:t>空气压缩机启停操作规程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 xml:space="preserve">8. </w:t>
      </w:r>
      <w:r>
        <w:rPr>
          <w:rFonts w:hint="default"/>
          <w:sz w:val="28"/>
          <w:szCs w:val="28"/>
          <w:lang w:val="en-US" w:eastAsia="zh-CN"/>
        </w:rPr>
        <w:t>活动注汽锅炉搬迁、安装操作规程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 xml:space="preserve">9. </w:t>
      </w:r>
      <w:r>
        <w:rPr>
          <w:rFonts w:hint="default"/>
          <w:sz w:val="28"/>
          <w:szCs w:val="28"/>
          <w:lang w:val="en-US" w:eastAsia="zh-CN"/>
        </w:rPr>
        <w:t>补偿器、活动注汽管线安装操作规程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 xml:space="preserve">10. </w:t>
      </w:r>
      <w:r>
        <w:rPr>
          <w:rFonts w:hint="default"/>
          <w:sz w:val="28"/>
          <w:szCs w:val="28"/>
          <w:lang w:val="en-US" w:eastAsia="zh-CN"/>
        </w:rPr>
        <w:t>地锚安装操作规程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11. </w:t>
      </w:r>
      <w:r>
        <w:rPr>
          <w:rFonts w:hint="default"/>
          <w:sz w:val="28"/>
          <w:szCs w:val="28"/>
          <w:lang w:val="en-US" w:eastAsia="zh-CN"/>
        </w:rPr>
        <w:t>离子交换水处理启运操作规程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12. </w:t>
      </w:r>
      <w:r>
        <w:rPr>
          <w:rFonts w:hint="default"/>
          <w:sz w:val="28"/>
          <w:szCs w:val="28"/>
          <w:lang w:val="en-US" w:eastAsia="zh-CN"/>
        </w:rPr>
        <w:t>离子交换水处理再生操作流程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13. </w:t>
      </w:r>
      <w:r>
        <w:rPr>
          <w:rFonts w:hint="default"/>
          <w:sz w:val="28"/>
          <w:szCs w:val="28"/>
          <w:lang w:val="en-US" w:eastAsia="zh-CN"/>
        </w:rPr>
        <w:t>真空除氧器启运操作规程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14. </w:t>
      </w:r>
      <w:r>
        <w:rPr>
          <w:rFonts w:hint="default"/>
          <w:sz w:val="28"/>
          <w:szCs w:val="28"/>
          <w:lang w:val="en-US" w:eastAsia="zh-CN"/>
        </w:rPr>
        <w:t>离心泵启运操作规程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15. 电动机维护、保养</w:t>
      </w:r>
      <w:r>
        <w:rPr>
          <w:rFonts w:hint="default"/>
          <w:sz w:val="28"/>
          <w:szCs w:val="28"/>
          <w:lang w:val="en-US" w:eastAsia="zh-CN"/>
        </w:rPr>
        <w:t>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16. 注汽锅炉干式保养</w:t>
      </w:r>
      <w:r>
        <w:rPr>
          <w:rFonts w:hint="default"/>
          <w:sz w:val="28"/>
          <w:szCs w:val="28"/>
          <w:lang w:val="en-US" w:eastAsia="zh-CN"/>
        </w:rPr>
        <w:t>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17. 注汽锅炉湿式保养</w:t>
      </w:r>
      <w:r>
        <w:rPr>
          <w:rFonts w:hint="default"/>
          <w:sz w:val="28"/>
          <w:szCs w:val="28"/>
          <w:lang w:val="en-US" w:eastAsia="zh-CN"/>
        </w:rPr>
        <w:t>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18. 卸水</w:t>
      </w:r>
      <w:r>
        <w:rPr>
          <w:rFonts w:hint="default"/>
          <w:sz w:val="28"/>
          <w:szCs w:val="28"/>
          <w:lang w:val="en-US" w:eastAsia="zh-CN"/>
        </w:rPr>
        <w:t>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19. </w:t>
      </w:r>
      <w:r>
        <w:rPr>
          <w:rFonts w:hint="default"/>
          <w:sz w:val="28"/>
          <w:szCs w:val="28"/>
          <w:lang w:val="en-US" w:eastAsia="zh-CN"/>
        </w:rPr>
        <w:t>锅炉送电操作规程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20. 水处理树脂罐内部设施检维修</w:t>
      </w:r>
      <w:r>
        <w:rPr>
          <w:rFonts w:hint="default"/>
          <w:sz w:val="28"/>
          <w:szCs w:val="28"/>
          <w:lang w:val="en-US" w:eastAsia="zh-CN"/>
        </w:rPr>
        <w:t>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21. </w:t>
      </w:r>
      <w:r>
        <w:rPr>
          <w:rFonts w:hint="default"/>
          <w:sz w:val="28"/>
          <w:szCs w:val="28"/>
          <w:lang w:val="en-US" w:eastAsia="zh-CN"/>
        </w:rPr>
        <w:t>干度化验操作规程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22. </w:t>
      </w:r>
      <w:r>
        <w:rPr>
          <w:rFonts w:hint="default"/>
          <w:sz w:val="28"/>
          <w:szCs w:val="28"/>
          <w:lang w:val="en-US" w:eastAsia="zh-CN"/>
        </w:rPr>
        <w:t>硬度测定操作规程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23. </w:t>
      </w:r>
      <w:r>
        <w:rPr>
          <w:rFonts w:hint="default"/>
          <w:sz w:val="28"/>
          <w:szCs w:val="28"/>
          <w:lang w:val="en-US" w:eastAsia="zh-CN"/>
        </w:rPr>
        <w:t>碘量法测定含氧操作规程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24. </w:t>
      </w:r>
      <w:r>
        <w:rPr>
          <w:rFonts w:hint="default"/>
          <w:sz w:val="28"/>
          <w:szCs w:val="28"/>
          <w:lang w:val="en-US" w:eastAsia="zh-CN"/>
        </w:rPr>
        <w:t>天然气调压操作规程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25. </w:t>
      </w:r>
      <w:r>
        <w:rPr>
          <w:rFonts w:hint="default"/>
          <w:sz w:val="28"/>
          <w:szCs w:val="28"/>
          <w:lang w:val="en-US" w:eastAsia="zh-CN"/>
        </w:rPr>
        <w:t>井口倒注操作规程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26. </w:t>
      </w:r>
      <w:r>
        <w:rPr>
          <w:rFonts w:hint="default"/>
          <w:sz w:val="28"/>
          <w:szCs w:val="28"/>
          <w:lang w:val="en-US" w:eastAsia="zh-CN"/>
        </w:rPr>
        <w:t>注汽井口保温罩安装操作规程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27. </w:t>
      </w:r>
      <w:r>
        <w:rPr>
          <w:rFonts w:hint="default"/>
          <w:sz w:val="28"/>
          <w:szCs w:val="28"/>
          <w:lang w:val="en-US" w:eastAsia="zh-CN"/>
        </w:rPr>
        <w:t>注汽管线阀门保养操作规程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28. </w:t>
      </w:r>
      <w:r>
        <w:rPr>
          <w:rFonts w:hint="default"/>
          <w:sz w:val="28"/>
          <w:szCs w:val="28"/>
          <w:lang w:val="en-US" w:eastAsia="zh-CN"/>
        </w:rPr>
        <w:t>在线干度测试仪操作规程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29. </w:t>
      </w:r>
      <w:r>
        <w:rPr>
          <w:rFonts w:hint="default"/>
          <w:sz w:val="28"/>
          <w:szCs w:val="28"/>
          <w:lang w:val="en-US" w:eastAsia="zh-CN"/>
        </w:rPr>
        <w:t>设备保养操作规程</w:t>
      </w:r>
    </w:p>
    <w:p>
      <w:pPr>
        <w:pStyle w:val="2"/>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3"/>
        <w:rPr>
          <w:rFonts w:hint="eastAsia" w:ascii="Times New Roman" w:hAnsi="Times New Roman" w:eastAsia="宋体" w:cs="Times New Roman"/>
          <w:b/>
          <w:bCs/>
          <w:color w:val="auto"/>
          <w:kern w:val="2"/>
          <w:sz w:val="28"/>
          <w:szCs w:val="24"/>
          <w:lang w:val="en-US" w:eastAsia="zh-CN" w:bidi="ar-SA"/>
        </w:rPr>
      </w:pPr>
      <w:r>
        <w:rPr>
          <w:rFonts w:hint="eastAsia" w:ascii="Times New Roman" w:hAnsi="Times New Roman" w:eastAsia="黑体" w:cs="Times New Roman"/>
          <w:b w:val="0"/>
          <w:bCs w:val="0"/>
          <w:color w:val="auto"/>
          <w:kern w:val="2"/>
          <w:sz w:val="28"/>
          <w:szCs w:val="28"/>
          <w:lang w:val="en-US" w:eastAsia="zh-CN" w:bidi="ar-SA"/>
        </w:rPr>
        <w:t>2.5.3.2 注高干度复合气作业操作规程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1. </w:t>
      </w:r>
      <w:r>
        <w:rPr>
          <w:rFonts w:hint="default"/>
          <w:sz w:val="28"/>
          <w:szCs w:val="28"/>
          <w:lang w:val="en-US" w:eastAsia="zh-CN"/>
        </w:rPr>
        <w:t>主机安全操作规程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2. </w:t>
      </w:r>
      <w:r>
        <w:rPr>
          <w:rFonts w:hint="default"/>
          <w:sz w:val="28"/>
          <w:szCs w:val="28"/>
          <w:lang w:val="en-US" w:eastAsia="zh-CN"/>
        </w:rPr>
        <w:t>变频器安全操作规程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 xml:space="preserve">3. </w:t>
      </w:r>
      <w:r>
        <w:rPr>
          <w:rFonts w:hint="default"/>
          <w:sz w:val="28"/>
          <w:szCs w:val="28"/>
          <w:lang w:val="en-US" w:eastAsia="zh-CN"/>
        </w:rPr>
        <w:t>柱塞泵安全操作规程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 xml:space="preserve">4. </w:t>
      </w:r>
      <w:r>
        <w:rPr>
          <w:rFonts w:hint="default"/>
          <w:sz w:val="28"/>
          <w:szCs w:val="28"/>
          <w:lang w:val="en-US" w:eastAsia="zh-CN"/>
        </w:rPr>
        <w:t>电动机安全操作规程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sz w:val="28"/>
          <w:szCs w:val="28"/>
          <w:lang w:val="en-US" w:eastAsia="zh-CN"/>
        </w:rPr>
        <w:t>5. 注汽管网扫线安全</w:t>
      </w:r>
      <w:r>
        <w:rPr>
          <w:rFonts w:hint="default"/>
          <w:sz w:val="28"/>
          <w:szCs w:val="28"/>
          <w:lang w:val="en-US" w:eastAsia="zh-CN"/>
        </w:rPr>
        <w:t>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6. 空气压缩机操作规程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7. 空气压缩机找平操作规程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8. 空气压缩机、注汽管线试压操作规程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9. 空气压缩机管线连接操作规程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10. 地锚安装操作规程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11. 钢丝绳卡安装标准</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12. 卸油安全操作规程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13. 供、卸油泵操作规程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14. 燃油电加热器安全操作规程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15. 防爆电动机的拆装操作规程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16. 柱塞泵保养操作规程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17. 离心泵保养操作规程</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18. 电动机保养操作规程</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3"/>
        <w:rPr>
          <w:rFonts w:hint="eastAsia" w:ascii="宋体" w:hAnsi="宋体" w:eastAsia="宋体" w:cs="宋体"/>
          <w:b/>
          <w:bCs/>
          <w:sz w:val="28"/>
          <w:szCs w:val="28"/>
          <w:lang w:val="en-US" w:eastAsia="zh-CN"/>
        </w:rPr>
      </w:pPr>
      <w:r>
        <w:rPr>
          <w:rFonts w:hint="default" w:ascii="Times New Roman" w:hAnsi="Times New Roman" w:eastAsia="黑体" w:cs="Times New Roman"/>
          <w:b w:val="0"/>
          <w:bCs w:val="0"/>
          <w:sz w:val="28"/>
          <w:szCs w:val="28"/>
          <w:lang w:val="en-US" w:eastAsia="zh-CN"/>
        </w:rPr>
        <w:t>2.5.3.3 其他</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1. 二氧化碳灭火器操作规程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 干粉灭火器操作规程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3. 正压式空气呼吸器使用操作规程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4. 低压配电室安全操作规程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5. 设备搬迁安全操作规程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6. 压力表安装操作规程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7. 手持电动工具安全操作规程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8. 电工安全操作规程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9. 注汽队操作工岗位操作规程</w:t>
      </w:r>
      <w:r>
        <w:rPr>
          <w:rFonts w:hint="default" w:ascii="Times New Roman" w:hAnsi="Times New Roman" w:cs="Times New Roman"/>
          <w:sz w:val="28"/>
          <w:szCs w:val="28"/>
          <w:lang w:val="en-US" w:eastAsia="zh-CN"/>
        </w:rPr>
        <w:tab/>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ascii="Times New Roman" w:hAnsi="Times New Roman" w:cs="Times New Roman"/>
          <w:sz w:val="28"/>
          <w:szCs w:val="28"/>
          <w:lang w:val="en-US" w:eastAsia="zh-CN"/>
        </w:rPr>
        <w:t>10. 复合气操作工岗位操作规程</w:t>
      </w:r>
      <w:r>
        <w:rPr>
          <w:rFonts w:hint="default" w:ascii="Times New Roman" w:hAnsi="Times New Roman" w:cs="Times New Roman"/>
          <w:sz w:val="28"/>
          <w:szCs w:val="28"/>
          <w:lang w:val="en-US" w:eastAsia="zh-CN"/>
        </w:rPr>
        <w:tab/>
      </w:r>
      <w:r>
        <w:rPr>
          <w:rFonts w:hint="default" w:ascii="Times New Roman" w:hAnsi="Times New Roman" w:eastAsia="宋体" w:cs="Times New Roman"/>
          <w:szCs w:val="28"/>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eastAsia" w:cs="Times New Roman"/>
          <w:sz w:val="28"/>
          <w:szCs w:val="28"/>
          <w:lang w:val="en-US" w:eastAsia="zh-CN"/>
        </w:rPr>
        <w:t>11</w:t>
      </w:r>
      <w:r>
        <w:rPr>
          <w:rFonts w:hint="default" w:ascii="Times New Roman" w:hAnsi="Times New Roman" w:eastAsia="宋体" w:cs="Times New Roman"/>
          <w:sz w:val="28"/>
          <w:szCs w:val="28"/>
          <w:lang w:val="en-US" w:eastAsia="zh-CN"/>
        </w:rPr>
        <w:t>. 吊装指挥操作规程</w:t>
      </w:r>
    </w:p>
    <w:p>
      <w:pPr>
        <w:tabs>
          <w:tab w:val="left" w:pos="0"/>
        </w:tabs>
        <w:adjustRightInd w:val="0"/>
        <w:snapToGrid w:val="0"/>
        <w:spacing w:line="360" w:lineRule="auto"/>
        <w:ind w:firstLine="560" w:firstLineChars="200"/>
        <w:rPr>
          <w:color w:val="0070C0"/>
          <w:sz w:val="28"/>
          <w:szCs w:val="28"/>
        </w:rPr>
      </w:pPr>
      <w:r>
        <w:rPr>
          <w:rFonts w:hint="default" w:ascii="Times New Roman" w:hAnsi="Times New Roman" w:cs="Times New Roman"/>
          <w:color w:val="000000" w:themeColor="text1"/>
          <w:sz w:val="28"/>
          <w:szCs w:val="28"/>
          <w14:textFill>
            <w14:solidFill>
              <w14:schemeClr w14:val="tx1"/>
            </w14:solidFill>
          </w14:textFill>
        </w:rPr>
        <w:t>企业制定</w:t>
      </w:r>
      <w:r>
        <w:rPr>
          <w:rFonts w:hint="eastAsia" w:cs="Times New Roman"/>
          <w:color w:val="000000" w:themeColor="text1"/>
          <w:sz w:val="28"/>
          <w:szCs w:val="28"/>
          <w:lang w:val="en-US" w:eastAsia="zh-CN"/>
          <w14:textFill>
            <w14:solidFill>
              <w14:schemeClr w14:val="tx1"/>
            </w14:solidFill>
          </w14:textFill>
        </w:rPr>
        <w:t>的</w:t>
      </w:r>
      <w:r>
        <w:rPr>
          <w:rFonts w:hint="default" w:ascii="Times New Roman" w:hAnsi="Times New Roman" w:cs="Times New Roman"/>
          <w:color w:val="000000" w:themeColor="text1"/>
          <w:sz w:val="28"/>
          <w:szCs w:val="28"/>
          <w14:textFill>
            <w14:solidFill>
              <w14:schemeClr w14:val="tx1"/>
            </w14:solidFill>
          </w14:textFill>
        </w:rPr>
        <w:t>安全操作规程，符合《山东省生产经营单位安全生产主体责任规定》（山东省人民政府令[2018]第311号）中第七条的要求，且现已执行。建议企业应根据企业的实际情况对其不断修订、完善。</w:t>
      </w:r>
    </w:p>
    <w:p>
      <w:pPr>
        <w:rPr>
          <w:rFonts w:hint="eastAsia" w:ascii="Times New Roman" w:hAnsi="Times New Roman"/>
          <w:b w:val="0"/>
          <w:bCs/>
          <w:color w:val="auto"/>
          <w:szCs w:val="32"/>
        </w:rPr>
      </w:pPr>
      <w:r>
        <w:rPr>
          <w:rFonts w:hint="eastAsia" w:ascii="Times New Roman" w:hAnsi="Times New Roman"/>
          <w:b w:val="0"/>
          <w:bCs/>
          <w:color w:val="auto"/>
          <w:szCs w:val="32"/>
        </w:rPr>
        <w:br w:type="page"/>
      </w:r>
    </w:p>
    <w:p>
      <w:pPr>
        <w:pStyle w:val="4"/>
        <w:adjustRightInd w:val="0"/>
        <w:snapToGrid w:val="0"/>
        <w:spacing w:before="0" w:after="0" w:line="360" w:lineRule="auto"/>
        <w:rPr>
          <w:rFonts w:ascii="Times New Roman" w:hAnsi="Times New Roman"/>
          <w:b w:val="0"/>
          <w:bCs/>
          <w:color w:val="auto"/>
          <w:szCs w:val="32"/>
        </w:rPr>
      </w:pPr>
      <w:bookmarkStart w:id="35" w:name="_Toc7239"/>
      <w:r>
        <w:rPr>
          <w:rFonts w:hint="eastAsia" w:ascii="Times New Roman" w:hAnsi="Times New Roman"/>
          <w:b w:val="0"/>
          <w:bCs/>
          <w:color w:val="auto"/>
          <w:szCs w:val="32"/>
        </w:rPr>
        <w:t>2.</w:t>
      </w:r>
      <w:r>
        <w:rPr>
          <w:rFonts w:ascii="Times New Roman" w:hAnsi="Times New Roman"/>
          <w:b w:val="0"/>
          <w:bCs/>
          <w:color w:val="auto"/>
          <w:szCs w:val="32"/>
        </w:rPr>
        <w:t xml:space="preserve">6 </w:t>
      </w:r>
      <w:r>
        <w:rPr>
          <w:rFonts w:hint="eastAsia" w:ascii="Times New Roman" w:hAnsi="Times New Roman"/>
          <w:b w:val="0"/>
          <w:bCs/>
          <w:color w:val="auto"/>
          <w:szCs w:val="32"/>
        </w:rPr>
        <w:t>安全投入情况</w:t>
      </w:r>
      <w:bookmarkEnd w:id="35"/>
    </w:p>
    <w:p>
      <w:pPr>
        <w:adjustRightInd w:val="0"/>
        <w:snapToGrid w:val="0"/>
        <w:spacing w:line="360" w:lineRule="auto"/>
        <w:ind w:firstLine="560" w:firstLineChars="200"/>
        <w:rPr>
          <w:rFonts w:hint="eastAsia" w:ascii="Times New Roman" w:hAnsi="Times New Roman" w:cs="Times New Roman"/>
          <w:sz w:val="28"/>
        </w:rPr>
      </w:pPr>
      <w:r>
        <w:rPr>
          <w:rFonts w:hint="eastAsia"/>
          <w:color w:val="000000" w:themeColor="text1"/>
          <w:sz w:val="28"/>
          <w14:textFill>
            <w14:solidFill>
              <w14:schemeClr w14:val="tx1"/>
            </w14:solidFill>
          </w14:textFill>
        </w:rPr>
        <w:t>公司在安全投入方面，执行</w:t>
      </w:r>
      <w:r>
        <w:rPr>
          <w:rFonts w:hint="eastAsia"/>
          <w:color w:val="000000" w:themeColor="text1"/>
          <w:sz w:val="28"/>
          <w:lang w:eastAsia="zh-CN"/>
          <w14:textFill>
            <w14:solidFill>
              <w14:schemeClr w14:val="tx1"/>
            </w14:solidFill>
          </w14:textFill>
        </w:rPr>
        <w:t>《企业安全生产费用提取和使用管理办法》（财</w:t>
      </w:r>
      <w:r>
        <w:rPr>
          <w:rFonts w:hint="eastAsia"/>
          <w:color w:val="000000" w:themeColor="text1"/>
          <w:sz w:val="28"/>
          <w:lang w:val="en-US" w:eastAsia="zh-CN"/>
          <w14:textFill>
            <w14:solidFill>
              <w14:schemeClr w14:val="tx1"/>
            </w14:solidFill>
          </w14:textFill>
        </w:rPr>
        <w:t>企</w:t>
      </w:r>
      <w:r>
        <w:rPr>
          <w:rFonts w:hint="eastAsia"/>
          <w:color w:val="000000" w:themeColor="text1"/>
          <w:sz w:val="28"/>
          <w:lang w:eastAsia="zh-CN"/>
          <w14:textFill>
            <w14:solidFill>
              <w14:schemeClr w14:val="tx1"/>
            </w14:solidFill>
          </w14:textFill>
        </w:rPr>
        <w:t>[20</w:t>
      </w:r>
      <w:r>
        <w:rPr>
          <w:rFonts w:hint="eastAsia"/>
          <w:color w:val="000000" w:themeColor="text1"/>
          <w:sz w:val="28"/>
          <w:lang w:val="en-US" w:eastAsia="zh-CN"/>
          <w14:textFill>
            <w14:solidFill>
              <w14:schemeClr w14:val="tx1"/>
            </w14:solidFill>
          </w14:textFill>
        </w:rPr>
        <w:t>1</w:t>
      </w:r>
      <w:r>
        <w:rPr>
          <w:rFonts w:hint="eastAsia"/>
          <w:color w:val="000000" w:themeColor="text1"/>
          <w:sz w:val="28"/>
          <w:lang w:eastAsia="zh-CN"/>
          <w14:textFill>
            <w14:solidFill>
              <w14:schemeClr w14:val="tx1"/>
            </w14:solidFill>
          </w14:textFill>
        </w:rPr>
        <w:t>2]16号）</w:t>
      </w:r>
      <w:r>
        <w:rPr>
          <w:rFonts w:hint="eastAsia"/>
          <w:color w:val="000000" w:themeColor="text1"/>
          <w:sz w:val="28"/>
          <w:lang w:val="en-US" w:eastAsia="zh-CN"/>
          <w14:textFill>
            <w14:solidFill>
              <w14:schemeClr w14:val="tx1"/>
            </w14:solidFill>
          </w14:textFill>
        </w:rPr>
        <w:t>等</w:t>
      </w:r>
      <w:r>
        <w:rPr>
          <w:rFonts w:hint="eastAsia"/>
          <w:color w:val="000000" w:themeColor="text1"/>
          <w:sz w:val="28"/>
          <w14:textFill>
            <w14:solidFill>
              <w14:schemeClr w14:val="tx1"/>
            </w14:solidFill>
          </w14:textFill>
        </w:rPr>
        <w:t>有关规定，按比例提取</w:t>
      </w:r>
      <w:r>
        <w:rPr>
          <w:rFonts w:hint="eastAsia"/>
          <w:color w:val="000000" w:themeColor="text1"/>
          <w:sz w:val="28"/>
          <w:lang w:val="en-US" w:eastAsia="zh-CN"/>
          <w14:textFill>
            <w14:solidFill>
              <w14:schemeClr w14:val="tx1"/>
            </w14:solidFill>
          </w14:textFill>
        </w:rPr>
        <w:t>安全生产费用</w:t>
      </w:r>
      <w:r>
        <w:rPr>
          <w:rFonts w:hint="eastAsia"/>
          <w:color w:val="000000" w:themeColor="text1"/>
          <w:sz w:val="28"/>
          <w14:textFill>
            <w14:solidFill>
              <w14:schemeClr w14:val="tx1"/>
            </w14:solidFill>
          </w14:textFill>
        </w:rPr>
        <w:t>，</w:t>
      </w:r>
      <w:r>
        <w:rPr>
          <w:rFonts w:hint="eastAsia"/>
          <w:color w:val="000000" w:themeColor="text1"/>
          <w:sz w:val="28"/>
          <w:lang w:val="en-US" w:eastAsia="zh-CN"/>
          <w14:textFill>
            <w14:solidFill>
              <w14:schemeClr w14:val="tx1"/>
            </w14:solidFill>
          </w14:textFill>
        </w:rPr>
        <w:t>开设安全费用使用科目</w:t>
      </w:r>
      <w:r>
        <w:rPr>
          <w:rFonts w:hint="eastAsia"/>
          <w:color w:val="000000" w:themeColor="text1"/>
          <w:sz w:val="28"/>
          <w14:textFill>
            <w14:solidFill>
              <w14:schemeClr w14:val="tx1"/>
            </w14:solidFill>
          </w14:textFill>
        </w:rPr>
        <w:t>，</w:t>
      </w:r>
      <w:r>
        <w:rPr>
          <w:rFonts w:hint="eastAsia"/>
          <w:color w:val="000000" w:themeColor="text1"/>
          <w:sz w:val="28"/>
          <w:lang w:val="en-US" w:eastAsia="zh-CN"/>
          <w14:textFill>
            <w14:solidFill>
              <w14:schemeClr w14:val="tx1"/>
            </w14:solidFill>
          </w14:textFill>
        </w:rPr>
        <w:t>专款专用，</w:t>
      </w:r>
      <w:r>
        <w:rPr>
          <w:rFonts w:hint="eastAsia"/>
          <w:color w:val="000000" w:themeColor="text1"/>
          <w:sz w:val="28"/>
          <w14:textFill>
            <w14:solidFill>
              <w14:schemeClr w14:val="tx1"/>
            </w14:solidFill>
          </w14:textFill>
        </w:rPr>
        <w:t>确保安全方面的资金投入。</w:t>
      </w:r>
      <w:r>
        <w:rPr>
          <w:rFonts w:hint="eastAsia"/>
          <w:color w:val="000000" w:themeColor="text1"/>
          <w:sz w:val="28"/>
          <w:lang w:val="en-US" w:eastAsia="zh-CN"/>
          <w14:textFill>
            <w14:solidFill>
              <w14:schemeClr w14:val="tx1"/>
            </w14:solidFill>
          </w14:textFill>
        </w:rPr>
        <w:t>安全生产费用</w:t>
      </w:r>
      <w:r>
        <w:rPr>
          <w:rFonts w:hint="eastAsia"/>
          <w:color w:val="000000" w:themeColor="text1"/>
          <w:sz w:val="28"/>
          <w14:textFill>
            <w14:solidFill>
              <w14:schemeClr w14:val="tx1"/>
            </w14:solidFill>
          </w14:textFill>
        </w:rPr>
        <w:t>主要用于完善、改造、维护安全设备、设施，配备应急救援器材、设备和现场作业人员安全防护物品支出，安全生产检查和评价，</w:t>
      </w:r>
      <w:r>
        <w:rPr>
          <w:rFonts w:hint="eastAsia" w:ascii="Times New Roman" w:hAnsi="Times New Roman" w:cs="Times New Roman"/>
          <w:sz w:val="28"/>
        </w:rPr>
        <w:t>安全技能培训，应急演练及其他与安全生产直接相关的支出。</w:t>
      </w:r>
    </w:p>
    <w:p>
      <w:pPr>
        <w:adjustRightInd w:val="0"/>
        <w:snapToGrid w:val="0"/>
        <w:spacing w:line="360" w:lineRule="auto"/>
        <w:ind w:firstLine="560" w:firstLineChars="200"/>
        <w:rPr>
          <w:rFonts w:hint="eastAsia" w:ascii="Times New Roman" w:hAnsi="Times New Roman" w:eastAsia="宋体" w:cs="Times New Roman"/>
          <w:b/>
          <w:bCs/>
          <w:sz w:val="28"/>
          <w:lang w:eastAsia="zh-CN"/>
        </w:rPr>
      </w:pPr>
      <w:r>
        <w:rPr>
          <w:rFonts w:hint="eastAsia" w:ascii="Times New Roman" w:hAnsi="Times New Roman" w:cs="Times New Roman"/>
          <w:b/>
          <w:bCs/>
          <w:sz w:val="28"/>
        </w:rPr>
        <w:t>涉及企业机密，不予公开</w:t>
      </w:r>
      <w:r>
        <w:rPr>
          <w:rFonts w:hint="eastAsia" w:cs="Times New Roman"/>
          <w:b/>
          <w:bCs/>
          <w:sz w:val="28"/>
          <w:lang w:eastAsia="zh-CN"/>
        </w:rPr>
        <w:t>。</w:t>
      </w:r>
    </w:p>
    <w:p>
      <w:pPr>
        <w:adjustRightInd w:val="0"/>
        <w:snapToGrid w:val="0"/>
        <w:spacing w:line="360" w:lineRule="auto"/>
        <w:ind w:firstLine="560" w:firstLineChars="200"/>
        <w:rPr>
          <w:color w:val="0070C0"/>
          <w:sz w:val="24"/>
        </w:rPr>
      </w:pPr>
      <w:r>
        <w:rPr>
          <w:rFonts w:hint="default" w:ascii="Times New Roman" w:hAnsi="Times New Roman" w:cs="Times New Roman"/>
          <w:sz w:val="28"/>
        </w:rPr>
        <w:t>按照提取计划，</w:t>
      </w:r>
      <w:r>
        <w:rPr>
          <w:rFonts w:hint="eastAsia"/>
          <w:color w:val="auto"/>
          <w:sz w:val="28"/>
          <w:szCs w:val="28"/>
          <w:lang w:eastAsia="zh-CN"/>
        </w:rPr>
        <w:t>山东华曦石油技术服务有限公司</w:t>
      </w:r>
      <w:r>
        <w:rPr>
          <w:rFonts w:hint="default" w:ascii="Times New Roman" w:hAnsi="Times New Roman" w:cs="Times New Roman"/>
          <w:sz w:val="28"/>
        </w:rPr>
        <w:t>2022年1-</w:t>
      </w:r>
      <w:r>
        <w:rPr>
          <w:rFonts w:hint="eastAsia" w:cs="Times New Roman"/>
          <w:sz w:val="28"/>
          <w:lang w:val="en-US" w:eastAsia="zh-CN"/>
        </w:rPr>
        <w:t>12</w:t>
      </w:r>
      <w:r>
        <w:rPr>
          <w:rFonts w:hint="default" w:ascii="Times New Roman" w:hAnsi="Times New Roman" w:cs="Times New Roman"/>
          <w:sz w:val="28"/>
        </w:rPr>
        <w:t>月份井下作业安全费用主要用于安全生产教育培训、设备的检测检验、</w:t>
      </w:r>
      <w:r>
        <w:rPr>
          <w:rFonts w:hint="eastAsia" w:cs="Times New Roman"/>
          <w:sz w:val="28"/>
          <w:lang w:val="en-US" w:eastAsia="zh-CN"/>
        </w:rPr>
        <w:t>劳动防护用品的购买</w:t>
      </w:r>
      <w:r>
        <w:rPr>
          <w:rFonts w:hint="default" w:ascii="Times New Roman" w:hAnsi="Times New Roman" w:cs="Times New Roman"/>
          <w:sz w:val="28"/>
        </w:rPr>
        <w:t>等方面，符合《山东省生产经营单位安全生产主体责任规定》（山东省人民政府令[2018]第311号修订）等相关文件要求。</w:t>
      </w:r>
    </w:p>
    <w:p>
      <w:pPr>
        <w:pStyle w:val="4"/>
        <w:adjustRightInd w:val="0"/>
        <w:snapToGrid w:val="0"/>
        <w:spacing w:before="0" w:after="0" w:line="360" w:lineRule="auto"/>
        <w:rPr>
          <w:rFonts w:ascii="Times New Roman" w:hAnsi="Times New Roman"/>
          <w:b w:val="0"/>
          <w:bCs/>
          <w:color w:val="auto"/>
          <w:szCs w:val="32"/>
        </w:rPr>
      </w:pPr>
      <w:bookmarkStart w:id="36" w:name="_Toc23620"/>
      <w:r>
        <w:rPr>
          <w:rFonts w:hint="eastAsia" w:ascii="Times New Roman" w:hAnsi="Times New Roman"/>
          <w:b w:val="0"/>
          <w:bCs/>
          <w:color w:val="auto"/>
          <w:szCs w:val="32"/>
        </w:rPr>
        <w:t>2.</w:t>
      </w:r>
      <w:r>
        <w:rPr>
          <w:rFonts w:ascii="Times New Roman" w:hAnsi="Times New Roman"/>
          <w:b w:val="0"/>
          <w:bCs/>
          <w:color w:val="auto"/>
          <w:szCs w:val="32"/>
        </w:rPr>
        <w:t xml:space="preserve">7 </w:t>
      </w:r>
      <w:r>
        <w:rPr>
          <w:rFonts w:hint="eastAsia" w:ascii="Times New Roman" w:hAnsi="Times New Roman"/>
          <w:b w:val="0"/>
          <w:bCs/>
          <w:color w:val="auto"/>
          <w:szCs w:val="32"/>
        </w:rPr>
        <w:t>安全教育培训及人员持证情况</w:t>
      </w:r>
      <w:bookmarkEnd w:id="36"/>
    </w:p>
    <w:p>
      <w:pPr>
        <w:adjustRightInd w:val="0"/>
        <w:snapToGrid w:val="0"/>
        <w:spacing w:line="360" w:lineRule="auto"/>
        <w:ind w:firstLine="560" w:firstLineChars="200"/>
        <w:rPr>
          <w:rFonts w:hint="eastAsia"/>
          <w:color w:val="auto"/>
          <w:sz w:val="28"/>
        </w:rPr>
      </w:pPr>
      <w:r>
        <w:rPr>
          <w:rFonts w:hint="eastAsia"/>
          <w:color w:val="auto"/>
          <w:sz w:val="28"/>
        </w:rPr>
        <w:t>在安全教育培训方面，公司始终严格执行安全教育培训制度，本着“培训指导于生产，培训服务于生产”的指导思想，坚持“立足实际、突出重点、讲求实效”的工作原则，积极采取各种措施，有效的开展一系列安全教育培训工作。</w:t>
      </w:r>
    </w:p>
    <w:p>
      <w:pPr>
        <w:adjustRightInd w:val="0"/>
        <w:snapToGrid w:val="0"/>
        <w:spacing w:line="360" w:lineRule="auto"/>
        <w:ind w:firstLine="560" w:firstLineChars="200"/>
        <w:rPr>
          <w:rFonts w:hint="eastAsia"/>
          <w:color w:val="auto"/>
          <w:sz w:val="28"/>
          <w:lang w:val="en-US" w:eastAsia="zh-CN"/>
        </w:rPr>
      </w:pPr>
      <w:r>
        <w:rPr>
          <w:rFonts w:hint="eastAsia"/>
          <w:color w:val="auto"/>
          <w:sz w:val="28"/>
          <w:lang w:val="en-US" w:eastAsia="zh-CN"/>
        </w:rPr>
        <w:t>该公司针对从业人员制定2022年安全教育培训计划，但培训学时和培训内容不满足《生产经营单位安全培训规定》（国家安全监督管理总局令[2006]第3号，2015修订版）的要求。</w:t>
      </w:r>
      <w:r>
        <w:rPr>
          <w:rFonts w:hint="eastAsia"/>
          <w:color w:val="auto"/>
          <w:sz w:val="28"/>
          <w:szCs w:val="28"/>
          <w:lang w:val="en-US" w:eastAsia="zh-CN"/>
        </w:rPr>
        <w:t>在7月份</w:t>
      </w:r>
      <w:r>
        <w:rPr>
          <w:rFonts w:hint="eastAsia" w:cs="Times New Roman"/>
          <w:sz w:val="28"/>
          <w:szCs w:val="28"/>
          <w:lang w:val="en-US" w:eastAsia="zh-CN"/>
        </w:rPr>
        <w:t>评价过程中采纳评价组意见后，重新修订了2022年安全教育培训计划，</w:t>
      </w:r>
      <w:r>
        <w:rPr>
          <w:rFonts w:hint="eastAsia"/>
          <w:color w:val="auto"/>
          <w:sz w:val="28"/>
          <w:lang w:val="en-US" w:eastAsia="zh-CN"/>
        </w:rPr>
        <w:t>并根据计划组织安全教育培训，新上岗的从业人员安全培训时间不少于72学时，转岗人员安全培训时间不少于48学时，每年再培训的时间不少于20学时，整改后符合《生产经营单位安全培训规定》（国家安全监督管理总局令[2006]第3号，2015修订版）第十三条规定。</w:t>
      </w:r>
    </w:p>
    <w:p>
      <w:pPr>
        <w:adjustRightInd w:val="0"/>
        <w:snapToGrid w:val="0"/>
        <w:spacing w:line="360" w:lineRule="auto"/>
        <w:ind w:firstLine="560" w:firstLineChars="200"/>
        <w:rPr>
          <w:rFonts w:hint="default"/>
          <w:color w:val="auto"/>
          <w:sz w:val="28"/>
          <w:highlight w:val="none"/>
          <w:lang w:val="en-US" w:eastAsia="zh-CN"/>
        </w:rPr>
      </w:pPr>
      <w:r>
        <w:rPr>
          <w:rFonts w:hint="eastAsia" w:ascii="Times New Roman" w:hAnsi="Times New Roman" w:eastAsia="宋体" w:cs="Times New Roman"/>
          <w:color w:val="auto"/>
          <w:sz w:val="28"/>
          <w:highlight w:val="none"/>
          <w:lang w:val="en-US" w:eastAsia="zh-CN"/>
        </w:rPr>
        <w:t>根据山东省、东营市全员安全生产“大学习、大培训、大考试”专项行动要求，</w:t>
      </w:r>
      <w:r>
        <w:rPr>
          <w:rFonts w:hint="eastAsia"/>
          <w:color w:val="auto"/>
          <w:sz w:val="28"/>
          <w:szCs w:val="28"/>
          <w:highlight w:val="none"/>
          <w:lang w:eastAsia="zh-CN"/>
        </w:rPr>
        <w:t>山东华曦石油技术服务有限公司</w:t>
      </w:r>
      <w:r>
        <w:rPr>
          <w:rFonts w:hint="eastAsia" w:ascii="Times New Roman" w:hAnsi="Times New Roman" w:eastAsia="宋体" w:cs="Times New Roman"/>
          <w:color w:val="auto"/>
          <w:sz w:val="28"/>
          <w:highlight w:val="none"/>
          <w:lang w:val="en-US" w:eastAsia="zh-CN"/>
        </w:rPr>
        <w:t>深入推进工作开展，筑牢安全防线，切实提高全体干部职工对安全生产法律、法规、规章、标准、应知应会知识的掌握程度，并将“大学习、大培训、大考试”专项行动培训列入2022年安全教育培训计划</w:t>
      </w:r>
      <w:r>
        <w:rPr>
          <w:rFonts w:hint="eastAsia" w:cs="Times New Roman"/>
          <w:color w:val="auto"/>
          <w:sz w:val="28"/>
          <w:highlight w:val="none"/>
          <w:lang w:val="en-US" w:eastAsia="zh-CN"/>
        </w:rPr>
        <w:t>。2022年安全教育培训计划调整文件、安全教育培训计划及相关培训资料见报告附件18。</w:t>
      </w:r>
    </w:p>
    <w:p>
      <w:pPr>
        <w:pStyle w:val="5"/>
        <w:adjustRightInd w:val="0"/>
        <w:snapToGrid w:val="0"/>
        <w:spacing w:before="0" w:after="0" w:line="360" w:lineRule="auto"/>
        <w:rPr>
          <w:rFonts w:eastAsia="黑体"/>
          <w:b w:val="0"/>
          <w:snapToGrid w:val="0"/>
          <w:color w:val="auto"/>
          <w:kern w:val="0"/>
          <w:sz w:val="28"/>
          <w:szCs w:val="28"/>
        </w:rPr>
      </w:pPr>
      <w:r>
        <w:rPr>
          <w:rFonts w:eastAsia="黑体"/>
          <w:b w:val="0"/>
          <w:snapToGrid w:val="0"/>
          <w:color w:val="auto"/>
          <w:kern w:val="0"/>
          <w:sz w:val="28"/>
          <w:szCs w:val="28"/>
        </w:rPr>
        <w:t xml:space="preserve">2.7.1 </w:t>
      </w:r>
      <w:r>
        <w:rPr>
          <w:rFonts w:hint="eastAsia" w:eastAsia="黑体"/>
          <w:b w:val="0"/>
          <w:snapToGrid w:val="0"/>
          <w:color w:val="auto"/>
          <w:kern w:val="0"/>
          <w:sz w:val="28"/>
          <w:szCs w:val="28"/>
        </w:rPr>
        <w:t>主要负责人和安全管理人员安全生产知识和管理能力及培训持证情况</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根据《中华人民共和国安全生产法》（主席令[2021]第88号）第二十</w:t>
      </w:r>
      <w:r>
        <w:rPr>
          <w:rFonts w:hint="default" w:ascii="Times New Roman" w:hAnsi="Times New Roman" w:cs="Times New Roman"/>
          <w:color w:val="000000" w:themeColor="text1"/>
          <w:sz w:val="28"/>
          <w:szCs w:val="28"/>
          <w:lang w:eastAsia="zh-CN"/>
          <w14:textFill>
            <w14:solidFill>
              <w14:schemeClr w14:val="tx1"/>
            </w14:solidFill>
          </w14:textFill>
        </w:rPr>
        <w:t>七</w:t>
      </w:r>
      <w:r>
        <w:rPr>
          <w:rFonts w:hint="default" w:ascii="Times New Roman" w:hAnsi="Times New Roman" w:cs="Times New Roman"/>
          <w:color w:val="000000" w:themeColor="text1"/>
          <w:sz w:val="28"/>
          <w:szCs w:val="28"/>
          <w14:textFill>
            <w14:solidFill>
              <w14:schemeClr w14:val="tx1"/>
            </w14:solidFill>
          </w14:textFill>
        </w:rPr>
        <w:t>条：“危险物品的生产、经营、储存、装卸单位以及矿山、金属冶炼、建筑施工、运输单位的主要负责人和安全生产管理人员，应当由主管的负有安全生产监督管理职责的部门对其安全生产知识和管理能力考核合格。危险物品的生产、储存、装卸单位以及矿山、金属冶炼单位应当有注册安全工程师从事安全生产管理工作”。</w:t>
      </w:r>
    </w:p>
    <w:p>
      <w:pPr>
        <w:adjustRightInd w:val="0"/>
        <w:snapToGrid w:val="0"/>
        <w:spacing w:line="360" w:lineRule="auto"/>
        <w:ind w:firstLine="560" w:firstLineChars="200"/>
        <w:rPr>
          <w:rFonts w:hint="eastAsia"/>
          <w:color w:val="0070C0"/>
          <w:sz w:val="28"/>
          <w:szCs w:val="28"/>
        </w:rPr>
      </w:pPr>
      <w:r>
        <w:rPr>
          <w:rFonts w:hint="default" w:ascii="Times New Roman" w:hAnsi="Times New Roman" w:cs="Times New Roman"/>
          <w:color w:val="000000" w:themeColor="text1"/>
          <w:sz w:val="28"/>
          <w:szCs w:val="28"/>
          <w14:textFill>
            <w14:solidFill>
              <w14:schemeClr w14:val="tx1"/>
            </w14:solidFill>
          </w14:textFill>
        </w:rPr>
        <w:t>《生产经营单位安全培训规定》（原国家安监总局令第3号，2015年修订）第二十四条：“煤矿、非煤矿山、危险化学品、烟花爆竹、金属冶炼等生产经营单位主要负责人和安全生产管理人员，自任职之日起6个月内，必须经安全生产监管监察部门对其安全生产知识和管理能力考核合格”。</w:t>
      </w:r>
    </w:p>
    <w:p>
      <w:pPr>
        <w:adjustRightInd w:val="0"/>
        <w:snapToGrid w:val="0"/>
        <w:spacing w:line="360" w:lineRule="auto"/>
        <w:ind w:firstLine="560" w:firstLineChars="200"/>
        <w:rPr>
          <w:rFonts w:hint="eastAsia"/>
          <w:b/>
          <w:bCs/>
          <w:color w:val="auto"/>
          <w:sz w:val="24"/>
          <w:szCs w:val="28"/>
        </w:rPr>
        <w:sectPr>
          <w:head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color w:val="auto"/>
          <w:sz w:val="28"/>
          <w:szCs w:val="28"/>
          <w:lang w:eastAsia="zh-CN"/>
        </w:rPr>
        <w:t>山东华曦石油技术服务有限公司</w:t>
      </w:r>
      <w:r>
        <w:rPr>
          <w:rFonts w:hint="eastAsia"/>
          <w:color w:val="auto"/>
          <w:sz w:val="28"/>
          <w:szCs w:val="28"/>
        </w:rPr>
        <w:t>主要负责人、安全管理人员经具有资质的单位培训，并经东营市应急管理局考核合格，</w:t>
      </w:r>
      <w:r>
        <w:rPr>
          <w:rFonts w:hint="eastAsia"/>
          <w:color w:val="auto"/>
          <w:sz w:val="28"/>
          <w:szCs w:val="28"/>
          <w:highlight w:val="none"/>
          <w:lang w:val="en-US" w:eastAsia="zh-CN"/>
        </w:rPr>
        <w:t>各作业队队长作为队伍安全负责人，负责队伍生产过程中的安全管理工作，其中华曦注汽一队配合复合气作业队伍施工，两个队伍做为整支队伍管理，由复合气队长统筹管理华曦注汽一队及复合气作业队伍，关于华曦公司注汽队作业情况说明文件见报告附件27。</w:t>
      </w:r>
      <w:r>
        <w:rPr>
          <w:rFonts w:hint="eastAsia"/>
          <w:color w:val="auto"/>
          <w:sz w:val="28"/>
          <w:szCs w:val="28"/>
          <w:highlight w:val="none"/>
        </w:rPr>
        <w:t>人员取证情况见下</w:t>
      </w:r>
      <w:r>
        <w:rPr>
          <w:rFonts w:hint="eastAsia"/>
          <w:color w:val="auto"/>
          <w:sz w:val="28"/>
          <w:szCs w:val="28"/>
        </w:rPr>
        <w:t>表</w:t>
      </w:r>
      <w:r>
        <w:rPr>
          <w:rFonts w:hint="eastAsia"/>
          <w:color w:val="auto"/>
          <w:sz w:val="28"/>
          <w:szCs w:val="28"/>
          <w:lang w:eastAsia="zh-CN"/>
        </w:rPr>
        <w:t>，</w:t>
      </w:r>
      <w:r>
        <w:rPr>
          <w:rFonts w:hint="eastAsia"/>
          <w:color w:val="auto"/>
          <w:sz w:val="28"/>
          <w:szCs w:val="28"/>
        </w:rPr>
        <w:t>另外，公司安全管理人员</w:t>
      </w:r>
      <w:r>
        <w:rPr>
          <w:rFonts w:hint="eastAsia"/>
          <w:color w:val="auto"/>
          <w:sz w:val="28"/>
          <w:szCs w:val="28"/>
          <w:lang w:val="en-US" w:eastAsia="zh-CN"/>
        </w:rPr>
        <w:t>武元博</w:t>
      </w:r>
      <w:r>
        <w:rPr>
          <w:rFonts w:hint="eastAsia"/>
          <w:color w:val="auto"/>
          <w:sz w:val="28"/>
          <w:szCs w:val="28"/>
        </w:rPr>
        <w:t>持有注册安全工程师执业资格证书，</w:t>
      </w:r>
      <w:bookmarkStart w:id="37" w:name="_Hlk1845950"/>
      <w:r>
        <w:rPr>
          <w:rFonts w:hint="default" w:ascii="Times New Roman" w:hAnsi="Times New Roman" w:cs="Times New Roman"/>
          <w:color w:val="000000" w:themeColor="text1"/>
          <w:sz w:val="28"/>
          <w:szCs w:val="28"/>
          <w14:textFill>
            <w14:solidFill>
              <w14:schemeClr w14:val="tx1"/>
            </w14:solidFill>
          </w14:textFill>
        </w:rPr>
        <w:t>符合《中华人民共和国安全生产法》（主席令[2021]第88号）第二十</w:t>
      </w:r>
      <w:r>
        <w:rPr>
          <w:rFonts w:hint="default" w:ascii="Times New Roman" w:hAnsi="Times New Roman" w:cs="Times New Roman"/>
          <w:color w:val="000000" w:themeColor="text1"/>
          <w:sz w:val="28"/>
          <w:szCs w:val="28"/>
          <w:lang w:eastAsia="zh-CN"/>
          <w14:textFill>
            <w14:solidFill>
              <w14:schemeClr w14:val="tx1"/>
            </w14:solidFill>
          </w14:textFill>
        </w:rPr>
        <w:t>七</w:t>
      </w:r>
      <w:r>
        <w:rPr>
          <w:rFonts w:hint="default" w:ascii="Times New Roman" w:hAnsi="Times New Roman" w:cs="Times New Roman"/>
          <w:color w:val="000000" w:themeColor="text1"/>
          <w:sz w:val="28"/>
          <w:szCs w:val="28"/>
          <w14:textFill>
            <w14:solidFill>
              <w14:schemeClr w14:val="tx1"/>
            </w14:solidFill>
          </w14:textFill>
        </w:rPr>
        <w:t>条的相关要求</w:t>
      </w:r>
      <w:r>
        <w:rPr>
          <w:rFonts w:hint="eastAsia" w:cs="Times New Roman"/>
          <w:color w:val="000000" w:themeColor="text1"/>
          <w:sz w:val="28"/>
          <w:szCs w:val="28"/>
          <w:lang w:eastAsia="zh-CN"/>
          <w14:textFill>
            <w14:solidFill>
              <w14:schemeClr w14:val="tx1"/>
            </w14:solidFill>
          </w14:textFill>
        </w:rPr>
        <w:t>。</w:t>
      </w:r>
      <w:r>
        <w:rPr>
          <w:rFonts w:hint="eastAsia" w:cs="Times New Roman"/>
          <w:color w:val="000000" w:themeColor="text1"/>
          <w:sz w:val="28"/>
          <w:szCs w:val="28"/>
          <w:lang w:val="en-US" w:eastAsia="zh-CN"/>
          <w14:textFill>
            <w14:solidFill>
              <w14:schemeClr w14:val="tx1"/>
            </w14:solidFill>
          </w14:textFill>
        </w:rPr>
        <w:t>安全合格证件见报告附件4。</w:t>
      </w:r>
      <w:bookmarkEnd w:id="37"/>
    </w:p>
    <w:p>
      <w:pPr>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color w:val="auto"/>
          <w:sz w:val="28"/>
          <w:szCs w:val="28"/>
        </w:rPr>
      </w:pPr>
    </w:p>
    <w:p>
      <w:pPr>
        <w:adjustRightInd w:val="0"/>
        <w:snapToGrid w:val="0"/>
        <w:spacing w:line="360" w:lineRule="auto"/>
        <w:jc w:val="center"/>
        <w:rPr>
          <w:rFonts w:hint="eastAsia"/>
          <w:b/>
          <w:bCs/>
          <w:color w:val="auto"/>
          <w:sz w:val="24"/>
          <w:szCs w:val="28"/>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5"/>
        <w:adjustRightInd w:val="0"/>
        <w:snapToGrid w:val="0"/>
        <w:spacing w:before="0" w:after="0" w:line="360" w:lineRule="auto"/>
        <w:rPr>
          <w:rFonts w:eastAsia="黑体"/>
          <w:b w:val="0"/>
          <w:snapToGrid w:val="0"/>
          <w:color w:val="auto"/>
          <w:kern w:val="0"/>
          <w:sz w:val="28"/>
          <w:szCs w:val="28"/>
          <w:highlight w:val="none"/>
        </w:rPr>
      </w:pPr>
      <w:r>
        <w:rPr>
          <w:rFonts w:eastAsia="黑体"/>
          <w:b w:val="0"/>
          <w:snapToGrid w:val="0"/>
          <w:color w:val="auto"/>
          <w:kern w:val="0"/>
          <w:sz w:val="28"/>
          <w:szCs w:val="28"/>
          <w:highlight w:val="none"/>
        </w:rPr>
        <w:t xml:space="preserve">2.7.2 </w:t>
      </w:r>
      <w:r>
        <w:rPr>
          <w:rFonts w:hint="eastAsia" w:eastAsia="黑体"/>
          <w:b w:val="0"/>
          <w:snapToGrid w:val="0"/>
          <w:color w:val="auto"/>
          <w:kern w:val="0"/>
          <w:sz w:val="28"/>
          <w:szCs w:val="28"/>
          <w:highlight w:val="none"/>
          <w:lang w:val="en-US" w:eastAsia="zh-CN"/>
        </w:rPr>
        <w:t>特种设备作业人员</w:t>
      </w:r>
      <w:r>
        <w:rPr>
          <w:rFonts w:hint="eastAsia" w:eastAsia="黑体"/>
          <w:b w:val="0"/>
          <w:snapToGrid w:val="0"/>
          <w:color w:val="auto"/>
          <w:kern w:val="0"/>
          <w:sz w:val="28"/>
          <w:szCs w:val="28"/>
          <w:highlight w:val="none"/>
        </w:rPr>
        <w:t>教育培训及持证情况</w:t>
      </w:r>
    </w:p>
    <w:p>
      <w:pPr>
        <w:keepNext w:val="0"/>
        <w:keepLines w:val="0"/>
        <w:pageBreakBefore w:val="0"/>
        <w:widowControl w:val="0"/>
        <w:wordWrap/>
        <w:bidi w:val="0"/>
        <w:adjustRightInd w:val="0"/>
        <w:snapToGrid w:val="0"/>
        <w:spacing w:line="360" w:lineRule="auto"/>
        <w:ind w:firstLine="560" w:firstLineChars="200"/>
        <w:rPr>
          <w:color w:val="0070C0"/>
        </w:rPr>
      </w:pPr>
      <w:r>
        <w:rPr>
          <w:rFonts w:hint="default" w:ascii="Times New Roman" w:hAnsi="Times New Roman" w:cs="Times New Roman"/>
          <w:color w:val="000000" w:themeColor="text1"/>
          <w:sz w:val="28"/>
          <w:szCs w:val="28"/>
          <w14:textFill>
            <w14:solidFill>
              <w14:schemeClr w14:val="tx1"/>
            </w14:solidFill>
          </w14:textFill>
        </w:rPr>
        <w:t>目前，该企业从业人员已通过相关的安全知识培训（如上岗前严格进行工艺操作规程、安全技术规程、岗位培训等岗前教育），合格后方允许上岗。根据《特种设备作业人员监督管理办法》（2005年1月10日国家质量监督检验检疫总局令第70号公布，2011年修订</w:t>
      </w:r>
      <w:r>
        <w:rPr>
          <w:rFonts w:hint="eastAsia"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规定的要求：</w:t>
      </w:r>
      <w:r>
        <w:rPr>
          <w:rFonts w:hint="default" w:ascii="Times New Roman" w:hAnsi="Times New Roman" w:cs="Times New Roman"/>
          <w:color w:val="000000" w:themeColor="text1"/>
          <w:sz w:val="28"/>
          <w:szCs w:val="28"/>
          <w:highlight w:val="none"/>
          <w14:textFill>
            <w14:solidFill>
              <w14:schemeClr w14:val="tx1"/>
            </w14:solidFill>
          </w14:textFill>
        </w:rPr>
        <w:t>从事特种设备作业的人员应当按照本办法的规定，经考核合格取得《特种设备作业人员证》，方可从事相应的作业或者管理工作。</w:t>
      </w:r>
      <w:r>
        <w:rPr>
          <w:rFonts w:hint="eastAsia"/>
          <w:color w:val="auto"/>
          <w:sz w:val="28"/>
          <w:szCs w:val="28"/>
          <w:highlight w:val="none"/>
          <w:lang w:eastAsia="zh-CN"/>
        </w:rPr>
        <w:t>山东华曦石油技术服务有限</w:t>
      </w:r>
      <w:r>
        <w:rPr>
          <w:rFonts w:hint="default" w:ascii="Times New Roman" w:hAnsi="Times New Roman" w:cs="Times New Roman"/>
          <w:color w:val="000000" w:themeColor="text1"/>
          <w:sz w:val="28"/>
          <w:szCs w:val="28"/>
          <w:highlight w:val="none"/>
          <w14:textFill>
            <w14:solidFill>
              <w14:schemeClr w14:val="tx1"/>
            </w14:solidFill>
          </w14:textFill>
        </w:rPr>
        <w:t>公司的</w:t>
      </w:r>
      <w:r>
        <w:rPr>
          <w:rFonts w:hint="eastAsia" w:cs="Times New Roman"/>
          <w:color w:val="000000" w:themeColor="text1"/>
          <w:sz w:val="28"/>
          <w:szCs w:val="28"/>
          <w:lang w:val="en-US" w:eastAsia="zh-CN"/>
          <w14:textFill>
            <w14:solidFill>
              <w14:schemeClr w14:val="tx1"/>
            </w14:solidFill>
          </w14:textFill>
        </w:rPr>
        <w:t>特种设备作业</w:t>
      </w:r>
      <w:r>
        <w:rPr>
          <w:rFonts w:hint="default" w:ascii="Times New Roman" w:hAnsi="Times New Roman" w:cs="Times New Roman"/>
          <w:color w:val="000000" w:themeColor="text1"/>
          <w:sz w:val="28"/>
          <w:szCs w:val="28"/>
          <w14:textFill>
            <w14:solidFill>
              <w14:schemeClr w14:val="tx1"/>
            </w14:solidFill>
          </w14:textFill>
        </w:rPr>
        <w:t>人员</w:t>
      </w:r>
      <w:r>
        <w:rPr>
          <w:rFonts w:hint="eastAsia" w:cs="Times New Roman"/>
          <w:color w:val="000000" w:themeColor="text1"/>
          <w:sz w:val="28"/>
          <w:szCs w:val="28"/>
          <w:lang w:val="en-US" w:eastAsia="zh-CN"/>
          <w14:textFill>
            <w14:solidFill>
              <w14:schemeClr w14:val="tx1"/>
            </w14:solidFill>
          </w14:textFill>
        </w:rPr>
        <w:t>取证情况</w:t>
      </w:r>
      <w:r>
        <w:rPr>
          <w:rFonts w:hint="default" w:ascii="Times New Roman" w:hAnsi="Times New Roman" w:cs="Times New Roman"/>
          <w:color w:val="000000" w:themeColor="text1"/>
          <w:sz w:val="28"/>
          <w:szCs w:val="28"/>
          <w14:textFill>
            <w14:solidFill>
              <w14:schemeClr w14:val="tx1"/>
            </w14:solidFill>
          </w14:textFill>
        </w:rPr>
        <w:t>见表2-</w:t>
      </w:r>
      <w:r>
        <w:rPr>
          <w:rFonts w:hint="eastAsia" w:cs="Times New Roman"/>
          <w:color w:val="000000" w:themeColor="text1"/>
          <w:sz w:val="28"/>
          <w:szCs w:val="28"/>
          <w:lang w:val="en-US" w:eastAsia="zh-CN"/>
          <w14:textFill>
            <w14:solidFill>
              <w14:schemeClr w14:val="tx1"/>
            </w14:solidFill>
          </w14:textFill>
        </w:rPr>
        <w:t>8</w:t>
      </w:r>
      <w:r>
        <w:rPr>
          <w:rFonts w:hint="default" w:ascii="Times New Roman" w:hAnsi="Times New Roman" w:cs="Times New Roman"/>
          <w:color w:val="000000" w:themeColor="text1"/>
          <w:sz w:val="28"/>
          <w:szCs w:val="28"/>
          <w14:textFill>
            <w14:solidFill>
              <w14:schemeClr w14:val="tx1"/>
            </w14:solidFill>
          </w14:textFill>
        </w:rPr>
        <w:t>。</w:t>
      </w:r>
      <w:r>
        <w:rPr>
          <w:rFonts w:hint="eastAsia" w:cs="Times New Roman"/>
          <w:sz w:val="28"/>
          <w:szCs w:val="28"/>
          <w:lang w:val="en-US" w:eastAsia="zh-CN"/>
        </w:rPr>
        <w:t>特种设备作业人员</w:t>
      </w:r>
      <w:r>
        <w:rPr>
          <w:rFonts w:hint="eastAsia" w:ascii="Times New Roman" w:hAnsi="Times New Roman" w:eastAsia="宋体" w:cs="Times New Roman"/>
          <w:sz w:val="28"/>
          <w:szCs w:val="28"/>
          <w:lang w:val="en-US" w:eastAsia="zh-CN"/>
        </w:rPr>
        <w:t>证</w:t>
      </w:r>
      <w:r>
        <w:rPr>
          <w:rFonts w:hint="eastAsia" w:cs="Times New Roman"/>
          <w:sz w:val="28"/>
          <w:szCs w:val="28"/>
          <w:lang w:val="en-US" w:eastAsia="zh-CN"/>
        </w:rPr>
        <w:t>书</w:t>
      </w:r>
      <w:r>
        <w:rPr>
          <w:rFonts w:hint="eastAsia" w:ascii="Times New Roman" w:hAnsi="Times New Roman" w:eastAsia="宋体" w:cs="Times New Roman"/>
          <w:sz w:val="28"/>
          <w:szCs w:val="28"/>
          <w:lang w:val="en-US" w:eastAsia="zh-CN"/>
        </w:rPr>
        <w:t>详见报告</w:t>
      </w:r>
      <w:r>
        <w:rPr>
          <w:rFonts w:hint="eastAsia" w:ascii="Times New Roman" w:hAnsi="Times New Roman" w:eastAsia="宋体" w:cs="Times New Roman"/>
          <w:sz w:val="28"/>
          <w:szCs w:val="28"/>
          <w:highlight w:val="none"/>
          <w:lang w:val="en-US" w:eastAsia="zh-CN"/>
        </w:rPr>
        <w:t>附件</w:t>
      </w:r>
      <w:r>
        <w:rPr>
          <w:rFonts w:hint="eastAsia" w:cs="Times New Roman"/>
          <w:sz w:val="28"/>
          <w:szCs w:val="28"/>
          <w:highlight w:val="none"/>
          <w:lang w:val="en-US" w:eastAsia="zh-CN"/>
        </w:rPr>
        <w:t>5</w:t>
      </w:r>
      <w:r>
        <w:rPr>
          <w:rFonts w:hint="eastAsia" w:ascii="Times New Roman" w:hAnsi="Times New Roman" w:eastAsia="宋体" w:cs="Times New Roman"/>
          <w:sz w:val="28"/>
          <w:szCs w:val="28"/>
          <w:lang w:val="en-US" w:eastAsia="zh-CN"/>
        </w:rPr>
        <w:t>。</w:t>
      </w:r>
    </w:p>
    <w:p>
      <w:pPr>
        <w:pStyle w:val="65"/>
        <w:keepNext w:val="0"/>
        <w:keepLines w:val="0"/>
        <w:pageBreakBefore w:val="0"/>
        <w:widowControl w:val="0"/>
        <w:wordWrap/>
        <w:bidi w:val="0"/>
        <w:adjustRightInd w:val="0"/>
        <w:snapToGrid w:val="0"/>
        <w:spacing w:line="360" w:lineRule="auto"/>
        <w:ind w:firstLine="0" w:firstLineChars="0"/>
        <w:jc w:val="center"/>
        <w:rPr>
          <w:rFonts w:hint="default" w:ascii="Times New Roman" w:hAnsi="Times New Roman" w:cs="Times New Roman"/>
          <w:b/>
          <w:bCs/>
          <w:color w:val="000000" w:themeColor="text1"/>
          <w:sz w:val="24"/>
          <w:szCs w:val="24"/>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5"/>
        <w:adjustRightInd w:val="0"/>
        <w:snapToGrid w:val="0"/>
        <w:spacing w:before="0" w:after="0" w:line="360" w:lineRule="auto"/>
        <w:rPr>
          <w:rFonts w:eastAsia="黑体"/>
          <w:b w:val="0"/>
          <w:snapToGrid w:val="0"/>
          <w:color w:val="auto"/>
          <w:kern w:val="0"/>
          <w:sz w:val="28"/>
          <w:szCs w:val="28"/>
        </w:rPr>
      </w:pPr>
      <w:r>
        <w:rPr>
          <w:rFonts w:eastAsia="黑体"/>
          <w:b w:val="0"/>
          <w:snapToGrid w:val="0"/>
          <w:color w:val="auto"/>
          <w:kern w:val="0"/>
          <w:sz w:val="28"/>
          <w:szCs w:val="28"/>
        </w:rPr>
        <w:t>2.7.</w:t>
      </w:r>
      <w:r>
        <w:rPr>
          <w:rFonts w:hint="eastAsia" w:eastAsia="黑体"/>
          <w:b w:val="0"/>
          <w:snapToGrid w:val="0"/>
          <w:color w:val="auto"/>
          <w:kern w:val="0"/>
          <w:sz w:val="28"/>
          <w:szCs w:val="28"/>
          <w:lang w:val="en-US" w:eastAsia="zh-CN"/>
        </w:rPr>
        <w:t>3</w:t>
      </w:r>
      <w:r>
        <w:rPr>
          <w:rFonts w:eastAsia="黑体"/>
          <w:b w:val="0"/>
          <w:snapToGrid w:val="0"/>
          <w:color w:val="auto"/>
          <w:kern w:val="0"/>
          <w:sz w:val="28"/>
          <w:szCs w:val="28"/>
        </w:rPr>
        <w:t xml:space="preserve"> </w:t>
      </w:r>
      <w:r>
        <w:rPr>
          <w:rFonts w:hint="eastAsia" w:eastAsia="黑体"/>
          <w:b w:val="0"/>
          <w:snapToGrid w:val="0"/>
          <w:color w:val="auto"/>
          <w:kern w:val="0"/>
          <w:sz w:val="28"/>
          <w:szCs w:val="28"/>
          <w:lang w:val="en-US" w:eastAsia="zh-CN"/>
        </w:rPr>
        <w:t>其他从业人员</w:t>
      </w:r>
      <w:r>
        <w:rPr>
          <w:rFonts w:hint="eastAsia" w:eastAsia="黑体"/>
          <w:b w:val="0"/>
          <w:snapToGrid w:val="0"/>
          <w:color w:val="auto"/>
          <w:kern w:val="0"/>
          <w:sz w:val="28"/>
          <w:szCs w:val="28"/>
        </w:rPr>
        <w:t>教育培训及持证情况</w:t>
      </w:r>
    </w:p>
    <w:p>
      <w:pPr>
        <w:keepNext w:val="0"/>
        <w:keepLines w:val="0"/>
        <w:pageBreakBefore w:val="0"/>
        <w:widowControl w:val="0"/>
        <w:wordWrap/>
        <w:bidi w:val="0"/>
        <w:adjustRightInd w:val="0"/>
        <w:snapToGrid w:val="0"/>
        <w:spacing w:line="360" w:lineRule="auto"/>
        <w:ind w:firstLine="560" w:firstLineChars="200"/>
        <w:rPr>
          <w:rFonts w:hint="eastAsia"/>
          <w:color w:val="000000" w:themeColor="text1"/>
          <w:sz w:val="28"/>
          <w14:textFill>
            <w14:solidFill>
              <w14:schemeClr w14:val="tx1"/>
            </w14:solidFill>
          </w14:textFill>
        </w:rPr>
      </w:pPr>
      <w:r>
        <w:rPr>
          <w:rFonts w:hint="eastAsia"/>
          <w:color w:val="auto"/>
          <w:sz w:val="28"/>
          <w:szCs w:val="28"/>
          <w:lang w:eastAsia="zh-CN"/>
        </w:rPr>
        <w:t>山东华曦石油技术服务有限公司</w:t>
      </w:r>
      <w:r>
        <w:rPr>
          <w:rFonts w:hint="eastAsia"/>
          <w:color w:val="000000" w:themeColor="text1"/>
          <w:sz w:val="28"/>
          <w:lang w:val="en-US" w:eastAsia="zh-CN"/>
          <w14:textFill>
            <w14:solidFill>
              <w14:schemeClr w14:val="tx1"/>
            </w14:solidFill>
          </w14:textFill>
        </w:rPr>
        <w:t>生产及安全管理人员，</w:t>
      </w:r>
      <w:r>
        <w:rPr>
          <w:rFonts w:hint="eastAsia"/>
          <w:color w:val="000000" w:themeColor="text1"/>
          <w:sz w:val="28"/>
          <w14:textFill>
            <w14:solidFill>
              <w14:schemeClr w14:val="tx1"/>
            </w14:solidFill>
          </w14:textFill>
        </w:rPr>
        <w:t>一线</w:t>
      </w:r>
      <w:r>
        <w:rPr>
          <w:rFonts w:hint="eastAsia"/>
          <w:color w:val="000000" w:themeColor="text1"/>
          <w:sz w:val="28"/>
          <w:lang w:val="en-US" w:eastAsia="zh-CN"/>
          <w14:textFill>
            <w14:solidFill>
              <w14:schemeClr w14:val="tx1"/>
            </w14:solidFill>
          </w14:textFill>
        </w:rPr>
        <w:t>作业</w:t>
      </w:r>
      <w:r>
        <w:rPr>
          <w:rFonts w:hint="eastAsia"/>
          <w:color w:val="000000" w:themeColor="text1"/>
          <w:sz w:val="28"/>
          <w14:textFill>
            <w14:solidFill>
              <w14:schemeClr w14:val="tx1"/>
            </w14:solidFill>
          </w14:textFill>
        </w:rPr>
        <w:t>人员均持有硫化氢防护培训合格证、井控培训合格证和健康安全环境管理培训证书</w:t>
      </w:r>
      <w:r>
        <w:rPr>
          <w:rFonts w:hint="eastAsia"/>
          <w:color w:val="000000" w:themeColor="text1"/>
          <w:sz w:val="28"/>
          <w:lang w:eastAsia="zh-CN"/>
          <w14:textFill>
            <w14:solidFill>
              <w14:schemeClr w14:val="tx1"/>
            </w14:solidFill>
          </w14:textFill>
        </w:rPr>
        <w:t>，</w:t>
      </w:r>
      <w:r>
        <w:rPr>
          <w:rFonts w:hint="eastAsia"/>
          <w:color w:val="000000" w:themeColor="text1"/>
          <w:sz w:val="28"/>
          <w14:textFill>
            <w14:solidFill>
              <w14:schemeClr w14:val="tx1"/>
            </w14:solidFill>
          </w14:textFill>
        </w:rPr>
        <w:t>具体持证情况见表</w:t>
      </w:r>
      <w:r>
        <w:rPr>
          <w:rFonts w:hint="eastAsia"/>
          <w:color w:val="000000" w:themeColor="text1"/>
          <w:sz w:val="28"/>
          <w:lang w:val="en-US" w:eastAsia="zh-CN"/>
          <w14:textFill>
            <w14:solidFill>
              <w14:schemeClr w14:val="tx1"/>
            </w14:solidFill>
          </w14:textFill>
        </w:rPr>
        <w:t>2-9</w:t>
      </w:r>
      <w:r>
        <w:rPr>
          <w:rFonts w:hint="eastAsia"/>
          <w:color w:val="000000" w:themeColor="text1"/>
          <w:sz w:val="28"/>
          <w14:textFill>
            <w14:solidFill>
              <w14:schemeClr w14:val="tx1"/>
            </w14:solidFill>
          </w14:textFill>
        </w:rPr>
        <w:t>，证书复印件见</w:t>
      </w:r>
      <w:r>
        <w:rPr>
          <w:rFonts w:hint="eastAsia"/>
          <w:color w:val="000000" w:themeColor="text1"/>
          <w:sz w:val="28"/>
          <w:highlight w:val="none"/>
          <w14:textFill>
            <w14:solidFill>
              <w14:schemeClr w14:val="tx1"/>
            </w14:solidFill>
          </w14:textFill>
        </w:rPr>
        <w:t>附件</w:t>
      </w:r>
      <w:r>
        <w:rPr>
          <w:rFonts w:hint="eastAsia"/>
          <w:color w:val="000000" w:themeColor="text1"/>
          <w:sz w:val="28"/>
          <w:highlight w:val="none"/>
          <w:lang w:val="en-US" w:eastAsia="zh-CN"/>
          <w14:textFill>
            <w14:solidFill>
              <w14:schemeClr w14:val="tx1"/>
            </w14:solidFill>
          </w14:textFill>
        </w:rPr>
        <w:t>6</w:t>
      </w:r>
      <w:r>
        <w:rPr>
          <w:rFonts w:hint="eastAsia"/>
          <w:color w:val="000000" w:themeColor="text1"/>
          <w:sz w:val="28"/>
          <w14:textFill>
            <w14:solidFill>
              <w14:schemeClr w14:val="tx1"/>
            </w14:solidFill>
          </w14:textFill>
        </w:rPr>
        <w:t>。</w:t>
      </w:r>
    </w:p>
    <w:p>
      <w:pPr>
        <w:adjustRightInd w:val="0"/>
        <w:snapToGrid w:val="0"/>
        <w:spacing w:line="360" w:lineRule="auto"/>
        <w:ind w:firstLine="560" w:firstLineChars="200"/>
        <w:rPr>
          <w:rFonts w:hint="eastAsia" w:ascii="Times New Roman" w:hAnsi="Times New Roman" w:eastAsia="宋体" w:cs="Times New Roman"/>
          <w:color w:val="auto"/>
          <w:sz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4"/>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eastAsia" w:ascii="Times New Roman" w:hAnsi="Times New Roman" w:eastAsia="黑体"/>
          <w:b w:val="0"/>
          <w:bCs/>
          <w:color w:val="auto"/>
          <w:szCs w:val="32"/>
          <w:lang w:val="en-US" w:eastAsia="zh-CN"/>
        </w:rPr>
      </w:pPr>
      <w:bookmarkStart w:id="38" w:name="_Toc1468"/>
      <w:r>
        <w:rPr>
          <w:rFonts w:hint="eastAsia" w:ascii="Times New Roman" w:hAnsi="Times New Roman"/>
          <w:b w:val="0"/>
          <w:bCs/>
          <w:color w:val="auto"/>
          <w:szCs w:val="32"/>
        </w:rPr>
        <w:t>2.</w:t>
      </w:r>
      <w:r>
        <w:rPr>
          <w:rFonts w:ascii="Times New Roman" w:hAnsi="Times New Roman"/>
          <w:b w:val="0"/>
          <w:bCs/>
          <w:color w:val="auto"/>
          <w:szCs w:val="32"/>
        </w:rPr>
        <w:t xml:space="preserve">8 </w:t>
      </w:r>
      <w:r>
        <w:rPr>
          <w:rFonts w:hint="eastAsia" w:ascii="Times New Roman" w:hAnsi="Times New Roman"/>
          <w:b w:val="0"/>
          <w:bCs/>
          <w:color w:val="auto"/>
          <w:szCs w:val="32"/>
        </w:rPr>
        <w:t>人员保险</w:t>
      </w:r>
      <w:r>
        <w:rPr>
          <w:rFonts w:hint="eastAsia" w:ascii="Times New Roman" w:hAnsi="Times New Roman"/>
          <w:b w:val="0"/>
          <w:bCs/>
          <w:color w:val="auto"/>
          <w:szCs w:val="32"/>
          <w:lang w:val="en-US" w:eastAsia="zh-CN"/>
        </w:rPr>
        <w:t>情况</w:t>
      </w:r>
      <w:bookmarkEnd w:id="38"/>
    </w:p>
    <w:p>
      <w:pPr>
        <w:adjustRightInd w:val="0"/>
        <w:snapToGrid w:val="0"/>
        <w:spacing w:line="360" w:lineRule="auto"/>
        <w:ind w:firstLine="560" w:firstLineChars="200"/>
        <w:rPr>
          <w:color w:val="auto"/>
          <w:sz w:val="28"/>
        </w:rPr>
      </w:pPr>
      <w:r>
        <w:rPr>
          <w:rFonts w:hint="eastAsia"/>
          <w:color w:val="auto"/>
          <w:sz w:val="28"/>
          <w:lang w:eastAsia="zh-CN"/>
        </w:rPr>
        <w:t>山东华曦石油技术服务有限公司</w:t>
      </w:r>
      <w:r>
        <w:rPr>
          <w:rFonts w:hint="eastAsia"/>
          <w:color w:val="auto"/>
          <w:sz w:val="28"/>
          <w:szCs w:val="28"/>
        </w:rPr>
        <w:t>现有员工</w:t>
      </w:r>
      <w:r>
        <w:rPr>
          <w:rFonts w:hint="eastAsia"/>
          <w:color w:val="auto"/>
          <w:sz w:val="28"/>
          <w:szCs w:val="28"/>
          <w:lang w:val="en-US" w:eastAsia="zh-CN"/>
        </w:rPr>
        <w:t>37</w:t>
      </w:r>
      <w:r>
        <w:rPr>
          <w:rFonts w:hint="eastAsia"/>
          <w:color w:val="auto"/>
          <w:sz w:val="28"/>
          <w:szCs w:val="28"/>
        </w:rPr>
        <w:t>人，其中</w:t>
      </w:r>
      <w:r>
        <w:rPr>
          <w:rFonts w:hint="eastAsia"/>
          <w:color w:val="auto"/>
          <w:sz w:val="28"/>
          <w:szCs w:val="28"/>
          <w:lang w:val="en-US" w:eastAsia="zh-CN"/>
        </w:rPr>
        <w:t>36</w:t>
      </w:r>
      <w:r>
        <w:rPr>
          <w:rFonts w:hint="eastAsia"/>
          <w:color w:val="auto"/>
          <w:sz w:val="28"/>
          <w:szCs w:val="28"/>
        </w:rPr>
        <w:t>人</w:t>
      </w:r>
      <w:r>
        <w:rPr>
          <w:rFonts w:hint="eastAsia"/>
          <w:color w:val="auto"/>
          <w:sz w:val="28"/>
        </w:rPr>
        <w:t>在</w:t>
      </w:r>
      <w:r>
        <w:rPr>
          <w:rFonts w:hint="eastAsia"/>
          <w:color w:val="auto"/>
          <w:sz w:val="28"/>
          <w:lang w:eastAsia="zh-CN"/>
        </w:rPr>
        <w:t>山东华曦石油技术服务有限公司</w:t>
      </w:r>
      <w:r>
        <w:rPr>
          <w:rFonts w:hint="eastAsia"/>
          <w:color w:val="auto"/>
          <w:sz w:val="28"/>
        </w:rPr>
        <w:t>缴纳社会保险，总经理</w:t>
      </w:r>
      <w:r>
        <w:rPr>
          <w:rFonts w:hint="eastAsia"/>
          <w:color w:val="auto"/>
          <w:sz w:val="28"/>
          <w:lang w:val="en-US" w:eastAsia="zh-CN"/>
        </w:rPr>
        <w:t>崔华</w:t>
      </w:r>
      <w:r>
        <w:rPr>
          <w:rFonts w:hint="eastAsia"/>
          <w:color w:val="auto"/>
          <w:sz w:val="28"/>
        </w:rPr>
        <w:t>在北京华曦油服石油技术有限公司缴纳社会保险。</w:t>
      </w:r>
    </w:p>
    <w:p>
      <w:pPr>
        <w:adjustRightInd w:val="0"/>
        <w:snapToGrid w:val="0"/>
        <w:spacing w:line="360" w:lineRule="auto"/>
        <w:ind w:firstLine="560" w:firstLineChars="200"/>
        <w:rPr>
          <w:color w:val="auto"/>
          <w:sz w:val="28"/>
        </w:rPr>
      </w:pPr>
      <w:r>
        <w:rPr>
          <w:rFonts w:hint="eastAsia"/>
          <w:color w:val="auto"/>
          <w:sz w:val="28"/>
        </w:rPr>
        <w:t>公司按照《工伤保险条例》</w:t>
      </w:r>
      <w:r>
        <w:rPr>
          <w:rFonts w:hint="eastAsia"/>
          <w:color w:val="auto"/>
          <w:sz w:val="28"/>
          <w:szCs w:val="28"/>
        </w:rPr>
        <w:t>（</w:t>
      </w:r>
      <w:r>
        <w:rPr>
          <w:color w:val="auto"/>
          <w:sz w:val="28"/>
          <w:szCs w:val="28"/>
        </w:rPr>
        <w:t>国务院令[20</w:t>
      </w:r>
      <w:r>
        <w:rPr>
          <w:rFonts w:hint="eastAsia"/>
          <w:color w:val="auto"/>
          <w:sz w:val="28"/>
          <w:szCs w:val="28"/>
        </w:rPr>
        <w:t>10</w:t>
      </w:r>
      <w:r>
        <w:rPr>
          <w:color w:val="auto"/>
          <w:sz w:val="28"/>
          <w:szCs w:val="28"/>
        </w:rPr>
        <w:t>]第</w:t>
      </w:r>
      <w:r>
        <w:rPr>
          <w:rFonts w:hint="eastAsia"/>
          <w:color w:val="auto"/>
          <w:sz w:val="28"/>
          <w:szCs w:val="28"/>
        </w:rPr>
        <w:t>586号）</w:t>
      </w:r>
      <w:r>
        <w:rPr>
          <w:rFonts w:hint="eastAsia"/>
          <w:color w:val="auto"/>
          <w:sz w:val="28"/>
        </w:rPr>
        <w:t>的有关规定，依法为职工办理了“五险”，按时、足额为职工缴纳工伤保险费。</w:t>
      </w:r>
      <w:r>
        <w:rPr>
          <w:rFonts w:hint="eastAsia"/>
          <w:color w:val="auto"/>
          <w:sz w:val="28"/>
          <w:lang w:val="en-US" w:eastAsia="zh-CN"/>
        </w:rPr>
        <w:t>参保证明</w:t>
      </w:r>
      <w:r>
        <w:rPr>
          <w:rFonts w:hint="eastAsia"/>
          <w:color w:val="auto"/>
          <w:sz w:val="28"/>
        </w:rPr>
        <w:t>详见</w:t>
      </w:r>
      <w:r>
        <w:rPr>
          <w:rFonts w:hint="eastAsia"/>
          <w:color w:val="auto"/>
          <w:sz w:val="28"/>
          <w:lang w:val="en-US" w:eastAsia="zh-CN"/>
        </w:rPr>
        <w:t>报告</w:t>
      </w:r>
      <w:r>
        <w:rPr>
          <w:rFonts w:hint="eastAsia"/>
          <w:color w:val="auto"/>
          <w:sz w:val="28"/>
        </w:rPr>
        <w:t>附件</w:t>
      </w:r>
      <w:r>
        <w:rPr>
          <w:rFonts w:hint="eastAsia"/>
          <w:color w:val="auto"/>
          <w:sz w:val="28"/>
          <w:lang w:val="en-US" w:eastAsia="zh-CN"/>
        </w:rPr>
        <w:t>7</w:t>
      </w:r>
      <w:r>
        <w:rPr>
          <w:rFonts w:hint="eastAsia"/>
          <w:color w:val="auto"/>
          <w:sz w:val="28"/>
        </w:rPr>
        <w:t>。另外，公司于2</w:t>
      </w:r>
      <w:r>
        <w:rPr>
          <w:color w:val="auto"/>
          <w:sz w:val="28"/>
        </w:rPr>
        <w:t>0</w:t>
      </w:r>
      <w:r>
        <w:rPr>
          <w:rFonts w:hint="eastAsia"/>
          <w:color w:val="auto"/>
          <w:sz w:val="28"/>
          <w:lang w:val="en-US" w:eastAsia="zh-CN"/>
        </w:rPr>
        <w:t>22</w:t>
      </w:r>
      <w:r>
        <w:rPr>
          <w:rFonts w:hint="eastAsia"/>
          <w:color w:val="auto"/>
          <w:sz w:val="28"/>
        </w:rPr>
        <w:t>年</w:t>
      </w:r>
      <w:r>
        <w:rPr>
          <w:rFonts w:hint="eastAsia"/>
          <w:color w:val="auto"/>
          <w:sz w:val="28"/>
          <w:lang w:val="en-US" w:eastAsia="zh-CN"/>
        </w:rPr>
        <w:t>6</w:t>
      </w:r>
      <w:r>
        <w:rPr>
          <w:rFonts w:hint="eastAsia"/>
          <w:color w:val="auto"/>
          <w:sz w:val="28"/>
        </w:rPr>
        <w:t>月</w:t>
      </w:r>
      <w:r>
        <w:rPr>
          <w:rFonts w:hint="eastAsia"/>
          <w:color w:val="auto"/>
          <w:sz w:val="28"/>
          <w:lang w:val="en-US" w:eastAsia="zh-CN"/>
        </w:rPr>
        <w:t>7</w:t>
      </w:r>
      <w:r>
        <w:rPr>
          <w:rFonts w:hint="eastAsia"/>
          <w:color w:val="auto"/>
          <w:sz w:val="28"/>
        </w:rPr>
        <w:t>日依法缴纳了安全生产责任险，</w:t>
      </w:r>
      <w:r>
        <w:rPr>
          <w:rFonts w:hint="eastAsia"/>
          <w:color w:val="auto"/>
          <w:sz w:val="28"/>
          <w:lang w:val="en-US" w:eastAsia="zh-CN"/>
        </w:rPr>
        <w:t>投保行业类别：非煤矿山-石油、天然气；</w:t>
      </w:r>
      <w:r>
        <w:rPr>
          <w:rFonts w:hint="eastAsia"/>
          <w:color w:val="auto"/>
          <w:sz w:val="28"/>
          <w:highlight w:val="none"/>
          <w:lang w:val="en-US" w:eastAsia="zh-CN"/>
        </w:rPr>
        <w:t>投保人数：37人；承保区域：</w:t>
      </w:r>
      <w:r>
        <w:rPr>
          <w:rFonts w:hint="eastAsia"/>
          <w:color w:val="auto"/>
          <w:sz w:val="28"/>
          <w:lang w:val="en-US" w:eastAsia="zh-CN"/>
        </w:rPr>
        <w:t>山东省内（不含青岛）。安全生产责任保险投保保单</w:t>
      </w:r>
      <w:r>
        <w:rPr>
          <w:rFonts w:hint="eastAsia"/>
          <w:color w:val="auto"/>
          <w:sz w:val="28"/>
        </w:rPr>
        <w:t>详见</w:t>
      </w:r>
      <w:r>
        <w:rPr>
          <w:rFonts w:hint="eastAsia"/>
          <w:color w:val="auto"/>
          <w:sz w:val="28"/>
          <w:lang w:val="en-US" w:eastAsia="zh-CN"/>
        </w:rPr>
        <w:t>报告</w:t>
      </w:r>
      <w:r>
        <w:rPr>
          <w:rFonts w:hint="eastAsia"/>
          <w:color w:val="auto"/>
          <w:sz w:val="28"/>
        </w:rPr>
        <w:t>附件</w:t>
      </w:r>
      <w:r>
        <w:rPr>
          <w:rFonts w:hint="eastAsia"/>
          <w:color w:val="auto"/>
          <w:sz w:val="28"/>
          <w:lang w:val="en-US" w:eastAsia="zh-CN"/>
        </w:rPr>
        <w:t>8</w:t>
      </w:r>
      <w:r>
        <w:rPr>
          <w:rFonts w:hint="eastAsia"/>
          <w:color w:val="auto"/>
          <w:sz w:val="28"/>
        </w:rPr>
        <w:t>。</w:t>
      </w:r>
    </w:p>
    <w:p>
      <w:pPr>
        <w:pStyle w:val="4"/>
        <w:adjustRightInd w:val="0"/>
        <w:snapToGrid w:val="0"/>
        <w:spacing w:before="0" w:after="0" w:line="360" w:lineRule="auto"/>
        <w:rPr>
          <w:rFonts w:ascii="Times New Roman" w:hAnsi="Times New Roman"/>
          <w:b w:val="0"/>
          <w:bCs/>
          <w:color w:val="auto"/>
          <w:szCs w:val="32"/>
        </w:rPr>
      </w:pPr>
      <w:bookmarkStart w:id="39" w:name="_Toc15353"/>
      <w:r>
        <w:rPr>
          <w:rFonts w:hint="eastAsia" w:ascii="Times New Roman" w:hAnsi="Times New Roman"/>
          <w:b w:val="0"/>
          <w:bCs/>
          <w:color w:val="auto"/>
          <w:szCs w:val="32"/>
        </w:rPr>
        <w:t>2.</w:t>
      </w:r>
      <w:r>
        <w:rPr>
          <w:rFonts w:ascii="Times New Roman" w:hAnsi="Times New Roman"/>
          <w:b w:val="0"/>
          <w:bCs/>
          <w:color w:val="auto"/>
          <w:szCs w:val="32"/>
        </w:rPr>
        <w:t xml:space="preserve">9 </w:t>
      </w:r>
      <w:r>
        <w:rPr>
          <w:rFonts w:hint="eastAsia" w:ascii="Times New Roman" w:hAnsi="Times New Roman"/>
          <w:b w:val="0"/>
          <w:bCs/>
          <w:color w:val="auto"/>
          <w:szCs w:val="32"/>
        </w:rPr>
        <w:t>职业危害防护及劳保用品发放</w:t>
      </w:r>
      <w:bookmarkEnd w:id="39"/>
    </w:p>
    <w:p>
      <w:pPr>
        <w:adjustRightInd w:val="0"/>
        <w:snapToGrid w:val="0"/>
        <w:spacing w:line="360" w:lineRule="auto"/>
        <w:ind w:firstLine="560" w:firstLineChars="200"/>
        <w:rPr>
          <w:rFonts w:hint="default" w:ascii="Times New Roman" w:hAnsi="Times New Roman" w:eastAsia="宋体" w:cs="Times New Roman"/>
          <w:b/>
          <w:bCs/>
          <w:color w:val="000000" w:themeColor="text1"/>
          <w:sz w:val="24"/>
          <w:szCs w:val="22"/>
          <w:lang w:val="en-US" w:eastAsia="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color w:val="000000" w:themeColor="text1"/>
          <w:sz w:val="28"/>
          <w14:textFill>
            <w14:solidFill>
              <w14:schemeClr w14:val="tx1"/>
            </w14:solidFill>
          </w14:textFill>
        </w:rPr>
        <w:t>公司施工作业人员定期进行健康体检。在劳保用品发放方面，按照有关规定的要求，根据岗位特点，按规定向生产工人发放</w:t>
      </w:r>
      <w:r>
        <w:rPr>
          <w:rFonts w:hint="eastAsia"/>
          <w:color w:val="000000" w:themeColor="text1"/>
          <w:sz w:val="28"/>
          <w:lang w:eastAsia="zh-CN"/>
          <w14:textFill>
            <w14:solidFill>
              <w14:schemeClr w14:val="tx1"/>
            </w14:solidFill>
          </w14:textFill>
        </w:rPr>
        <w:t>防静电工作服、</w:t>
      </w:r>
      <w:r>
        <w:rPr>
          <w:rFonts w:hint="eastAsia"/>
          <w:color w:val="000000" w:themeColor="text1"/>
          <w:sz w:val="28"/>
          <w14:textFill>
            <w14:solidFill>
              <w14:schemeClr w14:val="tx1"/>
            </w14:solidFill>
          </w14:textFill>
        </w:rPr>
        <w:t>安全帽、</w:t>
      </w:r>
      <w:r>
        <w:rPr>
          <w:rFonts w:hint="eastAsia"/>
          <w:color w:val="000000" w:themeColor="text1"/>
          <w:sz w:val="28"/>
          <w:lang w:eastAsia="zh-CN"/>
          <w14:textFill>
            <w14:solidFill>
              <w14:schemeClr w14:val="tx1"/>
            </w14:solidFill>
          </w14:textFill>
        </w:rPr>
        <w:t>工作鞋、</w:t>
      </w:r>
      <w:r>
        <w:rPr>
          <w:rFonts w:hint="eastAsia"/>
          <w:color w:val="000000" w:themeColor="text1"/>
          <w:sz w:val="28"/>
          <w14:textFill>
            <w14:solidFill>
              <w14:schemeClr w14:val="tx1"/>
            </w14:solidFill>
          </w14:textFill>
        </w:rPr>
        <w:t>劳保手套等劳保用品，任何人进入</w:t>
      </w:r>
      <w:r>
        <w:rPr>
          <w:rFonts w:hint="eastAsia"/>
          <w:color w:val="000000" w:themeColor="text1"/>
          <w:sz w:val="28"/>
          <w:lang w:eastAsia="zh-CN"/>
          <w14:textFill>
            <w14:solidFill>
              <w14:schemeClr w14:val="tx1"/>
            </w14:solidFill>
          </w14:textFill>
        </w:rPr>
        <w:t>施工作业</w:t>
      </w:r>
      <w:r>
        <w:rPr>
          <w:rFonts w:hint="eastAsia"/>
          <w:color w:val="000000" w:themeColor="text1"/>
          <w:sz w:val="28"/>
          <w14:textFill>
            <w14:solidFill>
              <w14:schemeClr w14:val="tx1"/>
            </w14:solidFill>
          </w14:textFill>
        </w:rPr>
        <w:t>现场必须佩戴安全帽，</w:t>
      </w:r>
      <w:r>
        <w:rPr>
          <w:rFonts w:hint="eastAsia"/>
          <w:color w:val="000000" w:themeColor="text1"/>
          <w:sz w:val="28"/>
          <w:lang w:eastAsia="zh-CN"/>
          <w14:textFill>
            <w14:solidFill>
              <w14:schemeClr w14:val="tx1"/>
            </w14:solidFill>
          </w14:textFill>
        </w:rPr>
        <w:t>操作</w:t>
      </w:r>
      <w:r>
        <w:rPr>
          <w:rFonts w:hint="eastAsia"/>
          <w:color w:val="000000" w:themeColor="text1"/>
          <w:sz w:val="28"/>
          <w14:textFill>
            <w14:solidFill>
              <w14:schemeClr w14:val="tx1"/>
            </w14:solidFill>
          </w14:textFill>
        </w:rPr>
        <w:t>人员必须按规定佩戴好劳保用品方可进行施工</w:t>
      </w:r>
      <w:r>
        <w:rPr>
          <w:rFonts w:hint="eastAsia"/>
          <w:color w:val="000000" w:themeColor="text1"/>
          <w:sz w:val="28"/>
          <w:lang w:eastAsia="zh-CN"/>
          <w14:textFill>
            <w14:solidFill>
              <w14:schemeClr w14:val="tx1"/>
            </w14:solidFill>
          </w14:textFill>
        </w:rPr>
        <w:t>。</w:t>
      </w:r>
      <w:r>
        <w:rPr>
          <w:rFonts w:hint="eastAsia"/>
          <w:color w:val="000000" w:themeColor="text1"/>
          <w:sz w:val="28"/>
          <w:lang w:val="en-US" w:eastAsia="zh-CN"/>
          <w14:textFill>
            <w14:solidFill>
              <w14:schemeClr w14:val="tx1"/>
            </w14:solidFill>
          </w14:textFill>
        </w:rPr>
        <w:t>劳保配备标准见下表。</w:t>
      </w:r>
    </w:p>
    <w:p>
      <w:pPr>
        <w:adjustRightInd w:val="0"/>
        <w:snapToGrid w:val="0"/>
        <w:spacing w:line="360" w:lineRule="auto"/>
        <w:jc w:val="center"/>
        <w:rPr>
          <w:rFonts w:hint="default" w:ascii="Times New Roman" w:hAnsi="Times New Roman" w:cs="Times New Roman" w:eastAsiaTheme="minorEastAsia"/>
          <w:b/>
          <w:bCs/>
          <w:color w:val="0070C0"/>
          <w:sz w:val="24"/>
          <w:szCs w:val="22"/>
        </w:rPr>
      </w:pPr>
      <w:r>
        <w:rPr>
          <w:rFonts w:hint="default" w:ascii="Times New Roman" w:hAnsi="Times New Roman" w:cs="Times New Roman" w:eastAsiaTheme="minorEastAsia"/>
          <w:b/>
          <w:bCs/>
          <w:color w:val="000000" w:themeColor="text1"/>
          <w:sz w:val="24"/>
          <w:szCs w:val="22"/>
          <w14:textFill>
            <w14:solidFill>
              <w14:schemeClr w14:val="tx1"/>
            </w14:solidFill>
          </w14:textFill>
        </w:rPr>
        <w:t>表2-</w:t>
      </w:r>
      <w:r>
        <w:rPr>
          <w:rFonts w:hint="default" w:ascii="Times New Roman" w:hAnsi="Times New Roman" w:cs="Times New Roman" w:eastAsiaTheme="minorEastAsia"/>
          <w:b/>
          <w:bCs/>
          <w:color w:val="000000" w:themeColor="text1"/>
          <w:sz w:val="24"/>
          <w:szCs w:val="22"/>
          <w:lang w:val="en-US" w:eastAsia="zh-CN"/>
          <w14:textFill>
            <w14:solidFill>
              <w14:schemeClr w14:val="tx1"/>
            </w14:solidFill>
          </w14:textFill>
        </w:rPr>
        <w:t>1</w:t>
      </w:r>
      <w:r>
        <w:rPr>
          <w:rFonts w:hint="eastAsia" w:cs="Times New Roman" w:eastAsiaTheme="minorEastAsia"/>
          <w:b/>
          <w:bCs/>
          <w:color w:val="000000" w:themeColor="text1"/>
          <w:sz w:val="24"/>
          <w:szCs w:val="22"/>
          <w:lang w:val="en-US" w:eastAsia="zh-CN"/>
          <w14:textFill>
            <w14:solidFill>
              <w14:schemeClr w14:val="tx1"/>
            </w14:solidFill>
          </w14:textFill>
        </w:rPr>
        <w:t>0</w:t>
      </w:r>
      <w:r>
        <w:rPr>
          <w:rFonts w:hint="default" w:ascii="Times New Roman" w:hAnsi="Times New Roman" w:cs="Times New Roman" w:eastAsiaTheme="minorEastAsia"/>
          <w:b/>
          <w:bCs/>
          <w:color w:val="000000" w:themeColor="text1"/>
          <w:sz w:val="24"/>
          <w:szCs w:val="22"/>
          <w14:textFill>
            <w14:solidFill>
              <w14:schemeClr w14:val="tx1"/>
            </w14:solidFill>
          </w14:textFill>
        </w:rPr>
        <w:t>劳保用品配备标准</w:t>
      </w:r>
    </w:p>
    <w:tbl>
      <w:tblPr>
        <w:tblStyle w:val="53"/>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39"/>
        <w:gridCol w:w="1214"/>
        <w:gridCol w:w="1215"/>
        <w:gridCol w:w="1215"/>
        <w:gridCol w:w="1215"/>
        <w:gridCol w:w="1065"/>
        <w:gridCol w:w="1065"/>
        <w:gridCol w:w="1065"/>
        <w:gridCol w:w="1065"/>
        <w:gridCol w:w="1070"/>
        <w:gridCol w:w="1070"/>
        <w:gridCol w:w="10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1" w:hRule="atLeast"/>
          <w:tblHeader/>
          <w:jc w:val="center"/>
        </w:trPr>
        <w:tc>
          <w:tcPr>
            <w:tcW w:w="648" w:type="pct"/>
            <w:tcBorders>
              <w:tl2br w:val="nil"/>
              <w:tr2bl w:val="nil"/>
            </w:tcBorders>
            <mc:AlternateContent>
              <mc:Choice Requires="wpsCustomData">
                <wpsCustomData:diagonals>
                  <wpsCustomData:diagonal from="10000" to="30000">
                    <wpsCustomData:border w:val="single" w:color="auto" w:sz="12" w:space="0"/>
                  </wpsCustomData:diagonal>
                </wpsCustomData:diagonals>
              </mc:Choice>
            </mc:AlternateContent>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bCs/>
                <w:sz w:val="18"/>
                <w:szCs w:val="18"/>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bCs/>
                <w:sz w:val="18"/>
                <w:szCs w:val="18"/>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作业工种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mc:AlternateContent>
                <mc:Choice Requires="wpsCustomData">
                  <wpsCustomData:diagonalParaType/>
                </mc:Choice>
              </mc:AlternateContent>
              <w:rPr>
                <w:rFonts w:hint="default" w:ascii="Times New Roman" w:hAnsi="Times New Roman" w:eastAsia="宋体" w:cs="Times New Roman"/>
                <w:b/>
                <w:bCs/>
                <w:sz w:val="18"/>
                <w:szCs w:val="18"/>
                <w:vertAlign w:val="baseline"/>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防护用品名称</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r>
              <w:rPr>
                <w:rFonts w:hint="default" w:ascii="Times New Roman" w:hAnsi="Times New Roman" w:eastAsia="宋体" w:cs="Times New Roman"/>
                <w:b/>
                <w:bCs/>
                <w:sz w:val="18"/>
                <w:szCs w:val="18"/>
                <w:lang w:val="en-US" w:eastAsia="zh-CN"/>
              </w:rPr>
              <w:t>防静电抗油拒水防护服（夏）</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r>
              <w:rPr>
                <w:rFonts w:hint="default" w:ascii="Times New Roman" w:hAnsi="Times New Roman" w:eastAsia="宋体" w:cs="Times New Roman"/>
                <w:b/>
                <w:bCs/>
                <w:sz w:val="18"/>
                <w:szCs w:val="18"/>
                <w:lang w:val="en-US" w:eastAsia="zh-CN"/>
              </w:rPr>
              <w:t>防静电抗油拒水防护服（春秋）</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r>
              <w:rPr>
                <w:rFonts w:hint="default" w:ascii="Times New Roman" w:hAnsi="Times New Roman" w:eastAsia="宋体" w:cs="Times New Roman"/>
                <w:b/>
                <w:bCs/>
                <w:sz w:val="18"/>
                <w:szCs w:val="18"/>
                <w:lang w:val="en-US" w:eastAsia="zh-CN"/>
              </w:rPr>
              <w:t>防静电抗油拒水防护服（防寒）</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r>
              <w:rPr>
                <w:rFonts w:hint="default" w:ascii="Times New Roman" w:hAnsi="Times New Roman" w:eastAsia="宋体" w:cs="Times New Roman"/>
                <w:b/>
                <w:bCs/>
                <w:sz w:val="18"/>
                <w:szCs w:val="18"/>
                <w:lang w:val="en-US" w:eastAsia="zh-CN"/>
              </w:rPr>
              <w:t>防砸滑刺耐油单工作鞋</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r>
              <w:rPr>
                <w:rFonts w:hint="default" w:ascii="Times New Roman" w:hAnsi="Times New Roman" w:eastAsia="宋体" w:cs="Times New Roman"/>
                <w:b/>
                <w:bCs/>
                <w:sz w:val="18"/>
                <w:szCs w:val="18"/>
                <w:lang w:val="en-US" w:eastAsia="zh-CN"/>
              </w:rPr>
              <w:t>防砸滑刺耐油防寒工作鞋</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2728" w:leftChars="-1894" w:right="0" w:hanging="1249" w:hangingChars="694"/>
              <w:jc w:val="center"/>
              <w:textAlignment w:val="auto"/>
              <w:rPr>
                <w:rFonts w:hint="default" w:ascii="Times New Roman" w:hAnsi="Times New Roman" w:eastAsia="宋体" w:cs="Times New Roman"/>
                <w:b/>
                <w:bCs/>
                <w:sz w:val="18"/>
                <w:szCs w:val="18"/>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r>
              <w:rPr>
                <w:rFonts w:hint="default" w:ascii="Times New Roman" w:hAnsi="Times New Roman" w:eastAsia="宋体" w:cs="Times New Roman"/>
                <w:b/>
                <w:bCs/>
                <w:kern w:val="2"/>
                <w:sz w:val="18"/>
                <w:szCs w:val="18"/>
                <w:lang w:val="en-US" w:eastAsia="zh-CN" w:bidi="ar-SA"/>
              </w:rPr>
              <w:t>安全帽</w:t>
            </w:r>
          </w:p>
        </w:tc>
        <w:tc>
          <w:tcPr>
            <w:tcW w:w="375" w:type="pct"/>
            <w:tcBorders>
              <w:tl2br w:val="nil"/>
              <w:tr2bl w:val="nil"/>
            </w:tcBorders>
            <w:vAlign w:val="center"/>
          </w:tcPr>
          <w:p>
            <w:pPr>
              <w:keepNext w:val="0"/>
              <w:keepLines w:val="0"/>
              <w:pageBreakBefore w:val="0"/>
              <w:widowControl w:val="0"/>
              <w:suppressLineNumbers w:val="0"/>
              <w:tabs>
                <w:tab w:val="left" w:pos="5040"/>
              </w:tabs>
              <w:kinsoku/>
              <w:wordWrap/>
              <w:overflowPunct/>
              <w:topLinePunct w:val="0"/>
              <w:autoSpaceDE/>
              <w:autoSpaceDN/>
              <w:bidi w:val="0"/>
              <w:adjustRightInd w:val="0"/>
              <w:snapToGrid w:val="0"/>
              <w:spacing w:before="0" w:beforeAutospacing="0" w:after="0" w:afterAutospacing="0"/>
              <w:ind w:left="-2728" w:leftChars="-1894" w:right="0" w:hanging="1249" w:hangingChars="694"/>
              <w:jc w:val="center"/>
              <w:textAlignment w:val="auto"/>
              <w:rPr>
                <w:rFonts w:hint="default" w:ascii="Times New Roman" w:hAnsi="Times New Roman" w:eastAsia="宋体" w:cs="Times New Roman"/>
                <w:b/>
                <w:bCs/>
                <w:kern w:val="2"/>
                <w:sz w:val="18"/>
                <w:szCs w:val="18"/>
                <w:lang w:val="en-US" w:eastAsia="zh-CN" w:bidi="ar-SA"/>
              </w:rPr>
            </w:pPr>
            <w:r>
              <w:rPr>
                <w:rFonts w:hint="default" w:ascii="Times New Roman" w:hAnsi="Times New Roman" w:eastAsia="宋体" w:cs="Times New Roman"/>
                <w:b/>
                <w:bCs/>
                <w:sz w:val="18"/>
                <w:szCs w:val="18"/>
                <w:lang w:val="en-US" w:eastAsia="zh-CN"/>
              </w:rPr>
              <w:t>防寒安全帽</w:t>
            </w:r>
            <w:r>
              <w:rPr>
                <w:rFonts w:hint="default" w:ascii="Times New Roman" w:hAnsi="Times New Roman" w:eastAsia="宋体" w:cs="Times New Roman"/>
                <w:b/>
                <w:bCs/>
                <w:kern w:val="2"/>
                <w:sz w:val="18"/>
                <w:szCs w:val="18"/>
                <w:lang w:val="en-US" w:eastAsia="zh-CN" w:bidi="ar-SA"/>
              </w:rPr>
              <w:t>防寒安全帽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r>
              <w:rPr>
                <w:rFonts w:hint="default" w:ascii="Times New Roman" w:hAnsi="Times New Roman" w:eastAsia="宋体" w:cs="Times New Roman"/>
                <w:b/>
                <w:bCs/>
                <w:kern w:val="2"/>
                <w:sz w:val="18"/>
                <w:szCs w:val="18"/>
                <w:lang w:val="en-US" w:eastAsia="zh-CN" w:bidi="ar-SA"/>
              </w:rPr>
              <w:t>防寒安全帽</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r>
              <w:rPr>
                <w:rFonts w:hint="default" w:ascii="Times New Roman" w:hAnsi="Times New Roman" w:eastAsia="宋体" w:cs="Times New Roman"/>
                <w:b/>
                <w:bCs/>
                <w:sz w:val="18"/>
                <w:szCs w:val="18"/>
                <w:lang w:val="en-US" w:eastAsia="zh-CN"/>
              </w:rPr>
              <w:t>耐油防滑单手套</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耐油防滑防寒手套</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耳塞</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18"/>
                <w:szCs w:val="18"/>
                <w:vertAlign w:val="baseline"/>
              </w:rPr>
            </w:pPr>
            <w:r>
              <w:rPr>
                <w:rFonts w:hint="default" w:ascii="Times New Roman" w:hAnsi="Times New Roman" w:eastAsia="宋体" w:cs="Times New Roman"/>
                <w:b/>
                <w:bCs/>
                <w:sz w:val="18"/>
                <w:szCs w:val="18"/>
                <w:lang w:val="en-US" w:eastAsia="zh-CN"/>
              </w:rPr>
              <w:t>职业眼面部防护镜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4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lang w:val="en-US" w:eastAsia="zh-CN" w:bidi="ar-SA"/>
              </w:rPr>
            </w:pPr>
            <w:r>
              <w:rPr>
                <w:rFonts w:hint="eastAsia" w:cs="Times New Roman"/>
                <w:sz w:val="18"/>
                <w:szCs w:val="18"/>
                <w:lang w:val="en-US" w:eastAsia="zh-CN"/>
              </w:rPr>
              <w:t>总</w:t>
            </w:r>
            <w:r>
              <w:rPr>
                <w:rFonts w:hint="default" w:ascii="Times New Roman" w:hAnsi="Times New Roman" w:eastAsia="宋体" w:cs="Times New Roman"/>
                <w:sz w:val="18"/>
                <w:szCs w:val="18"/>
                <w:lang w:val="en-US" w:eastAsia="zh-CN"/>
              </w:rPr>
              <w:t>经理</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2年/1套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64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副</w:t>
            </w:r>
            <w:r>
              <w:rPr>
                <w:rFonts w:hint="eastAsia" w:cs="Times New Roman"/>
                <w:sz w:val="18"/>
                <w:szCs w:val="18"/>
                <w:lang w:val="en-US" w:eastAsia="zh-CN"/>
              </w:rPr>
              <w:t>总</w:t>
            </w:r>
            <w:r>
              <w:rPr>
                <w:rFonts w:hint="default" w:ascii="Times New Roman" w:hAnsi="Times New Roman" w:eastAsia="宋体" w:cs="Times New Roman"/>
                <w:sz w:val="18"/>
                <w:szCs w:val="18"/>
                <w:lang w:val="en-US" w:eastAsia="zh-CN"/>
              </w:rPr>
              <w:t>经理</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64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安全员</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2年/1套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4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lang w:val="en-US" w:eastAsia="zh-CN" w:bidi="ar-SA"/>
              </w:rPr>
            </w:pPr>
            <w:r>
              <w:rPr>
                <w:rFonts w:hint="eastAsia" w:cs="Times New Roman"/>
                <w:sz w:val="18"/>
                <w:szCs w:val="18"/>
                <w:lang w:val="en-US" w:eastAsia="zh-CN"/>
              </w:rPr>
              <w:t>部室</w:t>
            </w:r>
            <w:r>
              <w:rPr>
                <w:rFonts w:hint="default" w:ascii="Times New Roman" w:hAnsi="Times New Roman" w:eastAsia="宋体" w:cs="Times New Roman"/>
                <w:sz w:val="18"/>
                <w:szCs w:val="18"/>
                <w:lang w:val="en-US" w:eastAsia="zh-CN"/>
              </w:rPr>
              <w:t>人员</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4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lang w:val="en-US" w:eastAsia="zh-CN" w:bidi="ar-SA"/>
              </w:rPr>
            </w:pPr>
            <w:r>
              <w:rPr>
                <w:rFonts w:hint="eastAsia" w:cs="Times New Roman"/>
                <w:kern w:val="2"/>
                <w:sz w:val="18"/>
                <w:szCs w:val="18"/>
                <w:lang w:val="en-US" w:eastAsia="zh-CN" w:bidi="ar-SA"/>
              </w:rPr>
              <w:t>生产部经理</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4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队长</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2年/1套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1年/1双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2年/1双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1年/48副</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1年/36副</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kern w:val="2"/>
                <w:sz w:val="18"/>
                <w:szCs w:val="18"/>
                <w:vertAlign w:val="baseline"/>
                <w:lang w:val="en-US" w:eastAsia="zh-CN" w:bidi="ar-SA"/>
              </w:rPr>
              <w:t>1年/4副</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kern w:val="2"/>
                <w:sz w:val="18"/>
                <w:szCs w:val="18"/>
                <w:vertAlign w:val="baseline"/>
                <w:lang w:val="en-US" w:eastAsia="zh-CN" w:bidi="ar-SA"/>
              </w:rPr>
              <w:t>3年/1副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64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操作工</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1年/48副</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1年/36副</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kern w:val="2"/>
                <w:sz w:val="18"/>
                <w:szCs w:val="18"/>
                <w:vertAlign w:val="baseline"/>
                <w:lang w:val="en-US" w:eastAsia="zh-CN" w:bidi="ar-SA"/>
              </w:rPr>
              <w:t>1年/4副</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kern w:val="2"/>
                <w:sz w:val="18"/>
                <w:szCs w:val="18"/>
                <w:vertAlign w:val="baseline"/>
                <w:lang w:val="en-US" w:eastAsia="zh-CN" w:bidi="ar-SA"/>
              </w:rPr>
              <w:t>3年/1副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64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lang w:val="en-US" w:eastAsia="zh-CN" w:bidi="ar-SA"/>
              </w:rPr>
            </w:pPr>
            <w:r>
              <w:rPr>
                <w:rFonts w:hint="eastAsia" w:cs="Times New Roman"/>
                <w:kern w:val="2"/>
                <w:sz w:val="18"/>
                <w:szCs w:val="18"/>
                <w:lang w:val="en-US" w:eastAsia="zh-CN" w:bidi="ar-SA"/>
              </w:rPr>
              <w:t>工程技术员</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2年/1套</w:t>
            </w:r>
          </w:p>
        </w:tc>
        <w:tc>
          <w:tcPr>
            <w:tcW w:w="42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2年/1双</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2年/1顶</w:t>
            </w:r>
          </w:p>
        </w:tc>
        <w:tc>
          <w:tcPr>
            <w:tcW w:w="37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1年/48副</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1年/36副</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kern w:val="2"/>
                <w:sz w:val="18"/>
                <w:szCs w:val="18"/>
                <w:vertAlign w:val="baseline"/>
                <w:lang w:val="en-US" w:eastAsia="zh-CN" w:bidi="ar-SA"/>
              </w:rPr>
              <w:t>1年/4副</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kern w:val="2"/>
                <w:sz w:val="18"/>
                <w:szCs w:val="18"/>
                <w:vertAlign w:val="baseline"/>
                <w:lang w:val="en-US" w:eastAsia="zh-CN" w:bidi="ar-SA"/>
              </w:rPr>
              <w:t>3年/1副</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eastAsia="宋体"/>
          <w:color w:val="0070C0"/>
          <w:sz w:val="28"/>
          <w:szCs w:val="28"/>
          <w:lang w:val="en-US" w:eastAsia="zh-CN"/>
        </w:rPr>
      </w:pPr>
      <w:r>
        <w:rPr>
          <w:rFonts w:hint="eastAsia"/>
          <w:color w:val="auto"/>
          <w:sz w:val="28"/>
          <w:szCs w:val="28"/>
        </w:rPr>
        <w:t>从业人员劳动防护用品的配备符合《个体防护装备配备规范 第2部分：石油、化工、天然气》（GB39800.2-2020）</w:t>
      </w:r>
      <w:r>
        <w:rPr>
          <w:rFonts w:hint="eastAsia"/>
          <w:color w:val="auto"/>
          <w:sz w:val="28"/>
          <w:szCs w:val="28"/>
          <w:lang w:eastAsia="zh-CN"/>
        </w:rPr>
        <w:t>、《石油天然气作业场所劳动防护用品配备规范》（SY/T6524-2017）、《山东省劳动防护用品配备标准》（DB37/1922-2011）</w:t>
      </w:r>
      <w:r>
        <w:rPr>
          <w:rFonts w:hint="eastAsia"/>
          <w:color w:val="auto"/>
          <w:sz w:val="28"/>
          <w:szCs w:val="28"/>
        </w:rPr>
        <w:t>的要求，可以满足日常劳保需要。</w:t>
      </w:r>
      <w:r>
        <w:rPr>
          <w:rFonts w:hint="eastAsia"/>
          <w:color w:val="auto"/>
          <w:sz w:val="28"/>
          <w:szCs w:val="28"/>
          <w:lang w:val="en-US" w:eastAsia="zh-CN"/>
        </w:rPr>
        <w:t>劳保发放记录见报告附件19。</w:t>
      </w:r>
    </w:p>
    <w:p>
      <w:pPr>
        <w:adjustRightInd w:val="0"/>
        <w:snapToGrid w:val="0"/>
        <w:spacing w:line="360" w:lineRule="auto"/>
        <w:jc w:val="center"/>
        <w:rPr>
          <w:rFonts w:hint="default" w:ascii="Times New Roman" w:hAnsi="Times New Roman" w:cs="Times New Roman" w:eastAsiaTheme="minorEastAsia"/>
          <w:b/>
          <w:bCs/>
          <w:color w:val="000000" w:themeColor="text1"/>
          <w:sz w:val="24"/>
          <w:szCs w:val="22"/>
          <w14:textFill>
            <w14:solidFill>
              <w14:schemeClr w14:val="tx1"/>
            </w14:solidFill>
          </w14:textFill>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4"/>
        <w:adjustRightInd w:val="0"/>
        <w:snapToGrid w:val="0"/>
        <w:spacing w:before="0" w:after="0" w:line="360" w:lineRule="auto"/>
        <w:rPr>
          <w:rFonts w:hint="eastAsia" w:ascii="Times New Roman" w:hAnsi="Times New Roman"/>
          <w:b w:val="0"/>
          <w:bCs/>
          <w:color w:val="auto"/>
          <w:szCs w:val="32"/>
          <w:lang w:val="en-US" w:eastAsia="zh-CN"/>
        </w:rPr>
      </w:pPr>
      <w:bookmarkStart w:id="40" w:name="_Toc29833"/>
      <w:r>
        <w:rPr>
          <w:rFonts w:hint="eastAsia" w:ascii="Times New Roman" w:hAnsi="Times New Roman"/>
          <w:b w:val="0"/>
          <w:bCs/>
          <w:color w:val="auto"/>
          <w:szCs w:val="32"/>
          <w:lang w:val="en-US" w:eastAsia="zh-CN"/>
        </w:rPr>
        <w:t>2.10 设备设施检测、检验情况</w:t>
      </w:r>
      <w:bookmarkEnd w:id="40"/>
    </w:p>
    <w:p>
      <w:pPr>
        <w:pStyle w:val="5"/>
        <w:keepNext w:val="0"/>
        <w:keepLines w:val="0"/>
        <w:pageBreakBefore w:val="0"/>
        <w:widowControl w:val="0"/>
        <w:wordWrap/>
        <w:bidi w:val="0"/>
        <w:adjustRightInd w:val="0"/>
        <w:snapToGrid w:val="0"/>
        <w:spacing w:before="0" w:after="0" w:line="360" w:lineRule="auto"/>
        <w:rPr>
          <w:rFonts w:hint="eastAsia"/>
          <w:color w:val="0070C0"/>
          <w:sz w:val="28"/>
          <w:szCs w:val="28"/>
          <w:highlight w:val="yellow"/>
        </w:rPr>
      </w:pPr>
      <w:r>
        <w:rPr>
          <w:rFonts w:hint="default" w:ascii="Times New Roman" w:hAnsi="Times New Roman" w:eastAsia="黑体" w:cs="Times New Roman"/>
          <w:b w:val="0"/>
          <w:snapToGrid w:val="0"/>
          <w:color w:val="000000" w:themeColor="text1"/>
          <w:kern w:val="0"/>
          <w:sz w:val="28"/>
          <w:szCs w:val="28"/>
          <w:highlight w:val="none"/>
          <w14:textFill>
            <w14:solidFill>
              <w14:schemeClr w14:val="tx1"/>
            </w14:solidFill>
          </w14:textFill>
        </w:rPr>
        <w:t>2.1</w:t>
      </w:r>
      <w:r>
        <w:rPr>
          <w:rFonts w:hint="default" w:ascii="Times New Roman" w:hAnsi="Times New Roman" w:eastAsia="黑体" w:cs="Times New Roman"/>
          <w:b w:val="0"/>
          <w:snapToGrid w:val="0"/>
          <w:color w:val="000000" w:themeColor="text1"/>
          <w:kern w:val="0"/>
          <w:sz w:val="28"/>
          <w:szCs w:val="28"/>
          <w:highlight w:val="none"/>
          <w:lang w:val="en-US" w:eastAsia="zh-CN"/>
          <w14:textFill>
            <w14:solidFill>
              <w14:schemeClr w14:val="tx1"/>
            </w14:solidFill>
          </w14:textFill>
        </w:rPr>
        <w:t>0</w:t>
      </w:r>
      <w:r>
        <w:rPr>
          <w:rFonts w:hint="default" w:ascii="Times New Roman" w:hAnsi="Times New Roman" w:eastAsia="黑体" w:cs="Times New Roman"/>
          <w:b w:val="0"/>
          <w:snapToGrid w:val="0"/>
          <w:color w:val="000000" w:themeColor="text1"/>
          <w:kern w:val="0"/>
          <w:sz w:val="28"/>
          <w:szCs w:val="28"/>
          <w:highlight w:val="none"/>
          <w14:textFill>
            <w14:solidFill>
              <w14:schemeClr w14:val="tx1"/>
            </w14:solidFill>
          </w14:textFill>
        </w:rPr>
        <w:t xml:space="preserve">.1 </w:t>
      </w:r>
      <w:r>
        <w:rPr>
          <w:rFonts w:hint="default" w:ascii="Times New Roman" w:hAnsi="Times New Roman" w:eastAsia="黑体" w:cs="Times New Roman"/>
          <w:b w:val="0"/>
          <w:snapToGrid w:val="0"/>
          <w:color w:val="000000" w:themeColor="text1"/>
          <w:kern w:val="0"/>
          <w:sz w:val="28"/>
          <w:szCs w:val="28"/>
          <w:highlight w:val="none"/>
          <w:lang w:eastAsia="zh-CN"/>
          <w14:textFill>
            <w14:solidFill>
              <w14:schemeClr w14:val="tx1"/>
            </w14:solidFill>
          </w14:textFill>
        </w:rPr>
        <w:t>特种设备检测、检验情况</w:t>
      </w:r>
    </w:p>
    <w:p>
      <w:pPr>
        <w:pStyle w:val="2"/>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山东华曦石油技术服务有限公司复合气作业队共有5台油气分离器和2台缓冲罐、注汽作业队具有1台承压蒸汽锅炉，皆属于特种设备。</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其检测、检验情况见表2-1</w:t>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1，检验检测报告详见附件13。</w:t>
      </w:r>
    </w:p>
    <w:p>
      <w:pP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keepNext w:val="0"/>
        <w:keepLines w:val="0"/>
        <w:pageBreakBefore w:val="0"/>
        <w:widowControl w:val="0"/>
        <w:kinsoku/>
        <w:wordWrap/>
        <w:overflowPunct/>
        <w:topLinePunct w:val="0"/>
        <w:autoSpaceDE/>
        <w:autoSpaceDN/>
        <w:bidi w:val="0"/>
        <w:adjustRightInd w:val="0"/>
        <w:snapToGrid w:val="0"/>
        <w:spacing w:before="161" w:beforeLines="50" w:after="0" w:line="360" w:lineRule="auto"/>
        <w:textAlignment w:val="auto"/>
        <w:outlineLvl w:val="9"/>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161" w:beforeLines="50" w:after="0" w:line="360" w:lineRule="auto"/>
        <w:ind w:firstLine="560" w:firstLineChars="200"/>
        <w:textAlignment w:val="auto"/>
        <w:outlineLvl w:val="9"/>
        <w:rPr>
          <w:rFonts w:hint="default" w:ascii="Times New Roman" w:hAnsi="Times New Roman" w:eastAsia="宋体" w:cs="Times New Roman"/>
          <w:b w:val="0"/>
          <w:snapToGrid w:val="0"/>
          <w:color w:val="000000" w:themeColor="text1"/>
          <w:kern w:val="0"/>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山东华曦石油技术服务有限</w:t>
      </w:r>
      <w:r>
        <w:rPr>
          <w:rFonts w:hint="eastAsia" w:ascii="Times New Roman" w:hAnsi="Times New Roman" w:eastAsia="宋体" w:cs="Times New Roman"/>
          <w:b w:val="0"/>
          <w:snapToGrid w:val="0"/>
          <w:color w:val="000000" w:themeColor="text1"/>
          <w:kern w:val="0"/>
          <w:sz w:val="28"/>
          <w:szCs w:val="28"/>
          <w:lang w:eastAsia="zh-CN"/>
          <w14:textFill>
            <w14:solidFill>
              <w14:schemeClr w14:val="tx1"/>
            </w14:solidFill>
          </w14:textFill>
        </w:rPr>
        <w:t>公司特种设备</w:t>
      </w:r>
      <w:r>
        <w:rPr>
          <w:rFonts w:hint="default" w:ascii="Times New Roman" w:hAnsi="Times New Roman" w:eastAsia="宋体" w:cs="Times New Roman"/>
          <w:b w:val="0"/>
          <w:snapToGrid w:val="0"/>
          <w:color w:val="000000" w:themeColor="text1"/>
          <w:kern w:val="0"/>
          <w:sz w:val="28"/>
          <w:szCs w:val="28"/>
          <w:lang w:eastAsia="zh-CN"/>
          <w14:textFill>
            <w14:solidFill>
              <w14:schemeClr w14:val="tx1"/>
            </w14:solidFill>
          </w14:textFill>
        </w:rPr>
        <w:t>均已在</w:t>
      </w:r>
      <w:r>
        <w:rPr>
          <w:rFonts w:hint="default" w:ascii="Times New Roman" w:hAnsi="Times New Roman" w:eastAsia="宋体" w:cs="Times New Roman"/>
          <w:b w:val="0"/>
          <w:snapToGrid w:val="0"/>
          <w:color w:val="000000" w:themeColor="text1"/>
          <w:kern w:val="0"/>
          <w:sz w:val="28"/>
          <w:szCs w:val="28"/>
          <w:lang w:val="en-US" w:eastAsia="zh-CN"/>
          <w14:textFill>
            <w14:solidFill>
              <w14:schemeClr w14:val="tx1"/>
            </w14:solidFill>
          </w14:textFill>
        </w:rPr>
        <w:t>东营市市场监督管理局备案，并获得特种设备使用登记证。所有特种设备</w:t>
      </w:r>
      <w:r>
        <w:rPr>
          <w:rFonts w:hint="eastAsia" w:ascii="Times New Roman" w:hAnsi="Times New Roman" w:eastAsia="宋体" w:cs="Times New Roman"/>
          <w:b w:val="0"/>
          <w:snapToGrid w:val="0"/>
          <w:color w:val="000000" w:themeColor="text1"/>
          <w:kern w:val="0"/>
          <w:sz w:val="28"/>
          <w:szCs w:val="28"/>
          <w:lang w:val="en-US" w:eastAsia="zh-CN"/>
          <w14:textFill>
            <w14:solidFill>
              <w14:schemeClr w14:val="tx1"/>
            </w14:solidFill>
          </w14:textFill>
        </w:rPr>
        <w:t>已</w:t>
      </w:r>
      <w:r>
        <w:rPr>
          <w:rFonts w:hint="default" w:ascii="Times New Roman" w:hAnsi="Times New Roman" w:eastAsia="宋体" w:cs="Times New Roman"/>
          <w:b w:val="0"/>
          <w:snapToGrid w:val="0"/>
          <w:color w:val="000000" w:themeColor="text1"/>
          <w:kern w:val="0"/>
          <w:sz w:val="28"/>
          <w:szCs w:val="28"/>
          <w:lang w:val="en-US" w:eastAsia="zh-CN"/>
          <w14:textFill>
            <w14:solidFill>
              <w14:schemeClr w14:val="tx1"/>
            </w14:solidFill>
          </w14:textFill>
        </w:rPr>
        <w:t>在</w:t>
      </w:r>
      <w:r>
        <w:rPr>
          <w:rFonts w:hint="eastAsia" w:cs="Times New Roman"/>
          <w:b w:val="0"/>
          <w:snapToGrid w:val="0"/>
          <w:color w:val="000000" w:themeColor="text1"/>
          <w:kern w:val="0"/>
          <w:sz w:val="28"/>
          <w:szCs w:val="28"/>
          <w:lang w:val="en-US" w:eastAsia="zh-CN"/>
          <w14:textFill>
            <w14:solidFill>
              <w14:schemeClr w14:val="tx1"/>
            </w14:solidFill>
          </w14:textFill>
        </w:rPr>
        <w:t>东营市</w:t>
      </w:r>
      <w:r>
        <w:rPr>
          <w:rFonts w:hint="default" w:ascii="Times New Roman" w:hAnsi="Times New Roman" w:eastAsia="宋体" w:cs="Times New Roman"/>
          <w:b w:val="0"/>
          <w:snapToGrid w:val="0"/>
          <w:color w:val="000000" w:themeColor="text1"/>
          <w:kern w:val="0"/>
          <w:sz w:val="28"/>
          <w:szCs w:val="28"/>
          <w:lang w:val="en-US" w:eastAsia="zh-CN"/>
          <w14:textFill>
            <w14:solidFill>
              <w14:schemeClr w14:val="tx1"/>
            </w14:solidFill>
          </w14:textFill>
        </w:rPr>
        <w:t>特种设备检验研究院</w:t>
      </w:r>
      <w:r>
        <w:rPr>
          <w:rFonts w:hint="eastAsia" w:ascii="Times New Roman" w:hAnsi="Times New Roman" w:eastAsia="宋体" w:cs="Times New Roman"/>
          <w:b w:val="0"/>
          <w:snapToGrid w:val="0"/>
          <w:color w:val="000000" w:themeColor="text1"/>
          <w:kern w:val="0"/>
          <w:sz w:val="28"/>
          <w:szCs w:val="28"/>
          <w:lang w:val="en-US" w:eastAsia="zh-CN"/>
          <w14:textFill>
            <w14:solidFill>
              <w14:schemeClr w14:val="tx1"/>
            </w14:solidFill>
          </w14:textFill>
        </w:rPr>
        <w:t>或</w:t>
      </w:r>
      <w:r>
        <w:rPr>
          <w:rFonts w:hint="default" w:ascii="Times New Roman" w:hAnsi="Times New Roman" w:eastAsia="宋体" w:cs="Times New Roman"/>
          <w:b w:val="0"/>
          <w:snapToGrid w:val="0"/>
          <w:color w:val="000000" w:themeColor="text1"/>
          <w:kern w:val="0"/>
          <w:sz w:val="28"/>
          <w:szCs w:val="28"/>
          <w:lang w:val="en-US" w:eastAsia="zh-CN"/>
          <w14:textFill>
            <w14:solidFill>
              <w14:schemeClr w14:val="tx1"/>
            </w14:solidFill>
          </w14:textFill>
        </w:rPr>
        <w:t>山东省特种设备检验研究院有限公司检验检测，特种设备</w:t>
      </w:r>
      <w:r>
        <w:rPr>
          <w:rFonts w:hint="default" w:ascii="Times New Roman" w:hAnsi="Times New Roman" w:cs="Times New Roman"/>
          <w:b w:val="0"/>
          <w:snapToGrid w:val="0"/>
          <w:color w:val="000000" w:themeColor="text1"/>
          <w:kern w:val="0"/>
          <w:sz w:val="28"/>
          <w:szCs w:val="28"/>
          <w:lang w:val="en-US" w:eastAsia="zh-CN"/>
          <w14:textFill>
            <w14:solidFill>
              <w14:schemeClr w14:val="tx1"/>
            </w14:solidFill>
          </w14:textFill>
        </w:rPr>
        <w:t>均在检验有效期内，符合《中华人民共和国特种设备安全法》（主席令[2013]第4号）等有关法律、法规、标准的要求。</w:t>
      </w:r>
    </w:p>
    <w:p>
      <w:pPr>
        <w:pStyle w:val="5"/>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pP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2.1</w:t>
      </w:r>
      <w:r>
        <w:rPr>
          <w:rFonts w:hint="default" w:ascii="Times New Roman" w:hAnsi="Times New Roman" w:eastAsia="黑体" w:cs="Times New Roman"/>
          <w:b w:val="0"/>
          <w:snapToGrid w:val="0"/>
          <w:color w:val="000000" w:themeColor="text1"/>
          <w:kern w:val="0"/>
          <w:sz w:val="28"/>
          <w:szCs w:val="28"/>
          <w:lang w:val="en-US" w:eastAsia="zh-CN"/>
          <w14:textFill>
            <w14:solidFill>
              <w14:schemeClr w14:val="tx1"/>
            </w14:solidFill>
          </w14:textFill>
        </w:rPr>
        <w:t>0</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w:t>
      </w:r>
      <w:r>
        <w:rPr>
          <w:rFonts w:hint="default" w:ascii="Times New Roman" w:hAnsi="Times New Roman" w:eastAsia="黑体" w:cs="Times New Roman"/>
          <w:b w:val="0"/>
          <w:snapToGrid w:val="0"/>
          <w:color w:val="000000" w:themeColor="text1"/>
          <w:kern w:val="0"/>
          <w:sz w:val="28"/>
          <w:szCs w:val="28"/>
          <w:lang w:val="en-US" w:eastAsia="zh-CN"/>
          <w14:textFill>
            <w14:solidFill>
              <w14:schemeClr w14:val="tx1"/>
            </w14:solidFill>
          </w14:textFill>
        </w:rPr>
        <w:t>2</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 xml:space="preserve"> </w:t>
      </w:r>
      <w:r>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t>压力表、安全阀、</w:t>
      </w:r>
      <w:r>
        <w:rPr>
          <w:rFonts w:hint="eastAsia" w:eastAsia="黑体" w:cs="Times New Roman"/>
          <w:b w:val="0"/>
          <w:snapToGrid w:val="0"/>
          <w:color w:val="000000" w:themeColor="text1"/>
          <w:kern w:val="0"/>
          <w:sz w:val="28"/>
          <w:szCs w:val="28"/>
          <w:lang w:val="en-US" w:eastAsia="zh-CN"/>
          <w14:textFill>
            <w14:solidFill>
              <w14:schemeClr w14:val="tx1"/>
            </w14:solidFill>
          </w14:textFill>
        </w:rPr>
        <w:t>呼吸阀、</w:t>
      </w:r>
      <w:r>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t>热涨补偿器、</w:t>
      </w:r>
      <w:r>
        <w:rPr>
          <w:rFonts w:hint="eastAsia" w:eastAsia="黑体" w:cs="Times New Roman"/>
          <w:b w:val="0"/>
          <w:snapToGrid w:val="0"/>
          <w:color w:val="000000" w:themeColor="text1"/>
          <w:kern w:val="0"/>
          <w:sz w:val="28"/>
          <w:szCs w:val="28"/>
          <w:lang w:val="en-US" w:eastAsia="zh-CN"/>
          <w14:textFill>
            <w14:solidFill>
              <w14:schemeClr w14:val="tx1"/>
            </w14:solidFill>
          </w14:textFill>
        </w:rPr>
        <w:t>注汽管线</w:t>
      </w:r>
      <w:r>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t>等检测、检验情况</w:t>
      </w:r>
    </w:p>
    <w:p>
      <w:pPr>
        <w:pStyle w:val="2"/>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Times New Roman" w:hAnsi="Times New Roman" w:eastAsia="宋体" w:cs="Times New Roman"/>
          <w:b w:val="0"/>
          <w:snapToGrid w:val="0"/>
          <w:color w:val="000000" w:themeColor="text1"/>
          <w:kern w:val="0"/>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山东华曦石油技术服务有限</w:t>
      </w:r>
      <w:r>
        <w:rPr>
          <w:rFonts w:hint="eastAsia" w:ascii="Times New Roman" w:hAnsi="Times New Roman" w:eastAsia="宋体" w:cs="Times New Roman"/>
          <w:b w:val="0"/>
          <w:snapToGrid w:val="0"/>
          <w:color w:val="000000" w:themeColor="text1"/>
          <w:kern w:val="0"/>
          <w:sz w:val="28"/>
          <w:szCs w:val="28"/>
          <w:lang w:val="en-US" w:eastAsia="zh-CN" w:bidi="ar-SA"/>
          <w14:textFill>
            <w14:solidFill>
              <w14:schemeClr w14:val="tx1"/>
            </w14:solidFill>
          </w14:textFill>
        </w:rPr>
        <w:t>公司的压力表、安全阀、热涨补偿器、注汽管线等均根据有关标准、规范要求，定期检验检测，且均在检验有效期内，满足使用要求。其中热涨补偿器使用采取“5-3制”，即：合格期内使用5次后进行检验检测，若检测合格，则再使用3次后报废；若合格期内使用未达到5次，则需再次检测合格后使用。检测、检验情况见下表，检测报告见附件14，</w:t>
      </w:r>
      <w:r>
        <w:rPr>
          <w:rFonts w:hint="eastAsia" w:ascii="Times New Roman" w:hAnsi="Times New Roman" w:eastAsia="宋体" w:cs="Times New Roman"/>
          <w:b w:val="0"/>
          <w:snapToGrid w:val="0"/>
          <w:color w:val="000000" w:themeColor="text1"/>
          <w:kern w:val="0"/>
          <w:sz w:val="28"/>
          <w:szCs w:val="28"/>
          <w:highlight w:val="none"/>
          <w:lang w:val="en-US" w:eastAsia="zh-CN" w:bidi="ar-SA"/>
          <w14:textFill>
            <w14:solidFill>
              <w14:schemeClr w14:val="tx1"/>
            </w14:solidFill>
          </w14:textFill>
        </w:rPr>
        <w:t>各检测机构资质证书见附件29。</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color w:val="000000" w:themeColor="text1"/>
          <w:sz w:val="28"/>
          <w:szCs w:val="28"/>
          <w:highlight w:val="yellow"/>
          <w:vertAlign w:val="baseline"/>
          <w:lang w:val="en-US" w:eastAsia="zh-CN"/>
          <w14:textFill>
            <w14:solidFill>
              <w14:schemeClr w14:val="tx1"/>
            </w14:solidFill>
          </w14:textFill>
        </w:rPr>
      </w:pPr>
      <w:r>
        <w:rPr>
          <w:rFonts w:hint="eastAsia"/>
          <w:lang w:val="en-US" w:eastAsia="zh-CN"/>
        </w:rPr>
        <w:tab/>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表2-1</w:t>
      </w:r>
      <w:r>
        <w:rPr>
          <w:rFonts w:hint="eastAsia" w:cs="Times New Roman"/>
          <w:b/>
          <w:bCs/>
          <w:color w:val="000000" w:themeColor="text1"/>
          <w:sz w:val="24"/>
          <w:szCs w:val="24"/>
          <w:highlight w:val="none"/>
          <w:lang w:val="en-US" w:eastAsia="zh-CN"/>
          <w14:textFill>
            <w14:solidFill>
              <w14:schemeClr w14:val="tx1"/>
            </w14:solidFill>
          </w14:textFill>
        </w:rPr>
        <w:t>2</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 xml:space="preserve"> 压力表、安全阀、</w:t>
      </w:r>
      <w:r>
        <w:rPr>
          <w:rFonts w:hint="eastAsia" w:cs="Times New Roman"/>
          <w:b/>
          <w:bCs/>
          <w:color w:val="000000" w:themeColor="text1"/>
          <w:sz w:val="24"/>
          <w:szCs w:val="24"/>
          <w:highlight w:val="none"/>
          <w:lang w:val="en-US" w:eastAsia="zh-CN"/>
          <w14:textFill>
            <w14:solidFill>
              <w14:schemeClr w14:val="tx1"/>
            </w14:solidFill>
          </w14:textFill>
        </w:rPr>
        <w:t>呼吸阀、热涨补偿器、</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注汽管线等检测、检验情况一览表</w:t>
      </w:r>
    </w:p>
    <w:p>
      <w:pPr>
        <w:pStyle w:val="5"/>
        <w:keepNext w:val="0"/>
        <w:keepLines w:val="0"/>
        <w:pageBreakBefore w:val="0"/>
        <w:widowControl w:val="0"/>
        <w:kinsoku/>
        <w:wordWrap/>
        <w:overflowPunct/>
        <w:topLinePunct w:val="0"/>
        <w:autoSpaceDE/>
        <w:autoSpaceDN/>
        <w:bidi w:val="0"/>
        <w:adjustRightInd w:val="0"/>
        <w:snapToGrid w:val="0"/>
        <w:spacing w:before="161" w:beforeLines="50" w:after="0" w:line="360" w:lineRule="auto"/>
        <w:textAlignment w:val="auto"/>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pP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2.1</w:t>
      </w:r>
      <w:r>
        <w:rPr>
          <w:rFonts w:hint="default" w:ascii="Times New Roman" w:hAnsi="Times New Roman" w:eastAsia="黑体" w:cs="Times New Roman"/>
          <w:b w:val="0"/>
          <w:snapToGrid w:val="0"/>
          <w:color w:val="000000" w:themeColor="text1"/>
          <w:kern w:val="0"/>
          <w:sz w:val="28"/>
          <w:szCs w:val="28"/>
          <w:lang w:val="en-US" w:eastAsia="zh-CN"/>
          <w14:textFill>
            <w14:solidFill>
              <w14:schemeClr w14:val="tx1"/>
            </w14:solidFill>
          </w14:textFill>
        </w:rPr>
        <w:t>0</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w:t>
      </w:r>
      <w:r>
        <w:rPr>
          <w:rFonts w:hint="default" w:ascii="Times New Roman" w:hAnsi="Times New Roman" w:eastAsia="黑体" w:cs="Times New Roman"/>
          <w:b w:val="0"/>
          <w:snapToGrid w:val="0"/>
          <w:color w:val="000000" w:themeColor="text1"/>
          <w:kern w:val="0"/>
          <w:sz w:val="28"/>
          <w:szCs w:val="28"/>
          <w:lang w:val="en-US" w:eastAsia="zh-CN"/>
          <w14:textFill>
            <w14:solidFill>
              <w14:schemeClr w14:val="tx1"/>
            </w14:solidFill>
          </w14:textFill>
        </w:rPr>
        <w:t>3</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 xml:space="preserve"> </w:t>
      </w:r>
      <w:r>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t>空气呼吸器、</w:t>
      </w:r>
      <w:r>
        <w:rPr>
          <w:rFonts w:hint="eastAsia" w:eastAsia="黑体" w:cs="Times New Roman"/>
          <w:b w:val="0"/>
          <w:snapToGrid w:val="0"/>
          <w:color w:val="000000" w:themeColor="text1"/>
          <w:kern w:val="0"/>
          <w:sz w:val="28"/>
          <w:szCs w:val="28"/>
          <w:lang w:val="en-US" w:eastAsia="zh-CN"/>
          <w14:textFill>
            <w14:solidFill>
              <w14:schemeClr w14:val="tx1"/>
            </w14:solidFill>
          </w14:textFill>
        </w:rPr>
        <w:t>气瓶、</w:t>
      </w:r>
      <w:r>
        <w:rPr>
          <w:rFonts w:hint="default" w:ascii="Times New Roman" w:hAnsi="Times New Roman" w:eastAsia="黑体" w:cs="Times New Roman"/>
          <w:b w:val="0"/>
          <w:snapToGrid w:val="0"/>
          <w:color w:val="000000" w:themeColor="text1"/>
          <w:kern w:val="0"/>
          <w:sz w:val="28"/>
          <w:szCs w:val="28"/>
          <w:lang w:eastAsia="zh-CN"/>
          <w14:textFill>
            <w14:solidFill>
              <w14:schemeClr w14:val="tx1"/>
            </w14:solidFill>
          </w14:textFill>
        </w:rPr>
        <w:t>气体报警仪检测、检验情况</w:t>
      </w:r>
    </w:p>
    <w:p>
      <w:pPr>
        <w:adjustRightInd w:val="0"/>
        <w:snapToGrid w:val="0"/>
        <w:spacing w:line="360" w:lineRule="auto"/>
        <w:ind w:firstLine="560" w:firstLineChars="200"/>
        <w:rPr>
          <w:rFonts w:hint="eastAsia"/>
          <w:lang w:eastAsia="zh-CN"/>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山东华曦石油技术服务有限</w:t>
      </w:r>
      <w:r>
        <w:rPr>
          <w:rFonts w:hint="eastAsia" w:ascii="Times New Roman" w:hAnsi="Times New Roman" w:eastAsia="宋体" w:cs="Times New Roman"/>
          <w:b w:val="0"/>
          <w:snapToGrid w:val="0"/>
          <w:color w:val="000000" w:themeColor="text1"/>
          <w:kern w:val="0"/>
          <w:sz w:val="28"/>
          <w:szCs w:val="28"/>
          <w:lang w:val="en-US" w:eastAsia="zh-CN" w:bidi="ar-SA"/>
          <w14:textFill>
            <w14:solidFill>
              <w14:schemeClr w14:val="tx1"/>
            </w14:solidFill>
          </w14:textFill>
        </w:rPr>
        <w:t>公司</w:t>
      </w:r>
      <w:r>
        <w:rPr>
          <w:rFonts w:hint="eastAsia" w:cs="Times New Roman"/>
          <w:b w:val="0"/>
          <w:snapToGrid w:val="0"/>
          <w:color w:val="000000" w:themeColor="text1"/>
          <w:kern w:val="0"/>
          <w:sz w:val="28"/>
          <w:szCs w:val="28"/>
          <w:lang w:val="en-US" w:eastAsia="zh-CN" w:bidi="ar-SA"/>
          <w14:textFill>
            <w14:solidFill>
              <w14:schemeClr w14:val="tx1"/>
            </w14:solidFill>
          </w14:textFill>
        </w:rPr>
        <w:t>复合气作业</w:t>
      </w:r>
      <w:r>
        <w:rPr>
          <w:rFonts w:hint="eastAsia" w:ascii="Times New Roman" w:hAnsi="Times New Roman" w:cs="Times New Roman"/>
          <w:color w:val="auto"/>
          <w:sz w:val="28"/>
          <w:szCs w:val="28"/>
        </w:rPr>
        <w:t>队伍一般情况下配备2台</w:t>
      </w:r>
      <w:r>
        <w:rPr>
          <w:rFonts w:hint="eastAsia" w:cs="Times New Roman"/>
          <w:color w:val="auto"/>
          <w:sz w:val="28"/>
          <w:szCs w:val="28"/>
          <w:lang w:val="en-US" w:eastAsia="zh-CN"/>
        </w:rPr>
        <w:t>可燃</w:t>
      </w:r>
      <w:r>
        <w:rPr>
          <w:rFonts w:hint="eastAsia" w:ascii="Times New Roman" w:hAnsi="Times New Roman" w:cs="Times New Roman"/>
          <w:color w:val="auto"/>
          <w:sz w:val="28"/>
          <w:szCs w:val="28"/>
        </w:rPr>
        <w:t>气体检测</w:t>
      </w:r>
      <w:r>
        <w:rPr>
          <w:rFonts w:hint="eastAsia" w:cs="Times New Roman"/>
          <w:color w:val="auto"/>
          <w:sz w:val="28"/>
          <w:szCs w:val="28"/>
          <w:lang w:val="en-US" w:eastAsia="zh-CN"/>
        </w:rPr>
        <w:t>仪、2台硫化氢检测仪</w:t>
      </w:r>
      <w:r>
        <w:rPr>
          <w:rFonts w:hint="eastAsia" w:ascii="Times New Roman" w:hAnsi="Times New Roman" w:cs="Times New Roman"/>
          <w:color w:val="auto"/>
          <w:sz w:val="28"/>
          <w:szCs w:val="28"/>
        </w:rPr>
        <w:t>和</w:t>
      </w:r>
      <w:r>
        <w:rPr>
          <w:rFonts w:hint="eastAsia" w:cs="Times New Roman"/>
          <w:color w:val="auto"/>
          <w:sz w:val="28"/>
          <w:szCs w:val="28"/>
          <w:lang w:val="en-US" w:eastAsia="zh-CN"/>
        </w:rPr>
        <w:t>3</w:t>
      </w:r>
      <w:r>
        <w:rPr>
          <w:rFonts w:hint="eastAsia" w:ascii="Times New Roman" w:hAnsi="Times New Roman" w:cs="Times New Roman"/>
          <w:color w:val="auto"/>
          <w:sz w:val="28"/>
          <w:szCs w:val="28"/>
        </w:rPr>
        <w:t>台自给开路式压缩空气呼吸器，</w:t>
      </w:r>
      <w:r>
        <w:rPr>
          <w:rFonts w:hint="eastAsia" w:cs="Times New Roman"/>
          <w:color w:val="auto"/>
          <w:sz w:val="28"/>
          <w:szCs w:val="28"/>
          <w:lang w:val="en-US" w:eastAsia="zh-CN"/>
        </w:rPr>
        <w:t>注汽作业队伍配备2</w:t>
      </w:r>
      <w:r>
        <w:rPr>
          <w:rFonts w:hint="eastAsia" w:ascii="Times New Roman" w:hAnsi="Times New Roman" w:cs="Times New Roman"/>
          <w:color w:val="auto"/>
          <w:sz w:val="28"/>
          <w:szCs w:val="28"/>
        </w:rPr>
        <w:t>台</w:t>
      </w:r>
      <w:r>
        <w:rPr>
          <w:rFonts w:hint="eastAsia" w:cs="Times New Roman"/>
          <w:color w:val="auto"/>
          <w:sz w:val="28"/>
          <w:szCs w:val="28"/>
          <w:lang w:val="en-US" w:eastAsia="zh-CN"/>
        </w:rPr>
        <w:t>可燃</w:t>
      </w:r>
      <w:r>
        <w:rPr>
          <w:rFonts w:hint="eastAsia" w:ascii="Times New Roman" w:hAnsi="Times New Roman" w:cs="Times New Roman"/>
          <w:color w:val="auto"/>
          <w:sz w:val="28"/>
          <w:szCs w:val="28"/>
        </w:rPr>
        <w:t>气体检测</w:t>
      </w:r>
      <w:r>
        <w:rPr>
          <w:rFonts w:hint="eastAsia" w:cs="Times New Roman"/>
          <w:color w:val="auto"/>
          <w:sz w:val="28"/>
          <w:szCs w:val="28"/>
          <w:lang w:val="en-US" w:eastAsia="zh-CN"/>
        </w:rPr>
        <w:t>仪、1台固定式可燃气体探测器、1台硫化氢检测仪、1台复合式气体报警器和3台自给开路式压缩空气呼吸器。正常工作状态下，复合气作业队伍和注汽作业队伍最多有两人进入作业现场，其</w:t>
      </w:r>
      <w:r>
        <w:rPr>
          <w:rFonts w:hint="eastAsia" w:ascii="Times New Roman" w:hAnsi="Times New Roman" w:cs="Times New Roman"/>
          <w:color w:val="auto"/>
          <w:sz w:val="28"/>
          <w:szCs w:val="28"/>
        </w:rPr>
        <w:t>气体检测报警器、空气呼吸器</w:t>
      </w:r>
      <w:r>
        <w:rPr>
          <w:rFonts w:hint="eastAsia" w:cs="Times New Roman"/>
          <w:color w:val="auto"/>
          <w:sz w:val="28"/>
          <w:szCs w:val="28"/>
          <w:lang w:val="en-US" w:eastAsia="zh-CN"/>
        </w:rPr>
        <w:t>的配备，满足《硫化氢环境人身防护规范》（SY/T6277-2017）的要求，且</w:t>
      </w:r>
      <w:r>
        <w:rPr>
          <w:rFonts w:hint="eastAsia" w:ascii="Times New Roman" w:hAnsi="Times New Roman" w:cs="Times New Roman"/>
          <w:color w:val="auto"/>
          <w:sz w:val="28"/>
          <w:szCs w:val="28"/>
        </w:rPr>
        <w:t>均在检验有效期内，其检验、检测情况见下表。其检测报告详见报告</w:t>
      </w:r>
      <w:r>
        <w:rPr>
          <w:rFonts w:hint="eastAsia" w:ascii="Times New Roman" w:hAnsi="Times New Roman" w:cs="Times New Roman"/>
          <w:color w:val="auto"/>
          <w:sz w:val="28"/>
          <w:szCs w:val="28"/>
          <w:highlight w:val="none"/>
        </w:rPr>
        <w:t>附件</w:t>
      </w:r>
      <w:r>
        <w:rPr>
          <w:rFonts w:hint="eastAsia" w:cs="Times New Roman"/>
          <w:color w:val="auto"/>
          <w:sz w:val="28"/>
          <w:szCs w:val="28"/>
          <w:highlight w:val="none"/>
          <w:lang w:val="en-US" w:eastAsia="zh-CN"/>
        </w:rPr>
        <w:t>15，</w:t>
      </w:r>
      <w:r>
        <w:rPr>
          <w:rFonts w:hint="eastAsia" w:ascii="Times New Roman" w:hAnsi="Times New Roman" w:eastAsia="宋体" w:cs="Times New Roman"/>
          <w:b w:val="0"/>
          <w:snapToGrid w:val="0"/>
          <w:color w:val="000000" w:themeColor="text1"/>
          <w:kern w:val="0"/>
          <w:sz w:val="28"/>
          <w:szCs w:val="28"/>
          <w:lang w:val="en-US" w:eastAsia="zh-CN" w:bidi="ar-SA"/>
          <w14:textFill>
            <w14:solidFill>
              <w14:schemeClr w14:val="tx1"/>
            </w14:solidFill>
          </w14:textFill>
        </w:rPr>
        <w:t>各检测机构资质证书见附件2</w:t>
      </w:r>
      <w:r>
        <w:rPr>
          <w:rFonts w:hint="eastAsia" w:cs="Times New Roman"/>
          <w:b w:val="0"/>
          <w:snapToGrid w:val="0"/>
          <w:color w:val="000000" w:themeColor="text1"/>
          <w:kern w:val="0"/>
          <w:sz w:val="28"/>
          <w:szCs w:val="28"/>
          <w:lang w:val="en-US" w:eastAsia="zh-CN" w:bidi="ar-SA"/>
          <w14:textFill>
            <w14:solidFill>
              <w14:schemeClr w14:val="tx1"/>
            </w14:solidFill>
          </w14:textFill>
        </w:rPr>
        <w:t>9</w:t>
      </w:r>
      <w:r>
        <w:rPr>
          <w:rFonts w:hint="eastAsia" w:ascii="Times New Roman" w:hAnsi="Times New Roman" w:cs="Times New Roman"/>
          <w:color w:val="auto"/>
          <w:sz w:val="28"/>
          <w:szCs w:val="28"/>
          <w:highlight w:val="none"/>
        </w:rPr>
        <w:t>。</w:t>
      </w:r>
      <w:r>
        <w:rPr>
          <w:rFonts w:hint="eastAsia"/>
          <w:lang w:eastAsia="zh-CN"/>
        </w:rPr>
        <w:tab/>
      </w:r>
    </w:p>
    <w:p>
      <w:pPr>
        <w:keepNext w:val="0"/>
        <w:keepLines w:val="0"/>
        <w:pageBreakBefore w:val="0"/>
        <w:widowControl w:val="0"/>
        <w:kinsoku/>
        <w:wordWrap/>
        <w:overflowPunct/>
        <w:topLinePunct w:val="0"/>
        <w:autoSpaceDE/>
        <w:autoSpaceDN/>
        <w:bidi w:val="0"/>
        <w:adjustRightInd w:val="0"/>
        <w:snapToGrid w:val="0"/>
        <w:spacing w:before="0" w:after="0" w:line="360" w:lineRule="auto"/>
        <w:jc w:val="center"/>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表2-1</w:t>
      </w:r>
      <w:r>
        <w:rPr>
          <w:rFonts w:hint="eastAsia" w:cs="Times New Roman"/>
          <w:b/>
          <w:bCs/>
          <w:color w:val="000000" w:themeColor="text1"/>
          <w:sz w:val="24"/>
          <w:szCs w:val="24"/>
          <w:lang w:val="en-US" w:eastAsia="zh-CN"/>
          <w14:textFill>
            <w14:solidFill>
              <w14:schemeClr w14:val="tx1"/>
            </w14:solidFill>
          </w14:textFill>
        </w:rPr>
        <w:t>3</w:t>
      </w:r>
      <w:r>
        <w:rPr>
          <w:rFonts w:hint="default" w:ascii="Times New Roman" w:hAnsi="Times New Roman" w:cs="Times New Roman"/>
          <w:b/>
          <w:bCs/>
          <w:color w:val="000000" w:themeColor="text1"/>
          <w:sz w:val="24"/>
          <w:szCs w:val="24"/>
          <w:lang w:val="en-US" w:eastAsia="zh-CN"/>
          <w14:textFill>
            <w14:solidFill>
              <w14:schemeClr w14:val="tx1"/>
            </w14:solidFill>
          </w14:textFill>
        </w:rPr>
        <w:t xml:space="preserve"> </w:t>
      </w:r>
      <w:r>
        <w:rPr>
          <w:rFonts w:hint="eastAsia" w:cs="Times New Roman"/>
          <w:b/>
          <w:bCs/>
          <w:color w:val="000000" w:themeColor="text1"/>
          <w:sz w:val="24"/>
          <w:szCs w:val="24"/>
          <w:lang w:val="en-US" w:eastAsia="zh-CN"/>
          <w14:textFill>
            <w14:solidFill>
              <w14:schemeClr w14:val="tx1"/>
            </w14:solidFill>
          </w14:textFill>
        </w:rPr>
        <w:t>空气呼吸器</w:t>
      </w:r>
      <w:r>
        <w:rPr>
          <w:rFonts w:hint="default" w:ascii="Times New Roman" w:hAnsi="Times New Roman" w:cs="Times New Roman"/>
          <w:b/>
          <w:bCs/>
          <w:color w:val="000000" w:themeColor="text1"/>
          <w:sz w:val="24"/>
          <w:szCs w:val="24"/>
          <w:lang w:val="en-US" w:eastAsia="zh-CN"/>
          <w14:textFill>
            <w14:solidFill>
              <w14:schemeClr w14:val="tx1"/>
            </w14:solidFill>
          </w14:textFill>
        </w:rPr>
        <w:t>、</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气瓶</w:t>
      </w:r>
      <w:r>
        <w:rPr>
          <w:rFonts w:hint="eastAsia" w:cs="Times New Roman"/>
          <w:b/>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cs="Times New Roman"/>
          <w:b/>
          <w:bCs/>
          <w:color w:val="000000" w:themeColor="text1"/>
          <w:sz w:val="24"/>
          <w:szCs w:val="24"/>
          <w:lang w:val="en-US" w:eastAsia="zh-CN"/>
          <w14:textFill>
            <w14:solidFill>
              <w14:schemeClr w14:val="tx1"/>
            </w14:solidFill>
          </w14:textFill>
        </w:rPr>
        <w:t>检验情况一览表</w:t>
      </w:r>
    </w:p>
    <w:p>
      <w:pPr>
        <w:keepNext w:val="0"/>
        <w:keepLines w:val="0"/>
        <w:pageBreakBefore w:val="0"/>
        <w:widowControl w:val="0"/>
        <w:kinsoku/>
        <w:wordWrap/>
        <w:overflowPunct/>
        <w:topLinePunct w:val="0"/>
        <w:autoSpaceDE/>
        <w:autoSpaceDN/>
        <w:bidi w:val="0"/>
        <w:adjustRightInd w:val="0"/>
        <w:snapToGrid w:val="0"/>
        <w:spacing w:before="157" w:beforeLines="50" w:after="0" w:line="360" w:lineRule="auto"/>
        <w:jc w:val="center"/>
        <w:textAlignment w:val="auto"/>
        <w:outlineLvl w:val="9"/>
        <w:rPr>
          <w:rFonts w:hint="default" w:ascii="Times New Roman" w:hAnsi="Times New Roman" w:eastAsia="宋体" w:cs="Times New Roman"/>
          <w:b w:val="0"/>
          <w:snapToGrid w:val="0"/>
          <w:color w:val="000000" w:themeColor="text1"/>
          <w:kern w:val="0"/>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表2-1</w:t>
      </w:r>
      <w:r>
        <w:rPr>
          <w:rFonts w:hint="eastAsia" w:cs="Times New Roman"/>
          <w:b/>
          <w:bCs/>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气体检测报警仪检测、检验情况一览表</w:t>
      </w:r>
    </w:p>
    <w:p>
      <w:pPr>
        <w:keepNext w:val="0"/>
        <w:keepLines w:val="0"/>
        <w:pageBreakBefore w:val="0"/>
        <w:widowControl w:val="0"/>
        <w:kinsoku/>
        <w:wordWrap/>
        <w:overflowPunct/>
        <w:topLinePunct w:val="0"/>
        <w:autoSpaceDE/>
        <w:autoSpaceDN/>
        <w:bidi w:val="0"/>
        <w:adjustRightInd w:val="0"/>
        <w:snapToGrid w:val="0"/>
        <w:spacing w:before="157" w:beforeLines="50" w:after="0" w:line="360" w:lineRule="auto"/>
        <w:jc w:val="left"/>
        <w:textAlignment w:val="auto"/>
        <w:outlineLvl w:val="2"/>
        <w:rPr>
          <w:rFonts w:hint="eastAsia"/>
        </w:rPr>
      </w:pP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2.10.</w:t>
      </w:r>
      <w:r>
        <w:rPr>
          <w:rFonts w:hint="eastAsia" w:eastAsia="黑体" w:cs="Times New Roman"/>
          <w:b w:val="0"/>
          <w:snapToGrid w:val="0"/>
          <w:color w:val="000000" w:themeColor="text1"/>
          <w:kern w:val="0"/>
          <w:sz w:val="28"/>
          <w:szCs w:val="28"/>
          <w:lang w:val="en-US" w:eastAsia="zh-CN"/>
          <w14:textFill>
            <w14:solidFill>
              <w14:schemeClr w14:val="tx1"/>
            </w14:solidFill>
          </w14:textFill>
        </w:rPr>
        <w:t>4</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 xml:space="preserve"> </w:t>
      </w:r>
      <w:r>
        <w:rPr>
          <w:rFonts w:hint="eastAsia" w:eastAsia="黑体" w:cs="Times New Roman"/>
          <w:b w:val="0"/>
          <w:snapToGrid w:val="0"/>
          <w:color w:val="000000" w:themeColor="text1"/>
          <w:kern w:val="0"/>
          <w:sz w:val="28"/>
          <w:szCs w:val="28"/>
          <w:lang w:eastAsia="zh-CN"/>
          <w14:textFill>
            <w14:solidFill>
              <w14:schemeClr w14:val="tx1"/>
            </w14:solidFill>
          </w14:textFill>
        </w:rPr>
        <w:t>绝缘手套</w:t>
      </w:r>
      <w:r>
        <w:rPr>
          <w:rFonts w:hint="default" w:ascii="Times New Roman" w:hAnsi="Times New Roman" w:eastAsia="黑体" w:cs="Times New Roman"/>
          <w:b w:val="0"/>
          <w:snapToGrid w:val="0"/>
          <w:color w:val="000000" w:themeColor="text1"/>
          <w:kern w:val="0"/>
          <w:sz w:val="28"/>
          <w:szCs w:val="28"/>
          <w14:textFill>
            <w14:solidFill>
              <w14:schemeClr w14:val="tx1"/>
            </w14:solidFill>
          </w14:textFill>
        </w:rPr>
        <w:t>检测、检验情况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b/>
          <w:bCs/>
          <w:color w:val="000000" w:themeColor="text1"/>
          <w:sz w:val="24"/>
          <w:lang w:val="en-US"/>
          <w14:textFill>
            <w14:solidFill>
              <w14:schemeClr w14:val="tx1"/>
            </w14:solidFill>
          </w14:textFill>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山东华曦石油技术服务有限</w:t>
      </w:r>
      <w:r>
        <w:rPr>
          <w:rFonts w:hint="eastAsia" w:ascii="Times New Roman" w:hAnsi="Times New Roman" w:eastAsia="宋体" w:cs="Times New Roman"/>
          <w:b w:val="0"/>
          <w:snapToGrid w:val="0"/>
          <w:color w:val="000000" w:themeColor="text1"/>
          <w:kern w:val="0"/>
          <w:sz w:val="28"/>
          <w:szCs w:val="28"/>
          <w:lang w:val="en-US" w:eastAsia="zh-CN" w:bidi="ar-SA"/>
          <w14:textFill>
            <w14:solidFill>
              <w14:schemeClr w14:val="tx1"/>
            </w14:solidFill>
          </w14:textFill>
        </w:rPr>
        <w:t>公司</w:t>
      </w:r>
      <w:r>
        <w:rPr>
          <w:rFonts w:hint="eastAsia" w:cs="Times New Roman"/>
          <w:color w:val="000000" w:themeColor="text1"/>
          <w:sz w:val="28"/>
          <w:szCs w:val="28"/>
          <w:lang w:eastAsia="zh-CN"/>
          <w14:textFill>
            <w14:solidFill>
              <w14:schemeClr w14:val="tx1"/>
            </w14:solidFill>
          </w14:textFill>
        </w:rPr>
        <w:t>为各队配备了绝缘手套、</w:t>
      </w:r>
      <w:r>
        <w:rPr>
          <w:rFonts w:hint="eastAsia" w:cs="Times New Roman"/>
          <w:color w:val="000000" w:themeColor="text1"/>
          <w:sz w:val="28"/>
          <w:szCs w:val="28"/>
          <w:lang w:val="en-US" w:eastAsia="zh-CN"/>
          <w14:textFill>
            <w14:solidFill>
              <w14:schemeClr w14:val="tx1"/>
            </w14:solidFill>
          </w14:textFill>
        </w:rPr>
        <w:t>绝缘靴</w:t>
      </w:r>
      <w:r>
        <w:rPr>
          <w:rFonts w:hint="eastAsia" w:cs="Times New Roman"/>
          <w:color w:val="000000" w:themeColor="text1"/>
          <w:sz w:val="28"/>
          <w:szCs w:val="28"/>
          <w:lang w:eastAsia="zh-CN"/>
          <w14:textFill>
            <w14:solidFill>
              <w14:schemeClr w14:val="tx1"/>
            </w14:solidFill>
          </w14:textFill>
        </w:rPr>
        <w:t>，绝缘手套、</w:t>
      </w:r>
      <w:r>
        <w:rPr>
          <w:rFonts w:hint="eastAsia" w:cs="Times New Roman"/>
          <w:color w:val="000000" w:themeColor="text1"/>
          <w:sz w:val="28"/>
          <w:szCs w:val="28"/>
          <w:lang w:val="en-US" w:eastAsia="zh-CN"/>
          <w14:textFill>
            <w14:solidFill>
              <w14:schemeClr w14:val="tx1"/>
            </w14:solidFill>
          </w14:textFill>
        </w:rPr>
        <w:t>绝缘靴</w:t>
      </w:r>
      <w:r>
        <w:rPr>
          <w:rFonts w:hint="eastAsia" w:cs="Times New Roman"/>
          <w:color w:val="000000" w:themeColor="text1"/>
          <w:sz w:val="28"/>
          <w:szCs w:val="28"/>
          <w:lang w:eastAsia="zh-CN"/>
          <w14:textFill>
            <w14:solidFill>
              <w14:schemeClr w14:val="tx1"/>
            </w14:solidFill>
          </w14:textFill>
        </w:rPr>
        <w:t>配备情况能够满足电工巡检的要求。其检验检测情况见</w:t>
      </w:r>
      <w:r>
        <w:rPr>
          <w:rFonts w:hint="eastAsia" w:cs="Times New Roman"/>
          <w:color w:val="000000" w:themeColor="text1"/>
          <w:sz w:val="28"/>
          <w:szCs w:val="28"/>
          <w:lang w:val="en-US" w:eastAsia="zh-CN"/>
          <w14:textFill>
            <w14:solidFill>
              <w14:schemeClr w14:val="tx1"/>
            </w14:solidFill>
          </w14:textFill>
        </w:rPr>
        <w:t>下</w:t>
      </w:r>
      <w:r>
        <w:rPr>
          <w:rFonts w:hint="eastAsia" w:cs="Times New Roman"/>
          <w:color w:val="000000" w:themeColor="text1"/>
          <w:sz w:val="28"/>
          <w:szCs w:val="28"/>
          <w:lang w:eastAsia="zh-CN"/>
          <w14:textFill>
            <w14:solidFill>
              <w14:schemeClr w14:val="tx1"/>
            </w14:solidFill>
          </w14:textFill>
        </w:rPr>
        <w:t>表</w:t>
      </w:r>
      <w:r>
        <w:rPr>
          <w:rFonts w:hint="eastAsia" w:cs="Times New Roman"/>
          <w:color w:val="000000" w:themeColor="text1"/>
          <w:sz w:val="28"/>
          <w:szCs w:val="28"/>
          <w:lang w:val="en-US" w:eastAsia="zh-CN"/>
          <w14:textFill>
            <w14:solidFill>
              <w14:schemeClr w14:val="tx1"/>
            </w14:solidFill>
          </w14:textFill>
        </w:rPr>
        <w:t>。检测报告见报告附件16，</w:t>
      </w:r>
      <w:r>
        <w:rPr>
          <w:rFonts w:hint="eastAsia" w:ascii="Times New Roman" w:hAnsi="Times New Roman" w:eastAsia="宋体" w:cs="Times New Roman"/>
          <w:b w:val="0"/>
          <w:snapToGrid w:val="0"/>
          <w:color w:val="000000" w:themeColor="text1"/>
          <w:kern w:val="0"/>
          <w:sz w:val="28"/>
          <w:szCs w:val="28"/>
          <w:lang w:val="en-US" w:eastAsia="zh-CN" w:bidi="ar-SA"/>
          <w14:textFill>
            <w14:solidFill>
              <w14:schemeClr w14:val="tx1"/>
            </w14:solidFill>
          </w14:textFill>
        </w:rPr>
        <w:t>各检测机构资质证书见附件2</w:t>
      </w:r>
      <w:r>
        <w:rPr>
          <w:rFonts w:hint="eastAsia" w:cs="Times New Roman"/>
          <w:b w:val="0"/>
          <w:snapToGrid w:val="0"/>
          <w:color w:val="000000" w:themeColor="text1"/>
          <w:kern w:val="0"/>
          <w:sz w:val="28"/>
          <w:szCs w:val="28"/>
          <w:lang w:val="en-US" w:eastAsia="zh-CN" w:bidi="ar-SA"/>
          <w14:textFill>
            <w14:solidFill>
              <w14:schemeClr w14:val="tx1"/>
            </w14:solidFill>
          </w14:textFill>
        </w:rPr>
        <w:t>9</w:t>
      </w:r>
      <w:r>
        <w:rPr>
          <w:rFonts w:hint="eastAsia" w:cs="Times New Roman"/>
          <w:color w:val="000000" w:themeColor="text1"/>
          <w:sz w:val="28"/>
          <w:szCs w:val="28"/>
          <w:lang w:val="en-US" w:eastAsia="zh-CN"/>
          <w14:textFill>
            <w14:solidFill>
              <w14:schemeClr w14:val="tx1"/>
            </w14:solidFill>
          </w14:textFill>
        </w:rPr>
        <w:t>。</w:t>
      </w:r>
    </w:p>
    <w:p>
      <w:pPr>
        <w:adjustRightInd w:val="0"/>
        <w:snapToGrid w:val="0"/>
        <w:spacing w:line="360" w:lineRule="auto"/>
        <w:jc w:val="center"/>
        <w:rPr>
          <w:rFonts w:hint="default" w:ascii="Times New Roman" w:hAnsi="Times New Roman" w:cs="Times New Roman"/>
          <w:b/>
          <w:bCs/>
          <w:color w:val="000000" w:themeColor="text1"/>
          <w:sz w:val="24"/>
          <w14:textFill>
            <w14:solidFill>
              <w14:schemeClr w14:val="tx1"/>
            </w14:solidFill>
          </w14:textFill>
        </w:rPr>
      </w:pPr>
    </w:p>
    <w:p>
      <w:pPr>
        <w:adjustRightInd w:val="0"/>
        <w:snapToGrid w:val="0"/>
        <w:spacing w:line="360" w:lineRule="auto"/>
        <w:jc w:val="center"/>
        <w:rPr>
          <w:rFonts w:hint="default" w:ascii="Times New Roman" w:hAnsi="Times New Roman" w:cs="Times New Roman"/>
          <w:b/>
          <w:bCs/>
          <w:color w:val="000000" w:themeColor="text1"/>
          <w:sz w:val="24"/>
          <w14:textFill>
            <w14:solidFill>
              <w14:schemeClr w14:val="tx1"/>
            </w14:solidFill>
          </w14:textFill>
        </w:rPr>
      </w:pPr>
    </w:p>
    <w:p>
      <w:pPr>
        <w:adjustRightInd w:val="0"/>
        <w:snapToGrid w:val="0"/>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表2-1</w:t>
      </w:r>
      <w:r>
        <w:rPr>
          <w:rFonts w:hint="eastAsia" w:cs="Times New Roman"/>
          <w:b/>
          <w:bCs/>
          <w:color w:val="000000" w:themeColor="text1"/>
          <w:sz w:val="24"/>
          <w:lang w:val="en-US" w:eastAsia="zh-CN"/>
          <w14:textFill>
            <w14:solidFill>
              <w14:schemeClr w14:val="tx1"/>
            </w14:solidFill>
          </w14:textFill>
        </w:rPr>
        <w:t>5</w:t>
      </w:r>
      <w:r>
        <w:rPr>
          <w:rFonts w:hint="default" w:ascii="Times New Roman" w:hAnsi="Times New Roman" w:cs="Times New Roman"/>
          <w:b/>
          <w:bCs/>
          <w:color w:val="000000" w:themeColor="text1"/>
          <w:sz w:val="24"/>
          <w14:textFill>
            <w14:solidFill>
              <w14:schemeClr w14:val="tx1"/>
            </w14:solidFill>
          </w14:textFill>
        </w:rPr>
        <w:t xml:space="preserve"> </w:t>
      </w:r>
      <w:r>
        <w:rPr>
          <w:rFonts w:hint="eastAsia" w:cs="Times New Roman"/>
          <w:b/>
          <w:bCs/>
          <w:color w:val="000000" w:themeColor="text1"/>
          <w:sz w:val="24"/>
          <w:lang w:eastAsia="zh-CN"/>
          <w14:textFill>
            <w14:solidFill>
              <w14:schemeClr w14:val="tx1"/>
            </w14:solidFill>
          </w14:textFill>
        </w:rPr>
        <w:t>绝缘手套、</w:t>
      </w:r>
      <w:r>
        <w:rPr>
          <w:rFonts w:hint="eastAsia" w:cs="Times New Roman"/>
          <w:b/>
          <w:bCs/>
          <w:color w:val="000000" w:themeColor="text1"/>
          <w:sz w:val="24"/>
          <w:lang w:val="en-US" w:eastAsia="zh-CN"/>
          <w14:textFill>
            <w14:solidFill>
              <w14:schemeClr w14:val="tx1"/>
            </w14:solidFill>
          </w14:textFill>
        </w:rPr>
        <w:t>绝缘鞋</w:t>
      </w:r>
      <w:r>
        <w:rPr>
          <w:rFonts w:hint="default" w:ascii="Times New Roman" w:hAnsi="Times New Roman" w:cs="Times New Roman"/>
          <w:b/>
          <w:bCs/>
          <w:color w:val="000000" w:themeColor="text1"/>
          <w:sz w:val="24"/>
          <w14:textFill>
            <w14:solidFill>
              <w14:schemeClr w14:val="tx1"/>
            </w14:solidFill>
          </w14:textFill>
        </w:rPr>
        <w:t>检测、检验情况一览表</w:t>
      </w:r>
    </w:p>
    <w:p>
      <w:pPr>
        <w:pStyle w:val="2"/>
        <w:rPr>
          <w:rFonts w:hint="eastAsia"/>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pStyle w:val="4"/>
        <w:adjustRightInd w:val="0"/>
        <w:snapToGrid w:val="0"/>
        <w:spacing w:before="0" w:after="0" w:line="360" w:lineRule="auto"/>
        <w:rPr>
          <w:rFonts w:ascii="Times New Roman" w:hAnsi="Times New Roman"/>
          <w:b w:val="0"/>
          <w:bCs/>
          <w:color w:val="auto"/>
          <w:szCs w:val="32"/>
        </w:rPr>
      </w:pPr>
      <w:bookmarkStart w:id="41" w:name="_Toc8053"/>
      <w:r>
        <w:rPr>
          <w:rFonts w:hint="eastAsia" w:ascii="Times New Roman" w:hAnsi="Times New Roman"/>
          <w:b w:val="0"/>
          <w:bCs/>
          <w:color w:val="auto"/>
          <w:szCs w:val="32"/>
        </w:rPr>
        <w:t>2.</w:t>
      </w:r>
      <w:r>
        <w:rPr>
          <w:rFonts w:ascii="Times New Roman" w:hAnsi="Times New Roman"/>
          <w:b w:val="0"/>
          <w:bCs/>
          <w:color w:val="auto"/>
          <w:szCs w:val="32"/>
        </w:rPr>
        <w:t>1</w:t>
      </w:r>
      <w:r>
        <w:rPr>
          <w:rFonts w:hint="eastAsia" w:ascii="Times New Roman" w:hAnsi="Times New Roman"/>
          <w:b w:val="0"/>
          <w:bCs/>
          <w:color w:val="auto"/>
          <w:szCs w:val="32"/>
          <w:lang w:val="en-US" w:eastAsia="zh-CN"/>
        </w:rPr>
        <w:t>1</w:t>
      </w:r>
      <w:r>
        <w:rPr>
          <w:rFonts w:ascii="Times New Roman" w:hAnsi="Times New Roman"/>
          <w:b w:val="0"/>
          <w:bCs/>
          <w:color w:val="auto"/>
          <w:szCs w:val="32"/>
        </w:rPr>
        <w:t xml:space="preserve"> </w:t>
      </w:r>
      <w:r>
        <w:rPr>
          <w:rFonts w:hint="eastAsia" w:ascii="Times New Roman" w:hAnsi="Times New Roman"/>
          <w:b w:val="0"/>
          <w:bCs/>
          <w:color w:val="auto"/>
          <w:szCs w:val="32"/>
        </w:rPr>
        <w:t>事故应急救援预案及演练</w:t>
      </w:r>
      <w:bookmarkEnd w:id="41"/>
    </w:p>
    <w:p>
      <w:pPr>
        <w:pStyle w:val="5"/>
        <w:adjustRightInd w:val="0"/>
        <w:snapToGrid w:val="0"/>
        <w:spacing w:before="0" w:after="0" w:line="360" w:lineRule="auto"/>
        <w:rPr>
          <w:rFonts w:eastAsia="黑体"/>
          <w:b w:val="0"/>
          <w:snapToGrid w:val="0"/>
          <w:color w:val="auto"/>
          <w:kern w:val="0"/>
          <w:sz w:val="28"/>
          <w:szCs w:val="28"/>
        </w:rPr>
      </w:pPr>
      <w:r>
        <w:rPr>
          <w:rFonts w:eastAsia="黑体"/>
          <w:b w:val="0"/>
          <w:snapToGrid w:val="0"/>
          <w:color w:val="auto"/>
          <w:kern w:val="0"/>
          <w:sz w:val="28"/>
          <w:szCs w:val="28"/>
        </w:rPr>
        <w:t>2.1</w:t>
      </w:r>
      <w:r>
        <w:rPr>
          <w:rFonts w:hint="eastAsia" w:eastAsia="黑体"/>
          <w:b w:val="0"/>
          <w:snapToGrid w:val="0"/>
          <w:color w:val="auto"/>
          <w:kern w:val="0"/>
          <w:sz w:val="28"/>
          <w:szCs w:val="28"/>
          <w:lang w:val="en-US" w:eastAsia="zh-CN"/>
        </w:rPr>
        <w:t>1</w:t>
      </w:r>
      <w:r>
        <w:rPr>
          <w:rFonts w:eastAsia="黑体"/>
          <w:b w:val="0"/>
          <w:snapToGrid w:val="0"/>
          <w:color w:val="auto"/>
          <w:kern w:val="0"/>
          <w:sz w:val="28"/>
          <w:szCs w:val="28"/>
        </w:rPr>
        <w:t xml:space="preserve">.1 </w:t>
      </w:r>
      <w:r>
        <w:rPr>
          <w:rFonts w:hint="eastAsia" w:eastAsia="黑体"/>
          <w:b w:val="0"/>
          <w:snapToGrid w:val="0"/>
          <w:color w:val="auto"/>
          <w:kern w:val="0"/>
          <w:sz w:val="28"/>
          <w:szCs w:val="28"/>
        </w:rPr>
        <w:t>事故应急救援预案的编制情况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70C0"/>
          <w:sz w:val="28"/>
        </w:rPr>
      </w:pPr>
      <w:r>
        <w:rPr>
          <w:rFonts w:hint="eastAsia"/>
          <w:color w:val="auto"/>
          <w:sz w:val="28"/>
          <w:szCs w:val="28"/>
        </w:rPr>
        <w:t>为最大程度的预防和控制各类重大安全和环境事故的发生，最大限度的减少各类事故所造成的危害、损失以及社会影响和环境影响，</w:t>
      </w:r>
      <w:r>
        <w:rPr>
          <w:rFonts w:hint="eastAsia"/>
          <w:color w:val="auto"/>
          <w:sz w:val="28"/>
          <w:szCs w:val="28"/>
          <w:lang w:eastAsia="zh-CN"/>
        </w:rPr>
        <w:t>山东华曦石油技术服务有限公司</w:t>
      </w:r>
      <w:r>
        <w:rPr>
          <w:rFonts w:hint="eastAsia"/>
          <w:color w:val="auto"/>
          <w:sz w:val="28"/>
          <w:szCs w:val="28"/>
        </w:rPr>
        <w:t>编制了《</w:t>
      </w:r>
      <w:r>
        <w:rPr>
          <w:rFonts w:hint="eastAsia"/>
          <w:color w:val="auto"/>
          <w:sz w:val="28"/>
          <w:szCs w:val="28"/>
          <w:lang w:eastAsia="zh-CN"/>
        </w:rPr>
        <w:t>山东华曦石油技术服务有限公司</w:t>
      </w:r>
      <w:r>
        <w:rPr>
          <w:rFonts w:hint="eastAsia"/>
          <w:color w:val="auto"/>
          <w:sz w:val="28"/>
          <w:szCs w:val="28"/>
        </w:rPr>
        <w:t>生产安全事故应急预案》，公司应急预案已于</w:t>
      </w:r>
      <w:r>
        <w:rPr>
          <w:color w:val="auto"/>
          <w:sz w:val="28"/>
          <w:szCs w:val="28"/>
        </w:rPr>
        <w:t>20</w:t>
      </w:r>
      <w:r>
        <w:rPr>
          <w:rFonts w:hint="eastAsia"/>
          <w:color w:val="auto"/>
          <w:sz w:val="28"/>
          <w:szCs w:val="28"/>
          <w:lang w:val="en-US" w:eastAsia="zh-CN"/>
        </w:rPr>
        <w:t>22</w:t>
      </w:r>
      <w:r>
        <w:rPr>
          <w:rFonts w:hint="eastAsia"/>
          <w:color w:val="auto"/>
          <w:sz w:val="28"/>
          <w:szCs w:val="28"/>
        </w:rPr>
        <w:t>年</w:t>
      </w:r>
      <w:r>
        <w:rPr>
          <w:rFonts w:hint="eastAsia"/>
          <w:color w:val="auto"/>
          <w:sz w:val="28"/>
          <w:szCs w:val="28"/>
          <w:lang w:val="en-US" w:eastAsia="zh-CN"/>
        </w:rPr>
        <w:t>5</w:t>
      </w:r>
      <w:r>
        <w:rPr>
          <w:rFonts w:hint="eastAsia"/>
          <w:color w:val="auto"/>
          <w:sz w:val="28"/>
          <w:szCs w:val="28"/>
        </w:rPr>
        <w:t>月</w:t>
      </w:r>
      <w:r>
        <w:rPr>
          <w:rFonts w:hint="eastAsia"/>
          <w:color w:val="auto"/>
          <w:sz w:val="28"/>
          <w:szCs w:val="28"/>
          <w:lang w:val="en-US" w:eastAsia="zh-CN"/>
        </w:rPr>
        <w:t>2</w:t>
      </w:r>
      <w:r>
        <w:rPr>
          <w:color w:val="auto"/>
          <w:sz w:val="28"/>
          <w:szCs w:val="28"/>
        </w:rPr>
        <w:t>6</w:t>
      </w:r>
      <w:r>
        <w:rPr>
          <w:rFonts w:hint="eastAsia"/>
          <w:color w:val="auto"/>
          <w:sz w:val="28"/>
          <w:szCs w:val="28"/>
        </w:rPr>
        <w:t>日在</w:t>
      </w:r>
      <w:r>
        <w:rPr>
          <w:rFonts w:hint="eastAsia"/>
          <w:color w:val="auto"/>
          <w:sz w:val="28"/>
          <w:szCs w:val="28"/>
          <w:lang w:val="en-US" w:eastAsia="zh-CN"/>
        </w:rPr>
        <w:t>东营</w:t>
      </w:r>
      <w:r>
        <w:rPr>
          <w:rFonts w:hint="eastAsia"/>
          <w:color w:val="auto"/>
          <w:sz w:val="28"/>
          <w:szCs w:val="28"/>
        </w:rPr>
        <w:t>区应急管理局备案（备案编号：37050</w:t>
      </w:r>
      <w:r>
        <w:rPr>
          <w:rFonts w:hint="eastAsia"/>
          <w:color w:val="auto"/>
          <w:sz w:val="28"/>
          <w:szCs w:val="28"/>
          <w:lang w:val="en-US" w:eastAsia="zh-CN"/>
        </w:rPr>
        <w:t>1</w:t>
      </w:r>
      <w:r>
        <w:rPr>
          <w:rFonts w:hint="eastAsia"/>
          <w:color w:val="auto"/>
          <w:sz w:val="28"/>
          <w:szCs w:val="28"/>
        </w:rPr>
        <w:t>-20</w:t>
      </w:r>
      <w:r>
        <w:rPr>
          <w:rFonts w:hint="eastAsia"/>
          <w:color w:val="auto"/>
          <w:sz w:val="28"/>
          <w:szCs w:val="28"/>
          <w:lang w:val="en-US" w:eastAsia="zh-CN"/>
        </w:rPr>
        <w:t>22</w:t>
      </w:r>
      <w:r>
        <w:rPr>
          <w:rFonts w:hint="eastAsia"/>
          <w:color w:val="auto"/>
          <w:sz w:val="28"/>
          <w:szCs w:val="28"/>
        </w:rPr>
        <w:t>-</w:t>
      </w:r>
      <w:r>
        <w:rPr>
          <w:rFonts w:hint="eastAsia"/>
          <w:color w:val="auto"/>
          <w:sz w:val="28"/>
          <w:szCs w:val="28"/>
          <w:lang w:val="en-US" w:eastAsia="zh-CN"/>
        </w:rPr>
        <w:t>1079</w:t>
      </w:r>
      <w:r>
        <w:rPr>
          <w:rFonts w:hint="eastAsia"/>
          <w:color w:val="auto"/>
          <w:sz w:val="28"/>
          <w:szCs w:val="28"/>
        </w:rPr>
        <w:t>），</w:t>
      </w:r>
      <w:r>
        <w:rPr>
          <w:rFonts w:hint="eastAsia"/>
          <w:color w:val="auto"/>
          <w:sz w:val="28"/>
          <w:highlight w:val="none"/>
        </w:rPr>
        <w:t>详见附件</w:t>
      </w:r>
      <w:r>
        <w:rPr>
          <w:rFonts w:hint="eastAsia"/>
          <w:color w:val="auto"/>
          <w:sz w:val="28"/>
          <w:highlight w:val="none"/>
          <w:lang w:val="en-US" w:eastAsia="zh-CN"/>
        </w:rPr>
        <w:t>9</w:t>
      </w:r>
      <w:r>
        <w:rPr>
          <w:rFonts w:hint="eastAsia"/>
          <w:color w:val="auto"/>
          <w:sz w:val="28"/>
        </w:rPr>
        <w:t>。该应急预案包括综合应急预案</w:t>
      </w:r>
      <w:r>
        <w:rPr>
          <w:rFonts w:hint="eastAsia"/>
          <w:color w:val="auto"/>
          <w:sz w:val="28"/>
          <w:lang w:eastAsia="zh-CN"/>
        </w:rPr>
        <w:t>、</w:t>
      </w:r>
      <w:r>
        <w:rPr>
          <w:rFonts w:hint="eastAsia"/>
          <w:color w:val="auto"/>
          <w:sz w:val="28"/>
        </w:rPr>
        <w:t>专项应急预案、现场处置方案</w:t>
      </w:r>
      <w:r>
        <w:rPr>
          <w:rFonts w:hint="eastAsia"/>
          <w:color w:val="auto"/>
          <w:sz w:val="28"/>
          <w:lang w:eastAsia="zh-CN"/>
        </w:rPr>
        <w:t>。</w:t>
      </w:r>
      <w:r>
        <w:rPr>
          <w:rFonts w:hint="eastAsia"/>
          <w:color w:val="auto"/>
          <w:sz w:val="28"/>
        </w:rPr>
        <w:t>专项应急预案包括：</w:t>
      </w:r>
      <w:r>
        <w:rPr>
          <w:rFonts w:hint="eastAsia"/>
          <w:color w:val="auto"/>
          <w:sz w:val="28"/>
          <w:lang w:val="en-US" w:eastAsia="zh-CN"/>
        </w:rPr>
        <w:t>锅炉爆炸事故专项应急预案；</w:t>
      </w:r>
      <w:r>
        <w:rPr>
          <w:rFonts w:hint="eastAsia"/>
          <w:color w:val="auto"/>
          <w:sz w:val="28"/>
        </w:rPr>
        <w:t>现场处置方案包括：火灾事故现场处置方案、触电事故现场处置方案、硫化氢中毒事件现场处置方案、人身伤害事故现场处置方案</w:t>
      </w:r>
      <w:r>
        <w:rPr>
          <w:rFonts w:hint="eastAsia"/>
          <w:color w:val="auto"/>
          <w:sz w:val="28"/>
          <w:lang w:eastAsia="zh-CN"/>
        </w:rPr>
        <w:t>、燃气泄漏事故现场处置方案、自然灾害事故现场处置方案</w:t>
      </w:r>
      <w:r>
        <w:rPr>
          <w:rFonts w:hint="eastAsia"/>
          <w:color w:val="auto"/>
          <w:sz w:val="28"/>
        </w:rPr>
        <w:t>。</w:t>
      </w:r>
    </w:p>
    <w:p>
      <w:pPr>
        <w:pStyle w:val="5"/>
        <w:adjustRightInd w:val="0"/>
        <w:snapToGrid w:val="0"/>
        <w:spacing w:before="0" w:after="0" w:line="360" w:lineRule="auto"/>
        <w:rPr>
          <w:rFonts w:eastAsia="黑体"/>
          <w:b w:val="0"/>
          <w:snapToGrid w:val="0"/>
          <w:color w:val="auto"/>
          <w:kern w:val="0"/>
          <w:sz w:val="28"/>
          <w:szCs w:val="28"/>
        </w:rPr>
      </w:pPr>
      <w:r>
        <w:rPr>
          <w:rFonts w:eastAsia="黑体"/>
          <w:b w:val="0"/>
          <w:snapToGrid w:val="0"/>
          <w:color w:val="auto"/>
          <w:kern w:val="0"/>
          <w:sz w:val="28"/>
          <w:szCs w:val="28"/>
        </w:rPr>
        <w:t>2.1</w:t>
      </w:r>
      <w:r>
        <w:rPr>
          <w:rFonts w:hint="eastAsia" w:eastAsia="黑体"/>
          <w:b w:val="0"/>
          <w:snapToGrid w:val="0"/>
          <w:color w:val="auto"/>
          <w:kern w:val="0"/>
          <w:sz w:val="28"/>
          <w:szCs w:val="28"/>
          <w:lang w:val="en-US" w:eastAsia="zh-CN"/>
        </w:rPr>
        <w:t>1</w:t>
      </w:r>
      <w:r>
        <w:rPr>
          <w:rFonts w:eastAsia="黑体"/>
          <w:b w:val="0"/>
          <w:snapToGrid w:val="0"/>
          <w:color w:val="auto"/>
          <w:kern w:val="0"/>
          <w:sz w:val="28"/>
          <w:szCs w:val="28"/>
        </w:rPr>
        <w:t xml:space="preserve">.2 </w:t>
      </w:r>
      <w:r>
        <w:rPr>
          <w:rFonts w:hint="eastAsia" w:eastAsia="黑体"/>
          <w:b w:val="0"/>
          <w:snapToGrid w:val="0"/>
          <w:color w:val="auto"/>
          <w:kern w:val="0"/>
          <w:sz w:val="28"/>
          <w:szCs w:val="28"/>
        </w:rPr>
        <w:t>事故应急救援组织的建立和人员的配备情况</w:t>
      </w:r>
    </w:p>
    <w:p>
      <w:pPr>
        <w:adjustRightInd w:val="0"/>
        <w:snapToGrid w:val="0"/>
        <w:spacing w:line="360" w:lineRule="auto"/>
        <w:ind w:firstLine="560" w:firstLineChars="200"/>
        <w:rPr>
          <w:rFonts w:hint="default" w:eastAsia="宋体"/>
          <w:color w:val="auto"/>
          <w:sz w:val="28"/>
          <w:szCs w:val="28"/>
          <w:lang w:val="en-US" w:eastAsia="zh-CN"/>
        </w:rPr>
      </w:pPr>
      <w:r>
        <w:rPr>
          <w:rFonts w:hint="eastAsia"/>
          <w:color w:val="auto"/>
          <w:sz w:val="28"/>
          <w:szCs w:val="28"/>
        </w:rPr>
        <w:t>山东华曦石油技术服务有限公司成立了由总经理</w:t>
      </w:r>
      <w:r>
        <w:rPr>
          <w:rFonts w:hint="eastAsia"/>
          <w:color w:val="auto"/>
          <w:sz w:val="28"/>
          <w:szCs w:val="28"/>
          <w:lang w:val="en-US" w:eastAsia="zh-CN"/>
        </w:rPr>
        <w:t>崔华</w:t>
      </w:r>
      <w:r>
        <w:rPr>
          <w:rFonts w:hint="eastAsia"/>
          <w:color w:val="auto"/>
          <w:sz w:val="28"/>
          <w:szCs w:val="28"/>
        </w:rPr>
        <w:t>任总指挥的应急领导机构，成员包括</w:t>
      </w:r>
      <w:r>
        <w:rPr>
          <w:rFonts w:hint="eastAsia"/>
          <w:color w:val="auto"/>
          <w:sz w:val="28"/>
          <w:szCs w:val="28"/>
          <w:lang w:val="en-US" w:eastAsia="zh-CN"/>
        </w:rPr>
        <w:t>生产部</w:t>
      </w:r>
      <w:r>
        <w:rPr>
          <w:rFonts w:hint="eastAsia"/>
          <w:color w:val="auto"/>
          <w:sz w:val="28"/>
          <w:szCs w:val="28"/>
        </w:rPr>
        <w:t>、</w:t>
      </w:r>
      <w:r>
        <w:rPr>
          <w:rFonts w:hint="eastAsia"/>
          <w:color w:val="auto"/>
          <w:sz w:val="28"/>
          <w:szCs w:val="28"/>
          <w:lang w:val="en-US" w:eastAsia="zh-CN"/>
        </w:rPr>
        <w:t>安全部</w:t>
      </w:r>
      <w:r>
        <w:rPr>
          <w:rFonts w:hint="eastAsia"/>
          <w:color w:val="auto"/>
          <w:sz w:val="28"/>
          <w:szCs w:val="28"/>
        </w:rPr>
        <w:t>及各作业队等部门主要负责人，确保发生重大事故时，以应急领导机构为核心，负责公司应急求援工作的组织和指挥。事故应急救援预案规定了演练计划，能满足该生产设施应急救援要求。</w:t>
      </w:r>
      <w:r>
        <w:rPr>
          <w:rFonts w:hint="eastAsia"/>
          <w:color w:val="auto"/>
          <w:sz w:val="28"/>
          <w:szCs w:val="28"/>
          <w:lang w:val="en-US" w:eastAsia="zh-CN"/>
        </w:rPr>
        <w:t>事故应急救援组织成立文件见报告附件10。</w:t>
      </w:r>
    </w:p>
    <w:p>
      <w:pPr>
        <w:pStyle w:val="5"/>
        <w:adjustRightInd w:val="0"/>
        <w:snapToGrid w:val="0"/>
        <w:spacing w:before="0" w:after="0" w:line="360" w:lineRule="auto"/>
        <w:rPr>
          <w:rFonts w:eastAsia="黑体"/>
          <w:b w:val="0"/>
          <w:snapToGrid w:val="0"/>
          <w:color w:val="auto"/>
          <w:kern w:val="0"/>
          <w:sz w:val="28"/>
          <w:szCs w:val="28"/>
        </w:rPr>
      </w:pPr>
      <w:r>
        <w:rPr>
          <w:rFonts w:eastAsia="黑体"/>
          <w:b w:val="0"/>
          <w:snapToGrid w:val="0"/>
          <w:color w:val="auto"/>
          <w:kern w:val="0"/>
          <w:sz w:val="28"/>
          <w:szCs w:val="28"/>
        </w:rPr>
        <w:t>2.1</w:t>
      </w:r>
      <w:r>
        <w:rPr>
          <w:rFonts w:hint="eastAsia" w:eastAsia="黑体"/>
          <w:b w:val="0"/>
          <w:snapToGrid w:val="0"/>
          <w:color w:val="auto"/>
          <w:kern w:val="0"/>
          <w:sz w:val="28"/>
          <w:szCs w:val="28"/>
          <w:lang w:val="en-US" w:eastAsia="zh-CN"/>
        </w:rPr>
        <w:t>1</w:t>
      </w:r>
      <w:r>
        <w:rPr>
          <w:rFonts w:eastAsia="黑体"/>
          <w:b w:val="0"/>
          <w:snapToGrid w:val="0"/>
          <w:color w:val="auto"/>
          <w:kern w:val="0"/>
          <w:sz w:val="28"/>
          <w:szCs w:val="28"/>
        </w:rPr>
        <w:t xml:space="preserve">.3 </w:t>
      </w:r>
      <w:r>
        <w:rPr>
          <w:rFonts w:hint="eastAsia" w:eastAsia="黑体"/>
          <w:b w:val="0"/>
          <w:snapToGrid w:val="0"/>
          <w:color w:val="auto"/>
          <w:kern w:val="0"/>
          <w:sz w:val="28"/>
          <w:szCs w:val="28"/>
        </w:rPr>
        <w:t>事故应急救援预案的演练情况</w:t>
      </w:r>
    </w:p>
    <w:p>
      <w:pPr>
        <w:adjustRightInd w:val="0"/>
        <w:snapToGrid w:val="0"/>
        <w:spacing w:line="360" w:lineRule="auto"/>
        <w:ind w:firstLine="560" w:firstLineChars="200"/>
        <w:rPr>
          <w:rFonts w:hint="eastAsia"/>
          <w:color w:val="auto"/>
          <w:sz w:val="28"/>
          <w:szCs w:val="28"/>
          <w:highlight w:val="none"/>
          <w:lang w:val="en-US" w:eastAsia="zh-CN"/>
        </w:rPr>
      </w:pPr>
      <w:r>
        <w:rPr>
          <w:rFonts w:hint="eastAsia"/>
          <w:color w:val="auto"/>
          <w:sz w:val="28"/>
          <w:szCs w:val="28"/>
          <w:lang w:val="en-US" w:eastAsia="zh-CN"/>
        </w:rPr>
        <w:t>该公司于2022年5月修订了应急预案并备案，备案之后未根据新的应急预案修定2022年应急演练计划，且演练频次不满足《山东省生产安全事故应急办法》（山东省人民政府令[2021]第341号）的要求，在7月份</w:t>
      </w:r>
      <w:r>
        <w:rPr>
          <w:rFonts w:hint="eastAsia" w:cs="Times New Roman"/>
          <w:sz w:val="28"/>
          <w:szCs w:val="28"/>
          <w:lang w:val="en-US" w:eastAsia="zh-CN"/>
        </w:rPr>
        <w:t>评价过程中采纳评价组意见后</w:t>
      </w:r>
      <w:r>
        <w:rPr>
          <w:rFonts w:hint="eastAsia"/>
          <w:color w:val="auto"/>
          <w:sz w:val="28"/>
          <w:szCs w:val="28"/>
          <w:lang w:val="en-US" w:eastAsia="zh-CN"/>
        </w:rPr>
        <w:t>，根据最新备案的应急预案修订了2022年下半年的应急演练计划，并按计划进行演练。该公司2022年生产安全事故应急演计划和调整后的生产安全事故应急演练计划见下表。</w:t>
      </w:r>
      <w:r>
        <w:rPr>
          <w:rFonts w:hint="eastAsia"/>
          <w:color w:val="auto"/>
          <w:sz w:val="28"/>
          <w:szCs w:val="28"/>
          <w:highlight w:val="none"/>
          <w:lang w:val="en-US" w:eastAsia="zh-CN"/>
        </w:rPr>
        <w:t>2022年生产安全事故应急演练计划调整文件、应急演练计划及演练记录相关资料见附件11。</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b/>
          <w:bCs/>
          <w:color w:val="auto"/>
          <w:sz w:val="24"/>
          <w:szCs w:val="28"/>
          <w:lang w:val="en-US" w:eastAsia="zh-CN"/>
        </w:rPr>
      </w:pPr>
      <w:r>
        <w:rPr>
          <w:rFonts w:hint="default" w:ascii="Times New Roman" w:hAnsi="Times New Roman" w:cs="Times New Roman"/>
          <w:b/>
          <w:bCs/>
          <w:color w:val="auto"/>
          <w:sz w:val="24"/>
          <w:szCs w:val="28"/>
          <w:lang w:val="en-US" w:eastAsia="zh-CN"/>
        </w:rPr>
        <w:t>表2-16 2022</w:t>
      </w:r>
      <w:r>
        <w:rPr>
          <w:rFonts w:hint="eastAsia"/>
          <w:b/>
          <w:bCs/>
          <w:color w:val="auto"/>
          <w:sz w:val="24"/>
          <w:szCs w:val="28"/>
          <w:lang w:val="en-US" w:eastAsia="zh-CN"/>
        </w:rPr>
        <w:t>生产安全事故应急演练计划</w:t>
      </w:r>
    </w:p>
    <w:tbl>
      <w:tblPr>
        <w:tblStyle w:val="52"/>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159"/>
        <w:gridCol w:w="2629"/>
        <w:gridCol w:w="1585"/>
        <w:gridCol w:w="24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422" w:type="pct"/>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序号</w:t>
            </w:r>
          </w:p>
        </w:tc>
        <w:tc>
          <w:tcPr>
            <w:tcW w:w="680" w:type="pct"/>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演练时间</w:t>
            </w:r>
          </w:p>
        </w:tc>
        <w:tc>
          <w:tcPr>
            <w:tcW w:w="1542" w:type="pct"/>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演练地点</w:t>
            </w:r>
          </w:p>
        </w:tc>
        <w:tc>
          <w:tcPr>
            <w:tcW w:w="930" w:type="pct"/>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演练人员</w:t>
            </w:r>
          </w:p>
        </w:tc>
        <w:tc>
          <w:tcPr>
            <w:tcW w:w="1423" w:type="pct"/>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预案名称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2022.1</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作业队施工现场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rPr>
            </w:pPr>
            <w:r>
              <w:rPr>
                <w:rFonts w:hint="default" w:ascii="Times New Roman" w:hAnsi="Times New Roman" w:cs="Times New Roman"/>
                <w:sz w:val="21"/>
                <w:szCs w:val="21"/>
              </w:rPr>
              <w:t>井喷失控事故现场处置方案</w:t>
            </w:r>
            <w:r>
              <w:rPr>
                <w:rFonts w:hint="default" w:ascii="Times New Roman" w:hAnsi="Times New Roman" w:cs="Times New Roman"/>
                <w:bCs/>
                <w:sz w:val="21"/>
                <w:szCs w:val="21"/>
              </w:rPr>
              <w:t>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2022.2</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作业队施工现场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rPr>
            </w:pPr>
            <w:r>
              <w:rPr>
                <w:rFonts w:hint="default" w:ascii="Times New Roman" w:hAnsi="Times New Roman" w:cs="Times New Roman"/>
                <w:sz w:val="21"/>
                <w:szCs w:val="21"/>
              </w:rPr>
              <w:t>火灾事故事故现场处置方案</w:t>
            </w:r>
            <w:r>
              <w:rPr>
                <w:rFonts w:hint="default" w:ascii="Times New Roman" w:hAnsi="Times New Roman" w:cs="Times New Roman"/>
                <w:bCs/>
                <w:sz w:val="21"/>
                <w:szCs w:val="21"/>
              </w:rPr>
              <w:t>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3</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2022.3</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作业队施工现场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eastAsia="zh-CN"/>
              </w:rPr>
            </w:pPr>
            <w:r>
              <w:rPr>
                <w:rFonts w:hint="default" w:ascii="Times New Roman" w:hAnsi="Times New Roman" w:cs="Times New Roman"/>
                <w:sz w:val="21"/>
                <w:szCs w:val="21"/>
              </w:rPr>
              <w:t>硫化氢中毒事故现场处置方案</w:t>
            </w:r>
            <w:r>
              <w:rPr>
                <w:rFonts w:hint="default" w:ascii="Times New Roman" w:hAnsi="Times New Roman" w:cs="Times New Roman"/>
                <w:bCs/>
                <w:sz w:val="21"/>
                <w:szCs w:val="21"/>
              </w:rPr>
              <w:t>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4</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2022.4</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作业队施工现场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lang w:eastAsia="zh-CN"/>
              </w:rPr>
            </w:pPr>
            <w:r>
              <w:rPr>
                <w:rFonts w:hint="default" w:ascii="Times New Roman" w:hAnsi="Times New Roman" w:cs="Times New Roman"/>
                <w:bCs/>
                <w:sz w:val="21"/>
                <w:szCs w:val="21"/>
                <w:lang w:eastAsia="zh-CN"/>
              </w:rPr>
              <w:t>机械伤害</w:t>
            </w:r>
            <w:r>
              <w:rPr>
                <w:rFonts w:hint="default" w:ascii="Times New Roman" w:hAnsi="Times New Roman"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5</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2022.5</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作业队施工现场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rPr>
            </w:pPr>
            <w:r>
              <w:rPr>
                <w:rFonts w:hint="default" w:ascii="Times New Roman" w:hAnsi="Times New Roman" w:cs="Times New Roman"/>
                <w:bCs/>
                <w:sz w:val="21"/>
                <w:szCs w:val="21"/>
                <w:lang w:eastAsia="zh-CN"/>
              </w:rPr>
              <w:t>触电</w:t>
            </w:r>
            <w:r>
              <w:rPr>
                <w:rFonts w:hint="default" w:ascii="Times New Roman" w:hAnsi="Times New Roman"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2022.6</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作业队施工现场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firstLine="210" w:firstLineChars="100"/>
              <w:jc w:val="center"/>
              <w:rPr>
                <w:rFonts w:hint="default" w:ascii="Times New Roman" w:hAnsi="Times New Roman" w:cs="Times New Roman"/>
                <w:sz w:val="21"/>
                <w:szCs w:val="21"/>
              </w:rPr>
            </w:pPr>
            <w:r>
              <w:rPr>
                <w:rFonts w:hint="default" w:ascii="Times New Roman" w:hAnsi="Times New Roman" w:cs="Times New Roman"/>
                <w:sz w:val="21"/>
                <w:szCs w:val="21"/>
              </w:rPr>
              <w:t>人</w:t>
            </w:r>
            <w:r>
              <w:rPr>
                <w:rFonts w:hint="default" w:ascii="Times New Roman" w:hAnsi="Times New Roman" w:cs="Times New Roman"/>
                <w:sz w:val="21"/>
                <w:szCs w:val="21"/>
                <w:lang w:eastAsia="zh-CN"/>
              </w:rPr>
              <w:t>身</w:t>
            </w:r>
            <w:r>
              <w:rPr>
                <w:rFonts w:hint="default" w:ascii="Times New Roman" w:hAnsi="Times New Roman" w:cs="Times New Roman"/>
                <w:sz w:val="21"/>
                <w:szCs w:val="21"/>
              </w:rPr>
              <w:t>伤害事故现场处置方案</w:t>
            </w:r>
          </w:p>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7</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2022.7</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eastAsia="zh-CN"/>
              </w:rPr>
              <w:t>作业队施工现场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rPr>
            </w:pPr>
            <w:r>
              <w:rPr>
                <w:rFonts w:hint="default" w:ascii="Times New Roman" w:hAnsi="Times New Roman" w:cs="Times New Roman"/>
                <w:bCs/>
                <w:sz w:val="21"/>
                <w:szCs w:val="21"/>
              </w:rPr>
              <w:t>火灾事故现场处置方案演练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8</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2022.8</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eastAsia="zh-CN"/>
              </w:rPr>
              <w:t>作业队施工现场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rPr>
            </w:pPr>
            <w:r>
              <w:rPr>
                <w:rFonts w:hint="default" w:ascii="Times New Roman" w:hAnsi="Times New Roman" w:cs="Times New Roman"/>
                <w:sz w:val="21"/>
                <w:szCs w:val="21"/>
              </w:rPr>
              <w:t>井喷失控事故现场处置方案</w:t>
            </w:r>
            <w:r>
              <w:rPr>
                <w:rFonts w:hint="default" w:ascii="Times New Roman" w:hAnsi="Times New Roman" w:cs="Times New Roman"/>
                <w:bCs/>
                <w:sz w:val="21"/>
                <w:szCs w:val="21"/>
              </w:rPr>
              <w:t>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2022.9</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eastAsia="zh-CN"/>
              </w:rPr>
              <w:t>作业队施工现场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cs="Times New Roman"/>
                <w:bCs/>
                <w:sz w:val="21"/>
                <w:szCs w:val="21"/>
                <w:lang w:eastAsia="zh-CN"/>
              </w:rPr>
              <w:t>硫化氢中毒</w:t>
            </w:r>
            <w:r>
              <w:rPr>
                <w:rFonts w:hint="default" w:ascii="Times New Roman" w:hAnsi="Times New Roman"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10</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2022.10</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eastAsia="zh-CN"/>
              </w:rPr>
              <w:t>作业队施工现场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rPr>
            </w:pPr>
            <w:r>
              <w:rPr>
                <w:rFonts w:hint="default" w:ascii="Times New Roman" w:hAnsi="Times New Roman" w:cs="Times New Roman"/>
                <w:bCs/>
                <w:sz w:val="21"/>
                <w:szCs w:val="21"/>
                <w:lang w:eastAsia="zh-CN"/>
              </w:rPr>
              <w:t>机械伤害</w:t>
            </w:r>
            <w:r>
              <w:rPr>
                <w:rFonts w:hint="default" w:ascii="Times New Roman" w:hAnsi="Times New Roman"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2022.11</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eastAsia="zh-CN"/>
              </w:rPr>
              <w:t>作业队施工现场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rPr>
            </w:pPr>
            <w:r>
              <w:rPr>
                <w:rFonts w:hint="default" w:ascii="Times New Roman" w:hAnsi="Times New Roman" w:cs="Times New Roman"/>
                <w:bCs/>
                <w:sz w:val="21"/>
                <w:szCs w:val="21"/>
                <w:lang w:eastAsia="zh-CN"/>
              </w:rPr>
              <w:t>触电</w:t>
            </w:r>
            <w:r>
              <w:rPr>
                <w:rFonts w:hint="default" w:ascii="Times New Roman" w:hAnsi="Times New Roman"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 w:type="pct"/>
            <w:noWrap w:val="0"/>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12</w:t>
            </w: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2022.12</w:t>
            </w:r>
          </w:p>
        </w:tc>
        <w:tc>
          <w:tcPr>
            <w:tcW w:w="1542"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作业队</w:t>
            </w:r>
            <w:r>
              <w:rPr>
                <w:rFonts w:hint="default" w:ascii="Times New Roman" w:hAnsi="Times New Roman" w:cs="Times New Roman"/>
                <w:sz w:val="21"/>
                <w:szCs w:val="21"/>
              </w:rPr>
              <w:t>施工现场</w:t>
            </w:r>
          </w:p>
        </w:tc>
        <w:tc>
          <w:tcPr>
            <w:tcW w:w="9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highlight w:val="none"/>
                <w:lang w:eastAsia="zh-CN"/>
              </w:rPr>
              <w:t>各作业队</w:t>
            </w:r>
          </w:p>
        </w:tc>
        <w:tc>
          <w:tcPr>
            <w:tcW w:w="142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人</w:t>
            </w:r>
            <w:r>
              <w:rPr>
                <w:rFonts w:hint="default" w:ascii="Times New Roman" w:hAnsi="Times New Roman" w:cs="Times New Roman"/>
                <w:sz w:val="21"/>
                <w:szCs w:val="21"/>
                <w:lang w:eastAsia="zh-CN"/>
              </w:rPr>
              <w:t>身</w:t>
            </w:r>
            <w:r>
              <w:rPr>
                <w:rFonts w:hint="default" w:ascii="Times New Roman" w:hAnsi="Times New Roman" w:cs="Times New Roman"/>
                <w:sz w:val="21"/>
                <w:szCs w:val="21"/>
              </w:rPr>
              <w:t>伤害事故现场处置方案</w:t>
            </w:r>
          </w:p>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lang w:eastAsia="zh-CN"/>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ascii="宋体" w:hAnsi="宋体" w:eastAsia="宋体" w:cs="宋体"/>
          <w:b w:val="0"/>
          <w:snapToGrid w:val="0"/>
          <w:color w:val="auto"/>
          <w:kern w:val="0"/>
          <w:sz w:val="28"/>
          <w:szCs w:val="28"/>
          <w:lang w:val="en-US" w:eastAsia="zh-CN"/>
        </w:rPr>
      </w:pPr>
      <w:r>
        <w:rPr>
          <w:rFonts w:hint="eastAsia"/>
          <w:b/>
          <w:bCs/>
          <w:color w:val="auto"/>
          <w:sz w:val="24"/>
          <w:szCs w:val="28"/>
        </w:rPr>
        <w:t>表</w:t>
      </w:r>
      <w:r>
        <w:rPr>
          <w:b/>
          <w:bCs/>
          <w:color w:val="auto"/>
          <w:sz w:val="24"/>
          <w:szCs w:val="28"/>
        </w:rPr>
        <w:t>2</w:t>
      </w:r>
      <w:r>
        <w:rPr>
          <w:rFonts w:hint="eastAsia"/>
          <w:b/>
          <w:bCs/>
          <w:color w:val="auto"/>
          <w:sz w:val="24"/>
          <w:szCs w:val="28"/>
        </w:rPr>
        <w:t>-</w:t>
      </w:r>
      <w:r>
        <w:rPr>
          <w:rFonts w:hint="eastAsia"/>
          <w:b/>
          <w:bCs/>
          <w:color w:val="auto"/>
          <w:sz w:val="24"/>
          <w:szCs w:val="28"/>
          <w:lang w:val="en-US" w:eastAsia="zh-CN"/>
        </w:rPr>
        <w:t>17</w:t>
      </w:r>
      <w:r>
        <w:rPr>
          <w:b/>
          <w:bCs/>
          <w:color w:val="auto"/>
          <w:sz w:val="24"/>
          <w:szCs w:val="28"/>
        </w:rPr>
        <w:t xml:space="preserve"> </w:t>
      </w:r>
      <w:r>
        <w:rPr>
          <w:rFonts w:hint="eastAsia"/>
          <w:b/>
          <w:bCs/>
          <w:color w:val="auto"/>
          <w:sz w:val="24"/>
          <w:szCs w:val="28"/>
        </w:rPr>
        <w:t>2022年</w:t>
      </w:r>
      <w:r>
        <w:rPr>
          <w:rFonts w:hint="eastAsia"/>
          <w:b/>
          <w:bCs/>
          <w:color w:val="auto"/>
          <w:sz w:val="24"/>
          <w:szCs w:val="28"/>
          <w:lang w:val="en-US" w:eastAsia="zh-CN"/>
        </w:rPr>
        <w:t>上半年</w:t>
      </w:r>
      <w:r>
        <w:rPr>
          <w:rFonts w:hint="eastAsia"/>
          <w:b/>
          <w:bCs/>
          <w:color w:val="auto"/>
          <w:sz w:val="24"/>
          <w:szCs w:val="28"/>
        </w:rPr>
        <w:t>生产安全事故应急演练情况统计表</w:t>
      </w:r>
    </w:p>
    <w:tbl>
      <w:tblPr>
        <w:tblStyle w:val="52"/>
        <w:tblW w:w="853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1"/>
        <w:gridCol w:w="1289"/>
        <w:gridCol w:w="2499"/>
        <w:gridCol w:w="1482"/>
        <w:gridCol w:w="27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tblHeader/>
        </w:trPr>
        <w:tc>
          <w:tcPr>
            <w:tcW w:w="511" w:type="dxa"/>
            <w:noWrap w:val="0"/>
            <w:vAlign w:val="center"/>
          </w:tcPr>
          <w:p>
            <w:pPr>
              <w:keepNext w:val="0"/>
              <w:keepLines w:val="0"/>
              <w:numPr>
                <w:ilvl w:val="0"/>
                <w:numId w:val="0"/>
              </w:numPr>
              <w:suppressLineNumbers w:val="0"/>
              <w:spacing w:before="0" w:beforeAutospacing="0" w:after="0" w:afterAutospacing="0" w:line="360" w:lineRule="exact"/>
              <w:ind w:left="0" w:leftChars="0" w:right="0" w:rightChars="0"/>
              <w:jc w:val="both"/>
              <w:rPr>
                <w:rFonts w:hint="default" w:ascii="Times New Roman" w:hAnsi="Times New Roman" w:cs="Times New Roman"/>
                <w:b/>
                <w:szCs w:val="21"/>
              </w:rPr>
            </w:pPr>
            <w:r>
              <w:rPr>
                <w:rFonts w:hint="default" w:ascii="Times New Roman" w:hAnsi="Times New Roman" w:cs="Times New Roman"/>
                <w:b/>
                <w:szCs w:val="21"/>
              </w:rPr>
              <w:t>序号</w:t>
            </w:r>
          </w:p>
        </w:tc>
        <w:tc>
          <w:tcPr>
            <w:tcW w:w="1289"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演练时间</w:t>
            </w:r>
          </w:p>
        </w:tc>
        <w:tc>
          <w:tcPr>
            <w:tcW w:w="2499"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演练地点</w:t>
            </w:r>
          </w:p>
        </w:tc>
        <w:tc>
          <w:tcPr>
            <w:tcW w:w="1482"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演练人员</w:t>
            </w:r>
          </w:p>
        </w:tc>
        <w:tc>
          <w:tcPr>
            <w:tcW w:w="2757"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预案名称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38" w:type="dxa"/>
            <w:gridSpan w:val="5"/>
            <w:noWrap w:val="0"/>
            <w:vAlign w:val="center"/>
          </w:tcPr>
          <w:p>
            <w:pPr>
              <w:keepNext w:val="0"/>
              <w:keepLines w:val="0"/>
              <w:numPr>
                <w:ilvl w:val="0"/>
                <w:numId w:val="0"/>
              </w:numPr>
              <w:suppressLineNumbers w:val="0"/>
              <w:spacing w:before="0" w:beforeAutospacing="0" w:after="0" w:afterAutospacing="0"/>
              <w:ind w:left="0" w:leftChars="0" w:right="0" w:rightChars="0"/>
              <w:jc w:val="center"/>
              <w:rPr>
                <w:rFonts w:hint="default" w:ascii="Times New Roman" w:hAnsi="Times New Roman" w:cs="Times New Roman"/>
                <w:b/>
                <w:bCs/>
                <w:szCs w:val="21"/>
              </w:rPr>
            </w:pPr>
            <w:r>
              <w:rPr>
                <w:rFonts w:hint="default" w:ascii="Times New Roman" w:hAnsi="Times New Roman" w:cs="Times New Roman"/>
                <w:b/>
                <w:bCs/>
                <w:szCs w:val="21"/>
              </w:rPr>
              <w:t>现场处置方案演练记录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2022.1.13</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cs="Times New Roman"/>
                <w:szCs w:val="21"/>
                <w:lang w:eastAsia="zh-CN"/>
              </w:rPr>
              <w:t>复合气一队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rPr>
              <w:t>火灾事故现场处置方案演练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2022.2.11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复合气一队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触电</w:t>
            </w:r>
            <w:r>
              <w:rPr>
                <w:rFonts w:hint="default" w:ascii="Times New Roman" w:hAnsi="Times New Roman" w:cs="Times New Roman"/>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2022.3.2</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复合气一队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硫化氢中毒</w:t>
            </w:r>
            <w:r>
              <w:rPr>
                <w:rFonts w:hint="default" w:ascii="Times New Roman" w:hAnsi="Times New Roman" w:cs="Times New Roman"/>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2022.4.11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复合气一队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灼伤事故现场处置方案演练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2022.5.14</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复合气一队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高处坠落事故现场处置方案演练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2022.5.16</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复合气一队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机械伤害现场处置方案演练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2022.5.23</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复合气一队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补偿器断裂现场处置方案演练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2022.6.11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复合气一队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管线刺漏现场处置方案演练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2022.1.5</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复合气二队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二队人员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紧急停电现场处置方案演练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2022.1.11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复合气二队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二队人员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变压器着火现场处置方案演练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2022.3.15</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复合气二队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二队人员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补偿器断裂现场处置方案演练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2022.4.18</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复合气二队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二队人员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硫化氢</w:t>
            </w:r>
            <w:r>
              <w:rPr>
                <w:rFonts w:hint="eastAsia" w:cs="Times New Roman"/>
                <w:bCs/>
                <w:szCs w:val="21"/>
                <w:lang w:eastAsia="zh-CN"/>
              </w:rPr>
              <w:t>泄漏</w:t>
            </w:r>
            <w:r>
              <w:rPr>
                <w:rFonts w:hint="default" w:ascii="Times New Roman" w:hAnsi="Times New Roman" w:cs="Times New Roman"/>
                <w:bCs/>
                <w:szCs w:val="21"/>
                <w:lang w:eastAsia="zh-CN"/>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2022.4.19</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复合气二队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二队人员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灼伤事故现场处置方案演练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2022.4.20</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复合气二队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二队人员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注汽井喷事故现场处置方案演练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2022.5.3</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复合气二队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二队人员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机械伤害事故现场处置方案演练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2022.6.14</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复合气二队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二队人员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中暑事故现场处置方案演练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2022.2.7</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复合气三队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三队人员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补偿器断裂现场处置方案演练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2022.2.20</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复合气三队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三队人员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机械伤害事故现场处置方案演练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2022.3.15</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复合气三队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三队人员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管线刺漏</w:t>
            </w:r>
            <w:r>
              <w:rPr>
                <w:rFonts w:hint="default" w:ascii="Times New Roman" w:hAnsi="Times New Roman" w:cs="Times New Roman"/>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2022.4.1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复合气三队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三队人员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触电</w:t>
            </w:r>
            <w:r>
              <w:rPr>
                <w:rFonts w:hint="default" w:ascii="Times New Roman" w:hAnsi="Times New Roman" w:cs="Times New Roman"/>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2022.4.17</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复合气三队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三队人员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rPr>
              <w:t>火灾事故现场处置方案演练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2022.5.1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复合气三队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三队人员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灼伤</w:t>
            </w:r>
            <w:r>
              <w:rPr>
                <w:rFonts w:hint="default" w:ascii="Times New Roman" w:hAnsi="Times New Roman" w:cs="Times New Roman"/>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2022.5.21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复合气三队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三队人员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rPr>
            </w:pPr>
            <w:r>
              <w:rPr>
                <w:rFonts w:hint="default" w:ascii="Times New Roman" w:hAnsi="Times New Roman" w:cs="Times New Roman"/>
                <w:bCs/>
                <w:szCs w:val="21"/>
                <w:lang w:eastAsia="zh-CN"/>
              </w:rPr>
              <w:t>高处坠落</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rPr>
            </w:pPr>
            <w:r>
              <w:rPr>
                <w:rFonts w:hint="default" w:ascii="Times New Roman" w:hAnsi="Times New Roman" w:cs="Times New Roman"/>
                <w:szCs w:val="21"/>
              </w:rPr>
              <w:t>20</w:t>
            </w:r>
            <w:r>
              <w:rPr>
                <w:rFonts w:hint="default" w:ascii="Times New Roman" w:hAnsi="Times New Roman" w:cs="Times New Roman"/>
                <w:szCs w:val="21"/>
                <w:lang w:val="en-US" w:eastAsia="zh-CN"/>
              </w:rPr>
              <w:t>22.6.17</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复合气三队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三队人员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rPr>
            </w:pPr>
            <w:r>
              <w:rPr>
                <w:rFonts w:hint="default" w:ascii="Times New Roman" w:hAnsi="Times New Roman" w:cs="Times New Roman"/>
                <w:bCs/>
                <w:szCs w:val="21"/>
                <w:lang w:eastAsia="zh-CN"/>
              </w:rPr>
              <w:t>硫化氢中毒</w:t>
            </w:r>
            <w:r>
              <w:rPr>
                <w:rFonts w:hint="default" w:ascii="Times New Roman" w:hAnsi="Times New Roman" w:cs="Times New Roman"/>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eastAsia="宋体"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2022.1.20</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eastAsia" w:cs="Times New Roman"/>
                <w:szCs w:val="21"/>
                <w:lang w:eastAsia="zh-CN"/>
              </w:rPr>
              <w:t>复合气五队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lang w:eastAsia="zh-CN"/>
              </w:rPr>
              <w:t>五队人员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rPr>
            </w:pPr>
            <w:r>
              <w:rPr>
                <w:rFonts w:hint="default" w:ascii="Times New Roman" w:hAnsi="Times New Roman" w:cs="Times New Roman"/>
                <w:bCs/>
                <w:szCs w:val="21"/>
                <w:lang w:eastAsia="zh-CN"/>
              </w:rPr>
              <w:t>触电</w:t>
            </w:r>
            <w:r>
              <w:rPr>
                <w:rFonts w:hint="default" w:ascii="Times New Roman" w:hAnsi="Times New Roman" w:cs="Times New Roman"/>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2022.2.22</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复合气五队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五队人员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灼伤</w:t>
            </w:r>
            <w:r>
              <w:rPr>
                <w:rFonts w:hint="default" w:ascii="Times New Roman" w:hAnsi="Times New Roman" w:cs="Times New Roman"/>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2022.3.20</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复合气五队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五队人员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高处坠落</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2022.4.15</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复合气五队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五队人员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硫化氢</w:t>
            </w:r>
            <w:r>
              <w:rPr>
                <w:rFonts w:hint="eastAsia" w:cs="Times New Roman"/>
                <w:bCs/>
                <w:szCs w:val="21"/>
                <w:lang w:eastAsia="zh-CN"/>
              </w:rPr>
              <w:t>泄漏</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2022.5.25</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复合气五队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五队人员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空气管线刺漏</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2022.6.11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复合气五队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五队人员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交通事故</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2022.6.25</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复合气五队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五队人员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机械伤害</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2022.1.4</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复合气六队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六队人员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机械伤害</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2022.2.3</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复合气六队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六队人员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管线刺漏</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2022.3.1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复合气六队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六队人员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灼伤</w:t>
            </w:r>
            <w:r>
              <w:rPr>
                <w:rFonts w:hint="default" w:ascii="Times New Roman" w:hAnsi="Times New Roman" w:cs="Times New Roman"/>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2022.4.1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复合气六队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六队人员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补偿器断裂</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lang w:val="en-US" w:eastAsia="zh-CN"/>
              </w:rPr>
              <w:t>2022.4.1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复合气六队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六队人员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触电</w:t>
            </w:r>
            <w:r>
              <w:rPr>
                <w:rFonts w:hint="default" w:ascii="Times New Roman" w:hAnsi="Times New Roman" w:cs="Times New Roman"/>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2022.5.3</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复合气六队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六队人员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高处坠落</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2022.5.2</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复合气六队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六队人员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rPr>
              <w:t>火灾事故现场处置方案演练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2022.6.1</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复合气六队</w:t>
            </w:r>
            <w:r>
              <w:rPr>
                <w:rFonts w:hint="default" w:ascii="Times New Roman" w:hAnsi="Times New Roman" w:cs="Times New Roman"/>
                <w:szCs w:val="21"/>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六队人员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硫化氢</w:t>
            </w:r>
            <w:r>
              <w:rPr>
                <w:rFonts w:hint="eastAsia" w:cs="Times New Roman"/>
                <w:bCs/>
                <w:szCs w:val="21"/>
                <w:lang w:eastAsia="zh-CN"/>
              </w:rPr>
              <w:t>泄漏</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2022.2.5</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华曦注汽一队</w:t>
            </w:r>
            <w:r>
              <w:rPr>
                <w:rFonts w:hint="default" w:ascii="Times New Roman" w:hAnsi="Times New Roman" w:cs="Times New Roman"/>
                <w:szCs w:val="21"/>
                <w:lang w:eastAsia="zh-CN"/>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注汽</w:t>
            </w: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突然停电</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2022.3.14</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华曦注汽一队</w:t>
            </w:r>
            <w:r>
              <w:rPr>
                <w:rFonts w:hint="default" w:ascii="Times New Roman" w:hAnsi="Times New Roman" w:cs="Times New Roman"/>
                <w:szCs w:val="21"/>
                <w:lang w:eastAsia="zh-CN"/>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注汽</w:t>
            </w: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紧急停水</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2022.4.9</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华曦注汽一队</w:t>
            </w:r>
            <w:r>
              <w:rPr>
                <w:rFonts w:hint="default" w:ascii="Times New Roman" w:hAnsi="Times New Roman" w:cs="Times New Roman"/>
                <w:szCs w:val="21"/>
                <w:lang w:eastAsia="zh-CN"/>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注汽</w:t>
            </w: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注汽井喷</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2022.5.19</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华曦注汽一队</w:t>
            </w:r>
            <w:r>
              <w:rPr>
                <w:rFonts w:hint="default" w:ascii="Times New Roman" w:hAnsi="Times New Roman" w:cs="Times New Roman"/>
                <w:szCs w:val="21"/>
                <w:lang w:eastAsia="zh-CN"/>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注汽</w:t>
            </w: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食物中毒</w:t>
            </w:r>
            <w:r>
              <w:rPr>
                <w:rFonts w:hint="default" w:ascii="Times New Roman" w:hAnsi="Times New Roman" w:cs="Times New Roman"/>
                <w:bCs/>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2"/>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128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2022.6.9</w:t>
            </w:r>
          </w:p>
        </w:tc>
        <w:tc>
          <w:tcPr>
            <w:tcW w:w="24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华曦注汽一队</w:t>
            </w:r>
            <w:r>
              <w:rPr>
                <w:rFonts w:hint="default" w:ascii="Times New Roman" w:hAnsi="Times New Roman" w:cs="Times New Roman"/>
                <w:szCs w:val="21"/>
                <w:lang w:eastAsia="zh-CN"/>
              </w:rPr>
              <w:t>施工现场</w:t>
            </w:r>
          </w:p>
        </w:tc>
        <w:tc>
          <w:tcPr>
            <w:tcW w:w="148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eastAsia" w:cs="Times New Roman"/>
                <w:szCs w:val="21"/>
                <w:lang w:eastAsia="zh-CN"/>
              </w:rPr>
              <w:t>注汽</w:t>
            </w:r>
            <w:r>
              <w:rPr>
                <w:rFonts w:hint="default" w:ascii="Times New Roman" w:hAnsi="Times New Roman" w:cs="Times New Roman"/>
                <w:szCs w:val="21"/>
                <w:lang w:eastAsia="zh-CN"/>
              </w:rPr>
              <w:t>一队人员</w:t>
            </w:r>
          </w:p>
        </w:tc>
        <w:tc>
          <w:tcPr>
            <w:tcW w:w="275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Cs w:val="21"/>
                <w:lang w:eastAsia="zh-CN"/>
              </w:rPr>
            </w:pPr>
            <w:r>
              <w:rPr>
                <w:rFonts w:hint="default" w:ascii="Times New Roman" w:hAnsi="Times New Roman" w:cs="Times New Roman"/>
                <w:bCs/>
                <w:szCs w:val="21"/>
                <w:lang w:eastAsia="zh-CN"/>
              </w:rPr>
              <w:t>防汛、防洪涝</w:t>
            </w:r>
            <w:r>
              <w:rPr>
                <w:rFonts w:hint="default" w:ascii="Times New Roman" w:hAnsi="Times New Roman" w:cs="Times New Roman"/>
                <w:bCs/>
                <w:szCs w:val="21"/>
              </w:rPr>
              <w:t>现场处置方案演练</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default" w:ascii="宋体" w:hAnsi="宋体" w:eastAsia="宋体" w:cs="宋体"/>
          <w:b w:val="0"/>
          <w:snapToGrid w:val="0"/>
          <w:color w:val="auto"/>
          <w:kern w:val="0"/>
          <w:sz w:val="28"/>
          <w:szCs w:val="28"/>
          <w:lang w:val="en-US" w:eastAsia="zh-CN"/>
        </w:rPr>
      </w:pPr>
      <w:r>
        <w:rPr>
          <w:rFonts w:hint="eastAsia" w:cs="Times New Roman"/>
          <w:b/>
          <w:bCs/>
          <w:snapToGrid w:val="0"/>
          <w:color w:val="auto"/>
          <w:kern w:val="0"/>
          <w:sz w:val="24"/>
          <w:szCs w:val="24"/>
          <w:lang w:val="en-US" w:eastAsia="zh-CN"/>
        </w:rPr>
        <w:t xml:space="preserve">表2-18 </w:t>
      </w:r>
      <w:r>
        <w:rPr>
          <w:rFonts w:hint="default" w:ascii="Times New Roman" w:hAnsi="Times New Roman" w:cs="Times New Roman"/>
          <w:b/>
          <w:bCs/>
          <w:snapToGrid w:val="0"/>
          <w:color w:val="auto"/>
          <w:kern w:val="0"/>
          <w:sz w:val="24"/>
          <w:szCs w:val="24"/>
          <w:lang w:val="en-US" w:eastAsia="zh-CN"/>
        </w:rPr>
        <w:t>2022年</w:t>
      </w:r>
      <w:r>
        <w:rPr>
          <w:rFonts w:hint="eastAsia" w:ascii="宋体" w:hAnsi="宋体" w:cs="宋体"/>
          <w:b/>
          <w:bCs/>
          <w:snapToGrid w:val="0"/>
          <w:color w:val="auto"/>
          <w:kern w:val="0"/>
          <w:sz w:val="24"/>
          <w:szCs w:val="24"/>
          <w:lang w:val="en-US" w:eastAsia="zh-CN"/>
        </w:rPr>
        <w:t>下半年生产安全事故应急演练计划表</w:t>
      </w:r>
    </w:p>
    <w:tbl>
      <w:tblPr>
        <w:tblStyle w:val="52"/>
        <w:tblW w:w="852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1"/>
        <w:gridCol w:w="1291"/>
        <w:gridCol w:w="2672"/>
        <w:gridCol w:w="1310"/>
        <w:gridCol w:w="27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trPr>
        <w:tc>
          <w:tcPr>
            <w:tcW w:w="511" w:type="dxa"/>
            <w:noWrap w:val="0"/>
            <w:vAlign w:val="center"/>
          </w:tcPr>
          <w:p>
            <w:pPr>
              <w:keepNext w:val="0"/>
              <w:keepLines w:val="0"/>
              <w:numPr>
                <w:ilvl w:val="0"/>
                <w:numId w:val="0"/>
              </w:numPr>
              <w:suppressLineNumbers w:val="0"/>
              <w:spacing w:before="0" w:beforeAutospacing="0" w:after="0" w:afterAutospacing="0" w:line="360" w:lineRule="exact"/>
              <w:ind w:left="0" w:leftChars="0" w:right="0" w:rightChars="0"/>
              <w:jc w:val="both"/>
              <w:rPr>
                <w:rFonts w:hint="default"/>
                <w:b/>
                <w:szCs w:val="21"/>
              </w:rPr>
            </w:pPr>
            <w:r>
              <w:rPr>
                <w:rFonts w:hint="default" w:ascii="宋体" w:hAnsi="宋体"/>
                <w:b/>
                <w:szCs w:val="21"/>
              </w:rPr>
              <w:t>序号</w:t>
            </w:r>
          </w:p>
        </w:tc>
        <w:tc>
          <w:tcPr>
            <w:tcW w:w="1291" w:type="dxa"/>
            <w:noWrap w:val="0"/>
            <w:vAlign w:val="center"/>
          </w:tcPr>
          <w:p>
            <w:pPr>
              <w:keepNext w:val="0"/>
              <w:keepLines w:val="0"/>
              <w:suppressLineNumbers w:val="0"/>
              <w:spacing w:before="0" w:beforeAutospacing="0" w:after="0" w:afterAutospacing="0" w:line="360" w:lineRule="exact"/>
              <w:ind w:left="0" w:right="0"/>
              <w:jc w:val="center"/>
              <w:rPr>
                <w:rFonts w:hint="default"/>
                <w:b/>
                <w:szCs w:val="21"/>
              </w:rPr>
            </w:pPr>
            <w:r>
              <w:rPr>
                <w:rFonts w:hint="default" w:ascii="宋体" w:hAnsi="宋体"/>
                <w:b/>
                <w:szCs w:val="21"/>
              </w:rPr>
              <w:t>演练时间</w:t>
            </w:r>
          </w:p>
        </w:tc>
        <w:tc>
          <w:tcPr>
            <w:tcW w:w="2672" w:type="dxa"/>
            <w:noWrap w:val="0"/>
            <w:vAlign w:val="center"/>
          </w:tcPr>
          <w:p>
            <w:pPr>
              <w:keepNext w:val="0"/>
              <w:keepLines w:val="0"/>
              <w:suppressLineNumbers w:val="0"/>
              <w:spacing w:before="0" w:beforeAutospacing="0" w:after="0" w:afterAutospacing="0" w:line="360" w:lineRule="exact"/>
              <w:ind w:left="0" w:right="0"/>
              <w:jc w:val="center"/>
              <w:rPr>
                <w:rFonts w:hint="default"/>
                <w:b/>
                <w:szCs w:val="21"/>
              </w:rPr>
            </w:pPr>
            <w:r>
              <w:rPr>
                <w:rFonts w:hint="default" w:ascii="宋体" w:hAnsi="宋体"/>
                <w:b/>
                <w:szCs w:val="21"/>
              </w:rPr>
              <w:t>演练地点</w:t>
            </w:r>
          </w:p>
        </w:tc>
        <w:tc>
          <w:tcPr>
            <w:tcW w:w="1310" w:type="dxa"/>
            <w:noWrap w:val="0"/>
            <w:vAlign w:val="center"/>
          </w:tcPr>
          <w:p>
            <w:pPr>
              <w:keepNext w:val="0"/>
              <w:keepLines w:val="0"/>
              <w:suppressLineNumbers w:val="0"/>
              <w:spacing w:before="0" w:beforeAutospacing="0" w:after="0" w:afterAutospacing="0" w:line="360" w:lineRule="exact"/>
              <w:ind w:left="0" w:right="0"/>
              <w:jc w:val="center"/>
              <w:rPr>
                <w:rFonts w:hint="default"/>
                <w:b/>
                <w:szCs w:val="21"/>
              </w:rPr>
            </w:pPr>
            <w:r>
              <w:rPr>
                <w:rFonts w:hint="default" w:ascii="宋体" w:hAnsi="宋体"/>
                <w:b/>
                <w:szCs w:val="21"/>
              </w:rPr>
              <w:t>演练人员</w:t>
            </w:r>
          </w:p>
        </w:tc>
        <w:tc>
          <w:tcPr>
            <w:tcW w:w="2741" w:type="dxa"/>
            <w:noWrap w:val="0"/>
            <w:vAlign w:val="center"/>
          </w:tcPr>
          <w:p>
            <w:pPr>
              <w:keepNext w:val="0"/>
              <w:keepLines w:val="0"/>
              <w:suppressLineNumbers w:val="0"/>
              <w:spacing w:before="0" w:beforeAutospacing="0" w:after="0" w:afterAutospacing="0" w:line="360" w:lineRule="exact"/>
              <w:ind w:left="0" w:right="0"/>
              <w:jc w:val="center"/>
              <w:rPr>
                <w:rFonts w:hint="default"/>
                <w:b/>
                <w:szCs w:val="21"/>
              </w:rPr>
            </w:pPr>
            <w:r>
              <w:rPr>
                <w:rFonts w:hint="eastAsia" w:ascii="宋体" w:hAnsi="宋体"/>
                <w:b/>
                <w:szCs w:val="21"/>
              </w:rPr>
              <w:t>预案名称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3"/>
              </w:numPr>
              <w:suppressLineNumbers w:val="0"/>
              <w:spacing w:before="0" w:beforeAutospacing="0" w:after="0" w:afterAutospacing="0" w:line="400" w:lineRule="exact"/>
              <w:ind w:left="425" w:leftChars="0" w:right="0" w:hanging="425" w:firstLineChars="0"/>
              <w:jc w:val="center"/>
              <w:rPr>
                <w:rFonts w:hint="eastAsia" w:eastAsia="宋体"/>
                <w:szCs w:val="21"/>
                <w:lang w:eastAsia="zh-CN"/>
              </w:rPr>
            </w:pPr>
          </w:p>
        </w:tc>
        <w:tc>
          <w:tcPr>
            <w:tcW w:w="1291" w:type="dxa"/>
            <w:noWrap w:val="0"/>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2022.7</w:t>
            </w:r>
          </w:p>
        </w:tc>
        <w:tc>
          <w:tcPr>
            <w:tcW w:w="267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ascii="宋体" w:hAnsi="宋体"/>
                <w:szCs w:val="21"/>
                <w:lang w:eastAsia="zh-CN"/>
              </w:rPr>
              <w:t>作业队施工现场</w:t>
            </w:r>
          </w:p>
        </w:tc>
        <w:tc>
          <w:tcPr>
            <w:tcW w:w="1310"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highlight w:val="none"/>
                <w:lang w:eastAsia="zh-CN"/>
              </w:rPr>
              <w:t>各作业队</w:t>
            </w:r>
          </w:p>
        </w:tc>
        <w:tc>
          <w:tcPr>
            <w:tcW w:w="2741" w:type="dxa"/>
            <w:noWrap w:val="0"/>
            <w:vAlign w:val="center"/>
          </w:tcPr>
          <w:p>
            <w:pPr>
              <w:keepNext w:val="0"/>
              <w:keepLines w:val="0"/>
              <w:suppressLineNumbers w:val="0"/>
              <w:spacing w:before="0" w:beforeAutospacing="0" w:after="0" w:afterAutospacing="0"/>
              <w:ind w:left="0" w:right="0"/>
              <w:jc w:val="center"/>
              <w:rPr>
                <w:rFonts w:hint="default"/>
                <w:bCs/>
                <w:szCs w:val="21"/>
              </w:rPr>
            </w:pPr>
            <w:r>
              <w:rPr>
                <w:rFonts w:hint="default" w:ascii="宋体" w:hAnsi="宋体"/>
                <w:bCs/>
                <w:szCs w:val="21"/>
              </w:rPr>
              <w:t>火灾事故现场处置方案演练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3"/>
              </w:numPr>
              <w:suppressLineNumbers w:val="0"/>
              <w:spacing w:before="0" w:beforeAutospacing="0" w:after="0" w:afterAutospacing="0" w:line="400" w:lineRule="exact"/>
              <w:ind w:left="425" w:leftChars="0" w:right="0" w:hanging="425" w:firstLineChars="0"/>
              <w:jc w:val="center"/>
              <w:rPr>
                <w:rFonts w:hint="eastAsia" w:eastAsia="宋体"/>
                <w:szCs w:val="21"/>
                <w:lang w:val="en-US" w:eastAsia="zh-CN"/>
              </w:rPr>
            </w:pPr>
          </w:p>
        </w:tc>
        <w:tc>
          <w:tcPr>
            <w:tcW w:w="1291" w:type="dxa"/>
            <w:noWrap w:val="0"/>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2022.8</w:t>
            </w:r>
          </w:p>
        </w:tc>
        <w:tc>
          <w:tcPr>
            <w:tcW w:w="2672"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lang w:eastAsia="zh-CN"/>
              </w:rPr>
              <w:t>作业队施工现场</w:t>
            </w:r>
          </w:p>
        </w:tc>
        <w:tc>
          <w:tcPr>
            <w:tcW w:w="1310"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highlight w:val="none"/>
                <w:lang w:eastAsia="zh-CN"/>
              </w:rPr>
              <w:t>各作业队</w:t>
            </w:r>
          </w:p>
        </w:tc>
        <w:tc>
          <w:tcPr>
            <w:tcW w:w="2741" w:type="dxa"/>
            <w:noWrap w:val="0"/>
            <w:vAlign w:val="center"/>
          </w:tcPr>
          <w:p>
            <w:pPr>
              <w:keepNext w:val="0"/>
              <w:keepLines w:val="0"/>
              <w:suppressLineNumbers w:val="0"/>
              <w:spacing w:before="0" w:beforeAutospacing="0" w:after="0" w:afterAutospacing="0"/>
              <w:ind w:left="0" w:right="0"/>
              <w:jc w:val="center"/>
              <w:rPr>
                <w:rFonts w:hint="default"/>
                <w:bCs/>
                <w:szCs w:val="21"/>
              </w:rPr>
            </w:pPr>
            <w:r>
              <w:rPr>
                <w:rFonts w:hint="eastAsia" w:ascii="宋体" w:hAnsi="宋体"/>
                <w:bCs/>
                <w:szCs w:val="21"/>
                <w:lang w:eastAsia="zh-CN"/>
              </w:rPr>
              <w:t>触电</w:t>
            </w:r>
            <w:r>
              <w:rPr>
                <w:rFonts w:hint="default" w:ascii="宋体" w:hAnsi="宋体"/>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3"/>
              </w:numPr>
              <w:suppressLineNumbers w:val="0"/>
              <w:spacing w:before="0" w:beforeAutospacing="0" w:after="0" w:afterAutospacing="0" w:line="400" w:lineRule="exact"/>
              <w:ind w:left="425" w:leftChars="0" w:right="0" w:hanging="425" w:firstLineChars="0"/>
              <w:jc w:val="center"/>
              <w:rPr>
                <w:rFonts w:hint="default" w:eastAsia="宋体"/>
                <w:szCs w:val="21"/>
                <w:lang w:val="en-US" w:eastAsia="zh-CN"/>
              </w:rPr>
            </w:pPr>
          </w:p>
        </w:tc>
        <w:tc>
          <w:tcPr>
            <w:tcW w:w="1291" w:type="dxa"/>
            <w:noWrap w:val="0"/>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2022.9</w:t>
            </w:r>
          </w:p>
        </w:tc>
        <w:tc>
          <w:tcPr>
            <w:tcW w:w="2672"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lang w:eastAsia="zh-CN"/>
              </w:rPr>
              <w:t>作业队施工现场</w:t>
            </w:r>
          </w:p>
        </w:tc>
        <w:tc>
          <w:tcPr>
            <w:tcW w:w="1310"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highlight w:val="none"/>
                <w:lang w:eastAsia="zh-CN"/>
              </w:rPr>
              <w:t>各作业队</w:t>
            </w:r>
          </w:p>
        </w:tc>
        <w:tc>
          <w:tcPr>
            <w:tcW w:w="2741"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eastAsia" w:ascii="宋体" w:hAnsi="宋体"/>
                <w:bCs/>
                <w:szCs w:val="21"/>
                <w:lang w:eastAsia="zh-CN"/>
              </w:rPr>
              <w:t>硫化氢中毒</w:t>
            </w:r>
            <w:r>
              <w:rPr>
                <w:rFonts w:hint="default" w:ascii="宋体" w:hAnsi="宋体"/>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3"/>
              </w:numPr>
              <w:suppressLineNumbers w:val="0"/>
              <w:spacing w:before="0" w:beforeAutospacing="0" w:after="0" w:afterAutospacing="0" w:line="400" w:lineRule="exact"/>
              <w:ind w:left="425" w:leftChars="0" w:right="0" w:hanging="425" w:firstLineChars="0"/>
              <w:jc w:val="center"/>
              <w:rPr>
                <w:rFonts w:hint="default" w:eastAsia="宋体"/>
                <w:szCs w:val="21"/>
                <w:lang w:val="en-US" w:eastAsia="zh-CN"/>
              </w:rPr>
            </w:pPr>
          </w:p>
        </w:tc>
        <w:tc>
          <w:tcPr>
            <w:tcW w:w="1291" w:type="dxa"/>
            <w:noWrap w:val="0"/>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2022.10</w:t>
            </w:r>
          </w:p>
        </w:tc>
        <w:tc>
          <w:tcPr>
            <w:tcW w:w="2672"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lang w:eastAsia="zh-CN"/>
              </w:rPr>
              <w:t>作业队施工现场</w:t>
            </w:r>
          </w:p>
        </w:tc>
        <w:tc>
          <w:tcPr>
            <w:tcW w:w="1310"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highlight w:val="none"/>
                <w:lang w:eastAsia="zh-CN"/>
              </w:rPr>
              <w:t>各作业队</w:t>
            </w:r>
          </w:p>
        </w:tc>
        <w:tc>
          <w:tcPr>
            <w:tcW w:w="2741" w:type="dxa"/>
            <w:noWrap w:val="0"/>
            <w:vAlign w:val="center"/>
          </w:tcPr>
          <w:p>
            <w:pPr>
              <w:keepNext w:val="0"/>
              <w:keepLines w:val="0"/>
              <w:suppressLineNumbers w:val="0"/>
              <w:spacing w:before="0" w:beforeAutospacing="0" w:after="0" w:afterAutospacing="0"/>
              <w:ind w:left="0" w:right="0"/>
              <w:jc w:val="center"/>
              <w:rPr>
                <w:rFonts w:hint="default"/>
                <w:bCs/>
                <w:szCs w:val="21"/>
              </w:rPr>
            </w:pPr>
            <w:r>
              <w:rPr>
                <w:rFonts w:hint="eastAsia" w:ascii="宋体" w:hAnsi="宋体"/>
                <w:bCs/>
                <w:szCs w:val="21"/>
                <w:lang w:eastAsia="zh-CN"/>
              </w:rPr>
              <w:t>人身伤害事故现场处置方案演练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80" w:hRule="atLeast"/>
        </w:trPr>
        <w:tc>
          <w:tcPr>
            <w:tcW w:w="511" w:type="dxa"/>
            <w:noWrap w:val="0"/>
            <w:vAlign w:val="center"/>
          </w:tcPr>
          <w:p>
            <w:pPr>
              <w:keepNext w:val="0"/>
              <w:keepLines w:val="0"/>
              <w:numPr>
                <w:ilvl w:val="0"/>
                <w:numId w:val="13"/>
              </w:numPr>
              <w:suppressLineNumbers w:val="0"/>
              <w:spacing w:before="0" w:beforeAutospacing="0" w:after="0" w:afterAutospacing="0" w:line="400" w:lineRule="exact"/>
              <w:ind w:left="425" w:leftChars="0" w:right="0" w:hanging="425" w:firstLineChars="0"/>
              <w:jc w:val="center"/>
              <w:rPr>
                <w:rFonts w:hint="default" w:eastAsia="宋体"/>
                <w:szCs w:val="21"/>
                <w:lang w:val="en-US" w:eastAsia="zh-CN"/>
              </w:rPr>
            </w:pPr>
          </w:p>
        </w:tc>
        <w:tc>
          <w:tcPr>
            <w:tcW w:w="1291" w:type="dxa"/>
            <w:noWrap w:val="0"/>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2022.11</w:t>
            </w:r>
          </w:p>
        </w:tc>
        <w:tc>
          <w:tcPr>
            <w:tcW w:w="2672"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lang w:eastAsia="zh-CN"/>
              </w:rPr>
              <w:t>作业队施工现场</w:t>
            </w:r>
          </w:p>
        </w:tc>
        <w:tc>
          <w:tcPr>
            <w:tcW w:w="1310"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highlight w:val="none"/>
                <w:lang w:eastAsia="zh-CN"/>
              </w:rPr>
              <w:t>各作业队</w:t>
            </w:r>
          </w:p>
        </w:tc>
        <w:tc>
          <w:tcPr>
            <w:tcW w:w="2741" w:type="dxa"/>
            <w:noWrap w:val="0"/>
            <w:vAlign w:val="center"/>
          </w:tcPr>
          <w:p>
            <w:pPr>
              <w:keepNext w:val="0"/>
              <w:keepLines w:val="0"/>
              <w:suppressLineNumbers w:val="0"/>
              <w:spacing w:before="0" w:beforeAutospacing="0" w:after="0" w:afterAutospacing="0"/>
              <w:ind w:left="0" w:right="0"/>
              <w:jc w:val="center"/>
              <w:rPr>
                <w:rFonts w:hint="default"/>
                <w:bCs/>
                <w:szCs w:val="21"/>
              </w:rPr>
            </w:pPr>
            <w:r>
              <w:rPr>
                <w:rFonts w:hint="eastAsia" w:ascii="宋体" w:hAnsi="宋体"/>
                <w:bCs/>
                <w:szCs w:val="21"/>
                <w:lang w:eastAsia="zh-CN"/>
              </w:rPr>
              <w:t>燃气泄漏</w:t>
            </w:r>
            <w:r>
              <w:rPr>
                <w:rFonts w:hint="default" w:ascii="宋体" w:hAnsi="宋体"/>
                <w:bCs/>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3"/>
              </w:numPr>
              <w:suppressLineNumbers w:val="0"/>
              <w:spacing w:before="0" w:beforeAutospacing="0" w:after="0" w:afterAutospacing="0" w:line="400" w:lineRule="exact"/>
              <w:ind w:left="425" w:leftChars="0" w:right="0" w:hanging="425" w:firstLineChars="0"/>
              <w:jc w:val="center"/>
              <w:rPr>
                <w:rFonts w:hint="default"/>
                <w:szCs w:val="21"/>
                <w:lang w:val="en-US" w:eastAsia="zh-CN"/>
              </w:rPr>
            </w:pPr>
          </w:p>
        </w:tc>
        <w:tc>
          <w:tcPr>
            <w:tcW w:w="1291" w:type="dxa"/>
            <w:noWrap w:val="0"/>
            <w:vAlign w:val="center"/>
          </w:tcPr>
          <w:p>
            <w:pPr>
              <w:keepNext w:val="0"/>
              <w:keepLines w:val="0"/>
              <w:suppressLineNumbers w:val="0"/>
              <w:spacing w:before="0" w:beforeAutospacing="0" w:after="0" w:afterAutospacing="0"/>
              <w:ind w:left="0" w:right="0"/>
              <w:jc w:val="center"/>
              <w:rPr>
                <w:rFonts w:hint="default"/>
                <w:szCs w:val="21"/>
                <w:lang w:val="en-US" w:eastAsia="zh-CN"/>
              </w:rPr>
            </w:pPr>
            <w:r>
              <w:rPr>
                <w:rFonts w:hint="eastAsia"/>
                <w:szCs w:val="21"/>
                <w:lang w:val="en-US" w:eastAsia="zh-CN"/>
              </w:rPr>
              <w:t>2022.11</w:t>
            </w:r>
          </w:p>
        </w:tc>
        <w:tc>
          <w:tcPr>
            <w:tcW w:w="2672" w:type="dxa"/>
            <w:noWrap w:val="0"/>
            <w:vAlign w:val="center"/>
          </w:tcPr>
          <w:p>
            <w:pPr>
              <w:keepNext w:val="0"/>
              <w:keepLines w:val="0"/>
              <w:suppressLineNumbers w:val="0"/>
              <w:spacing w:before="0" w:beforeAutospacing="0" w:after="0" w:afterAutospacing="0"/>
              <w:ind w:left="0" w:right="0"/>
              <w:jc w:val="center"/>
              <w:rPr>
                <w:rFonts w:hint="eastAsia" w:ascii="宋体" w:hAnsi="宋体"/>
                <w:szCs w:val="21"/>
                <w:lang w:eastAsia="zh-CN"/>
              </w:rPr>
            </w:pPr>
            <w:r>
              <w:rPr>
                <w:rFonts w:hint="eastAsia" w:ascii="宋体" w:hAnsi="宋体"/>
                <w:szCs w:val="21"/>
                <w:lang w:eastAsia="zh-CN"/>
              </w:rPr>
              <w:t>作业队</w:t>
            </w:r>
            <w:r>
              <w:rPr>
                <w:rFonts w:hint="default" w:ascii="宋体" w:hAnsi="宋体"/>
                <w:szCs w:val="21"/>
              </w:rPr>
              <w:t>施工现场</w:t>
            </w:r>
          </w:p>
        </w:tc>
        <w:tc>
          <w:tcPr>
            <w:tcW w:w="1310" w:type="dxa"/>
            <w:noWrap w:val="0"/>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rFonts w:hint="eastAsia"/>
                <w:szCs w:val="21"/>
                <w:lang w:eastAsia="zh-CN"/>
              </w:rPr>
              <w:t>全员</w:t>
            </w:r>
          </w:p>
        </w:tc>
        <w:tc>
          <w:tcPr>
            <w:tcW w:w="2741" w:type="dxa"/>
            <w:noWrap w:val="0"/>
            <w:vAlign w:val="center"/>
          </w:tcPr>
          <w:p>
            <w:pPr>
              <w:keepNext w:val="0"/>
              <w:keepLines w:val="0"/>
              <w:suppressLineNumbers w:val="0"/>
              <w:spacing w:before="0" w:beforeAutospacing="0" w:after="0" w:afterAutospacing="0"/>
              <w:ind w:left="0" w:right="0"/>
              <w:jc w:val="center"/>
              <w:rPr>
                <w:rFonts w:hint="eastAsia" w:ascii="宋体" w:hAnsi="宋体"/>
                <w:bCs/>
                <w:szCs w:val="21"/>
                <w:lang w:eastAsia="zh-CN"/>
              </w:rPr>
            </w:pPr>
            <w:r>
              <w:rPr>
                <w:rFonts w:hint="eastAsia" w:ascii="宋体" w:hAnsi="宋体"/>
                <w:bCs/>
                <w:szCs w:val="21"/>
                <w:lang w:eastAsia="zh-CN"/>
              </w:rPr>
              <w:t>锅炉爆炸事故专项处置方案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11" w:type="dxa"/>
            <w:noWrap w:val="0"/>
            <w:vAlign w:val="center"/>
          </w:tcPr>
          <w:p>
            <w:pPr>
              <w:keepNext w:val="0"/>
              <w:keepLines w:val="0"/>
              <w:numPr>
                <w:ilvl w:val="0"/>
                <w:numId w:val="13"/>
              </w:numPr>
              <w:suppressLineNumbers w:val="0"/>
              <w:spacing w:before="0" w:beforeAutospacing="0" w:after="0" w:afterAutospacing="0" w:line="400" w:lineRule="exact"/>
              <w:ind w:left="425" w:leftChars="0" w:right="0" w:hanging="425" w:firstLineChars="0"/>
              <w:jc w:val="center"/>
              <w:rPr>
                <w:rFonts w:hint="default" w:eastAsia="宋体"/>
                <w:szCs w:val="21"/>
                <w:lang w:val="en-US" w:eastAsia="zh-CN"/>
              </w:rPr>
            </w:pPr>
          </w:p>
        </w:tc>
        <w:tc>
          <w:tcPr>
            <w:tcW w:w="1291" w:type="dxa"/>
            <w:noWrap w:val="0"/>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2022.12</w:t>
            </w:r>
          </w:p>
        </w:tc>
        <w:tc>
          <w:tcPr>
            <w:tcW w:w="2672"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ascii="宋体" w:hAnsi="宋体"/>
                <w:szCs w:val="21"/>
                <w:lang w:eastAsia="zh-CN"/>
              </w:rPr>
              <w:t>作业队施工现场</w:t>
            </w:r>
          </w:p>
        </w:tc>
        <w:tc>
          <w:tcPr>
            <w:tcW w:w="1310" w:type="dxa"/>
            <w:noWrap w:val="0"/>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highlight w:val="none"/>
                <w:lang w:eastAsia="zh-CN"/>
              </w:rPr>
              <w:t>各作业队</w:t>
            </w:r>
          </w:p>
        </w:tc>
        <w:tc>
          <w:tcPr>
            <w:tcW w:w="2741" w:type="dxa"/>
            <w:noWrap w:val="0"/>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bCs/>
                <w:kern w:val="2"/>
                <w:sz w:val="21"/>
                <w:szCs w:val="21"/>
                <w:lang w:val="en-US" w:eastAsia="zh-CN" w:bidi="ar-SA"/>
              </w:rPr>
            </w:pPr>
            <w:r>
              <w:rPr>
                <w:rFonts w:hint="eastAsia" w:ascii="宋体" w:hAnsi="宋体"/>
                <w:bCs/>
                <w:szCs w:val="21"/>
                <w:lang w:eastAsia="zh-CN"/>
              </w:rPr>
              <w:t>自然灾害</w:t>
            </w:r>
            <w:r>
              <w:rPr>
                <w:rFonts w:hint="default" w:ascii="宋体" w:hAnsi="宋体"/>
                <w:bCs/>
                <w:szCs w:val="21"/>
              </w:rPr>
              <w:t>事故现场处置方案演练</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sz w:val="28"/>
          <w:szCs w:val="28"/>
          <w:lang w:val="en-US" w:eastAsia="zh-CN"/>
        </w:rPr>
      </w:pPr>
      <w:r>
        <w:rPr>
          <w:rFonts w:hint="eastAsia"/>
          <w:b/>
          <w:bCs/>
          <w:color w:val="auto"/>
          <w:sz w:val="24"/>
          <w:szCs w:val="28"/>
        </w:rPr>
        <w:t>表</w:t>
      </w:r>
      <w:r>
        <w:rPr>
          <w:b/>
          <w:bCs/>
          <w:color w:val="auto"/>
          <w:sz w:val="24"/>
          <w:szCs w:val="28"/>
        </w:rPr>
        <w:t>2</w:t>
      </w:r>
      <w:r>
        <w:rPr>
          <w:rFonts w:hint="eastAsia"/>
          <w:b/>
          <w:bCs/>
          <w:color w:val="auto"/>
          <w:sz w:val="24"/>
          <w:szCs w:val="28"/>
        </w:rPr>
        <w:t>-</w:t>
      </w:r>
      <w:r>
        <w:rPr>
          <w:rFonts w:hint="eastAsia"/>
          <w:b/>
          <w:bCs/>
          <w:color w:val="auto"/>
          <w:sz w:val="24"/>
          <w:szCs w:val="28"/>
          <w:lang w:val="en-US" w:eastAsia="zh-CN"/>
        </w:rPr>
        <w:t xml:space="preserve">19 </w:t>
      </w:r>
      <w:r>
        <w:rPr>
          <w:rFonts w:hint="eastAsia"/>
          <w:b/>
          <w:bCs/>
          <w:color w:val="auto"/>
          <w:sz w:val="24"/>
          <w:szCs w:val="28"/>
        </w:rPr>
        <w:t>2022年</w:t>
      </w:r>
      <w:r>
        <w:rPr>
          <w:rFonts w:hint="eastAsia"/>
          <w:b/>
          <w:bCs/>
          <w:color w:val="auto"/>
          <w:sz w:val="24"/>
          <w:szCs w:val="28"/>
          <w:lang w:val="en-US" w:eastAsia="zh-CN"/>
        </w:rPr>
        <w:t>下</w:t>
      </w:r>
      <w:r>
        <w:rPr>
          <w:rFonts w:hint="eastAsia"/>
          <w:b/>
          <w:bCs/>
          <w:color w:val="auto"/>
          <w:sz w:val="24"/>
          <w:szCs w:val="28"/>
        </w:rPr>
        <w:t>半年生产安全事故应急演练情况统计表</w:t>
      </w:r>
    </w:p>
    <w:tbl>
      <w:tblPr>
        <w:tblStyle w:val="53"/>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14"/>
        <w:gridCol w:w="1397"/>
        <w:gridCol w:w="2327"/>
        <w:gridCol w:w="1514"/>
        <w:gridCol w:w="27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blHeader/>
        </w:trPr>
        <w:tc>
          <w:tcPr>
            <w:tcW w:w="302" w:type="pct"/>
            <w:tcBorders>
              <w:tl2br w:val="nil"/>
              <w:tr2bl w:val="nil"/>
            </w:tcBorders>
            <w:vAlign w:val="center"/>
          </w:tcPr>
          <w:p>
            <w:pPr>
              <w:keepNext w:val="0"/>
              <w:keepLines w:val="0"/>
              <w:numPr>
                <w:ilvl w:val="0"/>
                <w:numId w:val="0"/>
              </w:numPr>
              <w:suppressLineNumbers w:val="0"/>
              <w:spacing w:before="0" w:beforeAutospacing="0" w:after="0" w:afterAutospacing="0" w:line="360" w:lineRule="exact"/>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
                <w:sz w:val="21"/>
                <w:szCs w:val="21"/>
              </w:rPr>
              <w:t>序号</w:t>
            </w:r>
          </w:p>
        </w:tc>
        <w:tc>
          <w:tcPr>
            <w:tcW w:w="820" w:type="pct"/>
            <w:tcBorders>
              <w:tl2br w:val="nil"/>
              <w:tr2bl w:val="nil"/>
            </w:tcBorders>
            <w:vAlign w:val="center"/>
          </w:tcPr>
          <w:p>
            <w:pPr>
              <w:keepNext w:val="0"/>
              <w:keepLines w:val="0"/>
              <w:suppressLineNumbers w:val="0"/>
              <w:spacing w:before="0" w:beforeAutospacing="0" w:after="0" w:afterAutospacing="0" w:line="360" w:lineRule="exact"/>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
                <w:sz w:val="21"/>
                <w:szCs w:val="21"/>
              </w:rPr>
              <w:t>演练时间</w:t>
            </w:r>
          </w:p>
        </w:tc>
        <w:tc>
          <w:tcPr>
            <w:tcW w:w="1365" w:type="pct"/>
            <w:tcBorders>
              <w:tl2br w:val="nil"/>
              <w:tr2bl w:val="nil"/>
            </w:tcBorders>
            <w:vAlign w:val="center"/>
          </w:tcPr>
          <w:p>
            <w:pPr>
              <w:keepNext w:val="0"/>
              <w:keepLines w:val="0"/>
              <w:suppressLineNumbers w:val="0"/>
              <w:spacing w:before="0" w:beforeAutospacing="0" w:after="0" w:afterAutospacing="0" w:line="360" w:lineRule="exact"/>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
                <w:sz w:val="21"/>
                <w:szCs w:val="21"/>
              </w:rPr>
              <w:t>演练地点</w:t>
            </w:r>
          </w:p>
        </w:tc>
        <w:tc>
          <w:tcPr>
            <w:tcW w:w="888" w:type="pct"/>
            <w:tcBorders>
              <w:tl2br w:val="nil"/>
              <w:tr2bl w:val="nil"/>
            </w:tcBorders>
            <w:vAlign w:val="center"/>
          </w:tcPr>
          <w:p>
            <w:pPr>
              <w:keepNext w:val="0"/>
              <w:keepLines w:val="0"/>
              <w:suppressLineNumbers w:val="0"/>
              <w:spacing w:before="0" w:beforeAutospacing="0" w:after="0" w:afterAutospacing="0" w:line="360" w:lineRule="exact"/>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
                <w:sz w:val="21"/>
                <w:szCs w:val="21"/>
              </w:rPr>
              <w:t>演练人员</w:t>
            </w:r>
          </w:p>
        </w:tc>
        <w:tc>
          <w:tcPr>
            <w:tcW w:w="1622" w:type="pct"/>
            <w:tcBorders>
              <w:tl2br w:val="nil"/>
              <w:tr2bl w:val="nil"/>
            </w:tcBorders>
            <w:vAlign w:val="center"/>
          </w:tcPr>
          <w:p>
            <w:pPr>
              <w:keepNext w:val="0"/>
              <w:keepLines w:val="0"/>
              <w:suppressLineNumbers w:val="0"/>
              <w:spacing w:before="0" w:beforeAutospacing="0" w:after="0" w:afterAutospacing="0" w:line="360" w:lineRule="exact"/>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
                <w:sz w:val="21"/>
                <w:szCs w:val="21"/>
              </w:rPr>
              <w:t>预案名称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5000" w:type="pct"/>
            <w:gridSpan w:val="5"/>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
                <w:bCs/>
                <w:sz w:val="21"/>
                <w:szCs w:val="21"/>
              </w:rPr>
              <w:t>现场处置方案演练记录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2022.7.13</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复合气一</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一队人员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rPr>
              <w:t>火灾事故现场处置方案演练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2022.8.11</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复合气一</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一队人员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触电</w:t>
            </w:r>
            <w:r>
              <w:rPr>
                <w:rFonts w:hint="default" w:ascii="Times New Roman" w:hAnsi="Times New Roman" w:eastAsia="宋体"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2022.9.2</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复合气一</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一队人员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硫化氢中毒</w:t>
            </w:r>
            <w:r>
              <w:rPr>
                <w:rFonts w:hint="default" w:ascii="Times New Roman" w:hAnsi="Times New Roman" w:eastAsia="宋体"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2022.10.6</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复合气一</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一队人员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机械伤害现场处置方案演练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2022.7.8</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复合气二</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二队人员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rPr>
              <w:t>火灾事故现场处置方案演练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2022.8.20</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复合气二</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二队人员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触电</w:t>
            </w:r>
            <w:r>
              <w:rPr>
                <w:rFonts w:hint="default" w:ascii="Times New Roman" w:hAnsi="Times New Roman" w:eastAsia="宋体"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2022.9.12</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复合气二</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二队人员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硫化氢中毒</w:t>
            </w:r>
            <w:r>
              <w:rPr>
                <w:rFonts w:hint="default" w:ascii="Times New Roman" w:hAnsi="Times New Roman" w:eastAsia="宋体"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2022.10.15</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复合气二</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二队人员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机械伤害现场处置方案演练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2022.7.18</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复合气三</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三队人员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rPr>
              <w:t>火灾事故现场处置方案演练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2022.8.20</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复合气三</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三队人员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触电</w:t>
            </w:r>
            <w:r>
              <w:rPr>
                <w:rFonts w:hint="default" w:ascii="Times New Roman" w:hAnsi="Times New Roman" w:eastAsia="宋体"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2022.9.8</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复合气三</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三队人员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硫化氢中毒</w:t>
            </w:r>
            <w:r>
              <w:rPr>
                <w:rFonts w:hint="default" w:ascii="Times New Roman" w:hAnsi="Times New Roman" w:eastAsia="宋体"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2022.10.15</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复合气三</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三队人员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机械伤害</w:t>
            </w:r>
            <w:r>
              <w:rPr>
                <w:rFonts w:hint="default" w:ascii="Times New Roman" w:hAnsi="Times New Roman" w:eastAsia="宋体" w:cs="Times New Roman"/>
                <w:bCs/>
                <w:sz w:val="21"/>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2022.7.16</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复合气五</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五队人员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rPr>
              <w:t>火灾事故现场处置方案演练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2022.8.11</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复合气五</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五队人员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触电</w:t>
            </w:r>
            <w:r>
              <w:rPr>
                <w:rFonts w:hint="default" w:ascii="Times New Roman" w:hAnsi="Times New Roman" w:eastAsia="宋体"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2022.9.15</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复合气五</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五队人员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硫化氢中毒</w:t>
            </w:r>
            <w:r>
              <w:rPr>
                <w:rFonts w:hint="default" w:ascii="Times New Roman" w:hAnsi="Times New Roman" w:eastAsia="宋体"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2022.10.5</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复合气五</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五队人员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机械伤害</w:t>
            </w:r>
            <w:r>
              <w:rPr>
                <w:rFonts w:hint="default" w:ascii="Times New Roman" w:hAnsi="Times New Roman" w:eastAsia="宋体" w:cs="Times New Roman"/>
                <w:bCs/>
                <w:sz w:val="21"/>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2022.7.10</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复合气六</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六队人员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rPr>
              <w:t>火灾事故现场处置方案演练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2022.8.1</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复合气六</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六队人员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触电</w:t>
            </w:r>
            <w:r>
              <w:rPr>
                <w:rFonts w:hint="default" w:ascii="Times New Roman" w:hAnsi="Times New Roman" w:eastAsia="宋体"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2022.9.3</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复合气六</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六队人员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硫化氢泄漏</w:t>
            </w:r>
            <w:r>
              <w:rPr>
                <w:rFonts w:hint="default" w:ascii="Times New Roman" w:hAnsi="Times New Roman" w:eastAsia="宋体" w:cs="Times New Roman"/>
                <w:bCs/>
                <w:sz w:val="21"/>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2022.10.14</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复合气六</w:t>
            </w:r>
            <w:r>
              <w:rPr>
                <w:rFonts w:hint="default" w:ascii="Times New Roman" w:hAnsi="Times New Roman" w:eastAsia="宋体" w:cs="Times New Roman"/>
                <w:sz w:val="21"/>
                <w:szCs w:val="21"/>
              </w:rPr>
              <w:t>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六队人员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机械伤害</w:t>
            </w:r>
            <w:r>
              <w:rPr>
                <w:rFonts w:hint="default" w:ascii="Times New Roman" w:hAnsi="Times New Roman" w:eastAsia="宋体" w:cs="Times New Roman"/>
                <w:bCs/>
                <w:sz w:val="21"/>
                <w:szCs w:val="21"/>
              </w:rPr>
              <w:t>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2022.7.16</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华曦注汽一队施工现场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注汽一队人员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rPr>
              <w:t>火灾事故现场处置方案演练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734" w:hRule="atLeas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2022.8.16</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华曦注汽一队施工现场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注汽一队人员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触电</w:t>
            </w:r>
            <w:r>
              <w:rPr>
                <w:rFonts w:hint="default" w:ascii="Times New Roman" w:hAnsi="Times New Roman" w:eastAsia="宋体"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2022.9.22</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华曦注汽一队施工现场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注汽一队人员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硫化氢中毒</w:t>
            </w:r>
            <w:r>
              <w:rPr>
                <w:rFonts w:hint="default" w:ascii="Times New Roman" w:hAnsi="Times New Roman" w:eastAsia="宋体" w:cs="Times New Roman"/>
                <w:bCs/>
                <w:sz w:val="21"/>
                <w:szCs w:val="21"/>
              </w:rPr>
              <w:t>事故现场处置方案演练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302" w:type="pct"/>
            <w:tcBorders>
              <w:tl2br w:val="nil"/>
              <w:tr2bl w:val="nil"/>
            </w:tcBorders>
            <w:vAlign w:val="center"/>
          </w:tcPr>
          <w:p>
            <w:pPr>
              <w:keepNext w:val="0"/>
              <w:keepLines w:val="0"/>
              <w:numPr>
                <w:ilvl w:val="0"/>
                <w:numId w:val="14"/>
              </w:numPr>
              <w:suppressLineNumbers w:val="0"/>
              <w:spacing w:before="0" w:beforeAutospacing="0" w:after="0" w:afterAutospacing="0"/>
              <w:ind w:left="425" w:leftChars="0" w:right="0" w:hanging="425" w:firstLineChars="0"/>
              <w:jc w:val="center"/>
              <w:rPr>
                <w:rFonts w:hint="default" w:ascii="Times New Roman" w:hAnsi="Times New Roman" w:eastAsia="宋体" w:cs="Times New Roman"/>
                <w:sz w:val="21"/>
                <w:szCs w:val="21"/>
                <w:vertAlign w:val="baseline"/>
              </w:rPr>
            </w:pPr>
          </w:p>
        </w:tc>
        <w:tc>
          <w:tcPr>
            <w:tcW w:w="82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val="en-US" w:eastAsia="zh-CN"/>
              </w:rPr>
              <w:t>2022.10.2</w:t>
            </w:r>
          </w:p>
        </w:tc>
        <w:tc>
          <w:tcPr>
            <w:tcW w:w="1365"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华曦注汽一队施工现场</w:t>
            </w:r>
          </w:p>
        </w:tc>
        <w:tc>
          <w:tcPr>
            <w:tcW w:w="888"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lang w:eastAsia="zh-CN"/>
              </w:rPr>
              <w:t>注汽一队人员</w:t>
            </w:r>
          </w:p>
        </w:tc>
        <w:tc>
          <w:tcPr>
            <w:tcW w:w="1622"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bCs/>
                <w:sz w:val="21"/>
                <w:szCs w:val="21"/>
                <w:lang w:eastAsia="zh-CN"/>
              </w:rPr>
              <w:t>机械伤害</w:t>
            </w:r>
            <w:r>
              <w:rPr>
                <w:rFonts w:hint="default" w:ascii="Times New Roman" w:hAnsi="Times New Roman" w:eastAsia="宋体" w:cs="Times New Roman"/>
                <w:bCs/>
                <w:sz w:val="21"/>
                <w:szCs w:val="21"/>
              </w:rPr>
              <w:t>现场处置方案演练</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宋体" w:hAnsi="宋体" w:eastAsia="宋体" w:cs="宋体"/>
          <w:b w:val="0"/>
          <w:snapToGrid w:val="0"/>
          <w:color w:val="auto"/>
          <w:kern w:val="0"/>
          <w:sz w:val="28"/>
          <w:szCs w:val="28"/>
          <w:lang w:val="en-US" w:eastAsia="zh-CN"/>
        </w:rPr>
      </w:pPr>
      <w:r>
        <w:rPr>
          <w:rFonts w:hint="eastAsia"/>
          <w:sz w:val="28"/>
          <w:szCs w:val="28"/>
          <w:lang w:val="en-US" w:eastAsia="zh-CN"/>
        </w:rPr>
        <w:t>综上，根据山东华曦石油技术服务有限公司2022年下半年应急演练计划及演练记录情况，每半年对所有的现场处置方案演练一次，每半年至少组织1次综合或者专项应急预案演练。整改后符合《山东省生产安全事故应急办法》（省政府341号令）第十三条：“高危和人员密集单位应当每半年至少组织1次综合或者专项应急预案演练，每2年对所有专项应急预案至少组织1次演练，每半年对所有现场处置方案至少组织1次演练”的要求。</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eastAsia="黑体"/>
          <w:b w:val="0"/>
          <w:snapToGrid w:val="0"/>
          <w:color w:val="auto"/>
          <w:kern w:val="0"/>
          <w:sz w:val="28"/>
          <w:szCs w:val="28"/>
        </w:rPr>
      </w:pPr>
      <w:r>
        <w:rPr>
          <w:rFonts w:eastAsia="黑体"/>
          <w:b w:val="0"/>
          <w:snapToGrid w:val="0"/>
          <w:color w:val="auto"/>
          <w:kern w:val="0"/>
          <w:sz w:val="28"/>
          <w:szCs w:val="28"/>
        </w:rPr>
        <w:t>2.1</w:t>
      </w:r>
      <w:r>
        <w:rPr>
          <w:rFonts w:hint="eastAsia" w:eastAsia="黑体"/>
          <w:b w:val="0"/>
          <w:snapToGrid w:val="0"/>
          <w:color w:val="auto"/>
          <w:kern w:val="0"/>
          <w:sz w:val="28"/>
          <w:szCs w:val="28"/>
          <w:lang w:val="en-US" w:eastAsia="zh-CN"/>
        </w:rPr>
        <w:t>1</w:t>
      </w:r>
      <w:r>
        <w:rPr>
          <w:rFonts w:eastAsia="黑体"/>
          <w:b w:val="0"/>
          <w:snapToGrid w:val="0"/>
          <w:color w:val="auto"/>
          <w:kern w:val="0"/>
          <w:sz w:val="28"/>
          <w:szCs w:val="28"/>
        </w:rPr>
        <w:t xml:space="preserve">.4 </w:t>
      </w:r>
      <w:r>
        <w:rPr>
          <w:rFonts w:hint="eastAsia" w:eastAsia="黑体"/>
          <w:b w:val="0"/>
          <w:snapToGrid w:val="0"/>
          <w:color w:val="auto"/>
          <w:kern w:val="0"/>
          <w:sz w:val="28"/>
          <w:szCs w:val="28"/>
        </w:rPr>
        <w:t>事故应急救援器材、设备的配备情况</w:t>
      </w:r>
    </w:p>
    <w:p>
      <w:pPr>
        <w:adjustRightInd w:val="0"/>
        <w:snapToGrid w:val="0"/>
        <w:spacing w:line="360" w:lineRule="auto"/>
        <w:ind w:firstLine="560" w:firstLineChars="200"/>
        <w:rPr>
          <w:rFonts w:hint="eastAsia" w:eastAsia="宋体"/>
          <w:color w:val="0070C0"/>
          <w:sz w:val="28"/>
          <w:szCs w:val="28"/>
          <w:lang w:eastAsia="zh-CN"/>
        </w:rPr>
      </w:pPr>
      <w:r>
        <w:rPr>
          <w:rFonts w:hint="eastAsia"/>
          <w:color w:val="auto"/>
          <w:sz w:val="28"/>
          <w:szCs w:val="28"/>
          <w:lang w:eastAsia="zh-CN"/>
        </w:rPr>
        <w:t>山东华曦石油技术服务有限公司</w:t>
      </w:r>
      <w:r>
        <w:rPr>
          <w:rFonts w:hint="eastAsia"/>
          <w:color w:val="auto"/>
          <w:sz w:val="28"/>
          <w:szCs w:val="28"/>
        </w:rPr>
        <w:t>按照各岗位存在的危险、有害因素配备了相应的劳动防护用品及应急救援器材，其相关应急救援器材配备情况见下表</w:t>
      </w:r>
      <w:r>
        <w:rPr>
          <w:rFonts w:hint="eastAsia"/>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color w:val="auto"/>
          <w:highlight w:val="yellow"/>
        </w:rPr>
      </w:pPr>
      <w:r>
        <w:rPr>
          <w:rFonts w:hint="default" w:ascii="Times New Roman" w:hAnsi="Times New Roman" w:eastAsia="宋体" w:cs="Times New Roman"/>
          <w:b/>
          <w:bCs/>
          <w:sz w:val="24"/>
          <w:szCs w:val="24"/>
          <w:highlight w:val="none"/>
        </w:rPr>
        <w:t>表2-</w:t>
      </w:r>
      <w:r>
        <w:rPr>
          <w:rFonts w:hint="eastAsia" w:cs="Times New Roman"/>
          <w:b/>
          <w:bCs/>
          <w:sz w:val="24"/>
          <w:szCs w:val="24"/>
          <w:highlight w:val="none"/>
          <w:lang w:val="en-US" w:eastAsia="zh-CN"/>
        </w:rPr>
        <w:t>20</w:t>
      </w:r>
      <w:r>
        <w:rPr>
          <w:rFonts w:hint="default" w:ascii="Times New Roman" w:hAnsi="Times New Roman" w:eastAsia="宋体" w:cs="Times New Roman"/>
          <w:b/>
          <w:bCs/>
          <w:sz w:val="24"/>
          <w:szCs w:val="24"/>
          <w:highlight w:val="none"/>
          <w:lang w:val="en-US" w:eastAsia="zh-CN"/>
        </w:rPr>
        <w:t xml:space="preserve"> </w:t>
      </w:r>
      <w:r>
        <w:rPr>
          <w:rFonts w:hint="default" w:ascii="Times New Roman" w:hAnsi="Times New Roman" w:eastAsia="宋体" w:cs="Times New Roman"/>
          <w:b/>
          <w:bCs/>
          <w:sz w:val="24"/>
          <w:szCs w:val="24"/>
          <w:highlight w:val="none"/>
        </w:rPr>
        <w:t>应急</w:t>
      </w:r>
      <w:r>
        <w:rPr>
          <w:rFonts w:hint="eastAsia" w:cs="Times New Roman"/>
          <w:b/>
          <w:bCs/>
          <w:sz w:val="24"/>
          <w:szCs w:val="24"/>
          <w:highlight w:val="none"/>
          <w:lang w:eastAsia="zh-CN"/>
        </w:rPr>
        <w:t>、</w:t>
      </w:r>
      <w:r>
        <w:rPr>
          <w:rFonts w:hint="eastAsia" w:cs="Times New Roman"/>
          <w:b/>
          <w:bCs/>
          <w:sz w:val="24"/>
          <w:szCs w:val="24"/>
          <w:highlight w:val="none"/>
          <w:lang w:val="en-US" w:eastAsia="zh-CN"/>
        </w:rPr>
        <w:t>消防</w:t>
      </w:r>
      <w:r>
        <w:rPr>
          <w:rFonts w:hint="default" w:ascii="Times New Roman" w:hAnsi="Times New Roman" w:eastAsia="宋体" w:cs="Times New Roman"/>
          <w:b/>
          <w:bCs/>
          <w:sz w:val="24"/>
          <w:szCs w:val="24"/>
          <w:highlight w:val="none"/>
        </w:rPr>
        <w:t>器材配备情况一览表</w:t>
      </w:r>
    </w:p>
    <w:p>
      <w:pPr>
        <w:pStyle w:val="2"/>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公司应急器材的配备能够满足事故应急救援的要求，企业制定了应急救援管理制度、安全生产事故管理制度，并定期组织相关人员对同类企业的安全事故进行学习，总结经验，不断提高企业人员技术及应急能力。</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eastAsia" w:ascii="黑体" w:hAnsi="黑体" w:eastAsia="黑体" w:cs="黑体"/>
          <w:b w:val="0"/>
          <w:bCs/>
          <w:szCs w:val="32"/>
          <w:highlight w:val="none"/>
          <w:lang w:val="en-US" w:eastAsia="zh-CN"/>
        </w:rPr>
      </w:pPr>
      <w:bookmarkStart w:id="42" w:name="_Toc11662"/>
      <w:r>
        <w:rPr>
          <w:rFonts w:hint="default" w:ascii="Times New Roman" w:hAnsi="Times New Roman" w:eastAsia="黑体" w:cs="Times New Roman"/>
          <w:sz w:val="32"/>
          <w:szCs w:val="32"/>
          <w:highlight w:val="none"/>
        </w:rPr>
        <w:t>2.1</w:t>
      </w:r>
      <w:r>
        <w:rPr>
          <w:rFonts w:hint="default" w:ascii="Times New Roman" w:hAnsi="Times New Roman" w:eastAsia="黑体" w:cs="Times New Roman"/>
          <w:sz w:val="32"/>
          <w:szCs w:val="32"/>
          <w:highlight w:val="none"/>
          <w:lang w:val="en-US" w:eastAsia="zh-CN"/>
        </w:rPr>
        <w:t>2 承</w:t>
      </w:r>
      <w:r>
        <w:rPr>
          <w:rFonts w:hint="eastAsia" w:ascii="黑体" w:hAnsi="黑体" w:eastAsia="黑体" w:cs="黑体"/>
          <w:sz w:val="32"/>
          <w:szCs w:val="32"/>
          <w:highlight w:val="none"/>
          <w:lang w:val="en-US" w:eastAsia="zh-CN"/>
        </w:rPr>
        <w:t>包商管理</w:t>
      </w:r>
      <w:bookmarkEnd w:id="42"/>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cs="Times New Roman"/>
          <w:sz w:val="28"/>
          <w:szCs w:val="28"/>
          <w:lang w:val="en-US" w:eastAsia="zh-CN"/>
        </w:rPr>
      </w:pPr>
      <w:r>
        <w:rPr>
          <w:rFonts w:hint="default" w:ascii="Times New Roman" w:hAnsi="Times New Roman" w:cs="Times New Roman"/>
          <w:sz w:val="28"/>
          <w:szCs w:val="28"/>
          <w:lang w:val="en-US" w:eastAsia="zh-CN"/>
        </w:rPr>
        <w:t>山东华曦石油技术服务有限公司2022年目前在用承包商</w:t>
      </w:r>
      <w:r>
        <w:rPr>
          <w:rFonts w:hint="eastAsia" w:cs="Times New Roman"/>
          <w:sz w:val="28"/>
          <w:szCs w:val="28"/>
          <w:lang w:val="en-US" w:eastAsia="zh-CN"/>
        </w:rPr>
        <w:t>有</w:t>
      </w:r>
      <w:r>
        <w:rPr>
          <w:rFonts w:hint="default" w:ascii="Times New Roman" w:hAnsi="Times New Roman" w:cs="Times New Roman"/>
          <w:sz w:val="28"/>
          <w:szCs w:val="28"/>
          <w:lang w:val="en-US" w:eastAsia="zh-CN"/>
        </w:rPr>
        <w:t>：东营市汇达运输有限公司</w:t>
      </w:r>
      <w:r>
        <w:rPr>
          <w:rFonts w:hint="eastAsia" w:cs="Times New Roman"/>
          <w:sz w:val="28"/>
          <w:szCs w:val="28"/>
          <w:lang w:val="en-US" w:eastAsia="zh-CN"/>
        </w:rPr>
        <w:t>、</w:t>
      </w:r>
      <w:r>
        <w:rPr>
          <w:rFonts w:hint="default" w:ascii="Times New Roman" w:hAnsi="Times New Roman" w:cs="Times New Roman"/>
          <w:sz w:val="28"/>
          <w:szCs w:val="28"/>
          <w:lang w:val="en-US" w:eastAsia="zh-CN"/>
        </w:rPr>
        <w:t>东营鑫通源运输有限公司</w:t>
      </w:r>
      <w:r>
        <w:rPr>
          <w:rFonts w:hint="eastAsia" w:cs="Times New Roman"/>
          <w:sz w:val="28"/>
          <w:szCs w:val="28"/>
          <w:lang w:val="en-US" w:eastAsia="zh-CN"/>
        </w:rPr>
        <w:t>、东营市德慧机电设备有限公司、东营市科盟商贸有限公司等。</w:t>
      </w:r>
      <w:r>
        <w:rPr>
          <w:rFonts w:hint="default" w:ascii="Times New Roman" w:hAnsi="Times New Roman" w:cs="Times New Roman"/>
          <w:sz w:val="28"/>
          <w:szCs w:val="28"/>
          <w:lang w:val="en-US" w:eastAsia="zh-CN"/>
        </w:rPr>
        <w:t>东营市汇达运输有限公司</w:t>
      </w:r>
      <w:r>
        <w:rPr>
          <w:rFonts w:hint="eastAsia" w:cs="Times New Roman"/>
          <w:sz w:val="28"/>
          <w:szCs w:val="28"/>
          <w:lang w:val="en-US" w:eastAsia="zh-CN"/>
        </w:rPr>
        <w:t>于2020年1月17日取得道路运输经营许可证，经营范围为普通货物运输，</w:t>
      </w:r>
      <w:r>
        <w:rPr>
          <w:rFonts w:hint="default" w:ascii="Times New Roman" w:hAnsi="Times New Roman" w:cs="Times New Roman"/>
          <w:sz w:val="28"/>
          <w:szCs w:val="28"/>
          <w:lang w:val="en-US" w:eastAsia="zh-CN"/>
        </w:rPr>
        <w:t>主要负责华曦公司作业设备的拆卸及运输搬迁工作；东营鑫通源运输有限公司</w:t>
      </w:r>
      <w:r>
        <w:rPr>
          <w:rFonts w:hint="eastAsia" w:cs="Times New Roman"/>
          <w:sz w:val="28"/>
          <w:szCs w:val="28"/>
          <w:lang w:val="en-US" w:eastAsia="zh-CN"/>
        </w:rPr>
        <w:t>于2019年3月21日取得道路运输经营许可证，经营范围为危险货物运输（3类），</w:t>
      </w:r>
      <w:r>
        <w:rPr>
          <w:rFonts w:hint="default" w:ascii="Times New Roman" w:hAnsi="Times New Roman" w:cs="Times New Roman"/>
          <w:sz w:val="28"/>
          <w:szCs w:val="28"/>
          <w:lang w:val="en-US" w:eastAsia="zh-CN"/>
        </w:rPr>
        <w:t>主要提供复合气作业队的柴油的拉运及装卸服务</w:t>
      </w:r>
      <w:r>
        <w:rPr>
          <w:rFonts w:hint="eastAsia" w:cs="Times New Roman"/>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cs="Times New Roman"/>
          <w:sz w:val="28"/>
          <w:szCs w:val="28"/>
          <w:highlight w:val="none"/>
          <w:lang w:val="en-US" w:eastAsia="zh-CN"/>
        </w:rPr>
      </w:pPr>
      <w:r>
        <w:rPr>
          <w:rFonts w:hint="default" w:ascii="Times New Roman" w:hAnsi="Times New Roman" w:cs="Times New Roman"/>
          <w:sz w:val="28"/>
          <w:szCs w:val="28"/>
          <w:highlight w:val="none"/>
          <w:lang w:val="en-US" w:eastAsia="zh-CN"/>
        </w:rPr>
        <w:t>井场涉及防爆电气设备的安装、检维修作业等均委托承包商完成，</w:t>
      </w:r>
      <w:r>
        <w:rPr>
          <w:rFonts w:hint="eastAsia" w:cs="Times New Roman"/>
          <w:sz w:val="28"/>
          <w:szCs w:val="28"/>
          <w:highlight w:val="none"/>
          <w:lang w:val="en-US" w:eastAsia="zh-CN"/>
        </w:rPr>
        <w:t>华曦</w:t>
      </w:r>
      <w:r>
        <w:rPr>
          <w:rFonts w:hint="default" w:ascii="Times New Roman" w:hAnsi="Times New Roman" w:cs="Times New Roman"/>
          <w:sz w:val="28"/>
          <w:szCs w:val="28"/>
          <w:highlight w:val="none"/>
          <w:lang w:val="en-US" w:eastAsia="zh-CN"/>
        </w:rPr>
        <w:t>公司人员不从事防爆电气作业，</w:t>
      </w:r>
      <w:r>
        <w:rPr>
          <w:rFonts w:hint="eastAsia" w:cs="Times New Roman"/>
          <w:sz w:val="28"/>
          <w:szCs w:val="28"/>
          <w:highlight w:val="none"/>
          <w:lang w:val="en-US" w:eastAsia="zh-CN"/>
        </w:rPr>
        <w:t>作业</w:t>
      </w:r>
      <w:r>
        <w:rPr>
          <w:rFonts w:hint="default" w:ascii="Times New Roman" w:hAnsi="Times New Roman" w:cs="Times New Roman"/>
          <w:sz w:val="28"/>
          <w:szCs w:val="28"/>
          <w:highlight w:val="none"/>
          <w:lang w:val="en-US" w:eastAsia="zh-CN"/>
        </w:rPr>
        <w:t>队搬迁作业中对防爆电气设备整体进行搬迁，不进行拆解，搬迁后无需重新安装，仅在新增防爆电气设备或进行检维修时需承包商具有相应资质人员进行防爆电气作业</w:t>
      </w:r>
      <w:r>
        <w:rPr>
          <w:rFonts w:hint="eastAsia" w:cs="Times New Roman"/>
          <w:sz w:val="28"/>
          <w:szCs w:val="28"/>
          <w:highlight w:val="none"/>
          <w:lang w:val="en-US" w:eastAsia="zh-CN"/>
        </w:rPr>
        <w:t>，</w:t>
      </w:r>
      <w:r>
        <w:rPr>
          <w:rFonts w:hint="default" w:ascii="Times New Roman" w:hAnsi="Times New Roman" w:cs="Times New Roman"/>
          <w:sz w:val="28"/>
          <w:szCs w:val="28"/>
          <w:highlight w:val="none"/>
          <w:lang w:val="en-US" w:eastAsia="zh-CN"/>
        </w:rPr>
        <w:t>双方签订</w:t>
      </w:r>
      <w:r>
        <w:rPr>
          <w:rFonts w:hint="eastAsia" w:cs="Times New Roman"/>
          <w:sz w:val="28"/>
          <w:szCs w:val="28"/>
          <w:highlight w:val="none"/>
          <w:lang w:val="en-US" w:eastAsia="zh-CN"/>
        </w:rPr>
        <w:t>了</w:t>
      </w:r>
      <w:r>
        <w:rPr>
          <w:rFonts w:hint="default" w:ascii="Times New Roman" w:hAnsi="Times New Roman" w:cs="Times New Roman"/>
          <w:sz w:val="28"/>
          <w:szCs w:val="28"/>
          <w:highlight w:val="none"/>
          <w:lang w:val="en-US" w:eastAsia="zh-CN"/>
        </w:rPr>
        <w:t>委托协议</w:t>
      </w:r>
      <w:r>
        <w:rPr>
          <w:rFonts w:hint="eastAsia" w:cs="Times New Roman"/>
          <w:sz w:val="28"/>
          <w:szCs w:val="28"/>
          <w:highlight w:val="none"/>
          <w:lang w:val="en-US" w:eastAsia="zh-CN"/>
        </w:rPr>
        <w:t>；井场内涉及的电气设备的检查、维护由东营市科盟商贸有限公司等承包商委派有相应资质人员负责作业施工。</w:t>
      </w:r>
      <w:r>
        <w:rPr>
          <w:rFonts w:hint="default" w:ascii="Times New Roman" w:hAnsi="Times New Roman" w:cs="Times New Roman"/>
          <w:sz w:val="28"/>
          <w:szCs w:val="28"/>
          <w:highlight w:val="none"/>
          <w:lang w:val="en-US" w:eastAsia="zh-CN"/>
        </w:rPr>
        <w:t>承包商资质、技术服务合同及相关</w:t>
      </w:r>
      <w:r>
        <w:rPr>
          <w:rFonts w:hint="eastAsia" w:cs="Times New Roman"/>
          <w:sz w:val="28"/>
          <w:szCs w:val="28"/>
          <w:highlight w:val="none"/>
          <w:lang w:val="en-US" w:eastAsia="zh-CN"/>
        </w:rPr>
        <w:t>资料</w:t>
      </w:r>
      <w:r>
        <w:rPr>
          <w:rFonts w:hint="default" w:ascii="Times New Roman" w:hAnsi="Times New Roman" w:cs="Times New Roman"/>
          <w:sz w:val="28"/>
          <w:szCs w:val="28"/>
          <w:highlight w:val="none"/>
          <w:lang w:val="en-US" w:eastAsia="zh-CN"/>
        </w:rPr>
        <w:t>见报告附件2</w:t>
      </w:r>
      <w:r>
        <w:rPr>
          <w:rFonts w:hint="eastAsia" w:cs="Times New Roman"/>
          <w:sz w:val="28"/>
          <w:szCs w:val="28"/>
          <w:highlight w:val="none"/>
          <w:lang w:val="en-US" w:eastAsia="zh-CN"/>
        </w:rPr>
        <w:t>1</w:t>
      </w:r>
      <w:r>
        <w:rPr>
          <w:rFonts w:hint="default" w:ascii="Times New Roman" w:hAnsi="Times New Roman" w:cs="Times New Roman"/>
          <w:sz w:val="28"/>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山东华曦石油技术服务有限公司建立有《承包商现场施工安全管理规定》，对承包商资质进行审核，对承包商的现场施工进行监督管理。公司应加强对承包商的管理，组织开展承包商培训学习，加强现场作业时的监督检查</w:t>
      </w:r>
      <w:r>
        <w:rPr>
          <w:rFonts w:hint="eastAsia" w:cs="Times New Roman"/>
          <w:sz w:val="28"/>
          <w:szCs w:val="28"/>
          <w:lang w:val="en-US" w:eastAsia="zh-CN"/>
        </w:rPr>
        <w:t>。</w:t>
      </w:r>
    </w:p>
    <w:p>
      <w:pPr>
        <w:pStyle w:val="4"/>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黑体" w:cs="Times New Roman"/>
          <w:b w:val="0"/>
          <w:bCs/>
          <w:color w:val="000000" w:themeColor="text1"/>
          <w:sz w:val="32"/>
          <w:szCs w:val="32"/>
          <w:highlight w:val="yellow"/>
          <w:lang w:val="en-US" w:eastAsia="zh-CN"/>
          <w14:textFill>
            <w14:solidFill>
              <w14:schemeClr w14:val="tx1"/>
            </w14:solidFill>
          </w14:textFill>
        </w:rPr>
      </w:pPr>
      <w:bookmarkStart w:id="43" w:name="_Toc8782"/>
      <w:bookmarkStart w:id="44" w:name="_Toc28826"/>
      <w:r>
        <w:rPr>
          <w:rFonts w:hint="default" w:ascii="Times New Roman" w:hAnsi="Times New Roman" w:cs="Times New Roman"/>
          <w:b w:val="0"/>
          <w:bCs/>
          <w:color w:val="000000" w:themeColor="text1"/>
          <w:sz w:val="32"/>
          <w:szCs w:val="32"/>
          <w:highlight w:val="none"/>
          <w:lang w:val="en-US" w:eastAsia="zh-CN"/>
          <w14:textFill>
            <w14:solidFill>
              <w14:schemeClr w14:val="tx1"/>
            </w14:solidFill>
          </w14:textFill>
        </w:rPr>
        <w:t xml:space="preserve">2.13 </w:t>
      </w:r>
      <w:r>
        <w:rPr>
          <w:rFonts w:hint="default" w:ascii="Times New Roman" w:hAnsi="Times New Roman" w:cs="Times New Roman"/>
          <w:b w:val="0"/>
          <w:bCs/>
          <w:sz w:val="32"/>
          <w:szCs w:val="32"/>
          <w:highlight w:val="none"/>
          <w:lang w:val="en-US" w:eastAsia="zh-CN"/>
        </w:rPr>
        <w:t>危险作业安全管理</w:t>
      </w:r>
      <w:bookmarkEnd w:id="43"/>
      <w:bookmarkEnd w:id="44"/>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山东华曦石油技术服务有限公司涉及危险作业项目包含临时用电作业、吊装作业、受限空间作业。其中临时用电作业为甲方联系专业化队伍从变压器连接到作业队伍配电室，配电室的检查和维护工作，由该企业的工程技术员完成。吊装及运输作业由承包商进行现场设备设施拆卸及吊装，并开具吊装作业票，进行注汽锅炉检维修作业过程中，涉</w:t>
      </w:r>
      <w:r>
        <w:rPr>
          <w:rFonts w:hint="default"/>
          <w:sz w:val="28"/>
          <w:szCs w:val="28"/>
          <w:lang w:eastAsia="zh-CN"/>
        </w:rPr>
        <w:t>到</w:t>
      </w:r>
      <w:r>
        <w:rPr>
          <w:rFonts w:hint="eastAsia"/>
          <w:sz w:val="28"/>
          <w:szCs w:val="28"/>
          <w:lang w:val="en-US" w:eastAsia="zh-CN"/>
        </w:rPr>
        <w:t>受限空间危险作业，作业时开具受限空间作业票，公司制定了《受限空间管理制度》，以加强危险作业的管理。危险作业票见报告</w:t>
      </w:r>
      <w:r>
        <w:rPr>
          <w:rFonts w:hint="eastAsia"/>
          <w:sz w:val="28"/>
          <w:szCs w:val="28"/>
          <w:highlight w:val="none"/>
          <w:lang w:val="en-US" w:eastAsia="zh-CN"/>
        </w:rPr>
        <w:t>附件22。</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outlineLvl w:val="1"/>
        <w:rPr>
          <w:rFonts w:hint="default" w:ascii="Times New Roman" w:hAnsi="Times New Roman" w:eastAsia="黑体" w:cs="Times New Roman"/>
          <w:b w:val="0"/>
          <w:bCs w:val="0"/>
          <w:sz w:val="32"/>
          <w:szCs w:val="32"/>
          <w:highlight w:val="none"/>
          <w:lang w:val="en-US" w:eastAsia="zh-CN"/>
        </w:rPr>
      </w:pPr>
      <w:bookmarkStart w:id="45" w:name="_Toc5811"/>
      <w:bookmarkStart w:id="46" w:name="_Toc20897"/>
      <w:r>
        <w:rPr>
          <w:rFonts w:hint="default" w:ascii="Times New Roman" w:hAnsi="Times New Roman" w:eastAsia="黑体" w:cs="Times New Roman"/>
          <w:b w:val="0"/>
          <w:bCs w:val="0"/>
          <w:sz w:val="32"/>
          <w:szCs w:val="32"/>
          <w:highlight w:val="none"/>
          <w:lang w:val="en-US" w:eastAsia="zh-CN"/>
        </w:rPr>
        <w:t>2.14 变更安全管理</w:t>
      </w:r>
      <w:bookmarkEnd w:id="45"/>
      <w:bookmarkEnd w:id="46"/>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 w:val="0"/>
          <w:bCs w:val="0"/>
          <w:sz w:val="28"/>
          <w:szCs w:val="28"/>
          <w:lang w:val="en-US" w:eastAsia="zh-CN"/>
        </w:rPr>
      </w:pPr>
      <w:r>
        <w:rPr>
          <w:rFonts w:hint="eastAsia"/>
          <w:sz w:val="28"/>
          <w:szCs w:val="28"/>
          <w:lang w:eastAsia="zh-CN"/>
        </w:rPr>
        <w:t>山东华曦石油技术服务有限公司</w:t>
      </w:r>
      <w:r>
        <w:rPr>
          <w:rFonts w:hint="default" w:ascii="Times New Roman" w:hAnsi="Times New Roman" w:cs="Times New Roman"/>
          <w:b w:val="0"/>
          <w:bCs w:val="0"/>
          <w:sz w:val="28"/>
          <w:szCs w:val="28"/>
          <w:lang w:val="en-US" w:eastAsia="zh-CN"/>
        </w:rPr>
        <w:t>制定了《变更管理制度》，该制度规定了生产过程中工艺技术、设备设施、管理、人员的变更类型，明确了变更申请、变更实施、变更关闭等变更程序。本次评价期间，发现企业未根据《变更管理制度》针对生产过程中的相关变更履行变更程序，建议企业在以后的安全生产管理过程中严格执行《变更管理制度》，并保存相关变更记录和资料。</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outlineLvl w:val="1"/>
        <w:rPr>
          <w:rFonts w:hint="default" w:ascii="Times New Roman" w:hAnsi="Times New Roman" w:eastAsia="黑体" w:cs="Times New Roman"/>
          <w:b w:val="0"/>
          <w:bCs w:val="0"/>
          <w:sz w:val="32"/>
          <w:szCs w:val="32"/>
          <w:lang w:val="en-US" w:eastAsia="zh-CN"/>
        </w:rPr>
      </w:pPr>
      <w:bookmarkStart w:id="47" w:name="_Toc6520"/>
      <w:r>
        <w:rPr>
          <w:rFonts w:hint="default" w:ascii="Times New Roman" w:hAnsi="Times New Roman" w:eastAsia="黑体" w:cs="Times New Roman"/>
          <w:b w:val="0"/>
          <w:bCs w:val="0"/>
          <w:sz w:val="32"/>
          <w:szCs w:val="32"/>
          <w:lang w:val="en-US" w:eastAsia="zh-CN"/>
        </w:rPr>
        <w:t xml:space="preserve">2.15 </w:t>
      </w:r>
      <w:r>
        <w:rPr>
          <w:rFonts w:hint="eastAsia" w:eastAsia="黑体" w:cs="Times New Roman"/>
          <w:b w:val="0"/>
          <w:bCs w:val="0"/>
          <w:sz w:val="32"/>
          <w:szCs w:val="32"/>
          <w:lang w:val="en-US" w:eastAsia="zh-CN"/>
        </w:rPr>
        <w:t>交叉作业安全管理</w:t>
      </w:r>
      <w:bookmarkEnd w:id="47"/>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黑体" w:cs="Times New Roman"/>
          <w:b w:val="0"/>
          <w:bCs w:val="0"/>
          <w:sz w:val="32"/>
          <w:szCs w:val="32"/>
          <w:lang w:val="en-US" w:eastAsia="zh-CN"/>
        </w:rPr>
      </w:pPr>
      <w:r>
        <w:rPr>
          <w:rFonts w:hint="eastAsia" w:ascii="宋体" w:hAnsi="宋体" w:eastAsia="宋体" w:cs="宋体"/>
          <w:sz w:val="28"/>
          <w:szCs w:val="28"/>
          <w:lang w:val="en-US" w:eastAsia="zh-CN"/>
        </w:rPr>
        <w:t>山东华曦石油技术服务有限公司在进行注高干度复合气作业过程中，需要配合本公司的蒸汽队伍或甲方委托的其他注蒸汽队伍共同施工作业，按照《安全生产法》第四十八条的要求，注高干度复合气作业队伍与注蒸汽作业队伍双方签订交叉作业安全告知书，明确各自的安全生产管理职责和应当采取的安全措施，并进行安全检查与协调。交叉作业告知书见报告附</w:t>
      </w:r>
      <w:r>
        <w:rPr>
          <w:rFonts w:hint="default" w:ascii="Times New Roman" w:hAnsi="Times New Roman" w:eastAsia="宋体" w:cs="Times New Roman"/>
          <w:sz w:val="28"/>
          <w:szCs w:val="28"/>
          <w:lang w:val="en-US" w:eastAsia="zh-CN"/>
        </w:rPr>
        <w:t>件2</w:t>
      </w:r>
      <w:r>
        <w:rPr>
          <w:rFonts w:hint="eastAsia" w:ascii="Times New Roman" w:hAnsi="Times New Roman" w:cs="Times New Roman"/>
          <w:sz w:val="28"/>
          <w:szCs w:val="28"/>
          <w:lang w:val="en-US" w:eastAsia="zh-CN"/>
        </w:rPr>
        <w:t>0</w:t>
      </w:r>
      <w:r>
        <w:rPr>
          <w:rFonts w:hint="eastAsia" w:ascii="宋体" w:hAnsi="宋体" w:eastAsia="宋体" w:cs="宋体"/>
          <w:sz w:val="28"/>
          <w:szCs w:val="28"/>
          <w:lang w:val="en-US" w:eastAsia="zh-CN"/>
        </w:rPr>
        <w:t>。</w:t>
      </w:r>
      <w:bookmarkStart w:id="48" w:name="_Toc30981"/>
    </w:p>
    <w:p>
      <w:pPr>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outlineLvl w:val="1"/>
        <w:rPr>
          <w:rFonts w:hint="default" w:ascii="Times New Roman" w:hAnsi="Times New Roman" w:eastAsia="黑体" w:cs="Times New Roman"/>
          <w:b w:val="0"/>
          <w:bCs w:val="0"/>
          <w:sz w:val="32"/>
          <w:szCs w:val="32"/>
          <w:lang w:val="en-US" w:eastAsia="zh-CN"/>
        </w:rPr>
      </w:pPr>
      <w:bookmarkStart w:id="49" w:name="_Toc1245"/>
      <w:r>
        <w:rPr>
          <w:rFonts w:hint="default" w:ascii="Times New Roman" w:hAnsi="Times New Roman" w:eastAsia="黑体" w:cs="Times New Roman"/>
          <w:b w:val="0"/>
          <w:bCs w:val="0"/>
          <w:sz w:val="32"/>
          <w:szCs w:val="32"/>
          <w:lang w:val="en-US" w:eastAsia="zh-CN"/>
        </w:rPr>
        <w:t>2.1</w:t>
      </w:r>
      <w:r>
        <w:rPr>
          <w:rFonts w:hint="eastAsia" w:eastAsia="黑体" w:cs="Times New Roman"/>
          <w:b w:val="0"/>
          <w:bCs w:val="0"/>
          <w:sz w:val="32"/>
          <w:szCs w:val="32"/>
          <w:lang w:val="en-US" w:eastAsia="zh-CN"/>
        </w:rPr>
        <w:t>6</w:t>
      </w:r>
      <w:r>
        <w:rPr>
          <w:rFonts w:hint="default" w:ascii="Times New Roman" w:hAnsi="Times New Roman" w:eastAsia="黑体" w:cs="Times New Roman"/>
          <w:b w:val="0"/>
          <w:bCs w:val="0"/>
          <w:sz w:val="32"/>
          <w:szCs w:val="32"/>
          <w:lang w:val="en-US" w:eastAsia="zh-CN"/>
        </w:rPr>
        <w:t xml:space="preserve"> 生产安全事故管理</w:t>
      </w:r>
      <w:bookmarkEnd w:id="48"/>
      <w:bookmarkEnd w:id="49"/>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smallCaps w:val="0"/>
          <w:sz w:val="28"/>
          <w:szCs w:val="28"/>
          <w:lang w:val="en-US" w:eastAsia="zh-CN"/>
        </w:rPr>
      </w:pPr>
      <w:r>
        <w:rPr>
          <w:rFonts w:hint="eastAsia"/>
          <w:sz w:val="28"/>
          <w:szCs w:val="28"/>
          <w:lang w:eastAsia="zh-CN"/>
        </w:rPr>
        <w:t>山东华曦石油技术服务有限公司</w:t>
      </w:r>
      <w:r>
        <w:rPr>
          <w:rFonts w:hint="default" w:ascii="Times New Roman" w:hAnsi="Times New Roman" w:cs="Times New Roman"/>
          <w:b w:val="0"/>
          <w:bCs w:val="0"/>
          <w:sz w:val="28"/>
          <w:szCs w:val="28"/>
          <w:lang w:val="en-US" w:eastAsia="zh-CN"/>
        </w:rPr>
        <w:t>制定了《安全生产事故管理制度》，该制度规定了事故报告、事故处理的要求，</w:t>
      </w:r>
      <w:r>
        <w:rPr>
          <w:rFonts w:hint="eastAsia" w:cs="Times New Roman"/>
          <w:b w:val="0"/>
          <w:bCs w:val="0"/>
          <w:sz w:val="28"/>
          <w:szCs w:val="28"/>
          <w:lang w:val="en-US" w:eastAsia="zh-CN"/>
        </w:rPr>
        <w:t>明确了处理事故的程序及方法，</w:t>
      </w:r>
      <w:r>
        <w:rPr>
          <w:rFonts w:hint="default" w:ascii="Times New Roman" w:hAnsi="Times New Roman" w:cs="Times New Roman"/>
          <w:b w:val="0"/>
          <w:bCs w:val="0"/>
          <w:sz w:val="28"/>
          <w:szCs w:val="28"/>
          <w:lang w:val="en-US" w:eastAsia="zh-CN"/>
        </w:rPr>
        <w:t>凡事故发生后必须按</w:t>
      </w:r>
      <w:r>
        <w:rPr>
          <w:rFonts w:hint="eastAsia" w:cs="Times New Roman"/>
          <w:b w:val="0"/>
          <w:bCs w:val="0"/>
          <w:sz w:val="28"/>
          <w:szCs w:val="28"/>
          <w:lang w:val="en-US" w:eastAsia="zh-CN"/>
        </w:rPr>
        <w:t>“</w:t>
      </w:r>
      <w:r>
        <w:rPr>
          <w:rFonts w:hint="default" w:ascii="Times New Roman" w:hAnsi="Times New Roman" w:cs="Times New Roman"/>
          <w:b w:val="0"/>
          <w:bCs w:val="0"/>
          <w:sz w:val="28"/>
          <w:szCs w:val="28"/>
          <w:lang w:val="en-US" w:eastAsia="zh-CN"/>
        </w:rPr>
        <w:t>四不放过</w:t>
      </w:r>
      <w:r>
        <w:rPr>
          <w:rFonts w:hint="eastAsia" w:cs="Times New Roman"/>
          <w:b w:val="0"/>
          <w:bCs w:val="0"/>
          <w:sz w:val="28"/>
          <w:szCs w:val="28"/>
          <w:lang w:val="en-US" w:eastAsia="zh-CN"/>
        </w:rPr>
        <w:t>”</w:t>
      </w:r>
      <w:r>
        <w:rPr>
          <w:rFonts w:hint="default" w:ascii="Times New Roman" w:hAnsi="Times New Roman" w:cs="Times New Roman"/>
          <w:b w:val="0"/>
          <w:bCs w:val="0"/>
          <w:sz w:val="28"/>
          <w:szCs w:val="28"/>
          <w:lang w:val="en-US" w:eastAsia="zh-CN"/>
        </w:rPr>
        <w:t>的原则进行处理，</w:t>
      </w:r>
      <w:r>
        <w:rPr>
          <w:rFonts w:hint="eastAsia" w:cs="Times New Roman"/>
          <w:b w:val="0"/>
          <w:bCs w:val="0"/>
          <w:sz w:val="28"/>
          <w:szCs w:val="28"/>
          <w:lang w:val="en-US" w:eastAsia="zh-CN"/>
        </w:rPr>
        <w:t>同时制定了事故档案管理的相关要求。</w:t>
      </w:r>
      <w:r>
        <w:rPr>
          <w:rFonts w:hint="default" w:ascii="Times New Roman" w:hAnsi="Times New Roman" w:cs="Times New Roman"/>
          <w:b w:val="0"/>
          <w:bCs w:val="0"/>
          <w:sz w:val="28"/>
          <w:szCs w:val="28"/>
          <w:lang w:val="en-US" w:eastAsia="zh-CN"/>
        </w:rPr>
        <w:t>经查询东营市人民政府政府</w:t>
      </w:r>
      <w:r>
        <w:rPr>
          <w:rFonts w:hint="eastAsia" w:cs="Times New Roman"/>
          <w:b w:val="0"/>
          <w:bCs w:val="0"/>
          <w:color w:val="auto"/>
          <w:sz w:val="28"/>
          <w:szCs w:val="28"/>
          <w:lang w:val="en-US" w:eastAsia="zh-CN"/>
        </w:rPr>
        <w:t>公开信息</w:t>
      </w:r>
      <w:r>
        <w:rPr>
          <w:rFonts w:hint="default" w:ascii="Times New Roman" w:hAnsi="Times New Roman" w:cs="Times New Roman"/>
          <w:b w:val="0"/>
          <w:bCs w:val="0"/>
          <w:color w:val="auto"/>
          <w:sz w:val="28"/>
          <w:szCs w:val="28"/>
          <w:lang w:val="en-US" w:eastAsia="zh-CN"/>
        </w:rPr>
        <w:t>《东营市2022年安全生产事故调查情况》、《东营市2021年</w:t>
      </w:r>
      <w:r>
        <w:rPr>
          <w:rFonts w:hint="default" w:ascii="Times New Roman" w:hAnsi="Times New Roman" w:cs="Times New Roman"/>
          <w:b w:val="0"/>
          <w:bCs w:val="0"/>
          <w:sz w:val="28"/>
          <w:szCs w:val="28"/>
          <w:lang w:val="en-US" w:eastAsia="zh-CN"/>
        </w:rPr>
        <w:t>安全生产事故调查情况》及东营区人民政府信息公开信息《2022年区应急局安全生产事故调查报告情况说明》、《2021年区应急局安全生产事故调查报告情况说明》</w:t>
      </w:r>
      <w:r>
        <w:rPr>
          <w:rFonts w:hint="eastAsia" w:cs="Times New Roman"/>
          <w:b w:val="0"/>
          <w:bCs w:val="0"/>
          <w:sz w:val="28"/>
          <w:szCs w:val="28"/>
          <w:lang w:val="en-US" w:eastAsia="zh-CN"/>
        </w:rPr>
        <w:t>，</w:t>
      </w:r>
      <w:r>
        <w:rPr>
          <w:rFonts w:hint="default" w:ascii="Times New Roman" w:hAnsi="Times New Roman" w:cs="Times New Roman"/>
          <w:b w:val="0"/>
          <w:bCs w:val="0"/>
          <w:sz w:val="28"/>
          <w:szCs w:val="28"/>
          <w:lang w:val="en-US" w:eastAsia="zh-CN"/>
        </w:rPr>
        <w:t>均未查询到2021及2022年该企业生产安全事故信息。</w:t>
      </w:r>
    </w:p>
    <w:p>
      <w:pPr>
        <w:pStyle w:val="4"/>
        <w:adjustRightInd w:val="0"/>
        <w:snapToGrid w:val="0"/>
        <w:spacing w:before="0" w:after="0" w:line="360" w:lineRule="auto"/>
        <w:rPr>
          <w:rFonts w:ascii="Times New Roman" w:hAnsi="Times New Roman"/>
          <w:b w:val="0"/>
          <w:bCs/>
          <w:color w:val="auto"/>
          <w:szCs w:val="32"/>
        </w:rPr>
      </w:pPr>
      <w:bookmarkStart w:id="50" w:name="_Toc12003"/>
      <w:r>
        <w:rPr>
          <w:rFonts w:ascii="Times New Roman" w:hAnsi="Times New Roman"/>
          <w:b w:val="0"/>
          <w:bCs/>
          <w:color w:val="auto"/>
          <w:szCs w:val="32"/>
        </w:rPr>
        <w:t>2.1</w:t>
      </w:r>
      <w:r>
        <w:rPr>
          <w:rFonts w:hint="eastAsia" w:ascii="Times New Roman" w:hAnsi="Times New Roman"/>
          <w:b w:val="0"/>
          <w:bCs/>
          <w:color w:val="auto"/>
          <w:szCs w:val="32"/>
          <w:lang w:val="en-US" w:eastAsia="zh-CN"/>
        </w:rPr>
        <w:t>7</w:t>
      </w:r>
      <w:r>
        <w:rPr>
          <w:rFonts w:hint="eastAsia" w:ascii="Times New Roman" w:hAnsi="Times New Roman"/>
          <w:b w:val="0"/>
          <w:bCs/>
          <w:color w:val="auto"/>
          <w:szCs w:val="32"/>
        </w:rPr>
        <w:t>安全生产标准化及双重预防体系的建设、运行情况</w:t>
      </w:r>
      <w:bookmarkEnd w:id="50"/>
    </w:p>
    <w:p>
      <w:pPr>
        <w:adjustRightInd w:val="0"/>
        <w:snapToGrid w:val="0"/>
        <w:spacing w:line="360" w:lineRule="auto"/>
        <w:ind w:firstLine="560" w:firstLineChars="200"/>
        <w:rPr>
          <w:rFonts w:hint="default"/>
          <w:b/>
          <w:color w:val="0070C0"/>
          <w:sz w:val="28"/>
          <w:szCs w:val="28"/>
          <w:lang w:val="en-US"/>
        </w:rPr>
      </w:pPr>
      <w:r>
        <w:rPr>
          <w:rFonts w:hint="eastAsia"/>
          <w:color w:val="auto"/>
          <w:sz w:val="28"/>
          <w:szCs w:val="28"/>
          <w:lang w:val="en-US" w:eastAsia="zh-CN"/>
        </w:rPr>
        <w:t>目前</w:t>
      </w:r>
      <w:r>
        <w:rPr>
          <w:rFonts w:hint="eastAsia"/>
          <w:color w:val="auto"/>
          <w:sz w:val="28"/>
          <w:szCs w:val="28"/>
          <w:lang w:eastAsia="zh-CN"/>
        </w:rPr>
        <w:t>山东华曦石油技术服务有限公司</w:t>
      </w:r>
      <w:r>
        <w:rPr>
          <w:rFonts w:hint="eastAsia" w:eastAsia="宋体"/>
          <w:color w:val="auto"/>
          <w:sz w:val="28"/>
          <w:szCs w:val="28"/>
          <w:lang w:val="en-US" w:eastAsia="zh-CN"/>
        </w:rPr>
        <w:t>还未开展</w:t>
      </w:r>
      <w:r>
        <w:rPr>
          <w:rFonts w:hint="eastAsia" w:eastAsia="宋体"/>
          <w:color w:val="auto"/>
          <w:sz w:val="28"/>
          <w:szCs w:val="28"/>
          <w:lang w:eastAsia="zh-CN"/>
        </w:rPr>
        <w:t>安全生产标准化</w:t>
      </w:r>
      <w:r>
        <w:rPr>
          <w:rFonts w:hint="eastAsia" w:eastAsia="宋体"/>
          <w:color w:val="auto"/>
          <w:sz w:val="28"/>
          <w:szCs w:val="28"/>
          <w:lang w:val="en-US" w:eastAsia="zh-CN"/>
        </w:rPr>
        <w:t>定级工作，建议取得安全生产许可证之后，按照《中华人民共和国安全生产法》、《企业安全生产标</w:t>
      </w:r>
      <w:r>
        <w:rPr>
          <w:rFonts w:hint="eastAsia"/>
          <w:color w:val="auto"/>
          <w:sz w:val="28"/>
          <w:szCs w:val="28"/>
          <w:lang w:val="en-US" w:eastAsia="zh-CN"/>
        </w:rPr>
        <w:t>准化建设定级办法》（应急〔2021〕83号）、《关于实施〈企业安全生产标准化建设定级办法〉的通知》（鲁应急发〔2022〕5号）、《东营市应急管理局〈关于开展企业安全生产标准化定级工作〉的通知》（东应急发〔2022〕22号）、《石油行业安全生产标准化 井下作业实施规范》（AQ2041-2012）等文件和标准要求，有序开展安全生产标准化建设和定级工作，不断提升企业安全管理水平。</w:t>
      </w:r>
    </w:p>
    <w:p>
      <w:pPr>
        <w:adjustRightInd w:val="0"/>
        <w:snapToGrid w:val="0"/>
        <w:spacing w:line="360" w:lineRule="auto"/>
        <w:ind w:firstLine="560" w:firstLineChars="200"/>
        <w:rPr>
          <w:rFonts w:hint="default" w:eastAsia="宋体"/>
          <w:color w:val="0070C0"/>
          <w:sz w:val="28"/>
          <w:szCs w:val="28"/>
          <w:lang w:val="en-US" w:eastAsia="zh-CN"/>
        </w:rPr>
      </w:pPr>
      <w:r>
        <w:rPr>
          <w:rFonts w:hint="eastAsia"/>
          <w:sz w:val="28"/>
          <w:szCs w:val="28"/>
          <w:lang w:eastAsia="zh-CN"/>
        </w:rPr>
        <w:t>山东华曦石油技术服务有限公司</w:t>
      </w:r>
      <w:r>
        <w:rPr>
          <w:rFonts w:hint="eastAsia"/>
          <w:sz w:val="28"/>
          <w:szCs w:val="28"/>
          <w:lang w:val="en-US" w:eastAsia="zh-CN"/>
        </w:rPr>
        <w:t>于</w:t>
      </w:r>
      <w:r>
        <w:rPr>
          <w:rFonts w:hint="eastAsia"/>
          <w:sz w:val="28"/>
          <w:szCs w:val="28"/>
        </w:rPr>
        <w:t>20</w:t>
      </w:r>
      <w:r>
        <w:rPr>
          <w:rFonts w:hint="eastAsia"/>
          <w:sz w:val="28"/>
          <w:szCs w:val="28"/>
          <w:lang w:val="en-US" w:eastAsia="zh-CN"/>
        </w:rPr>
        <w:t>20</w:t>
      </w:r>
      <w:r>
        <w:rPr>
          <w:rFonts w:hint="eastAsia"/>
          <w:sz w:val="28"/>
          <w:szCs w:val="28"/>
        </w:rPr>
        <w:t xml:space="preserve"> 年完成风险分级管控及隐患排查治理体系等双体系</w:t>
      </w:r>
      <w:r>
        <w:rPr>
          <w:rFonts w:hint="eastAsia"/>
          <w:sz w:val="28"/>
          <w:szCs w:val="28"/>
          <w:lang w:val="en-US" w:eastAsia="zh-CN"/>
        </w:rPr>
        <w:t>建设</w:t>
      </w:r>
      <w:r>
        <w:rPr>
          <w:rFonts w:hint="eastAsia"/>
          <w:sz w:val="28"/>
          <w:szCs w:val="28"/>
        </w:rPr>
        <w:t>工作，</w:t>
      </w:r>
      <w:r>
        <w:rPr>
          <w:rFonts w:hint="eastAsia"/>
          <w:sz w:val="28"/>
          <w:szCs w:val="28"/>
          <w:lang w:val="en-US" w:eastAsia="zh-CN"/>
        </w:rPr>
        <w:t>现</w:t>
      </w:r>
      <w:r>
        <w:rPr>
          <w:rFonts w:hint="eastAsia"/>
          <w:sz w:val="28"/>
          <w:szCs w:val="28"/>
        </w:rPr>
        <w:t>编制有《风险分级管控清单》和《隐患排查治理清单》，</w:t>
      </w:r>
      <w:r>
        <w:rPr>
          <w:rFonts w:hint="eastAsia"/>
          <w:sz w:val="28"/>
          <w:szCs w:val="28"/>
          <w:lang w:eastAsia="zh-CN"/>
        </w:rPr>
        <w:t>油井注高干度复合气和</w:t>
      </w:r>
      <w:r>
        <w:rPr>
          <w:rFonts w:hint="eastAsia"/>
          <w:sz w:val="28"/>
          <w:szCs w:val="28"/>
        </w:rPr>
        <w:t>注</w:t>
      </w:r>
      <w:r>
        <w:rPr>
          <w:rFonts w:hint="eastAsia"/>
          <w:sz w:val="28"/>
          <w:szCs w:val="28"/>
          <w:lang w:val="en-US" w:eastAsia="zh-CN"/>
        </w:rPr>
        <w:t>汽</w:t>
      </w:r>
      <w:r>
        <w:rPr>
          <w:rFonts w:hint="eastAsia"/>
          <w:sz w:val="28"/>
          <w:szCs w:val="28"/>
        </w:rPr>
        <w:t>技术服务项目无一级、二级、三级危险源，目前公司“双重预防体系”工作有效运行。</w:t>
      </w:r>
      <w:r>
        <w:rPr>
          <w:rFonts w:hint="eastAsia"/>
          <w:sz w:val="28"/>
          <w:szCs w:val="28"/>
          <w:lang w:val="en-US" w:eastAsia="zh-CN"/>
        </w:rPr>
        <w:t>公司应根据《山东省安全生产风险管控办法》（省政府令第331号）的要求，每年至少开展1次风险管控评审，保障管控措施持续有效。</w:t>
      </w:r>
    </w:p>
    <w:p>
      <w:pPr>
        <w:widowControl/>
        <w:jc w:val="left"/>
        <w:rPr>
          <w:color w:val="0070C0"/>
          <w:sz w:val="28"/>
          <w:szCs w:val="28"/>
        </w:rPr>
      </w:pPr>
      <w:r>
        <w:rPr>
          <w:color w:val="0070C0"/>
          <w:sz w:val="28"/>
          <w:szCs w:val="28"/>
        </w:rPr>
        <w:br w:type="page"/>
      </w:r>
    </w:p>
    <w:p>
      <w:pPr>
        <w:keepNext/>
        <w:adjustRightInd w:val="0"/>
        <w:snapToGrid w:val="0"/>
        <w:spacing w:line="360" w:lineRule="auto"/>
        <w:jc w:val="center"/>
        <w:outlineLvl w:val="0"/>
        <w:rPr>
          <w:rFonts w:eastAsia="楷体_GB2312"/>
          <w:b/>
          <w:color w:val="000000" w:themeColor="text1"/>
          <w:sz w:val="36"/>
          <w:szCs w:val="36"/>
          <w14:textFill>
            <w14:solidFill>
              <w14:schemeClr w14:val="tx1"/>
            </w14:solidFill>
          </w14:textFill>
        </w:rPr>
      </w:pPr>
      <w:bookmarkStart w:id="51" w:name="_Toc447782514"/>
      <w:bookmarkStart w:id="52" w:name="_Toc3422"/>
      <w:r>
        <w:rPr>
          <w:rFonts w:hint="eastAsia" w:eastAsia="楷体_GB2312"/>
          <w:b/>
          <w:color w:val="000000" w:themeColor="text1"/>
          <w:sz w:val="36"/>
          <w:szCs w:val="36"/>
          <w14:textFill>
            <w14:solidFill>
              <w14:schemeClr w14:val="tx1"/>
            </w14:solidFill>
          </w14:textFill>
        </w:rPr>
        <w:t xml:space="preserve">3 </w:t>
      </w:r>
      <w:r>
        <w:rPr>
          <w:rFonts w:hint="eastAsia" w:ascii="宋体" w:hAnsi="宋体" w:eastAsia="宋体" w:cs="宋体"/>
          <w:b/>
          <w:color w:val="000000" w:themeColor="text1"/>
          <w:sz w:val="36"/>
          <w:szCs w:val="36"/>
          <w14:textFill>
            <w14:solidFill>
              <w14:schemeClr w14:val="tx1"/>
            </w14:solidFill>
          </w14:textFill>
        </w:rPr>
        <w:t>主要危险、有害因素分析</w:t>
      </w:r>
      <w:bookmarkEnd w:id="51"/>
      <w:bookmarkEnd w:id="52"/>
    </w:p>
    <w:p>
      <w:pPr>
        <w:pStyle w:val="4"/>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53" w:name="_Toc248650008"/>
      <w:bookmarkStart w:id="54" w:name="_Toc291144364"/>
      <w:bookmarkStart w:id="55" w:name="_Toc14519"/>
      <w:bookmarkStart w:id="56" w:name="_Toc276394620"/>
      <w:bookmarkStart w:id="57" w:name="_Toc447782515"/>
      <w:r>
        <w:rPr>
          <w:rFonts w:hint="eastAsia" w:ascii="Times New Roman" w:hAnsi="Times New Roman"/>
          <w:b w:val="0"/>
          <w:bCs/>
          <w:color w:val="000000" w:themeColor="text1"/>
          <w:szCs w:val="32"/>
          <w14:textFill>
            <w14:solidFill>
              <w14:schemeClr w14:val="tx1"/>
            </w14:solidFill>
          </w14:textFill>
        </w:rPr>
        <w:t>3.1 主要危险有害物质分析</w:t>
      </w:r>
      <w:bookmarkEnd w:id="53"/>
      <w:bookmarkEnd w:id="54"/>
      <w:bookmarkEnd w:id="55"/>
      <w:bookmarkEnd w:id="56"/>
      <w:bookmarkEnd w:id="57"/>
    </w:p>
    <w:p>
      <w:pPr>
        <w:adjustRightInd w:val="0"/>
        <w:snapToGrid w:val="0"/>
        <w:spacing w:line="360" w:lineRule="auto"/>
        <w:ind w:firstLine="560" w:firstLineChars="200"/>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eastAsia="zh-CN"/>
          <w14:textFill>
            <w14:solidFill>
              <w14:schemeClr w14:val="tx1"/>
            </w14:solidFill>
          </w14:textFill>
        </w:rPr>
        <w:t>山东华曦石油技术服务有限公司</w:t>
      </w:r>
      <w:r>
        <w:rPr>
          <w:rFonts w:hint="eastAsia"/>
          <w:color w:val="000000" w:themeColor="text1"/>
          <w:sz w:val="28"/>
          <w:szCs w:val="28"/>
          <w14:textFill>
            <w14:solidFill>
              <w14:schemeClr w14:val="tx1"/>
            </w14:solidFill>
          </w14:textFill>
        </w:rPr>
        <w:t>井下作业</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lang w:eastAsia="zh-CN"/>
          <w14:textFill>
            <w14:solidFill>
              <w14:schemeClr w14:val="tx1"/>
            </w14:solidFill>
          </w14:textFill>
        </w:rPr>
        <w:t>注气（蒸汽）</w:t>
      </w:r>
      <w:r>
        <w:rPr>
          <w:rFonts w:hint="eastAsia"/>
          <w:color w:val="000000" w:themeColor="text1"/>
          <w:sz w:val="28"/>
          <w:szCs w:val="28"/>
          <w14:textFill>
            <w14:solidFill>
              <w14:schemeClr w14:val="tx1"/>
            </w14:solidFill>
          </w14:textFill>
        </w:rPr>
        <w:t>项目，作业过程中涉及的主要危险、有害物质有</w:t>
      </w:r>
      <w:r>
        <w:rPr>
          <w:rFonts w:hint="eastAsia"/>
          <w:color w:val="000000" w:themeColor="text1"/>
          <w:sz w:val="28"/>
          <w:szCs w:val="28"/>
          <w:highlight w:val="none"/>
          <w14:textFill>
            <w14:solidFill>
              <w14:schemeClr w14:val="tx1"/>
            </w14:solidFill>
          </w14:textFill>
        </w:rPr>
        <w:t>原油</w:t>
      </w:r>
      <w:r>
        <w:rPr>
          <w:rFonts w:hint="eastAsia"/>
          <w:color w:val="000000" w:themeColor="text1"/>
          <w:sz w:val="28"/>
          <w:szCs w:val="28"/>
          <w14:textFill>
            <w14:solidFill>
              <w14:schemeClr w14:val="tx1"/>
            </w14:solidFill>
          </w14:textFill>
        </w:rPr>
        <w:t>、天然气、硫化氢、柴油、</w:t>
      </w:r>
      <w:r>
        <w:rPr>
          <w:rFonts w:hint="eastAsia"/>
          <w:color w:val="000000" w:themeColor="text1"/>
          <w:sz w:val="28"/>
          <w:szCs w:val="28"/>
          <w:lang w:val="en-US" w:eastAsia="zh-CN"/>
          <w14:textFill>
            <w14:solidFill>
              <w14:schemeClr w14:val="tx1"/>
            </w14:solidFill>
          </w14:textFill>
        </w:rPr>
        <w:t>高干度复合气、</w:t>
      </w:r>
      <w:r>
        <w:rPr>
          <w:rFonts w:hint="eastAsia"/>
          <w:color w:val="000000" w:themeColor="text1"/>
          <w:sz w:val="28"/>
          <w:szCs w:val="28"/>
          <w14:textFill>
            <w14:solidFill>
              <w14:schemeClr w14:val="tx1"/>
            </w14:solidFill>
          </w14:textFill>
        </w:rPr>
        <w:t>高温</w:t>
      </w:r>
      <w:r>
        <w:rPr>
          <w:rFonts w:hint="eastAsia"/>
          <w:color w:val="000000" w:themeColor="text1"/>
          <w:sz w:val="28"/>
          <w:szCs w:val="28"/>
          <w:lang w:eastAsia="zh-CN"/>
          <w14:textFill>
            <w14:solidFill>
              <w14:schemeClr w14:val="tx1"/>
            </w14:solidFill>
          </w14:textFill>
        </w:rPr>
        <w:t>高压</w:t>
      </w:r>
      <w:r>
        <w:rPr>
          <w:rFonts w:hint="eastAsia"/>
          <w:color w:val="000000" w:themeColor="text1"/>
          <w:sz w:val="28"/>
          <w:szCs w:val="28"/>
          <w14:textFill>
            <w14:solidFill>
              <w14:schemeClr w14:val="tx1"/>
            </w14:solidFill>
          </w14:textFill>
        </w:rPr>
        <w:t>蒸汽</w:t>
      </w:r>
      <w:r>
        <w:rPr>
          <w:rFonts w:hint="eastAsia"/>
          <w:color w:val="000000" w:themeColor="text1"/>
          <w:sz w:val="28"/>
          <w:szCs w:val="28"/>
          <w:lang w:eastAsia="zh-CN"/>
          <w14:textFill>
            <w14:solidFill>
              <w14:schemeClr w14:val="tx1"/>
            </w14:solidFill>
          </w14:textFill>
        </w:rPr>
        <w:t>和</w:t>
      </w:r>
      <w:r>
        <w:rPr>
          <w:rFonts w:hint="eastAsia"/>
          <w:color w:val="000000" w:themeColor="text1"/>
          <w:sz w:val="28"/>
          <w:szCs w:val="28"/>
          <w:lang w:val="en-US" w:eastAsia="zh-CN"/>
          <w14:textFill>
            <w14:solidFill>
              <w14:schemeClr w14:val="tx1"/>
            </w14:solidFill>
          </w14:textFill>
        </w:rPr>
        <w:t>烟气</w:t>
      </w:r>
      <w:r>
        <w:rPr>
          <w:rFonts w:hint="eastAsia"/>
          <w:color w:val="000000" w:themeColor="text1"/>
          <w:sz w:val="28"/>
          <w:szCs w:val="28"/>
          <w14:textFill>
            <w14:solidFill>
              <w14:schemeClr w14:val="tx1"/>
            </w14:solidFill>
          </w14:textFill>
        </w:rPr>
        <w:t>等。</w:t>
      </w:r>
      <w:r>
        <w:rPr>
          <w:rFonts w:hint="eastAsia"/>
          <w:color w:val="000000" w:themeColor="text1"/>
          <w:sz w:val="28"/>
          <w:szCs w:val="28"/>
          <w:lang w:val="en-US" w:eastAsia="zh-CN"/>
          <w14:textFill>
            <w14:solidFill>
              <w14:schemeClr w14:val="tx1"/>
            </w14:solidFill>
          </w14:textFill>
        </w:rPr>
        <w:t>在注蒸汽和注高干度复合气过程中，由于油气井内压力不稳定，会发生井喷等危险情况，进而会释放原油、硫化氢等有毒有害物质。在注蒸汽作业过程中，会使用天然气作为燃料进行锅炉的加热，同时会伴随着高温高压的蒸汽和烟气。在注高干度复合气作业过程中，会使用柴油作为燃料油，同时高温高压的蒸汽经过复合发生器二次加热，生成高干度复合气注入油井。</w:t>
      </w:r>
    </w:p>
    <w:p>
      <w:pPr>
        <w:adjustRightInd w:val="0"/>
        <w:snapToGrid w:val="0"/>
        <w:spacing w:line="360" w:lineRule="auto"/>
        <w:ind w:firstLine="560" w:firstLineChars="200"/>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企业涉及的危险有害物质的辨识情况如下表所示：</w:t>
      </w:r>
    </w:p>
    <w:p>
      <w:pPr>
        <w:keepNext w:val="0"/>
        <w:keepLines w:val="0"/>
        <w:pageBreakBefore w:val="0"/>
        <w:widowControl w:val="0"/>
        <w:kinsoku/>
        <w:wordWrap/>
        <w:overflowPunct/>
        <w:topLinePunct w:val="0"/>
        <w:autoSpaceDE/>
        <w:autoSpaceDN/>
        <w:bidi w:val="0"/>
        <w:adjustRightInd w:val="0"/>
        <w:snapToGrid w:val="0"/>
        <w:spacing w:line="360" w:lineRule="auto"/>
        <w:ind w:left="0" w:right="0" w:firstLine="0"/>
        <w:jc w:val="center"/>
        <w:textAlignment w:val="auto"/>
        <w:rPr>
          <w:b/>
          <w:sz w:val="24"/>
        </w:rPr>
      </w:pPr>
      <w:r>
        <w:rPr>
          <w:b/>
          <w:sz w:val="24"/>
        </w:rPr>
        <w:t>表</w:t>
      </w:r>
      <w:r>
        <w:rPr>
          <w:rFonts w:ascii="Times New Roman" w:eastAsia="Times New Roman"/>
          <w:b/>
          <w:sz w:val="24"/>
        </w:rPr>
        <w:t xml:space="preserve">3-1 </w:t>
      </w:r>
      <w:r>
        <w:rPr>
          <w:b/>
          <w:sz w:val="24"/>
        </w:rPr>
        <w:t>危险物质辨识情况一览表</w:t>
      </w:r>
    </w:p>
    <w:tbl>
      <w:tblPr>
        <w:tblStyle w:val="52"/>
        <w:tblW w:w="4999" w:type="pct"/>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539"/>
        <w:gridCol w:w="1851"/>
        <w:gridCol w:w="1946"/>
        <w:gridCol w:w="399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cantSplit/>
          <w:trHeight w:val="669" w:hRule="atLeast"/>
          <w:tblHeader/>
          <w:jc w:val="center"/>
        </w:trPr>
        <w:tc>
          <w:tcPr>
            <w:tcW w:w="323" w:type="pct"/>
            <w:tcBorders>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110" w:type="pct"/>
            <w:tcBorders>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类别</w:t>
            </w:r>
          </w:p>
        </w:tc>
        <w:tc>
          <w:tcPr>
            <w:tcW w:w="1167" w:type="pct"/>
            <w:tcBorders>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该项目所涉及的物质</w:t>
            </w:r>
          </w:p>
        </w:tc>
        <w:tc>
          <w:tcPr>
            <w:tcW w:w="2398" w:type="pct"/>
            <w:tcBorders>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辨识依据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9" w:hRule="atLeast"/>
          <w:jc w:val="center"/>
        </w:trPr>
        <w:tc>
          <w:tcPr>
            <w:tcW w:w="323"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11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167"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原油、天然气、硫化氢、</w:t>
            </w:r>
            <w:r>
              <w:rPr>
                <w:rFonts w:hint="eastAsia" w:ascii="Times New Roman" w:hAnsi="Times New Roman" w:eastAsia="宋体" w:cs="Times New Roman"/>
                <w:sz w:val="21"/>
                <w:szCs w:val="21"/>
                <w:lang w:val="en-US" w:eastAsia="zh-CN"/>
              </w:rPr>
              <w:t>柴油</w:t>
            </w:r>
          </w:p>
        </w:tc>
        <w:tc>
          <w:tcPr>
            <w:tcW w:w="2398" w:type="pct"/>
            <w:vMerge w:val="restar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《危险化学品名录》（2015 版）、《国家安全监管总局办公厅关于印发危险化学品目录（2015 版）实施指南（试行）的通知》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jc w:val="center"/>
        </w:trPr>
        <w:tc>
          <w:tcPr>
            <w:tcW w:w="323"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11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剧毒化学品</w:t>
            </w:r>
          </w:p>
        </w:tc>
        <w:tc>
          <w:tcPr>
            <w:tcW w:w="1167"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398" w:type="pct"/>
            <w:vMerge w:val="continue"/>
            <w:tcBorders>
              <w:top w:val="nil"/>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jc w:val="center"/>
        </w:trPr>
        <w:tc>
          <w:tcPr>
            <w:tcW w:w="323"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11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高毒物品</w:t>
            </w:r>
          </w:p>
        </w:tc>
        <w:tc>
          <w:tcPr>
            <w:tcW w:w="1167"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硫化氢</w:t>
            </w:r>
          </w:p>
        </w:tc>
        <w:tc>
          <w:tcPr>
            <w:tcW w:w="2398"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《高毒物品目录》（卫法监发[2003]142 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757" w:hRule="atLeast"/>
          <w:jc w:val="center"/>
        </w:trPr>
        <w:tc>
          <w:tcPr>
            <w:tcW w:w="323"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11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易制毒化学品</w:t>
            </w:r>
          </w:p>
        </w:tc>
        <w:tc>
          <w:tcPr>
            <w:tcW w:w="1167"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398"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《易制毒化学品管理条例》（国务院令第</w:t>
            </w:r>
          </w:p>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445 号，国务院令第 653 号、第 666 号、第703 号修订）、《国务院办公厅关于同意将α-苯乙酰乙酸甲酯等 6 种物质列入易制毒化学品品种目录的函》（国办函[2021]58 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jc w:val="center"/>
        </w:trPr>
        <w:tc>
          <w:tcPr>
            <w:tcW w:w="323"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11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易制爆化学品</w:t>
            </w:r>
          </w:p>
        </w:tc>
        <w:tc>
          <w:tcPr>
            <w:tcW w:w="1167"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398"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《易制爆危险化学品名录》（2017 年版）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40" w:hRule="atLeast"/>
          <w:jc w:val="center"/>
        </w:trPr>
        <w:tc>
          <w:tcPr>
            <w:tcW w:w="323"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11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易爆炸重点危险化学品</w:t>
            </w:r>
          </w:p>
        </w:tc>
        <w:tc>
          <w:tcPr>
            <w:tcW w:w="1167"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398"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《关于加强易爆炸重点危险化学品安全生产管理工作的通知》（鲁安监发[2010]62 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9" w:hRule="atLeast"/>
          <w:jc w:val="center"/>
        </w:trPr>
        <w:tc>
          <w:tcPr>
            <w:tcW w:w="323"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11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重点监管危险化学品</w:t>
            </w:r>
          </w:p>
        </w:tc>
        <w:tc>
          <w:tcPr>
            <w:tcW w:w="1167"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原油、天然气、硫化氢</w:t>
            </w:r>
          </w:p>
        </w:tc>
        <w:tc>
          <w:tcPr>
            <w:tcW w:w="2398"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《重点监管的危险化学品名录》（2013 完整版）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7" w:hRule="atLeast"/>
          <w:jc w:val="center"/>
        </w:trPr>
        <w:tc>
          <w:tcPr>
            <w:tcW w:w="323" w:type="pct"/>
            <w:tcBorders>
              <w:top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11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监控化学品</w:t>
            </w:r>
          </w:p>
        </w:tc>
        <w:tc>
          <w:tcPr>
            <w:tcW w:w="1167"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398" w:type="pct"/>
            <w:tcBorders>
              <w:top w:val="single" w:color="000000" w:sz="6" w:space="0"/>
              <w:left w:val="single" w:color="000000" w:sz="6" w:space="0"/>
              <w:bottom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《各类监控化学品名录》（工业和信息化部令第 52 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8" w:hRule="atLeast"/>
          <w:jc w:val="center"/>
        </w:trPr>
        <w:tc>
          <w:tcPr>
            <w:tcW w:w="323" w:type="pct"/>
            <w:tcBorders>
              <w:top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110" w:type="pct"/>
            <w:tcBorders>
              <w:top w:val="single" w:color="000000" w:sz="6" w:space="0"/>
              <w:left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特别管控危险化学品</w:t>
            </w:r>
          </w:p>
        </w:tc>
        <w:tc>
          <w:tcPr>
            <w:tcW w:w="1167" w:type="pct"/>
            <w:tcBorders>
              <w:top w:val="single" w:color="000000" w:sz="6" w:space="0"/>
              <w:left w:val="single" w:color="000000" w:sz="6" w:space="0"/>
              <w:right w:val="single" w:color="000000" w:sz="6" w:space="0"/>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不涉及</w:t>
            </w:r>
          </w:p>
        </w:tc>
        <w:tc>
          <w:tcPr>
            <w:tcW w:w="2398" w:type="pct"/>
            <w:tcBorders>
              <w:top w:val="single" w:color="000000" w:sz="6" w:space="0"/>
              <w:left w:val="single" w:color="000000" w:sz="6" w:space="0"/>
            </w:tcBorders>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应急管理部、工业和信息化部、公安部、交通运输部公告 2020 年 第 3 号</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right="0" w:firstLine="0"/>
        <w:jc w:val="center"/>
        <w:textAlignment w:val="auto"/>
        <w:rPr>
          <w:b/>
          <w:sz w:val="24"/>
        </w:rPr>
      </w:pPr>
      <w:r>
        <w:rPr>
          <w:b/>
          <w:sz w:val="24"/>
        </w:rPr>
        <w:t>表</w:t>
      </w:r>
      <w:r>
        <w:rPr>
          <w:rFonts w:ascii="Times New Roman" w:eastAsia="Times New Roman"/>
          <w:b/>
          <w:sz w:val="24"/>
        </w:rPr>
        <w:t xml:space="preserve">3-2 </w:t>
      </w:r>
      <w:r>
        <w:rPr>
          <w:b/>
          <w:sz w:val="24"/>
        </w:rPr>
        <w:t>主要化学品危险特性情况一览表</w:t>
      </w:r>
    </w:p>
    <w:tbl>
      <w:tblPr>
        <w:tblStyle w:val="52"/>
        <w:tblW w:w="5015"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696"/>
        <w:gridCol w:w="1168"/>
        <w:gridCol w:w="3583"/>
        <w:gridCol w:w="1745"/>
        <w:gridCol w:w="116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0" w:hRule="atLeast"/>
          <w:tblHeader/>
          <w:jc w:val="center"/>
        </w:trPr>
        <w:tc>
          <w:tcPr>
            <w:tcW w:w="416"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序号</w:t>
            </w:r>
          </w:p>
        </w:tc>
        <w:tc>
          <w:tcPr>
            <w:tcW w:w="698"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物质名称</w:t>
            </w:r>
          </w:p>
        </w:tc>
        <w:tc>
          <w:tcPr>
            <w:tcW w:w="2142"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危险性类别</w:t>
            </w:r>
          </w:p>
        </w:tc>
        <w:tc>
          <w:tcPr>
            <w:tcW w:w="1043"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主要危险特性</w:t>
            </w:r>
          </w:p>
        </w:tc>
        <w:tc>
          <w:tcPr>
            <w:tcW w:w="699"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16"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698"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原油</w:t>
            </w:r>
          </w:p>
        </w:tc>
        <w:tc>
          <w:tcPr>
            <w:tcW w:w="2142"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（1）闪点＜23℃和初沸点≤35℃： 易燃液体，类别 1</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（2）闪点＜23℃和初沸点＞35℃：</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易燃液体，类别 2</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（3）23℃≤闪点≤60℃：</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易燃液体，类别 3</w:t>
            </w:r>
          </w:p>
        </w:tc>
        <w:tc>
          <w:tcPr>
            <w:tcW w:w="1043"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易燃、有毒</w:t>
            </w:r>
          </w:p>
        </w:tc>
        <w:tc>
          <w:tcPr>
            <w:tcW w:w="699"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16"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p>
        </w:tc>
        <w:tc>
          <w:tcPr>
            <w:tcW w:w="698"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柴油</w:t>
            </w:r>
          </w:p>
        </w:tc>
        <w:tc>
          <w:tcPr>
            <w:tcW w:w="2142"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易燃液体，类别3；</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皮肤腐蚀/刺激，类别2；</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严重眼睛损伤/眼睛刺激性，类别2；特异性靶器官系统毒性一次性接触，类别2；特异性靶器官系统毒性反复接触，类别2；急性水生毒性，类别3</w:t>
            </w:r>
          </w:p>
        </w:tc>
        <w:tc>
          <w:tcPr>
            <w:tcW w:w="1043"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易燃液体</w:t>
            </w:r>
          </w:p>
        </w:tc>
        <w:tc>
          <w:tcPr>
            <w:tcW w:w="699"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16"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w:t>
            </w:r>
          </w:p>
        </w:tc>
        <w:tc>
          <w:tcPr>
            <w:tcW w:w="698"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天然气</w:t>
            </w:r>
          </w:p>
        </w:tc>
        <w:tc>
          <w:tcPr>
            <w:tcW w:w="2142"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易燃气体，类别 1</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加压气体</w:t>
            </w:r>
          </w:p>
        </w:tc>
        <w:tc>
          <w:tcPr>
            <w:tcW w:w="1043"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易燃、易爆</w:t>
            </w:r>
          </w:p>
        </w:tc>
        <w:tc>
          <w:tcPr>
            <w:tcW w:w="699"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16"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4</w:t>
            </w:r>
          </w:p>
        </w:tc>
        <w:tc>
          <w:tcPr>
            <w:tcW w:w="698"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硫化氢</w:t>
            </w:r>
          </w:p>
        </w:tc>
        <w:tc>
          <w:tcPr>
            <w:tcW w:w="2142"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易燃气体，类别 1</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加压气体</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急性毒性-吸入，类别 2*</w:t>
            </w:r>
          </w:p>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危害水生环境-急性危害，类别 1</w:t>
            </w:r>
          </w:p>
        </w:tc>
        <w:tc>
          <w:tcPr>
            <w:tcW w:w="1043"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易燃、易爆、有毒</w:t>
            </w:r>
          </w:p>
        </w:tc>
        <w:tc>
          <w:tcPr>
            <w:tcW w:w="699" w:type="pc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cs="Times New Roman"/>
                <w:sz w:val="21"/>
                <w:szCs w:val="21"/>
              </w:rPr>
            </w:pP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color w:val="000000" w:themeColor="text1"/>
          <w:kern w:val="0"/>
          <w:sz w:val="28"/>
          <w:szCs w:val="28"/>
          <w14:textFill>
            <w14:solidFill>
              <w14:schemeClr w14:val="tx1"/>
            </w14:solidFill>
          </w14:textFill>
        </w:rPr>
      </w:pPr>
      <w:r>
        <w:rPr>
          <w:rFonts w:hint="eastAsia" w:eastAsia="黑体"/>
          <w:bCs/>
          <w:snapToGrid w:val="0"/>
          <w:color w:val="000000" w:themeColor="text1"/>
          <w:kern w:val="0"/>
          <w:sz w:val="28"/>
          <w:szCs w:val="28"/>
          <w14:textFill>
            <w14:solidFill>
              <w14:schemeClr w14:val="tx1"/>
            </w14:solidFill>
          </w14:textFill>
        </w:rPr>
        <w:t xml:space="preserve">3.1.1 </w:t>
      </w:r>
      <w:r>
        <w:rPr>
          <w:rFonts w:eastAsia="黑体"/>
          <w:bCs/>
          <w:snapToGrid w:val="0"/>
          <w:color w:val="000000" w:themeColor="text1"/>
          <w:kern w:val="0"/>
          <w:sz w:val="28"/>
          <w:szCs w:val="28"/>
          <w14:textFill>
            <w14:solidFill>
              <w14:schemeClr w14:val="tx1"/>
            </w14:solidFill>
          </w14:textFill>
        </w:rPr>
        <w:t>原油</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原油是由各种烃类组成的一种复杂混合物，含有少量硫、氮、氧有机物及微量金属。外观是一种流动和半流动的粘稠液体，颜色大部分是暗色的（从褐色至深黑色），具有一定的火灾危险性。</w:t>
      </w:r>
    </w:p>
    <w:p>
      <w:pPr>
        <w:adjustRightInd w:val="0"/>
        <w:snapToGrid w:val="0"/>
        <w:spacing w:line="360" w:lineRule="auto"/>
        <w:ind w:firstLine="560" w:firstLineChars="200"/>
        <w:rPr>
          <w:rFonts w:hint="eastAsia"/>
          <w:b/>
          <w:bCs/>
          <w:color w:val="000000" w:themeColor="text1"/>
          <w:sz w:val="24"/>
          <w:szCs w:val="24"/>
          <w14:textFill>
            <w14:solidFill>
              <w14:schemeClr w14:val="tx1"/>
            </w14:solidFill>
          </w14:textFill>
        </w:rPr>
      </w:pPr>
      <w:r>
        <w:rPr>
          <w:rFonts w:hint="eastAsia"/>
          <w:color w:val="000000" w:themeColor="text1"/>
          <w:sz w:val="28"/>
          <w:szCs w:val="28"/>
          <w14:textFill>
            <w14:solidFill>
              <w14:schemeClr w14:val="tx1"/>
            </w14:solidFill>
          </w14:textFill>
        </w:rPr>
        <w:t>原油的主要危险有害特性见下表。</w:t>
      </w:r>
    </w:p>
    <w:p>
      <w:pPr>
        <w:adjustRightInd w:val="0"/>
        <w:snapToGrid w:val="0"/>
        <w:spacing w:line="360" w:lineRule="auto"/>
        <w:ind w:firstLine="480" w:firstLineChars="200"/>
        <w:jc w:val="center"/>
        <w:rPr>
          <w:b w:val="0"/>
          <w:bCs w:val="0"/>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表3-</w:t>
      </w:r>
      <w:r>
        <w:rPr>
          <w:rFonts w:hint="eastAsia"/>
          <w:b/>
          <w:bCs/>
          <w:color w:val="000000" w:themeColor="text1"/>
          <w:sz w:val="24"/>
          <w:szCs w:val="24"/>
          <w:lang w:val="en-US" w:eastAsia="zh-CN"/>
          <w14:textFill>
            <w14:solidFill>
              <w14:schemeClr w14:val="tx1"/>
            </w14:solidFill>
          </w14:textFill>
        </w:rPr>
        <w:t>3</w:t>
      </w:r>
      <w:r>
        <w:rPr>
          <w:rFonts w:hint="eastAsia"/>
          <w:b/>
          <w:bCs/>
          <w:color w:val="000000" w:themeColor="text1"/>
          <w:sz w:val="24"/>
          <w:szCs w:val="24"/>
          <w14:textFill>
            <w14:solidFill>
              <w14:schemeClr w14:val="tx1"/>
            </w14:solidFill>
          </w14:textFill>
        </w:rPr>
        <w:t xml:space="preserve"> 原油主要危险有害特性一览表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426"/>
        <w:gridCol w:w="707"/>
        <w:gridCol w:w="709"/>
        <w:gridCol w:w="569"/>
        <w:gridCol w:w="566"/>
        <w:gridCol w:w="1273"/>
        <w:gridCol w:w="4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原油</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CAS</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8002-05-9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危险货物编号</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32003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UN编号</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外观性状</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红色、红棕色或黑色有绿色荧光的稠厚性油状液体。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主要用途</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可分离出多种有机原料，如汽油，苯、煤油、沥青等。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溶解性</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不溶于水，溶于多数有机溶剂。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6</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燃烧热（kJ/mol</w:t>
            </w:r>
            <w:r>
              <w:rPr>
                <w:rFonts w:hint="default"/>
                <w:color w:val="000000" w:themeColor="text1"/>
                <w:szCs w:val="21"/>
                <w14:textFill>
                  <w14:solidFill>
                    <w14:schemeClr w14:val="tx1"/>
                  </w14:solidFill>
                </w14:textFill>
              </w:rPr>
              <w:t>）</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自常温至500℃以上</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饱和蒸气压（kPa）</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0.78～0.97</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临界温度（℃）</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临界压力（</w:t>
            </w:r>
            <w:r>
              <w:rPr>
                <w:rFonts w:hint="eastAsia"/>
                <w:color w:val="000000" w:themeColor="text1"/>
                <w:szCs w:val="21"/>
                <w:lang w:eastAsia="zh-CN"/>
                <w14:textFill>
                  <w14:solidFill>
                    <w14:schemeClr w14:val="tx1"/>
                  </w14:solidFill>
                </w14:textFill>
              </w:rPr>
              <w:t>MPa</w:t>
            </w:r>
            <w:r>
              <w:rPr>
                <w:rFonts w:hint="eastAsia"/>
                <w:color w:val="000000" w:themeColor="text1"/>
                <w:szCs w:val="21"/>
                <w14:textFill>
                  <w14:solidFill>
                    <w14:schemeClr w14:val="tx1"/>
                  </w14:solidFill>
                </w14:textFill>
              </w:rPr>
              <w:t>）</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可燃</w:t>
            </w:r>
          </w:p>
        </w:tc>
        <w:tc>
          <w:tcPr>
            <w:tcW w:w="1842" w:type="dxa"/>
            <w:gridSpan w:val="3"/>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危险特性</w:t>
            </w:r>
          </w:p>
        </w:tc>
        <w:tc>
          <w:tcPr>
            <w:tcW w:w="2885"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其蒸气与空气形成爆炸性混合物，遇明火、高热能引起燃烧爆炸。与氧化剂能发生强烈反应，若遇高热，容器内压增大，有开裂和爆炸的危险。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20</w:t>
            </w:r>
            <w:r>
              <w:rPr>
                <w:rFonts w:hint="eastAsia" w:ascii="宋体" w:hAnsi="宋体" w:eastAsia="宋体" w:cs="宋体"/>
                <w:color w:val="000000" w:themeColor="text1"/>
                <w:szCs w:val="21"/>
                <w:lang w:val="en-US"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100</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350</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1.1</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8.7</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燃烧（分解）产物</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w:t>
            </w:r>
          </w:p>
        </w:tc>
        <w:tc>
          <w:tcPr>
            <w:tcW w:w="113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color w:val="000000" w:themeColor="text1"/>
                <w:szCs w:val="21"/>
                <w14:textFill>
                  <w14:solidFill>
                    <w14:schemeClr w14:val="tx1"/>
                  </w14:solidFill>
                </w14:textFill>
              </w:rPr>
            </w:pPr>
            <w:r>
              <w:rPr>
                <w:rFonts w:hint="default" w:cs="宋体"/>
                <w:color w:val="000000" w:themeColor="text1"/>
                <w:szCs w:val="21"/>
                <w14:textFill>
                  <w14:solidFill>
                    <w14:schemeClr w14:val="tx1"/>
                  </w14:solidFill>
                </w14:textFill>
              </w:rPr>
              <w:t>灭火方法</w:t>
            </w:r>
          </w:p>
        </w:tc>
        <w:tc>
          <w:tcPr>
            <w:tcW w:w="359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不能出现</w:t>
            </w:r>
          </w:p>
        </w:tc>
        <w:tc>
          <w:tcPr>
            <w:tcW w:w="2411"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禁忌物</w:t>
            </w:r>
          </w:p>
        </w:tc>
        <w:tc>
          <w:tcPr>
            <w:tcW w:w="231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危险性类别</w:t>
            </w:r>
          </w:p>
        </w:tc>
        <w:tc>
          <w:tcPr>
            <w:tcW w:w="184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该产品属于易燃液体，类别3</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危险货物包装标志</w:t>
            </w:r>
          </w:p>
        </w:tc>
        <w:tc>
          <w:tcPr>
            <w:tcW w:w="56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7</w:t>
            </w:r>
          </w:p>
        </w:tc>
        <w:tc>
          <w:tcPr>
            <w:tcW w:w="12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包装类别</w:t>
            </w:r>
          </w:p>
        </w:tc>
        <w:tc>
          <w:tcPr>
            <w:tcW w:w="47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储运注意事项：</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存于阴凉、通风仓间内。远寓火种、热源。仓温不宜超过30℃。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3m/s），且有接地装置，防止静电积聚。搬运时要轻装轻卸，防止包装及容器损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接触限值</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LD</w:t>
            </w:r>
            <w:r>
              <w:rPr>
                <w:rFonts w:hint="eastAsia"/>
                <w:color w:val="000000" w:themeColor="text1"/>
                <w:szCs w:val="21"/>
                <w:vertAlign w:val="subscript"/>
                <w14:textFill>
                  <w14:solidFill>
                    <w14:schemeClr w14:val="tx1"/>
                  </w14:solidFill>
                </w14:textFill>
              </w:rPr>
              <w:t>50</w:t>
            </w:r>
            <w:r>
              <w:rPr>
                <w:rFonts w:hint="eastAsia"/>
                <w:color w:val="000000" w:themeColor="text1"/>
                <w:szCs w:val="21"/>
                <w14:textFill>
                  <w14:solidFill>
                    <w14:schemeClr w14:val="tx1"/>
                  </w14:solidFill>
                </w14:textFill>
              </w:rPr>
              <w:t>：500～5000mg/kg（哺乳动物吸入）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健康危害</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原油蒸气可引起眼及上呼吸道刺激症状，如浓度过高，几分钟即可引起呼吸困难、紫绀等缺氧症状。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侵入途径</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 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皮肤接触</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脱去污染的衣着，用肥皂水及清水彻底冲洗。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眼睛接触</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立即提起眼睑，用流动清水冲洗。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迅速脱离现场至空气新鲜处。注意保暖，呼吸困难时给输氧。呼吸停止时，立即进行人工呼吸。就医。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食入</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误服者给充分漱口、饮水，就医。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工程控制</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呼吸系统防护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高浓度环境中，应该佩带防毒口罩。必要时建议佩带自给式呼吸器。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防护服</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穿相应的防护服。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手防护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其它</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工作现场严禁吸烟。工作后，淋浴更衣。注意个人清洁卫生。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泄漏处置</w:t>
            </w:r>
          </w:p>
        </w:tc>
        <w:tc>
          <w:tcPr>
            <w:tcW w:w="7920" w:type="dxa"/>
            <w:gridSpan w:val="9"/>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color w:val="000000" w:themeColor="text1"/>
          <w:kern w:val="0"/>
          <w:sz w:val="28"/>
          <w:szCs w:val="28"/>
          <w14:textFill>
            <w14:solidFill>
              <w14:schemeClr w14:val="tx1"/>
            </w14:solidFill>
          </w14:textFill>
        </w:rPr>
      </w:pPr>
      <w:r>
        <w:rPr>
          <w:rFonts w:hint="eastAsia" w:eastAsia="黑体"/>
          <w:bCs/>
          <w:snapToGrid w:val="0"/>
          <w:color w:val="000000" w:themeColor="text1"/>
          <w:kern w:val="0"/>
          <w:sz w:val="28"/>
          <w:szCs w:val="28"/>
          <w14:textFill>
            <w14:solidFill>
              <w14:schemeClr w14:val="tx1"/>
            </w14:solidFill>
          </w14:textFill>
        </w:rPr>
        <w:t>3.1.2 天然气</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天然气的成分主要为低分子量的烷烃（如甲烷、乙烷）组成的混合物，不含硫化氢，其他成分含量低。根据《石油天然气工程设计防火规范》（GB50183-2004），一般天然气的火灾危险性类别为甲</w:t>
      </w:r>
      <w:r>
        <w:rPr>
          <w:rFonts w:hint="eastAsia"/>
          <w:color w:val="000000" w:themeColor="text1"/>
          <w:sz w:val="28"/>
          <w:szCs w:val="28"/>
          <w:vertAlign w:val="subscript"/>
          <w14:textFill>
            <w14:solidFill>
              <w14:schemeClr w14:val="tx1"/>
            </w14:solidFill>
          </w14:textFill>
        </w:rPr>
        <w:t>B</w:t>
      </w:r>
      <w:r>
        <w:rPr>
          <w:rFonts w:hint="eastAsia"/>
          <w:color w:val="000000" w:themeColor="text1"/>
          <w:sz w:val="28"/>
          <w:szCs w:val="28"/>
          <w14:textFill>
            <w14:solidFill>
              <w14:schemeClr w14:val="tx1"/>
            </w14:solidFill>
          </w14:textFill>
        </w:rPr>
        <w:t>类，属易燃、易爆性物质。其爆炸极限范围较宽，一旦泄漏，很容易与空气形成爆炸性气体混合物，遇火源极易发生燃爆。</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天然气的主要成分均属无毒、低毒或微毒，主要侵入途径是呼吸道、皮肤和眼睛。高浓度吸入会造成不同程度的伤害，皮肤、眼睛接触会引起刺激症状。有的低浓度长时间接触可引起神经衰弱症状。空气中浓度增加会使氧气含量降低，达到一定浓度时，会导致缺氧窒息。</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天然气中甲烷含量可达80%以上，甲烷的主要危险有害特性见下表。</w:t>
      </w:r>
    </w:p>
    <w:p>
      <w:pPr>
        <w:adjustRightInd w:val="0"/>
        <w:snapToGrid w:val="0"/>
        <w:spacing w:line="360" w:lineRule="auto"/>
        <w:ind w:firstLine="480" w:firstLineChars="200"/>
        <w:jc w:val="center"/>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表3-</w:t>
      </w:r>
      <w:r>
        <w:rPr>
          <w:rFonts w:hint="eastAsia"/>
          <w:b/>
          <w:bCs/>
          <w:color w:val="000000" w:themeColor="text1"/>
          <w:sz w:val="24"/>
          <w:szCs w:val="24"/>
          <w:lang w:val="en-US" w:eastAsia="zh-CN"/>
          <w14:textFill>
            <w14:solidFill>
              <w14:schemeClr w14:val="tx1"/>
            </w14:solidFill>
          </w14:textFill>
        </w:rPr>
        <w:t>4</w:t>
      </w:r>
      <w:r>
        <w:rPr>
          <w:rFonts w:hint="eastAsia"/>
          <w:b/>
          <w:bCs/>
          <w:color w:val="000000" w:themeColor="text1"/>
          <w:sz w:val="24"/>
          <w:szCs w:val="24"/>
          <w14:textFill>
            <w14:solidFill>
              <w14:schemeClr w14:val="tx1"/>
            </w14:solidFill>
          </w14:textFill>
        </w:rPr>
        <w:t xml:space="preserve"> 甲烷主要危险有害特性一览表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1133"/>
        <w:gridCol w:w="709"/>
        <w:gridCol w:w="284"/>
        <w:gridCol w:w="567"/>
        <w:gridCol w:w="1134"/>
        <w:gridCol w:w="9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甲烷</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74-82-8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CH</w:t>
            </w:r>
            <w:r>
              <w:rPr>
                <w:rFonts w:hint="eastAsia"/>
                <w:color w:val="000000" w:themeColor="text1"/>
                <w:szCs w:val="21"/>
                <w:vertAlign w:val="subscript"/>
                <w14:textFill>
                  <w14:solidFill>
                    <w14:schemeClr w14:val="tx1"/>
                  </w14:solidFill>
                </w14:textFill>
              </w:rPr>
              <w:t>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21007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16.04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外观性状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无色无臭气体。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主要用途</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用作燃料和用于炭黑、氢、乙炔、甲醛等的制造。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溶解性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微溶于水，溶于乙醇、乙醚。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-182.5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燃烧热（kJ/mol</w:t>
            </w:r>
            <w:r>
              <w:rPr>
                <w:rFonts w:hint="default"/>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889.5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-161.5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53.32/-168.8℃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0.42/-164℃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-82.6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w:t>
            </w:r>
          </w:p>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0.55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临界压力（</w:t>
            </w:r>
            <w:r>
              <w:rPr>
                <w:rFonts w:hint="eastAsia"/>
                <w:color w:val="000000" w:themeColor="text1"/>
                <w:szCs w:val="21"/>
                <w:lang w:eastAsia="zh-CN"/>
                <w14:textFill>
                  <w14:solidFill>
                    <w14:schemeClr w14:val="tx1"/>
                  </w14:solidFill>
                </w14:textFill>
              </w:rPr>
              <w:t>MPa</w:t>
            </w:r>
            <w:r>
              <w:rPr>
                <w:rFonts w:hint="eastAsia"/>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4.59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与空气混合能形成爆炸性混合物，遇明火、高热能引起燃烧爆炸。与氟、氯等能发生剧烈的化学反应。若遇高热，容器内压增大，有开裂和爆炸的危险。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-188</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538</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5.3</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color w:val="000000" w:themeColor="text1"/>
                <w:szCs w:val="21"/>
                <w14:textFill>
                  <w14:solidFill>
                    <w14:schemeClr w14:val="tx1"/>
                  </w14:solidFill>
                </w14:textFill>
              </w:rPr>
            </w:pPr>
            <w:r>
              <w:rPr>
                <w:rFonts w:hint="default" w:cs="宋体"/>
                <w:color w:val="000000" w:themeColor="text1"/>
                <w:szCs w:val="21"/>
                <w14:textFill>
                  <w14:solidFill>
                    <w14:schemeClr w14:val="tx1"/>
                  </w14:solidFill>
                </w14:textFill>
              </w:rPr>
              <w:t>灭火方法</w:t>
            </w:r>
          </w:p>
        </w:tc>
        <w:tc>
          <w:tcPr>
            <w:tcW w:w="3595"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切断气源。若不能立即切断气源，则不允许熄灭正在燃烧的气体。喷水冷却容器，可能的话将容器从火场移至空旷处。雾状水、泡沫、二氧化碳。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不能出现</w:t>
            </w:r>
          </w:p>
        </w:tc>
        <w:tc>
          <w:tcPr>
            <w:tcW w:w="212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禁忌物</w:t>
            </w:r>
          </w:p>
        </w:tc>
        <w:tc>
          <w:tcPr>
            <w:tcW w:w="260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强氧化剂、氟、氯。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危险性类别</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该产品属于易燃气体，类别1</w:t>
            </w:r>
          </w:p>
        </w:tc>
        <w:tc>
          <w:tcPr>
            <w:tcW w:w="212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危险货物包装标志</w:t>
            </w:r>
          </w:p>
        </w:tc>
        <w:tc>
          <w:tcPr>
            <w:tcW w:w="56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4</w:t>
            </w:r>
          </w:p>
        </w:tc>
        <w:tc>
          <w:tcPr>
            <w:tcW w:w="11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包装类别</w:t>
            </w:r>
          </w:p>
        </w:tc>
        <w:tc>
          <w:tcPr>
            <w:tcW w:w="90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储运注意事项：</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压缩气体。储存于阴凉、通风仓间内。仓温不宜超过30℃。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接触限值</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苏联MAC：300mg/m</w:t>
            </w:r>
            <w:r>
              <w:rPr>
                <w:rFonts w:hint="eastAsia"/>
                <w:color w:val="000000" w:themeColor="text1"/>
                <w:szCs w:val="21"/>
                <w:vertAlign w:val="superscript"/>
                <w14:textFill>
                  <w14:solidFill>
                    <w14:schemeClr w14:val="tx1"/>
                  </w14:solidFill>
                </w14:textFill>
              </w:rPr>
              <w:t>3</w:t>
            </w:r>
          </w:p>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美国TWA：ACGIH窒息性气体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健康危害</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空气中甲烷浓度过高，能使人窒息。当空气中甲烷达25～30％时，可引起头痛、头晕、乏力、注意力不集中、呼吸和心跳加速、精细动作障碍等，甚至因缺氧而窒息、昏迷。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侵入途径</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皮肤接触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若有冻伤，就医治疗。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迅速脱离现场至空气新鲜处。注意保暖，呼吸困难时给输氧。呼吸及心跳停止者立即进行人工呼吸和心脏按压术。就医。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食入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工程控制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呼吸系统防护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高浓度环境中，佩带供气式呼吸器。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一般不需特殊防护，高浓度接触时可戴安全防护眼镜。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防护服</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穿工作服。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手防护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一般不需特殊防护，高浓度接触时可戴防护手套。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其它</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工作现场严禁吸烟。避免长期反复接触。进入罐或其它高浓度区作业，须有人监护。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泄漏处置</w:t>
            </w:r>
          </w:p>
        </w:tc>
        <w:tc>
          <w:tcPr>
            <w:tcW w:w="7921"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color w:val="000000" w:themeColor="text1"/>
          <w:kern w:val="0"/>
          <w:sz w:val="28"/>
          <w:szCs w:val="28"/>
          <w14:textFill>
            <w14:solidFill>
              <w14:schemeClr w14:val="tx1"/>
            </w14:solidFill>
          </w14:textFill>
        </w:rPr>
      </w:pPr>
      <w:r>
        <w:rPr>
          <w:rFonts w:hint="eastAsia" w:eastAsia="黑体"/>
          <w:bCs/>
          <w:snapToGrid w:val="0"/>
          <w:color w:val="000000" w:themeColor="text1"/>
          <w:kern w:val="0"/>
          <w:sz w:val="28"/>
          <w:szCs w:val="28"/>
          <w14:textFill>
            <w14:solidFill>
              <w14:schemeClr w14:val="tx1"/>
            </w14:solidFill>
          </w14:textFill>
        </w:rPr>
        <w:t>3.1.3 硫化氢</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硫化氢（H</w:t>
      </w:r>
      <w:r>
        <w:rPr>
          <w:rFonts w:hint="eastAsia"/>
          <w:color w:val="000000" w:themeColor="text1"/>
          <w:sz w:val="28"/>
          <w:szCs w:val="28"/>
          <w:vertAlign w:val="subscript"/>
          <w14:textFill>
            <w14:solidFill>
              <w14:schemeClr w14:val="tx1"/>
            </w14:solidFill>
          </w14:textFill>
        </w:rPr>
        <w:t>2</w:t>
      </w:r>
      <w:r>
        <w:rPr>
          <w:rFonts w:hint="eastAsia"/>
          <w:color w:val="000000" w:themeColor="text1"/>
          <w:sz w:val="28"/>
          <w:szCs w:val="28"/>
          <w14:textFill>
            <w14:solidFill>
              <w14:schemeClr w14:val="tx1"/>
            </w14:solidFill>
          </w14:textFill>
        </w:rPr>
        <w:t>S）是硫的氢化物中最简单的一种。常温时硫化氢是一种无色有臭鸡蛋气味的剧毒气体，应在通风处进行使用必须采取防护措施。</w:t>
      </w:r>
    </w:p>
    <w:p>
      <w:pPr>
        <w:adjustRightInd w:val="0"/>
        <w:snapToGrid w:val="0"/>
        <w:spacing w:line="360" w:lineRule="auto"/>
        <w:ind w:firstLine="480" w:firstLineChars="200"/>
        <w:jc w:val="center"/>
        <w:rPr>
          <w:color w:val="000000" w:themeColor="text1"/>
          <w:sz w:val="28"/>
          <w:szCs w:val="28"/>
          <w14:textFill>
            <w14:solidFill>
              <w14:schemeClr w14:val="tx1"/>
            </w14:solidFill>
          </w14:textFill>
        </w:rPr>
      </w:pPr>
      <w:r>
        <w:rPr>
          <w:rFonts w:hint="eastAsia"/>
          <w:b/>
          <w:bCs/>
          <w:color w:val="000000" w:themeColor="text1"/>
          <w:sz w:val="24"/>
          <w:szCs w:val="24"/>
          <w14:textFill>
            <w14:solidFill>
              <w14:schemeClr w14:val="tx1"/>
            </w14:solidFill>
          </w14:textFill>
        </w:rPr>
        <w:t>表3-</w:t>
      </w:r>
      <w:r>
        <w:rPr>
          <w:rFonts w:hint="eastAsia"/>
          <w:b/>
          <w:bCs/>
          <w:color w:val="000000" w:themeColor="text1"/>
          <w:sz w:val="24"/>
          <w:szCs w:val="24"/>
          <w:lang w:val="en-US" w:eastAsia="zh-CN"/>
          <w14:textFill>
            <w14:solidFill>
              <w14:schemeClr w14:val="tx1"/>
            </w14:solidFill>
          </w14:textFill>
        </w:rPr>
        <w:t>5</w:t>
      </w:r>
      <w:r>
        <w:rPr>
          <w:rFonts w:hint="eastAsia"/>
          <w:b/>
          <w:bCs/>
          <w:color w:val="000000" w:themeColor="text1"/>
          <w:sz w:val="24"/>
          <w:szCs w:val="24"/>
          <w14:textFill>
            <w14:solidFill>
              <w14:schemeClr w14:val="tx1"/>
            </w14:solidFill>
          </w14:textFill>
        </w:rPr>
        <w:t xml:space="preserve"> 硫化氢主要危险有害特性一览表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1133"/>
        <w:gridCol w:w="709"/>
        <w:gridCol w:w="142"/>
        <w:gridCol w:w="851"/>
        <w:gridCol w:w="1134"/>
        <w:gridCol w:w="7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硫化氢</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7783-06-4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H</w:t>
            </w:r>
            <w:r>
              <w:rPr>
                <w:rFonts w:hint="default"/>
                <w:color w:val="000000" w:themeColor="text1"/>
                <w:szCs w:val="21"/>
                <w:vertAlign w:val="subscript"/>
                <w14:textFill>
                  <w14:solidFill>
                    <w14:schemeClr w14:val="tx1"/>
                  </w14:solidFill>
                </w14:textFill>
              </w:rPr>
              <w:t>2</w:t>
            </w:r>
            <w:r>
              <w:rPr>
                <w:rFonts w:hint="default"/>
                <w:color w:val="000000" w:themeColor="text1"/>
                <w:szCs w:val="21"/>
                <w14:textFill>
                  <w14:solidFill>
                    <w14:schemeClr w14:val="tx1"/>
                  </w14:solidFill>
                </w14:textFill>
              </w:rPr>
              <w:t>S</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21006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34.08</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1053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外观性状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无色、有恶臭的气体。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主要用途</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用于化学分析如鉴定金属离子。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溶解性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-85.5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燃烧热（kJ/mol</w:t>
            </w:r>
            <w:r>
              <w:rPr>
                <w:rFonts w:hint="default"/>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-60.4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2026.5（25.5℃）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100.4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w:t>
            </w:r>
          </w:p>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1.19</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临界压力（</w:t>
            </w:r>
            <w:r>
              <w:rPr>
                <w:rFonts w:hint="eastAsia"/>
                <w:color w:val="000000" w:themeColor="text1"/>
                <w:szCs w:val="21"/>
                <w:lang w:eastAsia="zh-CN"/>
                <w14:textFill>
                  <w14:solidFill>
                    <w14:schemeClr w14:val="tx1"/>
                  </w14:solidFill>
                </w14:textFill>
              </w:rPr>
              <w:t>MPa</w:t>
            </w:r>
            <w:r>
              <w:rPr>
                <w:rFonts w:hint="eastAsia"/>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9.01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易燃，与空气混合能形成爆炸性混合物，遇明火、高热能引起燃烧爆炸。与浓硝酸、发烟硝酸或其它强氧化剂剧烈反应，发生爆炸。气体比空气重，能在较低处扩散到相当远的地方，遇火源会着火回燃。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无意义</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260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4.0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46.0</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氧化硫。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color w:val="000000" w:themeColor="text1"/>
                <w:szCs w:val="21"/>
                <w14:textFill>
                  <w14:solidFill>
                    <w14:schemeClr w14:val="tx1"/>
                  </w14:solidFill>
                </w14:textFill>
              </w:rPr>
            </w:pPr>
            <w:r>
              <w:rPr>
                <w:rFonts w:hint="default" w:cs="宋体"/>
                <w:color w:val="000000" w:themeColor="text1"/>
                <w:szCs w:val="21"/>
                <w14:textFill>
                  <w14:solidFill>
                    <w14:schemeClr w14:val="tx1"/>
                  </w14:solidFill>
                </w14:textFill>
              </w:rPr>
              <w:t>灭火方法</w:t>
            </w:r>
          </w:p>
        </w:tc>
        <w:tc>
          <w:tcPr>
            <w:tcW w:w="3595"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消防人员必须穿全身防火防毒服，在上风向灭火。切断气源。若不能切断气源，则不允许熄灭泄漏处的火焰。喷水冷却容器，可能的话将容器从火场移至空旷处。灭火剂：雾状水、抗溶性泡沫、干粉。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不能出现</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禁忌物</w:t>
            </w:r>
          </w:p>
        </w:tc>
        <w:tc>
          <w:tcPr>
            <w:tcW w:w="274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强氧化剂、碱类。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危险性类别</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该产品属于易燃</w:t>
            </w:r>
            <w:r>
              <w:rPr>
                <w:rFonts w:hint="eastAsia"/>
                <w:color w:val="000000" w:themeColor="text1"/>
                <w:szCs w:val="21"/>
                <w14:textFill>
                  <w14:solidFill>
                    <w14:schemeClr w14:val="tx1"/>
                  </w14:solidFill>
                </w14:textFill>
              </w:rPr>
              <w:t>气</w:t>
            </w:r>
            <w:r>
              <w:rPr>
                <w:rFonts w:hint="default"/>
                <w:color w:val="000000" w:themeColor="text1"/>
                <w:szCs w:val="21"/>
                <w14:textFill>
                  <w14:solidFill>
                    <w14:schemeClr w14:val="tx1"/>
                  </w14:solidFill>
                </w14:textFill>
              </w:rPr>
              <w:t>体，类别</w:t>
            </w:r>
            <w:r>
              <w:rPr>
                <w:rFonts w:hint="eastAsia"/>
                <w:color w:val="000000" w:themeColor="text1"/>
                <w:szCs w:val="21"/>
                <w14:textFill>
                  <w14:solidFill>
                    <w14:schemeClr w14:val="tx1"/>
                  </w14:solidFill>
                </w14:textFill>
              </w:rPr>
              <w:t>1</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危险货物包装标志</w:t>
            </w: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1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包装类别</w:t>
            </w:r>
          </w:p>
        </w:tc>
        <w:tc>
          <w:tcPr>
            <w:tcW w:w="75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O52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储运注意事项：</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储存注意事项：</w:t>
            </w:r>
            <w:r>
              <w:rPr>
                <w:rFonts w:hint="eastAsia"/>
                <w:color w:val="000000" w:themeColor="text1"/>
                <w:szCs w:val="21"/>
                <w14:textFill>
                  <w14:solidFill>
                    <w14:schemeClr w14:val="tx1"/>
                  </w14:solidFill>
                </w14:textFill>
              </w:rPr>
              <w:tab/>
            </w:r>
            <w:r>
              <w:rPr>
                <w:rFonts w:hint="eastAsia"/>
                <w:color w:val="000000" w:themeColor="text1"/>
                <w:szCs w:val="21"/>
                <w14:textFill>
                  <w14:solidFill>
                    <w14:schemeClr w14:val="tx1"/>
                  </w14:solidFill>
                </w14:textFill>
              </w:rPr>
              <w:t>储存于阴凉、通风的库房。远离火种、热源。库温不宜超过30℃。保持容器密封。应与氧化剂、碱类分开存放，切忌混储。采用防爆型照明、通风设施。禁止使用易产生火花的机械设备和工具。储区应备有泄漏应急处理设备。</w:t>
            </w:r>
          </w:p>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运输注意事项：</w:t>
            </w:r>
            <w:r>
              <w:rPr>
                <w:rFonts w:hint="eastAsia"/>
                <w:color w:val="000000" w:themeColor="text1"/>
                <w:szCs w:val="21"/>
                <w14:textFill>
                  <w14:solidFill>
                    <w14:schemeClr w14:val="tx1"/>
                  </w14:solidFill>
                </w14:textFill>
              </w:rPr>
              <w:tab/>
            </w:r>
            <w:r>
              <w:rPr>
                <w:rFonts w:hint="eastAsia"/>
                <w:color w:val="000000" w:themeColor="text1"/>
                <w:szCs w:val="21"/>
                <w14:textFill>
                  <w14:solidFill>
                    <w14:schemeClr w14:val="tx1"/>
                  </w14:solidFill>
                </w14:textFill>
              </w:rPr>
              <w:t>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接触限值</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中国MAC（mg/m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）：10</w:t>
            </w:r>
          </w:p>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中国TLV（mg/m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）：15（10ppm）</w:t>
            </w:r>
          </w:p>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前苏联MAC（mg/m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）：10</w:t>
            </w:r>
          </w:p>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TLVTN：OSHA 20ppm，28mg/m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[上限值]; ACGIH 10ppm，14mg/m</w:t>
            </w:r>
            <w:r>
              <w:rPr>
                <w:rFonts w:hint="eastAsia"/>
                <w:color w:val="000000" w:themeColor="text1"/>
                <w:szCs w:val="21"/>
                <w:vertAlign w:val="superscript"/>
                <w14:textFill>
                  <w14:solidFill>
                    <w14:schemeClr w14:val="tx1"/>
                  </w14:solidFill>
                </w14:textFill>
              </w:rPr>
              <w:t>3</w:t>
            </w:r>
          </w:p>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TLVWN：ACGIH 15ppm，21mg/m</w:t>
            </w:r>
            <w:r>
              <w:rPr>
                <w:rFonts w:hint="eastAsia"/>
                <w:color w:val="000000" w:themeColor="text1"/>
                <w:szCs w:val="21"/>
                <w:vertAlign w:val="superscript"/>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LC50：618 mg/m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（大鼠吸入）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健康危害</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本品是强烈的神经毒物，对粘膜有强烈刺激作用。 急性中毒：短期内吸入高浓度硫化氢后出现流泪、眼痛、眼内异物感、畏光、视物模糊、流涕、咽喉部灼热感、咳嗽、胸闷、头痛、头晕、乏力、意识模糊等。部分患者可有心肌损害。重者可出现脑水肿、肺水肿。极高浓度（1000mg/m3 以上）时可在数秒钟内突然昏迷，呼吸和心跳骤停，发生闪电型死亡。高浓度接触眼结膜发生水肿和角膜溃疡。 长期低浓度接触，引起神经衰弱综合征和植物神经功能紊乱。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侵入途径</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皮肤接触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立即提起眼睑，用大量流动清水或生理盐水彻底冲洗至少15分钟。就医。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食入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工程控制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严加密闭，提供充分的局部排风和全面通风。提供安全淋浴和洗眼设备。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呼吸系统防护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空气中浓度超标时，佩戴过滤式防毒面具（半面罩）。紧急事态抢救或撤离时，建议佩戴氧气呼吸器或空气呼吸器。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戴化学安全防护眼镜。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防护服</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手防护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戴防化学品手套。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其它</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工作现场禁止吸烟、进食和饮水。工作完毕，淋浴更衣。及时换洗工作服。作业人员应学会自救互救。进入罐、限制性空间或其它高浓度区作业，须有人监护。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泄漏处置</w:t>
            </w:r>
          </w:p>
        </w:tc>
        <w:tc>
          <w:tcPr>
            <w:tcW w:w="7921"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撤离泄漏污染区人员至上风处，并立即进行隔离，小泄漏时隔离150m，大泄漏时隔离300m，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color w:val="000000" w:themeColor="text1"/>
          <w:kern w:val="0"/>
          <w:sz w:val="28"/>
          <w:szCs w:val="28"/>
          <w14:textFill>
            <w14:solidFill>
              <w14:schemeClr w14:val="tx1"/>
            </w14:solidFill>
          </w14:textFill>
        </w:rPr>
      </w:pPr>
      <w:r>
        <w:rPr>
          <w:rFonts w:hint="eastAsia" w:eastAsia="黑体"/>
          <w:bCs/>
          <w:snapToGrid w:val="0"/>
          <w:color w:val="000000" w:themeColor="text1"/>
          <w:kern w:val="0"/>
          <w:sz w:val="28"/>
          <w:szCs w:val="28"/>
          <w14:textFill>
            <w14:solidFill>
              <w14:schemeClr w14:val="tx1"/>
            </w14:solidFill>
          </w14:textFill>
        </w:rPr>
        <w:t>3.1.4 柴油</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轻质石油产品，复杂烃类（碳原子数约10</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14:textFill>
            <w14:solidFill>
              <w14:schemeClr w14:val="tx1"/>
            </w14:solidFill>
          </w14:textFill>
        </w:rPr>
        <w:t>22）混合物。为柴油机燃料。主要由原油蒸馏、催化裂化、热裂化、加氢裂化、石油焦化等过程生产的柴油馏分调配而成；也可由页岩油加工和煤液化制取。分为轻柴油（沸点范围约180</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14:textFill>
            <w14:solidFill>
              <w14:schemeClr w14:val="tx1"/>
            </w14:solidFill>
          </w14:textFill>
        </w:rPr>
        <w:t>370℃）和重柴油（沸点范围约350</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14:textFill>
            <w14:solidFill>
              <w14:schemeClr w14:val="tx1"/>
            </w14:solidFill>
          </w14:textFill>
        </w:rPr>
        <w:t>410℃）两大类。</w:t>
      </w:r>
    </w:p>
    <w:p>
      <w:pPr>
        <w:adjustRightInd w:val="0"/>
        <w:snapToGrid w:val="0"/>
        <w:spacing w:line="360" w:lineRule="auto"/>
        <w:ind w:firstLine="480" w:firstLineChars="200"/>
        <w:jc w:val="center"/>
        <w:rPr>
          <w:b w:val="0"/>
          <w:bCs/>
          <w:color w:val="000000" w:themeColor="text1"/>
          <w:sz w:val="24"/>
          <w:szCs w:val="28"/>
          <w14:textFill>
            <w14:solidFill>
              <w14:schemeClr w14:val="tx1"/>
            </w14:solidFill>
          </w14:textFill>
        </w:rPr>
      </w:pPr>
      <w:r>
        <w:rPr>
          <w:rFonts w:hint="eastAsia"/>
          <w:b/>
          <w:bCs w:val="0"/>
          <w:color w:val="000000" w:themeColor="text1"/>
          <w:sz w:val="24"/>
          <w:szCs w:val="28"/>
          <w14:textFill>
            <w14:solidFill>
              <w14:schemeClr w14:val="tx1"/>
            </w14:solidFill>
          </w14:textFill>
        </w:rPr>
        <w:t>表3-</w:t>
      </w:r>
      <w:r>
        <w:rPr>
          <w:rFonts w:hint="eastAsia"/>
          <w:b/>
          <w:bCs w:val="0"/>
          <w:color w:val="000000" w:themeColor="text1"/>
          <w:sz w:val="24"/>
          <w:szCs w:val="28"/>
          <w:lang w:val="en-US" w:eastAsia="zh-CN"/>
          <w14:textFill>
            <w14:solidFill>
              <w14:schemeClr w14:val="tx1"/>
            </w14:solidFill>
          </w14:textFill>
        </w:rPr>
        <w:t>6</w:t>
      </w:r>
      <w:r>
        <w:rPr>
          <w:rFonts w:hint="eastAsia"/>
          <w:b/>
          <w:bCs w:val="0"/>
          <w:color w:val="000000" w:themeColor="text1"/>
          <w:sz w:val="24"/>
          <w:szCs w:val="28"/>
          <w14:textFill>
            <w14:solidFill>
              <w14:schemeClr w14:val="tx1"/>
            </w14:solidFill>
          </w14:textFill>
        </w:rPr>
        <w:t xml:space="preserve"> 柴油主要危险有害特性一览表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1"/>
        <w:gridCol w:w="1773"/>
        <w:gridCol w:w="1420"/>
        <w:gridCol w:w="952"/>
        <w:gridCol w:w="891"/>
        <w:gridCol w:w="65"/>
        <w:gridCol w:w="1134"/>
        <w:gridCol w:w="1070"/>
        <w:gridCol w:w="6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柴油</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1202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1202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外观性状</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稍有粘性的淡黄至棕色液体，具有特殊气味。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主要用途</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用于高、中、低速柴油机，作为汽车、火车、拖拉机、船舶、农业机械、柴油发电等动力设备的燃料。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溶解性</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不溶于水，与有机溶剂互溶。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default"/>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35~20</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燃烧热（kJ/mol</w:t>
            </w:r>
            <w:r>
              <w:rPr>
                <w:rFonts w:hint="default"/>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default"/>
                <w:color w:val="000000" w:themeColor="text1"/>
                <w:szCs w:val="21"/>
                <w14:textFill>
                  <w14:solidFill>
                    <w14:schemeClr w14:val="tx1"/>
                  </w14:solidFill>
                </w14:textFill>
              </w:rPr>
              <w:t>28</w:t>
            </w:r>
            <w:r>
              <w:rPr>
                <w:rFonts w:hint="eastAsia"/>
                <w:color w:val="000000" w:themeColor="text1"/>
                <w:szCs w:val="21"/>
                <w:lang w:val="en-US" w:eastAsia="zh-CN"/>
                <w14:textFill>
                  <w14:solidFill>
                    <w14:schemeClr w14:val="tx1"/>
                  </w14:solidFill>
                </w14:textFill>
              </w:rPr>
              <w:t>0~</w:t>
            </w:r>
            <w:r>
              <w:rPr>
                <w:rFonts w:hint="default"/>
                <w:color w:val="000000" w:themeColor="text1"/>
                <w:szCs w:val="21"/>
                <w14:textFill>
                  <w14:solidFill>
                    <w14:schemeClr w14:val="tx1"/>
                  </w14:solidFill>
                </w14:textFill>
              </w:rPr>
              <w:t>3</w:t>
            </w:r>
            <w:r>
              <w:rPr>
                <w:rFonts w:hint="eastAsia"/>
                <w:color w:val="000000" w:themeColor="text1"/>
                <w:szCs w:val="21"/>
                <w:lang w:val="en-US" w:eastAsia="zh-CN"/>
                <w14:textFill>
                  <w14:solidFill>
                    <w14:schemeClr w14:val="tx1"/>
                  </w14:solidFill>
                </w14:textFill>
              </w:rPr>
              <w:t>70</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0.87</w:t>
            </w:r>
            <w:r>
              <w:rPr>
                <w:rFonts w:hint="eastAsia"/>
                <w:color w:val="000000" w:themeColor="text1"/>
                <w:szCs w:val="21"/>
                <w:lang w:val="en-US" w:eastAsia="zh-CN"/>
                <w14:textFill>
                  <w14:solidFill>
                    <w14:schemeClr w14:val="tx1"/>
                  </w14:solidFill>
                </w14:textFill>
              </w:rPr>
              <w:t>~</w:t>
            </w:r>
            <w:r>
              <w:rPr>
                <w:rFonts w:hint="default"/>
                <w:color w:val="000000" w:themeColor="text1"/>
                <w:szCs w:val="21"/>
                <w14:textFill>
                  <w14:solidFill>
                    <w14:schemeClr w14:val="tx1"/>
                  </w14:solidFill>
                </w14:textFill>
              </w:rPr>
              <w:t>0.9</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相对密度（空气=1）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3~7</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临界压力（</w:t>
            </w:r>
            <w:r>
              <w:rPr>
                <w:rFonts w:hint="eastAsia"/>
                <w:color w:val="000000" w:themeColor="text1"/>
                <w:szCs w:val="21"/>
                <w:lang w:eastAsia="zh-CN"/>
                <w14:textFill>
                  <w14:solidFill>
                    <w14:schemeClr w14:val="tx1"/>
                  </w14:solidFill>
                </w14:textFill>
              </w:rPr>
              <w:t>MPa</w:t>
            </w:r>
            <w:r>
              <w:rPr>
                <w:rFonts w:hint="eastAsia"/>
                <w:color w:val="000000" w:themeColor="text1"/>
                <w:szCs w:val="21"/>
                <w14:textFill>
                  <w14:solidFill>
                    <w14:schemeClr w14:val="tx1"/>
                  </w14:solidFill>
                </w14:textFill>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w:t>
            </w:r>
          </w:p>
        </w:tc>
        <w:tc>
          <w:tcPr>
            <w:tcW w:w="1843"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遇明火、高热或与氧化剂接触，有引起燃烧爆炸的危险。若遇高热，容器内压增大，有开裂和爆炸的危险。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50</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227~</w:t>
            </w:r>
            <w:r>
              <w:rPr>
                <w:rFonts w:hint="default"/>
                <w:color w:val="000000" w:themeColor="text1"/>
                <w:szCs w:val="21"/>
                <w14:textFill>
                  <w14:solidFill>
                    <w14:schemeClr w14:val="tx1"/>
                  </w14:solidFill>
                </w14:textFill>
              </w:rPr>
              <w:t>257</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44</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稳定</w:t>
            </w:r>
          </w:p>
        </w:tc>
        <w:tc>
          <w:tcPr>
            <w:tcW w:w="95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灭火</w:t>
            </w:r>
          </w:p>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方法</w:t>
            </w:r>
          </w:p>
        </w:tc>
        <w:tc>
          <w:tcPr>
            <w:tcW w:w="3777"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可用泡沫、二氧化碳、干粉、砂土灭火。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不能出现</w:t>
            </w:r>
          </w:p>
        </w:tc>
        <w:tc>
          <w:tcPr>
            <w:tcW w:w="1908"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禁忌物</w:t>
            </w:r>
          </w:p>
        </w:tc>
        <w:tc>
          <w:tcPr>
            <w:tcW w:w="2821"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强氧化剂、卤素。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危险性类别</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w:t>
            </w:r>
          </w:p>
        </w:tc>
        <w:tc>
          <w:tcPr>
            <w:tcW w:w="1908"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危险货物包装标志</w:t>
            </w:r>
          </w:p>
        </w:tc>
        <w:tc>
          <w:tcPr>
            <w:tcW w:w="11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易燃液体</w:t>
            </w:r>
          </w:p>
        </w:tc>
        <w:tc>
          <w:tcPr>
            <w:tcW w:w="107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包装类别</w:t>
            </w:r>
          </w:p>
        </w:tc>
        <w:tc>
          <w:tcPr>
            <w:tcW w:w="61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Z01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1470" w:right="0" w:hanging="1470" w:hangingChars="70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储运注意事项：</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存注意事项：储存于阴凉、通风的库房。远离火种、热源。应与氧化剂、卤素分开存放，切忌混储。采用防爆型照明、通风设施。禁止使用易产生火花的机械设备和工具。储区应备有泄漏应急处理设备和合适的收容材料。</w:t>
            </w:r>
          </w:p>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运输注意事项：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公路运输时要按规定路线行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接触限值</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毒性</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LD50：7500mg/kg（大鼠经口）</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 xml:space="preserve">LD50：24500mg/m34h（小鼠经口）。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健康危害</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皮肤接触可为主要吸收途径，可致急性肾脏损害。柴油可引起接触性皮炎、油性痤疮。吸入其雾滴或液体呛入可引起吸入性肺炎。能经胎盘进入胎儿血中。柴油废气可引起眼、鼻刺激症状，头晕及头痛。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侵入途径</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接触、吸入、食入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皮肤接触</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立即脱去污染的衣着，用肥皂水和清水彻底冲洗皮肤。就医。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眼睛接触</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提起眼睑，用流动清水或生理盐水冲洗。就医。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吸入</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有上呼吸道刺激症状。吸入其雾滴或液体呛入可引起吸入性肺炎。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食入</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尽快彻底洗胃。就医。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工程控制</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密闭操作、加强通风。工作场所应设置安全沐浴、眼冲洗设备。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呼吸系统防护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一般不需要防护，高浓度接触时，可佩戴过滤式防毒面具（半面罩）；紧急事态抢救或撤离时，应该佩戴空气呼吸器或氧气呼吸器。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眼睛防护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戴化学安全防护眼镜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防护服</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手防护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带橡胶耐油手套。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其它</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工作现场严禁吸烟、进食和饮水，工作前避免饮用酒精性钦料，工作后，进行就业前和定期的体检。避免长期反复接触。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泄漏处置</w:t>
            </w:r>
          </w:p>
        </w:tc>
        <w:tc>
          <w:tcPr>
            <w:tcW w:w="7922"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bl>
    <w:p>
      <w:pPr>
        <w:keepNext/>
        <w:keepLines/>
        <w:pageBreakBefore w:val="0"/>
        <w:widowControl w:val="0"/>
        <w:kinsoku/>
        <w:wordWrap/>
        <w:overflowPunct/>
        <w:topLinePunct w:val="0"/>
        <w:autoSpaceDE/>
        <w:autoSpaceDN/>
        <w:bidi w:val="0"/>
        <w:adjustRightInd w:val="0"/>
        <w:snapToGrid w:val="0"/>
        <w:spacing w:line="240" w:lineRule="auto"/>
        <w:textAlignment w:val="auto"/>
        <w:outlineLvl w:val="9"/>
        <w:rPr>
          <w:rFonts w:hint="eastAsia" w:eastAsia="黑体"/>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1"/>
          <w:szCs w:val="21"/>
          <w14:textFill>
            <w14:solidFill>
              <w14:schemeClr w14:val="tx1"/>
            </w14:solidFill>
          </w14:textFill>
        </w:rPr>
        <w:t>注：柴油闪点等理化性质参数来源于企业提供的《柴油化学品安全技术说明书》（山东垦利石化集团有限公司2021年3月20日编制）。</w:t>
      </w:r>
    </w:p>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hint="eastAsia" w:eastAsia="黑体" w:cs="Times New Roman"/>
          <w:color w:val="000000" w:themeColor="text1"/>
          <w:sz w:val="28"/>
          <w:szCs w:val="28"/>
          <w:lang w:val="en-US" w:eastAsia="zh-CN"/>
          <w14:textFill>
            <w14:solidFill>
              <w14:schemeClr w14:val="tx1"/>
            </w14:solidFill>
          </w14:textFill>
        </w:rPr>
      </w:pPr>
      <w:r>
        <w:rPr>
          <w:rFonts w:hint="eastAsia" w:eastAsia="黑体"/>
          <w:bCs/>
          <w:snapToGrid w:val="0"/>
          <w:color w:val="000000" w:themeColor="text1"/>
          <w:kern w:val="0"/>
          <w:sz w:val="28"/>
          <w:szCs w:val="28"/>
          <w14:textFill>
            <w14:solidFill>
              <w14:schemeClr w14:val="tx1"/>
            </w14:solidFill>
          </w14:textFill>
        </w:rPr>
        <w:t>3.1.</w:t>
      </w:r>
      <w:r>
        <w:rPr>
          <w:rFonts w:hint="default"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5</w:t>
      </w:r>
      <w:r>
        <w:rPr>
          <w:rFonts w:hint="eastAsia" w:eastAsia="黑体" w:cs="Times New Roman"/>
          <w:bCs/>
          <w:snapToGrid w:val="0"/>
          <w:color w:val="000000" w:themeColor="text1"/>
          <w:kern w:val="0"/>
          <w:sz w:val="28"/>
          <w:szCs w:val="28"/>
          <w:lang w:val="en-US" w:eastAsia="zh-CN"/>
          <w14:textFill>
            <w14:solidFill>
              <w14:schemeClr w14:val="tx1"/>
            </w14:solidFill>
          </w14:textFill>
        </w:rPr>
        <w:t xml:space="preserve"> </w:t>
      </w:r>
      <w:r>
        <w:rPr>
          <w:rFonts w:hint="eastAsia" w:eastAsia="黑体" w:cs="Times New Roman"/>
          <w:color w:val="000000" w:themeColor="text1"/>
          <w:sz w:val="28"/>
          <w:szCs w:val="28"/>
          <w:lang w:val="en-US" w:eastAsia="zh-CN"/>
          <w14:textFill>
            <w14:solidFill>
              <w14:schemeClr w14:val="tx1"/>
            </w14:solidFill>
          </w14:textFill>
        </w:rPr>
        <w:t>高干度复合气</w:t>
      </w:r>
    </w:p>
    <w:p>
      <w:pPr>
        <w:pStyle w:val="2"/>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Times New Roman" w:hAnsi="Times New Roman" w:eastAsia="宋体" w:cs="Arial"/>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Arial"/>
          <w:color w:val="000000" w:themeColor="text1"/>
          <w:kern w:val="2"/>
          <w:sz w:val="28"/>
          <w:szCs w:val="28"/>
          <w:lang w:val="en-US" w:eastAsia="zh-CN" w:bidi="ar-SA"/>
          <w14:textFill>
            <w14:solidFill>
              <w14:schemeClr w14:val="tx1"/>
            </w14:solidFill>
          </w14:textFill>
        </w:rPr>
        <w:t>在注高干度复合气作业过程中，将注汽锅炉出口干度为0.7~0.75的湿饱和蒸汽二次加热并提高干度至0.95以上。经过燃烧系统二次加热后产生的气体主要为蒸汽、氮气和二氧化碳等多组分复合气，具有高温高压的特点，若管道密封不严或保护层损坏，易导致人员灼伤和中毒窒息。</w:t>
      </w:r>
    </w:p>
    <w:p>
      <w:pPr>
        <w:keepNext/>
        <w:keepLines/>
        <w:pageBreakBefore w:val="0"/>
        <w:widowControl w:val="0"/>
        <w:kinsoku/>
        <w:wordWrap/>
        <w:overflowPunct/>
        <w:topLinePunct w:val="0"/>
        <w:autoSpaceDE/>
        <w:autoSpaceDN/>
        <w:bidi w:val="0"/>
        <w:adjustRightInd w:val="0"/>
        <w:snapToGrid w:val="0"/>
        <w:spacing w:line="360" w:lineRule="auto"/>
        <w:textAlignment w:val="auto"/>
        <w:outlineLvl w:val="2"/>
        <w:rPr>
          <w:rFonts w:hint="default" w:ascii="Times New Roman" w:hAnsi="Times New Roman" w:eastAsia="黑体" w:cs="Times New Roman"/>
          <w:color w:val="000000" w:themeColor="text1"/>
          <w:sz w:val="28"/>
          <w:szCs w:val="28"/>
          <w:lang w:val="en-US" w:eastAsia="zh-CN"/>
          <w14:textFill>
            <w14:solidFill>
              <w14:schemeClr w14:val="tx1"/>
            </w14:solidFill>
          </w14:textFill>
        </w:rPr>
      </w:pPr>
      <w:r>
        <w:rPr>
          <w:rFonts w:hint="eastAsia" w:eastAsia="黑体"/>
          <w:bCs/>
          <w:snapToGrid w:val="0"/>
          <w:color w:val="000000" w:themeColor="text1"/>
          <w:kern w:val="0"/>
          <w:sz w:val="28"/>
          <w:szCs w:val="28"/>
          <w14:textFill>
            <w14:solidFill>
              <w14:schemeClr w14:val="tx1"/>
            </w14:solidFill>
          </w14:textFill>
        </w:rPr>
        <w:t>3.1.</w:t>
      </w:r>
      <w:r>
        <w:rPr>
          <w:rFonts w:hint="eastAsia" w:eastAsia="黑体"/>
          <w:bCs/>
          <w:snapToGrid w:val="0"/>
          <w:color w:val="000000" w:themeColor="text1"/>
          <w:kern w:val="0"/>
          <w:sz w:val="28"/>
          <w:szCs w:val="28"/>
          <w:lang w:val="en-US" w:eastAsia="zh-CN"/>
          <w14:textFill>
            <w14:solidFill>
              <w14:schemeClr w14:val="tx1"/>
            </w14:solidFill>
          </w14:textFill>
        </w:rPr>
        <w:t xml:space="preserve">6 </w:t>
      </w:r>
      <w:r>
        <w:rPr>
          <w:rFonts w:hint="default" w:ascii="Times New Roman" w:hAnsi="Times New Roman" w:eastAsia="黑体" w:cs="Times New Roman"/>
          <w:color w:val="000000" w:themeColor="text1"/>
          <w:sz w:val="28"/>
          <w:szCs w:val="28"/>
          <w14:textFill>
            <w14:solidFill>
              <w14:schemeClr w14:val="tx1"/>
            </w14:solidFill>
          </w14:textFill>
        </w:rPr>
        <w:t>高温</w:t>
      </w:r>
      <w:r>
        <w:rPr>
          <w:rFonts w:hint="eastAsia" w:ascii="Times New Roman" w:hAnsi="Times New Roman" w:eastAsia="黑体" w:cs="Times New Roman"/>
          <w:color w:val="000000" w:themeColor="text1"/>
          <w:sz w:val="28"/>
          <w:szCs w:val="28"/>
          <w:lang w:eastAsia="zh-CN"/>
          <w14:textFill>
            <w14:solidFill>
              <w14:schemeClr w14:val="tx1"/>
            </w14:solidFill>
          </w14:textFill>
        </w:rPr>
        <w:t>高压</w:t>
      </w:r>
      <w:r>
        <w:rPr>
          <w:rFonts w:hint="default" w:ascii="Times New Roman" w:hAnsi="Times New Roman" w:eastAsia="黑体" w:cs="Times New Roman"/>
          <w:color w:val="000000" w:themeColor="text1"/>
          <w:sz w:val="28"/>
          <w:szCs w:val="28"/>
          <w14:textFill>
            <w14:solidFill>
              <w14:schemeClr w14:val="tx1"/>
            </w14:solidFill>
          </w14:textFill>
        </w:rPr>
        <w:t>蒸汽</w:t>
      </w:r>
      <w:r>
        <w:rPr>
          <w:rFonts w:hint="default" w:ascii="Times New Roman" w:hAnsi="Times New Roman" w:eastAsia="黑体" w:cs="Times New Roman"/>
          <w:color w:val="000000" w:themeColor="text1"/>
          <w:sz w:val="28"/>
          <w:szCs w:val="28"/>
          <w:lang w:eastAsia="zh-CN"/>
          <w14:textFill>
            <w14:solidFill>
              <w14:schemeClr w14:val="tx1"/>
            </w14:solidFill>
          </w14:textFill>
        </w:rPr>
        <w:t>和</w:t>
      </w:r>
      <w:r>
        <w:rPr>
          <w:rFonts w:hint="eastAsia" w:eastAsia="黑体" w:cs="Times New Roman"/>
          <w:color w:val="000000" w:themeColor="text1"/>
          <w:sz w:val="28"/>
          <w:szCs w:val="28"/>
          <w:lang w:val="en-US" w:eastAsia="zh-CN"/>
          <w14:textFill>
            <w14:solidFill>
              <w14:schemeClr w14:val="tx1"/>
            </w14:solidFill>
          </w14:textFill>
        </w:rPr>
        <w:t>烟气</w:t>
      </w:r>
    </w:p>
    <w:p>
      <w:pPr>
        <w:adjustRightInd w:val="0"/>
        <w:snapToGrid w:val="0"/>
        <w:spacing w:line="360" w:lineRule="auto"/>
        <w:ind w:firstLine="560" w:firstLineChars="200"/>
        <w:rPr>
          <w:rFonts w:hint="eastAsia" w:cs="Arial"/>
          <w:color w:val="000000" w:themeColor="text1"/>
          <w:sz w:val="28"/>
          <w:szCs w:val="28"/>
          <w:lang w:val="en-US" w:eastAsia="zh-CN"/>
          <w14:textFill>
            <w14:solidFill>
              <w14:schemeClr w14:val="tx1"/>
            </w14:solidFill>
          </w14:textFill>
        </w:rPr>
      </w:pPr>
      <w:r>
        <w:rPr>
          <w:rFonts w:hint="eastAsia" w:cs="Arial"/>
          <w:color w:val="000000" w:themeColor="text1"/>
          <w:sz w:val="28"/>
          <w:szCs w:val="28"/>
          <w:lang w:val="en-US" w:eastAsia="zh-CN"/>
          <w14:textFill>
            <w14:solidFill>
              <w14:schemeClr w14:val="tx1"/>
            </w14:solidFill>
          </w14:textFill>
        </w:rPr>
        <w:t>1、高温高压蒸汽</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Arial"/>
          <w:color w:val="000000" w:themeColor="text1"/>
          <w:sz w:val="28"/>
          <w:szCs w:val="28"/>
          <w:lang w:eastAsia="zh-CN"/>
          <w14:textFill>
            <w14:solidFill>
              <w14:schemeClr w14:val="tx1"/>
            </w14:solidFill>
          </w14:textFill>
        </w:rPr>
      </w:pPr>
      <w:r>
        <w:rPr>
          <w:rFonts w:hint="eastAsia" w:cs="Arial"/>
          <w:color w:val="000000" w:themeColor="text1"/>
          <w:sz w:val="28"/>
          <w:szCs w:val="28"/>
          <w14:textFill>
            <w14:solidFill>
              <w14:schemeClr w14:val="tx1"/>
            </w14:solidFill>
          </w14:textFill>
        </w:rPr>
        <w:t>本工程注汽锅炉产生的蒸汽额定温度为3</w:t>
      </w:r>
      <w:r>
        <w:rPr>
          <w:rFonts w:hint="eastAsia" w:cs="Arial"/>
          <w:color w:val="000000" w:themeColor="text1"/>
          <w:sz w:val="28"/>
          <w:szCs w:val="28"/>
          <w:lang w:val="en-US" w:eastAsia="zh-CN"/>
          <w14:textFill>
            <w14:solidFill>
              <w14:schemeClr w14:val="tx1"/>
            </w14:solidFill>
          </w14:textFill>
        </w:rPr>
        <w:t>0</w:t>
      </w:r>
      <w:r>
        <w:rPr>
          <w:rFonts w:cs="Arial"/>
          <w:color w:val="000000" w:themeColor="text1"/>
          <w:sz w:val="28"/>
          <w:szCs w:val="28"/>
          <w14:textFill>
            <w14:solidFill>
              <w14:schemeClr w14:val="tx1"/>
            </w14:solidFill>
          </w14:textFill>
        </w:rPr>
        <w:t>0</w:t>
      </w:r>
      <w:r>
        <w:rPr>
          <w:rFonts w:hint="eastAsia" w:ascii="宋体" w:hAnsi="宋体" w:cs="Arial"/>
          <w:color w:val="000000" w:themeColor="text1"/>
          <w:sz w:val="28"/>
          <w:szCs w:val="28"/>
          <w14:textFill>
            <w14:solidFill>
              <w14:schemeClr w14:val="tx1"/>
            </w14:solidFill>
          </w14:textFill>
        </w:rPr>
        <w:t>℃</w:t>
      </w:r>
      <w:r>
        <w:rPr>
          <w:rFonts w:hint="eastAsia" w:cs="Arial"/>
          <w:color w:val="000000" w:themeColor="text1"/>
          <w:sz w:val="28"/>
          <w:szCs w:val="28"/>
          <w14:textFill>
            <w14:solidFill>
              <w14:schemeClr w14:val="tx1"/>
            </w14:solidFill>
          </w14:textFill>
        </w:rPr>
        <w:t>，额定压力为2</w:t>
      </w:r>
      <w:r>
        <w:rPr>
          <w:rFonts w:hint="eastAsia" w:cs="Arial"/>
          <w:color w:val="000000" w:themeColor="text1"/>
          <w:sz w:val="28"/>
          <w:szCs w:val="28"/>
          <w:lang w:val="en-US" w:eastAsia="zh-CN"/>
          <w14:textFill>
            <w14:solidFill>
              <w14:schemeClr w14:val="tx1"/>
            </w14:solidFill>
          </w14:textFill>
        </w:rPr>
        <w:t>1</w:t>
      </w:r>
      <w:r>
        <w:rPr>
          <w:rFonts w:hint="eastAsia" w:cs="Arial"/>
          <w:color w:val="000000" w:themeColor="text1"/>
          <w:sz w:val="28"/>
          <w:szCs w:val="28"/>
          <w:lang w:eastAsia="zh-CN"/>
          <w14:textFill>
            <w14:solidFill>
              <w14:schemeClr w14:val="tx1"/>
            </w14:solidFill>
          </w14:textFill>
        </w:rPr>
        <w:t>MPa</w:t>
      </w:r>
      <w:r>
        <w:rPr>
          <w:rFonts w:hint="eastAsia" w:cs="Arial"/>
          <w:color w:val="000000" w:themeColor="text1"/>
          <w:sz w:val="28"/>
          <w:szCs w:val="28"/>
          <w14:textFill>
            <w14:solidFill>
              <w14:schemeClr w14:val="tx1"/>
            </w14:solidFill>
          </w14:textFill>
        </w:rPr>
        <w:t>。供汽温度高、压力大，若系统泄漏，高温蒸汽喷触人体，会导致不同程度的烫伤甚至死亡事故发生。</w:t>
      </w:r>
      <w:r>
        <w:rPr>
          <w:rFonts w:hint="eastAsia" w:cs="Arial"/>
          <w:color w:val="000000" w:themeColor="text1"/>
          <w:sz w:val="28"/>
          <w:szCs w:val="28"/>
          <w:lang w:eastAsia="zh-CN"/>
          <w14:textFill>
            <w14:solidFill>
              <w14:schemeClr w14:val="tx1"/>
            </w14:solidFill>
          </w14:textFill>
        </w:rPr>
        <w:t>高压</w:t>
      </w:r>
      <w:r>
        <w:rPr>
          <w:rFonts w:hint="eastAsia" w:cs="Arial"/>
          <w:color w:val="000000" w:themeColor="text1"/>
          <w:sz w:val="28"/>
          <w:szCs w:val="28"/>
          <w:lang w:val="en-US" w:eastAsia="zh-CN"/>
          <w14:textFill>
            <w14:solidFill>
              <w14:schemeClr w14:val="tx1"/>
            </w14:solidFill>
          </w14:textFill>
        </w:rPr>
        <w:t>可以造成蒸汽管道、锅炉、蒸汽发生器以及换热设备发生爆裂，高压蒸汽泄漏喷射可导致高压伤害。</w:t>
      </w:r>
    </w:p>
    <w:p>
      <w:pPr>
        <w:numPr>
          <w:ilvl w:val="0"/>
          <w:numId w:val="15"/>
        </w:numPr>
        <w:adjustRightInd w:val="0"/>
        <w:snapToGrid w:val="0"/>
        <w:spacing w:line="360" w:lineRule="auto"/>
        <w:ind w:firstLine="560" w:firstLineChars="200"/>
        <w:rPr>
          <w:rFonts w:hint="eastAsia" w:cs="Arial"/>
          <w:color w:val="000000" w:themeColor="text1"/>
          <w:sz w:val="28"/>
          <w:szCs w:val="28"/>
          <w:lang w:val="en-US" w:eastAsia="zh-CN"/>
          <w14:textFill>
            <w14:solidFill>
              <w14:schemeClr w14:val="tx1"/>
            </w14:solidFill>
          </w14:textFill>
        </w:rPr>
      </w:pPr>
      <w:r>
        <w:rPr>
          <w:rFonts w:hint="eastAsia" w:cs="Arial"/>
          <w:color w:val="000000" w:themeColor="text1"/>
          <w:sz w:val="28"/>
          <w:szCs w:val="28"/>
          <w:lang w:val="en-US" w:eastAsia="zh-CN"/>
          <w14:textFill>
            <w14:solidFill>
              <w14:schemeClr w14:val="tx1"/>
            </w14:solidFill>
          </w14:textFill>
        </w:rPr>
        <w:t>烟气</w:t>
      </w:r>
      <w:bookmarkStart w:id="58" w:name="_Toc366438843"/>
      <w:bookmarkStart w:id="59" w:name="_Toc447782516"/>
      <w:bookmarkStart w:id="60" w:name="_Toc397326901"/>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Arial"/>
          <w:b w:val="0"/>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Arial"/>
          <w:b w:val="0"/>
          <w:color w:val="000000" w:themeColor="text1"/>
          <w:kern w:val="2"/>
          <w:sz w:val="28"/>
          <w:szCs w:val="28"/>
          <w:lang w:val="en-US" w:eastAsia="zh-CN" w:bidi="ar-SA"/>
          <w14:textFill>
            <w14:solidFill>
              <w14:schemeClr w14:val="tx1"/>
            </w14:solidFill>
          </w14:textFill>
        </w:rPr>
        <w:t>烟气具有高温特点，因密封不严泄漏或保护层破损可导致人员灼伤。另外，烟道气中的有害物质可以使操作人员中毒和窒息。</w:t>
      </w:r>
    </w:p>
    <w:p>
      <w:pPr>
        <w:pStyle w:val="4"/>
        <w:adjustRightInd w:val="0"/>
        <w:snapToGrid w:val="0"/>
        <w:spacing w:before="0" w:after="0" w:line="360" w:lineRule="auto"/>
        <w:rPr>
          <w:color w:val="auto"/>
        </w:rPr>
      </w:pPr>
      <w:bookmarkStart w:id="61" w:name="_Toc3325"/>
      <w:r>
        <w:rPr>
          <w:rFonts w:hint="eastAsia" w:ascii="Times New Roman" w:hAnsi="Times New Roman"/>
          <w:b w:val="0"/>
          <w:bCs/>
          <w:color w:val="auto"/>
          <w:szCs w:val="32"/>
        </w:rPr>
        <w:t>3.2 主要</w:t>
      </w:r>
      <w:r>
        <w:rPr>
          <w:rFonts w:hint="eastAsia" w:ascii="Times New Roman" w:hAnsi="Times New Roman"/>
          <w:b w:val="0"/>
          <w:bCs/>
          <w:color w:val="auto"/>
          <w:szCs w:val="32"/>
          <w:lang w:val="en-US" w:eastAsia="zh-CN"/>
        </w:rPr>
        <w:t>作业流程</w:t>
      </w:r>
      <w:r>
        <w:rPr>
          <w:rFonts w:hint="eastAsia" w:ascii="Times New Roman" w:hAnsi="Times New Roman"/>
          <w:b w:val="0"/>
          <w:bCs/>
          <w:color w:val="auto"/>
          <w:szCs w:val="32"/>
        </w:rPr>
        <w:t>危险性分析</w:t>
      </w:r>
      <w:bookmarkEnd w:id="58"/>
      <w:bookmarkEnd w:id="59"/>
      <w:bookmarkEnd w:id="60"/>
      <w:bookmarkEnd w:id="61"/>
    </w:p>
    <w:p>
      <w:pPr>
        <w:keepNext w:val="0"/>
        <w:keepLines w:val="0"/>
        <w:pageBreakBefore w:val="0"/>
        <w:widowControl w:val="0"/>
        <w:wordWrap/>
        <w:bidi w:val="0"/>
        <w:adjustRightInd w:val="0"/>
        <w:snapToGrid w:val="0"/>
        <w:spacing w:line="360" w:lineRule="auto"/>
        <w:outlineLvl w:val="2"/>
        <w:rPr>
          <w:highlight w:val="none"/>
        </w:rPr>
      </w:pPr>
      <w:r>
        <w:rPr>
          <w:rFonts w:hint="eastAsia" w:eastAsia="黑体"/>
          <w:bCs/>
          <w:snapToGrid w:val="0"/>
          <w:color w:val="000000" w:themeColor="text1"/>
          <w:kern w:val="0"/>
          <w:sz w:val="28"/>
          <w:szCs w:val="28"/>
          <w:highlight w:val="none"/>
          <w:lang w:val="en-US" w:eastAsia="zh-CN"/>
          <w14:textFill>
            <w14:solidFill>
              <w14:schemeClr w14:val="tx1"/>
            </w14:solidFill>
          </w14:textFill>
        </w:rPr>
        <w:t>3.2.1注高干度复合气作业流程危险性分析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eastAsia"/>
          <w:sz w:val="28"/>
          <w:szCs w:val="28"/>
          <w:lang w:val="en-US" w:eastAsia="zh-CN"/>
        </w:rPr>
      </w:pPr>
      <w:r>
        <w:rPr>
          <w:rFonts w:hint="eastAsia"/>
          <w:sz w:val="28"/>
          <w:szCs w:val="28"/>
          <w:lang w:val="en-US" w:eastAsia="zh-CN"/>
        </w:rPr>
        <w:t>复合发生器燃料为柴油，有热负荷波动较大，连续运行的特点， 如果不按规范操作，会造成爆管跑油，引起火灾爆炸。因安全附件失效，可能导致复合发生器爆炸。另外，如果复合发生器在点火前没有按规定进行炉膛吹扫，或由于突发原因熄火，在点火时没有吹扫，可能发生爆炸事故。复合发生器本体，管道、设备表面温度较高。如果设备外部未保温或保温层损坏，人员触及这些裸露的部位可能导致灼烫。因高温工作介质（蒸汽、高干度复合气）泄漏，可能导致灼烫。</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eastAsia"/>
          <w:sz w:val="28"/>
          <w:szCs w:val="28"/>
          <w:lang w:val="en-US" w:eastAsia="zh-CN"/>
        </w:rPr>
      </w:pPr>
      <w:r>
        <w:rPr>
          <w:rFonts w:hint="eastAsia"/>
          <w:sz w:val="28"/>
          <w:szCs w:val="28"/>
          <w:lang w:val="en-US" w:eastAsia="zh-CN"/>
        </w:rPr>
        <w:t>该系统中，包含燃料供给、配风子系统，有供油泵、空压机等转动设备，如果转动部位未设置防护罩或防护失效，现场操作人员一旦触及这些部位，会受到机械伤害。复合发生器、空压机运行过程中，会产生噪声，长期处在高噪声环境，对人体健康造成伤害。</w:t>
      </w:r>
    </w:p>
    <w:p>
      <w:pPr>
        <w:keepNext/>
        <w:keepLines/>
        <w:adjustRightInd w:val="0"/>
        <w:snapToGrid w:val="0"/>
        <w:spacing w:line="360" w:lineRule="auto"/>
        <w:outlineLvl w:val="2"/>
        <w:rPr>
          <w:rFonts w:hint="eastAsia"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3.2.2注汽作业流程危险性分析</w:t>
      </w:r>
    </w:p>
    <w:p>
      <w:pPr>
        <w:keepNext w:val="0"/>
        <w:keepLines w:val="0"/>
        <w:pageBreakBefore w:val="0"/>
        <w:widowControl w:val="0"/>
        <w:wordWrap/>
        <w:bidi w:val="0"/>
        <w:adjustRightInd w:val="0"/>
        <w:snapToGrid w:val="0"/>
        <w:spacing w:line="360" w:lineRule="auto"/>
        <w:ind w:firstLine="560" w:firstLineChars="200"/>
        <w:rPr>
          <w:rFonts w:hint="eastAsia"/>
          <w:color w:val="000000" w:themeColor="text1"/>
          <w:sz w:val="28"/>
          <w:szCs w:val="28"/>
          <w:lang w:eastAsia="zh-CN"/>
          <w14:textFill>
            <w14:solidFill>
              <w14:schemeClr w14:val="tx1"/>
            </w14:solidFill>
          </w14:textFill>
        </w:rPr>
      </w:pPr>
      <w:r>
        <w:rPr>
          <w:rFonts w:hint="eastAsia"/>
          <w:color w:val="000000" w:themeColor="text1"/>
          <w:sz w:val="28"/>
          <w:szCs w:val="28"/>
          <w:lang w:eastAsia="zh-CN"/>
          <w14:textFill>
            <w14:solidFill>
              <w14:schemeClr w14:val="tx1"/>
            </w14:solidFill>
          </w14:textFill>
        </w:rPr>
        <w:t>锅炉给水水质不合格，引起炉管结垢，结垢太厚易造成炉管过热烧损而爆管；自行脱落的水垢还可以造成炉管堵塞，从而引起爆管事故。水质不合格，给水碱度大、杂质多以及未加强排污时，炉水表面层含盐量往往非常高，蒸发面泡沫越来越多，锅水粘度很大，气泡上升阻力增加。在负荷增加，汽化加剧时，大量汽泡由于在炉水表面没有很快汽水分离而积聚在炉水表面，冲击蒸发面，搅动泡沫层，是水位上下剧烈波动和翻腾。在水位过高，主汽阀开启速度太快、负荷突然增加时，由于蒸汽空间压力骤降，使汽化更加剧烈，蒸汽空间暂时的负压往往产生</w:t>
      </w:r>
      <w:r>
        <w:rPr>
          <w:rFonts w:hint="eastAsia" w:ascii="宋体" w:hAnsi="宋体" w:eastAsia="宋体" w:cs="宋体"/>
          <w:color w:val="000000" w:themeColor="text1"/>
          <w:sz w:val="28"/>
          <w:szCs w:val="28"/>
          <w:lang w:eastAsia="zh-CN"/>
          <w14:textFill>
            <w14:solidFill>
              <w14:schemeClr w14:val="tx1"/>
            </w14:solidFill>
          </w14:textFill>
        </w:rPr>
        <w:t>“吊水</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color w:val="000000" w:themeColor="text1"/>
          <w:sz w:val="28"/>
          <w:szCs w:val="28"/>
          <w:lang w:eastAsia="zh-CN"/>
          <w14:textFill>
            <w14:solidFill>
              <w14:schemeClr w14:val="tx1"/>
            </w14:solidFill>
          </w14:textFill>
        </w:rPr>
        <w:t>现象，促使和加剧汽水共腾。</w:t>
      </w:r>
    </w:p>
    <w:p>
      <w:pPr>
        <w:keepNext w:val="0"/>
        <w:keepLines w:val="0"/>
        <w:pageBreakBefore w:val="0"/>
        <w:widowControl w:val="0"/>
        <w:wordWrap/>
        <w:bidi w:val="0"/>
        <w:adjustRightInd w:val="0"/>
        <w:snapToGrid w:val="0"/>
        <w:spacing w:line="360" w:lineRule="auto"/>
        <w:ind w:firstLine="560" w:firstLineChars="200"/>
        <w:rPr>
          <w:rFonts w:hint="eastAsia"/>
          <w:color w:val="000000" w:themeColor="text1"/>
          <w:sz w:val="28"/>
          <w:szCs w:val="28"/>
          <w:lang w:eastAsia="zh-CN"/>
          <w14:textFill>
            <w14:solidFill>
              <w14:schemeClr w14:val="tx1"/>
            </w14:solidFill>
          </w14:textFill>
        </w:rPr>
      </w:pPr>
      <w:r>
        <w:rPr>
          <w:rFonts w:hint="eastAsia"/>
          <w:color w:val="000000" w:themeColor="text1"/>
          <w:sz w:val="28"/>
          <w:szCs w:val="28"/>
          <w:lang w:eastAsia="zh-CN"/>
          <w14:textFill>
            <w14:solidFill>
              <w14:schemeClr w14:val="tx1"/>
            </w14:solidFill>
          </w14:textFill>
        </w:rPr>
        <w:t>结垢堵塞或操作失误、蓄水</w:t>
      </w:r>
      <w:r>
        <w:rPr>
          <w:rFonts w:hint="eastAsia"/>
          <w:color w:val="000000" w:themeColor="text1"/>
          <w:sz w:val="28"/>
          <w:szCs w:val="28"/>
          <w:lang w:val="en-US" w:eastAsia="zh-CN"/>
          <w14:textFill>
            <w14:solidFill>
              <w14:schemeClr w14:val="tx1"/>
            </w14:solidFill>
          </w14:textFill>
        </w:rPr>
        <w:t>箱</w:t>
      </w:r>
      <w:r>
        <w:rPr>
          <w:rFonts w:hint="eastAsia"/>
          <w:color w:val="000000" w:themeColor="text1"/>
          <w:sz w:val="28"/>
          <w:szCs w:val="28"/>
          <w:lang w:eastAsia="zh-CN"/>
          <w14:textFill>
            <w14:solidFill>
              <w14:schemeClr w14:val="tx1"/>
            </w14:solidFill>
          </w14:textFill>
        </w:rPr>
        <w:t>蓄水不足或水位无人监视或运行人员不注意观察水位；水位表未按要求及时冲洗，汽水连管堵塞，运行人员又未及时发现假水位或未判断出是假水位；给水自动调节器和水位警报信号装置失灵，或水源中断、给水设备损坏；排污阀严重渗漏及其它部位严重漏水；排污时误操作：排污时间太长，运行人员未认真监视水位，排污后忘关排污阀等导致缺水事故。锅炉缺水事故是常见的事故。严重缺水事故所造成的危害往往是很大的。轻者引起大面积受热面过热变形，胀口渗漏，炉膛顶墙、隔墙塌落损坏，过热蒸汽温度过高损坏汽轮机等；重者引起爆管，胀管脱落，大量汽水、火焰喷出伤人；最严重的是处理不当引起锅炉爆炸事故。</w:t>
      </w:r>
    </w:p>
    <w:p>
      <w:pPr>
        <w:keepNext w:val="0"/>
        <w:keepLines w:val="0"/>
        <w:pageBreakBefore w:val="0"/>
        <w:widowControl w:val="0"/>
        <w:wordWrap/>
        <w:bidi w:val="0"/>
        <w:adjustRightInd w:val="0"/>
        <w:snapToGrid w:val="0"/>
        <w:spacing w:line="360" w:lineRule="auto"/>
        <w:ind w:firstLine="560" w:firstLineChars="200"/>
        <w:rPr>
          <w:rFonts w:hint="eastAsia"/>
          <w:color w:val="000000" w:themeColor="text1"/>
          <w:sz w:val="28"/>
          <w:szCs w:val="28"/>
          <w:lang w:eastAsia="zh-CN"/>
          <w14:textFill>
            <w14:solidFill>
              <w14:schemeClr w14:val="tx1"/>
            </w14:solidFill>
          </w14:textFill>
        </w:rPr>
      </w:pPr>
      <w:r>
        <w:rPr>
          <w:rFonts w:hint="eastAsia"/>
          <w:color w:val="000000" w:themeColor="text1"/>
          <w:sz w:val="28"/>
          <w:szCs w:val="28"/>
          <w:lang w:eastAsia="zh-CN"/>
          <w14:textFill>
            <w14:solidFill>
              <w14:schemeClr w14:val="tx1"/>
            </w14:solidFill>
          </w14:textFill>
        </w:rPr>
        <w:t>运行人员对水位监视不够；水位表堵塞造成假水位；高水位警报信号装置、给水自动调节设备失灵可造成锅炉满水事故。严重满水事故会引起蒸汽管道水冲击，使阀门、法兰和蒸汽管受到损坏甚至振裂，将严重损坏汽轮机的叶轮和轴承，甚至使叶片断裂，锅炉发生满水事故后，蒸汽带水严重，蒸汽品质恶化，过热器易积盐垢过热烧损。</w:t>
      </w:r>
    </w:p>
    <w:p>
      <w:pPr>
        <w:keepNext w:val="0"/>
        <w:keepLines w:val="0"/>
        <w:pageBreakBefore w:val="0"/>
        <w:widowControl w:val="0"/>
        <w:wordWrap/>
        <w:bidi w:val="0"/>
        <w:adjustRightInd w:val="0"/>
        <w:snapToGrid w:val="0"/>
        <w:spacing w:line="360" w:lineRule="auto"/>
        <w:ind w:firstLine="560" w:firstLineChars="200"/>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eastAsia="zh-CN"/>
          <w14:textFill>
            <w14:solidFill>
              <w14:schemeClr w14:val="tx1"/>
            </w14:solidFill>
          </w14:textFill>
        </w:rPr>
        <w:t>锅炉所用燃料为天然气，点炉时，若未置换或置换不合格，可引起炉膛爆炸。蒸汽的温度为</w:t>
      </w:r>
      <w:r>
        <w:rPr>
          <w:rFonts w:hint="eastAsia"/>
          <w:color w:val="000000" w:themeColor="text1"/>
          <w:sz w:val="28"/>
          <w:szCs w:val="28"/>
          <w:lang w:val="en-US" w:eastAsia="zh-CN"/>
          <w14:textFill>
            <w14:solidFill>
              <w14:schemeClr w14:val="tx1"/>
            </w14:solidFill>
          </w14:textFill>
        </w:rPr>
        <w:t>300</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输送压力可达21MPa，若输汽管线泄漏，高温高压蒸汽可造成人员灼烫或刺伤；若高温设备、设施未用保温材料有效覆盖，裸露的高温部位可导致人员烫伤。燃气管线泄漏，遇点火源或高温表面、非防爆电器设备，可引起火灾爆炸事故。</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3.2.3临时用电作业危险性分析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rPr>
        <w:t>施工现场需要临时用电，若电气设备安装、使用不合理，缺少保护装置，操作人员违章操作等原因，极易造成触电事故。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rPr>
        <w:t>跨越安全围栏或超越安全警戒线，工作人员误碰带电设备，以及在带电设备附近使用钢卷尺等进行测量或携带金属超高物体在带电设备下行走可能造成触电事故。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rPr>
        <w:t>施工现场混乱，造成电气设备安全设施不健全或损坏漏电，绝缘保护层破损或保护接地失效等，如未能及时发现并整改，可能造成触电或电气火灾事故。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4.</w:t>
      </w:r>
      <w:r>
        <w:rPr>
          <w:rFonts w:hint="default" w:ascii="Times New Roman" w:hAnsi="Times New Roman" w:eastAsia="宋体" w:cs="Times New Roman"/>
          <w:sz w:val="28"/>
          <w:szCs w:val="28"/>
        </w:rPr>
        <w:t>电线裸露、乱拉、乱扯电线、湿手触动电器开关设备、绝缘胶鞋破损透水或用湿物去接触电器设备，有引发触电事故的可能性。</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5.</w:t>
      </w:r>
      <w:r>
        <w:rPr>
          <w:rFonts w:hint="default" w:ascii="Times New Roman" w:hAnsi="Times New Roman" w:eastAsia="宋体" w:cs="Times New Roman"/>
          <w:sz w:val="28"/>
          <w:szCs w:val="28"/>
        </w:rPr>
        <w:t>在带电设备附近进行作业，不符合安全距离或无监护措施，缺少安全标志或标志不明显等可能引发触电事故的发生。</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eastAsia" w:eastAsia="黑体"/>
          <w:bCs/>
          <w:snapToGrid w:val="0"/>
          <w:color w:val="000000" w:themeColor="text1"/>
          <w:kern w:val="0"/>
          <w:szCs w:val="28"/>
          <w:lang w:val="en-US" w:eastAsia="zh-CN"/>
          <w14:textFill>
            <w14:solidFill>
              <w14:schemeClr w14:val="tx1"/>
            </w14:solidFill>
          </w14:textFill>
        </w:rPr>
      </w:pPr>
      <w:r>
        <w:rPr>
          <w:rFonts w:hint="default" w:ascii="Times New Roman" w:hAnsi="Times New Roman" w:eastAsia="黑体" w:cs="Times New Roman"/>
          <w:sz w:val="28"/>
          <w:szCs w:val="28"/>
          <w:lang w:val="en-US" w:eastAsia="zh-CN"/>
        </w:rPr>
        <w:t>3.2.4吊装作业过程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eastAsia" w:ascii="宋体" w:hAnsi="宋体" w:eastAsia="宋体" w:cs="宋体"/>
          <w:bCs/>
          <w:snapToGrid w:val="0"/>
          <w:color w:val="000000" w:themeColor="text1"/>
          <w:kern w:val="0"/>
          <w:sz w:val="28"/>
          <w:szCs w:val="28"/>
          <w:lang w:val="en-US" w:eastAsia="zh-CN"/>
          <w14:textFill>
            <w14:solidFill>
              <w14:schemeClr w14:val="tx1"/>
            </w14:solidFill>
          </w14:textFill>
        </w:rPr>
        <w:t>在施工前或施工完毕后，需要对设备设施、板房等进行吊装作业，在吊装时，由于使用的吊具吊运超过额定起重量的吊物而导致吊物下落或安全绳断裂、脱钩致吊物坠落，均可造成人身伤害或设备设施损坏。</w:t>
      </w:r>
      <w:r>
        <w:rPr>
          <w:rFonts w:hint="default" w:ascii="Times New Roman" w:hAnsi="Times New Roman" w:eastAsia="宋体" w:cs="Times New Roman"/>
          <w:sz w:val="28"/>
          <w:szCs w:val="28"/>
        </w:rPr>
        <w:t>因违章作业、</w:t>
      </w:r>
      <w:r>
        <w:rPr>
          <w:rFonts w:hint="eastAsia" w:ascii="Times New Roman" w:hAnsi="Times New Roman" w:eastAsia="宋体" w:cs="Times New Roman"/>
          <w:sz w:val="28"/>
          <w:szCs w:val="28"/>
          <w:lang w:eastAsia="zh-CN"/>
        </w:rPr>
        <w:t>违章指挥、</w:t>
      </w:r>
      <w:r>
        <w:rPr>
          <w:rFonts w:hint="default" w:ascii="Times New Roman" w:hAnsi="Times New Roman" w:eastAsia="宋体" w:cs="Times New Roman"/>
          <w:sz w:val="28"/>
          <w:szCs w:val="28"/>
        </w:rPr>
        <w:t>起重设备的安全装置及保护措施失灵、吊物捆扎不牢固或作业时吊物</w:t>
      </w:r>
      <w:r>
        <w:rPr>
          <w:rFonts w:hint="eastAsia" w:ascii="Times New Roman" w:hAnsi="Times New Roman" w:eastAsia="宋体" w:cs="Times New Roman"/>
          <w:sz w:val="28"/>
          <w:szCs w:val="28"/>
          <w:lang w:eastAsia="zh-CN"/>
        </w:rPr>
        <w:t>、吊臂</w:t>
      </w:r>
      <w:r>
        <w:rPr>
          <w:rFonts w:hint="default" w:ascii="Times New Roman" w:hAnsi="Times New Roman" w:eastAsia="宋体" w:cs="Times New Roman"/>
          <w:sz w:val="28"/>
          <w:szCs w:val="28"/>
        </w:rPr>
        <w:t>下有人等情况，易发生起重伤害事故。汽车起重机作业场所地面不平整、支撑不稳定、配重不平衡、重物超过额定起重量而造成起重机倾覆</w:t>
      </w:r>
      <w:r>
        <w:rPr>
          <w:rFonts w:hint="eastAsia" w:ascii="Times New Roman" w:hAnsi="Times New Roman" w:eastAsia="宋体" w:cs="Times New Roman"/>
          <w:sz w:val="28"/>
          <w:szCs w:val="28"/>
          <w:lang w:eastAsia="zh-CN"/>
        </w:rPr>
        <w:t>；风力过大、违章作业也可造成起重机倾覆。</w:t>
      </w:r>
    </w:p>
    <w:p>
      <w:pPr>
        <w:keepNext/>
        <w:keepLines/>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3.2.5设备搬迁过程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szCs w:val="28"/>
        </w:rPr>
      </w:pPr>
      <w:r>
        <w:rPr>
          <w:rFonts w:hint="eastAsia"/>
          <w:sz w:val="28"/>
          <w:szCs w:val="28"/>
        </w:rPr>
        <w:t>车辆运输过程中，驾驶员可因道路路况不熟，精力不集中，操作失误等原因，造成道路交通事故。到井场后，受场地限制、车辆故障、驾驶员操作失误、现场作业人员误入视线盲区等，可造成人员伤害或设备损坏等车辆伤害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eastAsia="zh-CN"/>
        </w:rPr>
        <w:t>作业前或</w:t>
      </w:r>
      <w:r>
        <w:rPr>
          <w:rFonts w:hint="eastAsia"/>
          <w:sz w:val="28"/>
          <w:szCs w:val="28"/>
        </w:rPr>
        <w:t>施工完毕后，</w:t>
      </w:r>
      <w:r>
        <w:rPr>
          <w:rFonts w:hint="eastAsia"/>
          <w:sz w:val="28"/>
          <w:szCs w:val="28"/>
          <w:lang w:eastAsia="zh-CN"/>
        </w:rPr>
        <w:t>安装和</w:t>
      </w:r>
      <w:r>
        <w:rPr>
          <w:rFonts w:hint="eastAsia"/>
          <w:sz w:val="28"/>
          <w:szCs w:val="28"/>
        </w:rPr>
        <w:t>拆卸设备及管线时，可因用力过猛，配合不当，造成人员伤害</w:t>
      </w:r>
      <w:r>
        <w:rPr>
          <w:rFonts w:hint="eastAsia"/>
          <w:sz w:val="28"/>
          <w:szCs w:val="28"/>
          <w:lang w:eastAsia="zh-CN"/>
        </w:rPr>
        <w:t>，人员抬管线时，可能因为手滑、绊倒等原因，发生管线砸伤人员的事故</w:t>
      </w:r>
      <w:r>
        <w:rPr>
          <w:rFonts w:hint="eastAsia"/>
          <w:sz w:val="28"/>
          <w:szCs w:val="28"/>
        </w:rPr>
        <w:t>。</w:t>
      </w:r>
    </w:p>
    <w:p>
      <w:pPr>
        <w:keepNext/>
        <w:keepLines/>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3.2.6交叉作业过程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交叉作业指两个以上生产经营单位在同一作业区域内进行生产经营活动。包括平面交叉作业和立体交叉作业。因作业空间受限制， 人员多，工序多，机械设备复杂，联络不畅等，所以作业干扰多，需要配合、协调的作业多，现场的隐患多，造成的后果严重。可能发生高处坠落、物体打击、机械伤害、车辆伤害、触电、火灾等。</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双方在同一作业区域进行起重吊装时，指派专业人员统一指挥，作业人员与吊物保持有效的安全距离。索具与吊物应捆绑牢固、采取防滑措施，吊钩应有安全装置。与起重作业无关的人员不准进入作业现场， 确认吊物下方及吊物行走路线范围无人员及障碍物</w:t>
      </w:r>
      <w:r>
        <w:rPr>
          <w:rFonts w:hint="default" w:ascii="Times New Roman" w:hAnsi="Times New Roman" w:cs="Times New Roman" w:eastAsiaTheme="minorEastAsia"/>
          <w:sz w:val="28"/>
          <w:szCs w:val="28"/>
          <w:lang w:eastAsia="zh-CN"/>
        </w:rPr>
        <w:t>，</w:t>
      </w:r>
      <w:r>
        <w:rPr>
          <w:rFonts w:hint="default" w:ascii="Times New Roman" w:hAnsi="Times New Roman" w:cs="Times New Roman" w:eastAsiaTheme="minorEastAsia"/>
          <w:sz w:val="28"/>
          <w:szCs w:val="28"/>
        </w:rPr>
        <w:t>方可起吊。</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同一区域生产检修用电，应各自安装用电线路，做好接地和漏电</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保护措施，防止触电事故的发生。各方必须做好用电线路隔离和绝缘工作，互不干扰。同时，应经常对用电设备和线路进行检查维护，发现问题及时处理。</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kern w:val="0"/>
        </w:rPr>
      </w:pPr>
      <w:r>
        <w:rPr>
          <w:rFonts w:hint="default" w:ascii="Times New Roman" w:hAnsi="Times New Roman" w:cs="Times New Roman" w:eastAsiaTheme="minorEastAsia"/>
          <w:sz w:val="28"/>
          <w:szCs w:val="28"/>
        </w:rPr>
        <w:t>注高干度复合气过程中存在交叉作业，相关方之间应签订安全协议， 明确责任，避免交叉作业中出现的安全事故。另外施工过程可能会对在用设施产生影响，如果距离过近，应对在用设施加以保护。</w:t>
      </w:r>
    </w:p>
    <w:p>
      <w:pPr>
        <w:pStyle w:val="4"/>
        <w:adjustRightInd w:val="0"/>
        <w:snapToGrid w:val="0"/>
        <w:spacing w:before="0" w:after="0" w:line="360" w:lineRule="auto"/>
        <w:rPr>
          <w:color w:val="auto"/>
        </w:rPr>
      </w:pPr>
      <w:bookmarkStart w:id="62" w:name="_Toc19757"/>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3</w:t>
      </w:r>
      <w:r>
        <w:rPr>
          <w:rFonts w:hint="eastAsia" w:ascii="Times New Roman" w:hAnsi="Times New Roman"/>
          <w:b w:val="0"/>
          <w:bCs/>
          <w:color w:val="auto"/>
          <w:szCs w:val="32"/>
        </w:rPr>
        <w:t xml:space="preserve"> 主要设备</w:t>
      </w:r>
      <w:r>
        <w:rPr>
          <w:rFonts w:hint="eastAsia" w:ascii="Times New Roman" w:hAnsi="Times New Roman"/>
          <w:b w:val="0"/>
          <w:bCs/>
          <w:color w:val="auto"/>
          <w:szCs w:val="32"/>
          <w:lang w:val="en-US" w:eastAsia="zh-CN"/>
        </w:rPr>
        <w:t>设施</w:t>
      </w:r>
      <w:r>
        <w:rPr>
          <w:rFonts w:hint="eastAsia" w:ascii="Times New Roman" w:hAnsi="Times New Roman"/>
          <w:b w:val="0"/>
          <w:bCs/>
          <w:color w:val="auto"/>
          <w:szCs w:val="32"/>
        </w:rPr>
        <w:t>危险性分析</w:t>
      </w:r>
      <w:bookmarkEnd w:id="62"/>
    </w:p>
    <w:p>
      <w:pPr>
        <w:keepNext/>
        <w:keepLines/>
        <w:adjustRightInd w:val="0"/>
        <w:snapToGrid w:val="0"/>
        <w:spacing w:line="360" w:lineRule="auto"/>
        <w:outlineLvl w:val="2"/>
        <w:rPr>
          <w:rFonts w:hint="eastAsia"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3.3.1锅炉</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sz w:val="28"/>
        </w:rPr>
      </w:pPr>
      <w:r>
        <w:rPr>
          <w:rFonts w:hint="eastAsia" w:ascii="宋体" w:hAnsi="宋体"/>
          <w:sz w:val="28"/>
        </w:rPr>
        <w:t>锅炉若存在</w:t>
      </w:r>
      <w:r>
        <w:rPr>
          <w:rFonts w:ascii="宋体" w:hAnsi="宋体"/>
          <w:sz w:val="28"/>
        </w:rPr>
        <w:t>设计、制造或施工质量缺陷；</w:t>
      </w:r>
      <w:r>
        <w:rPr>
          <w:rFonts w:hint="eastAsia" w:ascii="宋体" w:hAnsi="宋体"/>
          <w:sz w:val="28"/>
        </w:rPr>
        <w:t>超温、</w:t>
      </w:r>
      <w:r>
        <w:rPr>
          <w:rFonts w:ascii="宋体" w:hAnsi="宋体"/>
          <w:sz w:val="28"/>
        </w:rPr>
        <w:t>腐蚀或疲劳致材料强度降低；系统超压而安全泄压保护设施失效</w:t>
      </w:r>
      <w:r>
        <w:rPr>
          <w:rFonts w:hint="eastAsia" w:ascii="宋体" w:hAnsi="宋体"/>
          <w:kern w:val="0"/>
          <w:sz w:val="28"/>
          <w:szCs w:val="20"/>
          <w:lang w:val="zh-CN"/>
        </w:rPr>
        <w:t>等，</w:t>
      </w:r>
      <w:r>
        <w:rPr>
          <w:rFonts w:hint="eastAsia" w:ascii="宋体" w:hAnsi="宋体"/>
          <w:sz w:val="28"/>
        </w:rPr>
        <w:t>当系统压力超过容器、管线、管件的强度极限时，可发生设备开裂和容器爆炸的危险。伴随着开裂、爆炸，大量高温水和蒸汽外溢，</w:t>
      </w:r>
      <w:r>
        <w:rPr>
          <w:rFonts w:hint="eastAsia" w:ascii="宋体" w:hAnsi="宋体"/>
          <w:kern w:val="0"/>
          <w:sz w:val="28"/>
        </w:rPr>
        <w:t>可造成人员烫伤。</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新装、大修或长期停用的锅炉，若使用前未烘炉，其炉膛和烟道的墙壁非常潮湿，一旦骤然接触高温烟气，将会产生裂纹、变形，甚至发生倒塌事故；若使用前未煮炉，蒸发面中存有铁锈、油污和其他污物，易腐蚀受热面，降低锅炉水和蒸汽品质。若蒸汽管道使用前未暖管，突然向冷态或较低温度的管道中供入蒸汽，会因热应力过大而损坏管道、阀门等部件，管道中的冷凝水未被驱出，易发生水击事故。</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安全阀设计安装不合理、失灵、与设备主体连接松动，甚至脱落时，当锅炉内的压力失控时，安全阀不能打开，将产生爆炸事故；安全阀排放出口安装朝向人员行走的部位时，在安全阀动作时，将造成人身伤害；其他安全附件如压力表、液位计、保护装置等设计安装不合理、失灵、损坏等未及时检修或未被发现时，会影响到系统的正常运行，若工艺指标失控，出现超温、超压，则会导致锅炉损坏、锅炉爆炸和人员伤亡等。</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运行人员疏忽，或水位报警器及给水自动调节器失灵而又未及时发现等，易造成锅炉满水事故。运行人员疏忽；或水位报警器及给水自动调节器失灵而又未及时发现；给水设备或给水管故障，无法给水或水量不足；运行人员排污后忘记关排污阀或者排污阀泄漏等易造成锅炉缺水事故。若锅炉给水流量小于蒸汽流量，汽包水位低于正常水位，蒸汽流量减少，过热蒸汽温度升高，可导致过热器超温变形甚至损坏；若严重缺水可导致炉管烧坏，造成严重设备损坏；处理不当时甚至导致锅炉爆炸事故。因速度突然变化导致压力突然变化，形成压力波并沿管道传播而发生水击事故。发生水击时，管道承受的压力骤然升高，发生猛烈振动并发出巨大声响，常造成管道、法兰、阀门等损坏。</w:t>
      </w:r>
    </w:p>
    <w:p>
      <w:pPr>
        <w:keepNext/>
        <w:keepLines/>
        <w:adjustRightInd w:val="0"/>
        <w:snapToGrid w:val="0"/>
        <w:spacing w:line="360" w:lineRule="auto"/>
        <w:outlineLvl w:val="2"/>
        <w:rPr>
          <w:rFonts w:hint="eastAsia"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3.3.2水处理设备</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水处理设备损坏，可导致水质不合格，导致锅炉事故。储水箱内存满水，人员不慎坠入，可发生淹溺事故。</w:t>
      </w:r>
    </w:p>
    <w:p>
      <w:pPr>
        <w:keepNext/>
        <w:keepLines/>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3.3.3复合发生器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（1）火灾爆炸</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复合发生器燃料为柴油，有热负荷波动较大，连续运行的特点， 如果不按规范操作，会造成爆管跑油，引起火灾爆炸。</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（2）复合发生器爆炸</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因安全附件失效，可能导致复合发生器爆炸。另外，如果复合发生器在点火前没有按规定进行炉膛吹扫，或由于突发原因熄火，在点火时没有吹扫，可能发生加爆炸事故。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（3）灼烫</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复合发生器本体，管道、设备表面温度较高。如果设备外部未保温或保温层损坏，人员触及这些裸露的部位可能导致灼烫。</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因高温工作介质（蒸汽、高干度复合气）泄漏，可能导致灼烫。</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（4）机械伤害</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该系统中，包含燃料供给、配风子系统，有供油泵、压风机等转动设备，如果转动部位未设置防护罩或防护失效，现场操作人员一旦触及这些部位，会受到机械伤害。</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（5）触电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因以下原因导致触电: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①线路老化、磨损；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②违章操作（如未确认是否有人检修而合闸，非电工人员操作电气设备）；</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③未装漏电保护设施；</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④用电设施接地不良</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（6）其它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复合发生器运行过程中，配风设备、供燃料设备和燃烧设备会产生噪声，长期处在高噪声环境，对人体健康造成伤害。</w:t>
      </w:r>
    </w:p>
    <w:p>
      <w:pPr>
        <w:keepNext/>
        <w:keepLines/>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3.3.4压力容器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空气压缩机的</w:t>
      </w:r>
      <w:r>
        <w:rPr>
          <w:rFonts w:hint="eastAsia" w:ascii="Times New Roman" w:hAnsi="Times New Roman" w:eastAsia="宋体" w:cs="Times New Roman"/>
          <w:sz w:val="28"/>
          <w:szCs w:val="28"/>
          <w:lang w:val="en-US" w:eastAsia="zh-CN"/>
        </w:rPr>
        <w:t>缓冲</w:t>
      </w:r>
      <w:r>
        <w:rPr>
          <w:rFonts w:hint="default" w:ascii="Times New Roman" w:hAnsi="Times New Roman" w:eastAsia="宋体" w:cs="Times New Roman"/>
          <w:sz w:val="28"/>
          <w:szCs w:val="28"/>
          <w:lang w:val="en-US" w:eastAsia="zh-CN"/>
        </w:rPr>
        <w:t>罐、油气分离器等设备为压力容器，如果操作压力较高，可能会由于内压异常升高，发生爆炸。一般压力容器爆炸事故是由于以下原因造成的：</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（1）安全附件失效：如压力表、安全阀等安全附件失效，无法对压力进行有效的监控，一旦操作压力超出安全范围，很可能发生容器爆炸事故。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（2）容器内部压力过高：如出气管道堵塞时会引起容器内压的升高。</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（3）操作人员缺乏必要的基本知识，违章操作。</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（4）压力容器、压力管道设计安装缺陷：如设备、管道本体质量差、用材不当、存在先天性制造质量缺陷（焊接裂缝和未焊透等）或安装过程中存在质量问题。</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（5）腐蚀：如压力容器、压力管道及其连接件、附件未定期开展检验，年久失修，将会出现腐蚀，导致强度不够、焊缝破损，导致管道承受不了内部的压力而发生爆炸。</w:t>
      </w:r>
    </w:p>
    <w:p>
      <w:pPr>
        <w:keepNext/>
        <w:keepLines/>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3.3.5柴油罐</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（1）火灾爆炸</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柴油罐由于常年腐蚀严重，罐壁减薄，安全附件失效，会造成原油泄漏，遇火源有发生火灾的可能性。柴油罐中的油液位较高，液位指示报警及控制系统失效，会造成油冒罐，遇火源也有发生火灾的危险。</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（2）高处坠落</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default" w:cs="Times New Roman"/>
          <w:sz w:val="28"/>
          <w:szCs w:val="28"/>
          <w:lang w:eastAsia="zh-CN"/>
        </w:rPr>
        <w:t>柴油</w:t>
      </w:r>
      <w:r>
        <w:rPr>
          <w:rFonts w:hint="default" w:ascii="Times New Roman" w:hAnsi="Times New Roman" w:eastAsia="宋体" w:cs="Times New Roman"/>
          <w:sz w:val="28"/>
          <w:szCs w:val="28"/>
          <w:lang w:val="en-US" w:eastAsia="zh-CN"/>
        </w:rPr>
        <w:t>罐的高度超过2m，在超过2m的工作梯或工作平台进行巡检、维护时，若平台损坏、围栏高度、强度不够，没有防滑措施、没有踢脚板等情况下都有高处坠落的危险。</w:t>
      </w:r>
    </w:p>
    <w:p>
      <w:pPr>
        <w:keepNext/>
        <w:keepLines/>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3.3.6工艺管道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钢质管道输送的介质是高干度复合气和蒸汽。输送过程中存在一定的压力和高温，正常情况下是在密闭的管线中输送，一旦发生泄漏等异常现象，发生灼烫事故或者高压流体、高压部件甩出伤人事故。并影响生产运行。造成管道泄漏的原因主要有：</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（1）设计误差：壁厚、材质、抗震设计、防腐层等设计不合理。</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（2）施工焊接缺陷：防腐层损伤、管线本体机械损伤、焊接质量不符合要求等。</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（3）操作与管理危险控制措施不充分：应急能力不足、操作规程不完善、工人技能低、违章指挥、违章操作、违章施工等。</w:t>
      </w:r>
    </w:p>
    <w:p>
      <w:pPr>
        <w:keepNext/>
        <w:keepLines/>
        <w:pageBreakBefore w:val="0"/>
        <w:widowControl w:val="0"/>
        <w:kinsoku/>
        <w:wordWrap/>
        <w:overflowPunct/>
        <w:topLinePunct w:val="0"/>
        <w:autoSpaceDE/>
        <w:autoSpaceDN/>
        <w:bidi w:val="0"/>
        <w:adjustRightInd w:val="0"/>
        <w:snapToGrid w:val="0"/>
        <w:spacing w:line="360" w:lineRule="auto"/>
        <w:textAlignment w:val="auto"/>
        <w:outlineLvl w:val="2"/>
        <w:rPr>
          <w:rFonts w:hint="eastAsia" w:eastAsia="黑体"/>
          <w:bCs/>
          <w:snapToGrid w:val="0"/>
          <w:color w:val="000000" w:themeColor="text1"/>
          <w:kern w:val="0"/>
          <w:sz w:val="28"/>
          <w:szCs w:val="28"/>
          <w:lang w:val="en-US" w:eastAsia="zh-CN"/>
          <w14:textFill>
            <w14:solidFill>
              <w14:schemeClr w14:val="tx1"/>
            </w14:solidFill>
          </w14:textFill>
        </w:rPr>
      </w:pPr>
      <w:r>
        <w:rPr>
          <w:rFonts w:hint="eastAsia" w:eastAsia="黑体"/>
          <w:bCs/>
          <w:snapToGrid w:val="0"/>
          <w:color w:val="000000" w:themeColor="text1"/>
          <w:kern w:val="0"/>
          <w:sz w:val="28"/>
          <w:szCs w:val="28"/>
          <w:lang w:val="en-US" w:eastAsia="zh-CN"/>
          <w14:textFill>
            <w14:solidFill>
              <w14:schemeClr w14:val="tx1"/>
            </w14:solidFill>
          </w14:textFill>
        </w:rPr>
        <w:t>3.3.7机泵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sz w:val="28"/>
        </w:rPr>
      </w:pPr>
      <w:r>
        <w:rPr>
          <w:rFonts w:hint="eastAsia" w:ascii="宋体" w:hAnsi="宋体"/>
          <w:sz w:val="28"/>
        </w:rPr>
        <w:t>本项目涉及的机泵类等机械运转设备，若其外露的运转部件无防护罩或防护罩缺损，维修、检查时违章操作，未断电或监护不力导致设备意外启动等，人触及运转部件有可能造成绞手、卷入等机械伤害事故；或正常运转过程中，人员未按规定将长发束起或未按规定穿戴工作服装等，触及运转部件有可能造成卷入等机械伤害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sz w:val="28"/>
        </w:rPr>
      </w:pPr>
      <w:r>
        <w:rPr>
          <w:rFonts w:hint="eastAsia" w:ascii="宋体" w:hAnsi="宋体"/>
          <w:sz w:val="28"/>
        </w:rPr>
        <w:t>机泵类是</w:t>
      </w:r>
      <w:r>
        <w:rPr>
          <w:rFonts w:hint="eastAsia" w:ascii="宋体" w:hAnsi="宋体"/>
          <w:sz w:val="28"/>
          <w:lang w:eastAsia="zh-CN"/>
        </w:rPr>
        <w:t>现场施工</w:t>
      </w:r>
      <w:r>
        <w:rPr>
          <w:rFonts w:hint="eastAsia" w:ascii="宋体" w:hAnsi="宋体"/>
          <w:sz w:val="28"/>
        </w:rPr>
        <w:t>的主要噪声源，对操作人员存在噪声危害。噪声危害主要是引起听觉功能敏感度下降，甚至耳聋，或引起神经衰弱、心血管病及消化系统等疾病的高发。另外，噪声干扰信息交流，使操作人员误操作发生率上升，影响安全生产。泵类运转时是噪声源，人员长期在此环境内工作，存在噪声的危害。</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宋体" w:hAnsi="宋体" w:eastAsia="宋体" w:cs="Times New Roman"/>
          <w:kern w:val="2"/>
          <w:szCs w:val="24"/>
          <w:lang w:val="en-US" w:eastAsia="zh-CN" w:bidi="ar-SA"/>
        </w:rPr>
      </w:pPr>
      <w:r>
        <w:rPr>
          <w:rFonts w:hint="default" w:ascii="Times New Roman" w:hAnsi="Times New Roman" w:eastAsia="宋体" w:cs="Times New Roman"/>
          <w:sz w:val="28"/>
          <w:szCs w:val="28"/>
          <w:lang w:val="en-US" w:eastAsia="zh-CN"/>
        </w:rPr>
        <w:t>空压机无备用设施，发生故障致空压机停运，可致气源不足而引起燃烧不充分，操作失控，从而导致事故发生。</w:t>
      </w:r>
    </w:p>
    <w:p>
      <w:pPr>
        <w:pStyle w:val="4"/>
        <w:adjustRightInd w:val="0"/>
        <w:snapToGrid w:val="0"/>
        <w:spacing w:before="0" w:after="0" w:line="360" w:lineRule="auto"/>
        <w:rPr>
          <w:rFonts w:ascii="Times New Roman" w:hAnsi="Times New Roman"/>
          <w:b w:val="0"/>
          <w:bCs/>
          <w:color w:val="auto"/>
          <w:szCs w:val="32"/>
        </w:rPr>
      </w:pPr>
      <w:bookmarkStart w:id="63" w:name="_Toc21957"/>
      <w:bookmarkStart w:id="64" w:name="_Toc281310741"/>
      <w:bookmarkStart w:id="65" w:name="_Toc447782517"/>
      <w:bookmarkStart w:id="66" w:name="_Toc216105912"/>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4</w:t>
      </w:r>
      <w:r>
        <w:rPr>
          <w:rFonts w:hint="eastAsia" w:ascii="Times New Roman" w:hAnsi="Times New Roman"/>
          <w:b w:val="0"/>
          <w:bCs/>
          <w:color w:val="auto"/>
          <w:szCs w:val="32"/>
        </w:rPr>
        <w:t xml:space="preserve"> 主要危险因素分析</w:t>
      </w:r>
      <w:bookmarkEnd w:id="63"/>
      <w:bookmarkEnd w:id="64"/>
      <w:bookmarkEnd w:id="65"/>
      <w:bookmarkEnd w:id="66"/>
    </w:p>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60" w:lineRule="auto"/>
        <w:ind w:firstLine="560" w:firstLineChars="200"/>
        <w:textAlignment w:val="auto"/>
        <w:rPr>
          <w:color w:val="auto"/>
          <w:sz w:val="28"/>
          <w:szCs w:val="28"/>
        </w:rPr>
      </w:pPr>
      <w:r>
        <w:rPr>
          <w:rFonts w:hint="eastAsia"/>
          <w:color w:val="auto"/>
          <w:sz w:val="28"/>
          <w:szCs w:val="28"/>
        </w:rPr>
        <w:t>井下作业受井下状况影响非常大。并且涉及野外临时用电，有时可能突发井喷等事故，是多种风险性并存的作业。根据</w:t>
      </w:r>
      <w:r>
        <w:rPr>
          <w:rFonts w:hint="eastAsia"/>
          <w:color w:val="auto"/>
          <w:sz w:val="28"/>
          <w:szCs w:val="28"/>
          <w:lang w:eastAsia="zh-CN"/>
        </w:rPr>
        <w:t>山东华曦石油技术服务有限公司</w:t>
      </w:r>
      <w:r>
        <w:rPr>
          <w:rFonts w:hint="eastAsia"/>
          <w:color w:val="auto"/>
          <w:sz w:val="28"/>
          <w:szCs w:val="28"/>
        </w:rPr>
        <w:t>井下作业的特点，主要危险、有害因素有：火灾爆炸、井喷及井喷失控、锅炉爆炸、</w:t>
      </w:r>
      <w:r>
        <w:rPr>
          <w:rFonts w:hint="eastAsia"/>
          <w:color w:val="auto"/>
          <w:sz w:val="28"/>
          <w:szCs w:val="28"/>
          <w:lang w:val="en-US" w:eastAsia="zh-CN"/>
        </w:rPr>
        <w:t>容器爆炸、</w:t>
      </w:r>
      <w:r>
        <w:rPr>
          <w:rFonts w:hint="eastAsia"/>
          <w:color w:val="auto"/>
          <w:sz w:val="28"/>
          <w:szCs w:val="28"/>
        </w:rPr>
        <w:t>灼烫、中毒</w:t>
      </w:r>
      <w:r>
        <w:rPr>
          <w:rFonts w:hint="eastAsia"/>
          <w:color w:val="auto"/>
          <w:sz w:val="28"/>
          <w:szCs w:val="28"/>
          <w:lang w:val="en-US" w:eastAsia="zh-CN"/>
        </w:rPr>
        <w:t>和</w:t>
      </w:r>
      <w:r>
        <w:rPr>
          <w:rFonts w:hint="eastAsia"/>
          <w:color w:val="auto"/>
          <w:sz w:val="28"/>
          <w:szCs w:val="28"/>
        </w:rPr>
        <w:t>窒息、物体打击、机械伤害、触电、</w:t>
      </w:r>
      <w:r>
        <w:rPr>
          <w:rFonts w:hint="eastAsia"/>
          <w:color w:val="auto"/>
          <w:sz w:val="28"/>
          <w:szCs w:val="28"/>
          <w:lang w:val="en-US" w:eastAsia="zh-CN"/>
        </w:rPr>
        <w:t>高处坠落、起重伤害、</w:t>
      </w:r>
      <w:r>
        <w:rPr>
          <w:rFonts w:hint="eastAsia"/>
          <w:color w:val="auto"/>
          <w:sz w:val="28"/>
          <w:szCs w:val="28"/>
        </w:rPr>
        <w:t>车辆伤害</w:t>
      </w:r>
      <w:r>
        <w:rPr>
          <w:rFonts w:hint="eastAsia"/>
          <w:color w:val="auto"/>
          <w:sz w:val="28"/>
          <w:szCs w:val="28"/>
          <w:lang w:eastAsia="zh-CN"/>
        </w:rPr>
        <w:t>、</w:t>
      </w:r>
      <w:r>
        <w:rPr>
          <w:rFonts w:hint="eastAsia"/>
          <w:color w:val="auto"/>
          <w:sz w:val="28"/>
          <w:szCs w:val="28"/>
          <w:lang w:val="en-US" w:eastAsia="zh-CN"/>
        </w:rPr>
        <w:t>淹溺</w:t>
      </w:r>
      <w:r>
        <w:rPr>
          <w:rFonts w:hint="eastAsia"/>
          <w:color w:val="auto"/>
          <w:sz w:val="28"/>
          <w:szCs w:val="28"/>
        </w:rPr>
        <w:t>等。</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.1 火灾、爆炸</w:t>
      </w:r>
    </w:p>
    <w:p>
      <w:pPr>
        <w:adjustRightInd w:val="0"/>
        <w:snapToGrid w:val="0"/>
        <w:spacing w:line="360" w:lineRule="auto"/>
        <w:ind w:firstLine="560" w:firstLineChars="200"/>
        <w:rPr>
          <w:rFonts w:hint="default"/>
          <w:b/>
          <w:bCs/>
          <w:color w:val="auto"/>
          <w:sz w:val="28"/>
          <w:szCs w:val="28"/>
          <w:lang w:val="en-US" w:eastAsia="zh-CN"/>
        </w:rPr>
      </w:pPr>
      <w:r>
        <w:rPr>
          <w:rFonts w:hint="eastAsia"/>
          <w:b/>
          <w:bCs/>
          <w:color w:val="auto"/>
          <w:sz w:val="28"/>
          <w:szCs w:val="28"/>
          <w:lang w:val="en-US" w:eastAsia="zh-CN"/>
        </w:rPr>
        <w:t>1、原油</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原</w:t>
      </w:r>
      <w:r>
        <w:rPr>
          <w:rFonts w:hint="eastAsia"/>
          <w:color w:val="auto"/>
          <w:sz w:val="28"/>
          <w:szCs w:val="28"/>
        </w:rPr>
        <w:t>油具有较低的闪点、燃点和自燃点，具有比煤炭、木材等物质易燃烧的特性。因此，作业施工现场属防火、防爆的重点区域，必须严加控制。在作业中形成火灾的原因总的来说可以分为人为的失火、自然现象造成的失火、设备故障引起的失火、摩擦过热失火和过热物质引起的失火等几类。主要原因有：</w:t>
      </w:r>
    </w:p>
    <w:p>
      <w:pPr>
        <w:adjustRightInd w:val="0"/>
        <w:snapToGrid w:val="0"/>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rPr>
        <w:t>1</w:t>
      </w:r>
      <w:r>
        <w:rPr>
          <w:rFonts w:hint="eastAsia"/>
          <w:color w:val="auto"/>
          <w:sz w:val="28"/>
          <w:szCs w:val="28"/>
          <w:lang w:eastAsia="zh-CN"/>
        </w:rPr>
        <w:t>）</w:t>
      </w:r>
      <w:r>
        <w:rPr>
          <w:rFonts w:hint="eastAsia"/>
          <w:color w:val="auto"/>
          <w:sz w:val="28"/>
          <w:szCs w:val="28"/>
        </w:rPr>
        <w:t>在作业过程中发生井喷及由于设备本身存在缺陷或违章操作等导致油气</w:t>
      </w:r>
      <w:r>
        <w:rPr>
          <w:rFonts w:hint="eastAsia"/>
          <w:color w:val="auto"/>
          <w:sz w:val="28"/>
          <w:szCs w:val="28"/>
          <w:lang w:eastAsia="zh-CN"/>
        </w:rPr>
        <w:t>泄漏</w:t>
      </w:r>
      <w:r>
        <w:rPr>
          <w:rFonts w:hint="eastAsia"/>
          <w:color w:val="auto"/>
          <w:sz w:val="28"/>
          <w:szCs w:val="28"/>
        </w:rPr>
        <w:t>、聚集，遇点火源可能</w:t>
      </w:r>
      <w:r>
        <w:rPr>
          <w:color w:val="auto"/>
          <w:sz w:val="28"/>
          <w:szCs w:val="28"/>
        </w:rPr>
        <w:t>引起</w:t>
      </w:r>
      <w:r>
        <w:rPr>
          <w:rFonts w:hint="eastAsia"/>
          <w:color w:val="auto"/>
          <w:sz w:val="28"/>
          <w:szCs w:val="28"/>
        </w:rPr>
        <w:t>火灾、爆炸；</w:t>
      </w:r>
    </w:p>
    <w:p>
      <w:pPr>
        <w:adjustRightInd w:val="0"/>
        <w:snapToGrid w:val="0"/>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rPr>
        <w:t>2</w:t>
      </w:r>
      <w:r>
        <w:rPr>
          <w:rFonts w:hint="eastAsia"/>
          <w:color w:val="auto"/>
          <w:sz w:val="28"/>
          <w:szCs w:val="28"/>
          <w:lang w:eastAsia="zh-CN"/>
        </w:rPr>
        <w:t>）</w:t>
      </w:r>
      <w:r>
        <w:rPr>
          <w:rFonts w:hint="eastAsia"/>
          <w:color w:val="auto"/>
          <w:sz w:val="28"/>
          <w:szCs w:val="28"/>
        </w:rPr>
        <w:t>仪器短路、过载、接触不良、散热不良，照明器具安置或使用不当等，易发生电气火灾；</w:t>
      </w:r>
    </w:p>
    <w:p>
      <w:pPr>
        <w:adjustRightInd w:val="0"/>
        <w:snapToGrid w:val="0"/>
        <w:spacing w:line="360" w:lineRule="auto"/>
        <w:ind w:firstLine="560" w:firstLineChars="200"/>
        <w:rPr>
          <w:color w:val="auto"/>
          <w:sz w:val="28"/>
          <w:szCs w:val="28"/>
        </w:rPr>
      </w:pPr>
      <w:r>
        <w:rPr>
          <w:rFonts w:hint="eastAsia"/>
          <w:color w:val="auto"/>
          <w:sz w:val="28"/>
          <w:szCs w:val="28"/>
        </w:rPr>
        <w:t>其中作业施工中易燃、易爆介质的来源主要有以下几方面：</w:t>
      </w:r>
    </w:p>
    <w:p>
      <w:pPr>
        <w:adjustRightInd w:val="0"/>
        <w:snapToGrid w:val="0"/>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rPr>
        <w:t>1</w:t>
      </w:r>
      <w:r>
        <w:rPr>
          <w:rFonts w:hint="eastAsia"/>
          <w:color w:val="auto"/>
          <w:sz w:val="28"/>
          <w:szCs w:val="28"/>
          <w:lang w:eastAsia="zh-CN"/>
        </w:rPr>
        <w:t>）</w:t>
      </w:r>
      <w:r>
        <w:rPr>
          <w:rFonts w:hint="eastAsia"/>
          <w:color w:val="auto"/>
          <w:sz w:val="28"/>
          <w:szCs w:val="28"/>
        </w:rPr>
        <w:t>地层中碳氢化合物的溢出；</w:t>
      </w:r>
    </w:p>
    <w:p>
      <w:pPr>
        <w:adjustRightInd w:val="0"/>
        <w:snapToGrid w:val="0"/>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rPr>
        <w:t>2</w:t>
      </w:r>
      <w:r>
        <w:rPr>
          <w:rFonts w:hint="eastAsia"/>
          <w:color w:val="auto"/>
          <w:sz w:val="28"/>
          <w:szCs w:val="28"/>
          <w:lang w:eastAsia="zh-CN"/>
        </w:rPr>
        <w:t>）</w:t>
      </w:r>
      <w:r>
        <w:rPr>
          <w:rFonts w:hint="eastAsia"/>
          <w:color w:val="auto"/>
          <w:sz w:val="28"/>
          <w:szCs w:val="28"/>
        </w:rPr>
        <w:t>井场使用的各类油料及石油助剂，如柴油、机油等易燃、易爆品；</w:t>
      </w:r>
    </w:p>
    <w:p>
      <w:pPr>
        <w:adjustRightInd w:val="0"/>
        <w:snapToGrid w:val="0"/>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rPr>
        <w:t>3</w:t>
      </w:r>
      <w:r>
        <w:rPr>
          <w:rFonts w:hint="eastAsia"/>
          <w:color w:val="auto"/>
          <w:sz w:val="28"/>
          <w:szCs w:val="28"/>
          <w:lang w:eastAsia="zh-CN"/>
        </w:rPr>
        <w:t>）</w:t>
      </w:r>
      <w:r>
        <w:rPr>
          <w:rFonts w:hint="eastAsia"/>
          <w:color w:val="auto"/>
          <w:sz w:val="28"/>
          <w:szCs w:val="28"/>
        </w:rPr>
        <w:t>设备更换的废机油、清洗用废油等；</w:t>
      </w:r>
    </w:p>
    <w:p>
      <w:pPr>
        <w:adjustRightInd w:val="0"/>
        <w:snapToGrid w:val="0"/>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rPr>
        <w:t>4</w:t>
      </w:r>
      <w:r>
        <w:rPr>
          <w:rFonts w:hint="eastAsia"/>
          <w:color w:val="auto"/>
          <w:sz w:val="28"/>
          <w:szCs w:val="28"/>
          <w:lang w:eastAsia="zh-CN"/>
        </w:rPr>
        <w:t>）</w:t>
      </w:r>
      <w:r>
        <w:rPr>
          <w:rFonts w:hint="eastAsia"/>
          <w:color w:val="auto"/>
          <w:sz w:val="28"/>
          <w:szCs w:val="28"/>
        </w:rPr>
        <w:t>作业施工时，落地原油，原油中溶解气、天然气的排放；发生“井喷”事故时，井场布满的石油；</w:t>
      </w:r>
    </w:p>
    <w:p>
      <w:pPr>
        <w:adjustRightInd w:val="0"/>
        <w:snapToGrid w:val="0"/>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rPr>
        <w:t>5</w:t>
      </w:r>
      <w:r>
        <w:rPr>
          <w:rFonts w:hint="eastAsia"/>
          <w:color w:val="auto"/>
          <w:sz w:val="28"/>
          <w:szCs w:val="28"/>
          <w:lang w:eastAsia="zh-CN"/>
        </w:rPr>
        <w:t>）</w:t>
      </w:r>
      <w:r>
        <w:rPr>
          <w:rFonts w:hint="eastAsia"/>
          <w:color w:val="auto"/>
          <w:sz w:val="28"/>
          <w:szCs w:val="28"/>
        </w:rPr>
        <w:t>井场周围的干燥植物，如庄稼、荒草等；</w:t>
      </w:r>
    </w:p>
    <w:p>
      <w:pPr>
        <w:adjustRightInd w:val="0"/>
        <w:snapToGrid w:val="0"/>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rPr>
        <w:t>6</w:t>
      </w:r>
      <w:r>
        <w:rPr>
          <w:rFonts w:hint="eastAsia"/>
          <w:color w:val="auto"/>
          <w:sz w:val="28"/>
          <w:szCs w:val="28"/>
          <w:lang w:eastAsia="zh-CN"/>
        </w:rPr>
        <w:t>）</w:t>
      </w:r>
      <w:r>
        <w:rPr>
          <w:rFonts w:hint="eastAsia"/>
          <w:color w:val="auto"/>
          <w:sz w:val="28"/>
          <w:szCs w:val="28"/>
        </w:rPr>
        <w:t>施工营房内的可燃物，如棉被、衣物、塑料及其他可燃纤维材料；</w:t>
      </w:r>
    </w:p>
    <w:p>
      <w:pPr>
        <w:adjustRightInd w:val="0"/>
        <w:snapToGrid w:val="0"/>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lang w:val="en-US" w:eastAsia="zh-CN"/>
        </w:rPr>
        <w:t>7</w:t>
      </w:r>
      <w:r>
        <w:rPr>
          <w:rFonts w:hint="eastAsia"/>
          <w:color w:val="auto"/>
          <w:sz w:val="28"/>
          <w:szCs w:val="28"/>
          <w:lang w:eastAsia="zh-CN"/>
        </w:rPr>
        <w:t>）</w:t>
      </w:r>
      <w:r>
        <w:rPr>
          <w:rFonts w:hint="eastAsia"/>
          <w:color w:val="auto"/>
          <w:sz w:val="28"/>
          <w:szCs w:val="28"/>
        </w:rPr>
        <w:t>工艺设备、装置、管线内残留的易燃、易爆介质；</w:t>
      </w:r>
    </w:p>
    <w:p>
      <w:pPr>
        <w:adjustRightInd w:val="0"/>
        <w:snapToGrid w:val="0"/>
        <w:spacing w:line="360" w:lineRule="auto"/>
        <w:ind w:firstLine="560" w:firstLineChars="200"/>
        <w:rPr>
          <w:rFonts w:hint="eastAsia"/>
          <w:color w:val="auto"/>
          <w:sz w:val="28"/>
          <w:szCs w:val="28"/>
        </w:rPr>
      </w:pPr>
      <w:r>
        <w:rPr>
          <w:rFonts w:hint="eastAsia"/>
          <w:color w:val="auto"/>
          <w:sz w:val="28"/>
          <w:szCs w:val="28"/>
          <w:lang w:eastAsia="zh-CN"/>
        </w:rPr>
        <w:t>（</w:t>
      </w:r>
      <w:r>
        <w:rPr>
          <w:rFonts w:hint="eastAsia"/>
          <w:color w:val="auto"/>
          <w:sz w:val="28"/>
          <w:szCs w:val="28"/>
          <w:lang w:val="en-US" w:eastAsia="zh-CN"/>
        </w:rPr>
        <w:t>8</w:t>
      </w:r>
      <w:r>
        <w:rPr>
          <w:rFonts w:hint="eastAsia"/>
          <w:color w:val="auto"/>
          <w:sz w:val="28"/>
          <w:szCs w:val="28"/>
          <w:lang w:eastAsia="zh-CN"/>
        </w:rPr>
        <w:t>）</w:t>
      </w:r>
      <w:r>
        <w:rPr>
          <w:rFonts w:hint="eastAsia"/>
          <w:color w:val="auto"/>
          <w:sz w:val="28"/>
          <w:szCs w:val="28"/>
        </w:rPr>
        <w:t>其他易燃、易爆介质。</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bCs/>
          <w:color w:val="auto"/>
          <w:sz w:val="28"/>
          <w:szCs w:val="28"/>
          <w:lang w:val="en-US" w:eastAsia="zh-CN"/>
        </w:rPr>
      </w:pPr>
      <w:r>
        <w:rPr>
          <w:rFonts w:hint="eastAsia"/>
          <w:b/>
          <w:bCs/>
          <w:color w:val="auto"/>
          <w:sz w:val="28"/>
          <w:szCs w:val="28"/>
          <w:lang w:val="en-US" w:eastAsia="zh-CN"/>
        </w:rPr>
        <w:t>2、柴油</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8"/>
          <w:lang w:val="en-US" w:eastAsia="zh-CN" w:bidi="ar-SA"/>
        </w:rPr>
      </w:pPr>
      <w:r>
        <w:rPr>
          <w:rFonts w:hint="eastAsia" w:cs="Times New Roman"/>
          <w:color w:val="auto"/>
          <w:kern w:val="2"/>
          <w:sz w:val="28"/>
          <w:szCs w:val="28"/>
          <w:lang w:val="en-US" w:eastAsia="zh-CN" w:bidi="ar-SA"/>
        </w:rPr>
        <w:t>复合发生器使用</w:t>
      </w:r>
      <w:r>
        <w:rPr>
          <w:rFonts w:hint="eastAsia" w:ascii="Times New Roman" w:hAnsi="Times New Roman" w:eastAsia="宋体" w:cs="Times New Roman"/>
          <w:color w:val="auto"/>
          <w:kern w:val="2"/>
          <w:sz w:val="28"/>
          <w:szCs w:val="28"/>
          <w:lang w:val="en-US" w:eastAsia="zh-CN" w:bidi="ar-SA"/>
        </w:rPr>
        <w:t>燃料为柴油。有热负荷波动较大，连续运行的特点，如果不按规范操作，会造成爆管跑油，引起火灾爆炸。</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施工现场</w:t>
      </w:r>
      <w:r>
        <w:rPr>
          <w:rFonts w:hint="eastAsia" w:cs="Times New Roman"/>
          <w:color w:val="auto"/>
          <w:kern w:val="2"/>
          <w:sz w:val="28"/>
          <w:szCs w:val="28"/>
          <w:lang w:val="en-US" w:eastAsia="zh-CN" w:bidi="ar-SA"/>
        </w:rPr>
        <w:t>设</w:t>
      </w:r>
      <w:r>
        <w:rPr>
          <w:rFonts w:hint="eastAsia" w:ascii="Times New Roman" w:hAnsi="Times New Roman" w:eastAsia="宋体" w:cs="Times New Roman"/>
          <w:color w:val="auto"/>
          <w:kern w:val="2"/>
          <w:sz w:val="28"/>
          <w:szCs w:val="28"/>
          <w:lang w:val="en-US" w:eastAsia="zh-CN" w:bidi="ar-SA"/>
        </w:rPr>
        <w:t>有柴油罐，作为现场施工过程中油料临时存储使用，为</w:t>
      </w:r>
      <w:r>
        <w:rPr>
          <w:rFonts w:hint="eastAsia" w:cs="Times New Roman"/>
          <w:color w:val="auto"/>
          <w:kern w:val="2"/>
          <w:sz w:val="28"/>
          <w:szCs w:val="28"/>
          <w:lang w:val="en-US" w:eastAsia="zh-CN" w:bidi="ar-SA"/>
        </w:rPr>
        <w:t>复合发生器</w:t>
      </w:r>
      <w:r>
        <w:rPr>
          <w:rFonts w:hint="eastAsia" w:ascii="Times New Roman" w:hAnsi="Times New Roman" w:eastAsia="宋体" w:cs="Times New Roman"/>
          <w:color w:val="auto"/>
          <w:kern w:val="2"/>
          <w:sz w:val="28"/>
          <w:szCs w:val="28"/>
          <w:lang w:val="en-US" w:eastAsia="zh-CN" w:bidi="ar-SA"/>
        </w:rPr>
        <w:t>提供燃料。卸油时，若液位指示报警及控制系统失效，有可能造成卸油罐液面超高外溢。</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由于场地或司机操作等原因，汽车在装卸油过程中意外行驶，</w:t>
      </w:r>
      <w:r>
        <w:rPr>
          <w:rFonts w:hint="eastAsia" w:cs="Times New Roman"/>
          <w:color w:val="auto"/>
          <w:kern w:val="2"/>
          <w:sz w:val="28"/>
          <w:szCs w:val="28"/>
          <w:lang w:val="en-US" w:eastAsia="zh-CN" w:bidi="ar-SA"/>
        </w:rPr>
        <w:t>会</w:t>
      </w:r>
      <w:r>
        <w:rPr>
          <w:rFonts w:hint="eastAsia" w:ascii="Times New Roman" w:hAnsi="Times New Roman" w:eastAsia="宋体" w:cs="Times New Roman"/>
          <w:color w:val="auto"/>
          <w:kern w:val="2"/>
          <w:sz w:val="28"/>
          <w:szCs w:val="28"/>
          <w:lang w:val="en-US" w:eastAsia="zh-CN" w:bidi="ar-SA"/>
        </w:rPr>
        <w:t>致使柴油泄漏。汽车燃烧废气经排气管排除时，往往有火星一起排出，罐内储存</w:t>
      </w:r>
      <w:r>
        <w:rPr>
          <w:rFonts w:hint="eastAsia" w:cs="Times New Roman"/>
          <w:color w:val="auto"/>
          <w:kern w:val="2"/>
          <w:sz w:val="28"/>
          <w:szCs w:val="28"/>
          <w:lang w:val="en-US" w:eastAsia="zh-CN" w:bidi="ar-SA"/>
        </w:rPr>
        <w:t>会</w:t>
      </w:r>
      <w:r>
        <w:rPr>
          <w:rFonts w:hint="eastAsia" w:ascii="Times New Roman" w:hAnsi="Times New Roman" w:eastAsia="宋体" w:cs="Times New Roman"/>
          <w:color w:val="auto"/>
          <w:kern w:val="2"/>
          <w:sz w:val="28"/>
          <w:szCs w:val="28"/>
          <w:lang w:val="en-US" w:eastAsia="zh-CN" w:bidi="ar-SA"/>
        </w:rPr>
        <w:t>有油蒸气逸出，而汽车装卸作业时则会有更多的油蒸气，</w:t>
      </w:r>
      <w:r>
        <w:rPr>
          <w:rFonts w:hint="eastAsia" w:cs="Times New Roman"/>
          <w:color w:val="auto"/>
          <w:kern w:val="2"/>
          <w:sz w:val="28"/>
          <w:szCs w:val="28"/>
          <w:lang w:val="en-US" w:eastAsia="zh-CN" w:bidi="ar-SA"/>
        </w:rPr>
        <w:t>若车辆未安装防火帽，</w:t>
      </w:r>
      <w:r>
        <w:rPr>
          <w:rFonts w:hint="eastAsia" w:ascii="Times New Roman" w:hAnsi="Times New Roman" w:eastAsia="宋体" w:cs="Times New Roman"/>
          <w:color w:val="auto"/>
          <w:kern w:val="2"/>
          <w:sz w:val="28"/>
          <w:szCs w:val="28"/>
          <w:lang w:val="en-US" w:eastAsia="zh-CN" w:bidi="ar-SA"/>
        </w:rPr>
        <w:t>遇到尾气火星则会被引燃发生爆炸燃烧。</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进油时流速过高，易产生大量静电，静电放电打火易点燃油蒸气混合气体。</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b/>
          <w:bCs/>
          <w:color w:val="auto"/>
          <w:sz w:val="28"/>
          <w:szCs w:val="28"/>
          <w:lang w:val="en-US" w:eastAsia="zh-CN"/>
        </w:rPr>
      </w:pPr>
      <w:r>
        <w:rPr>
          <w:rFonts w:hint="eastAsia"/>
          <w:b/>
          <w:bCs/>
          <w:color w:val="auto"/>
          <w:sz w:val="28"/>
          <w:szCs w:val="28"/>
          <w:lang w:val="en-US" w:eastAsia="zh-CN"/>
        </w:rPr>
        <w:t>3、天然气</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kern w:val="2"/>
          <w:sz w:val="28"/>
          <w:szCs w:val="28"/>
          <w:lang w:val="en-US" w:eastAsia="zh-CN" w:bidi="ar-SA"/>
        </w:rPr>
      </w:pPr>
      <w:r>
        <w:rPr>
          <w:rFonts w:hint="eastAsia" w:cs="Times New Roman"/>
          <w:color w:val="auto"/>
          <w:kern w:val="2"/>
          <w:sz w:val="28"/>
          <w:szCs w:val="28"/>
          <w:lang w:val="en-US" w:eastAsia="zh-CN" w:bidi="ar-SA"/>
        </w:rPr>
        <w:t>注汽锅炉的燃料为天然气，</w:t>
      </w:r>
      <w:r>
        <w:rPr>
          <w:rFonts w:hint="eastAsia"/>
          <w:color w:val="000000" w:themeColor="text1"/>
          <w:sz w:val="28"/>
          <w:szCs w:val="28"/>
          <w14:textFill>
            <w14:solidFill>
              <w14:schemeClr w14:val="tx1"/>
            </w14:solidFill>
          </w14:textFill>
        </w:rPr>
        <w:t>天然气的成分主要为低分子量的烷烃（如甲烷、乙烷）组成的混合物，不含硫化氢，其他成分含量低。根据《石油天然气工程设计防火规范》（GB50183-2004），一般天然气的火灾危险性类别为甲</w:t>
      </w:r>
      <w:r>
        <w:rPr>
          <w:rFonts w:hint="eastAsia"/>
          <w:color w:val="000000" w:themeColor="text1"/>
          <w:sz w:val="28"/>
          <w:szCs w:val="28"/>
          <w:vertAlign w:val="subscript"/>
          <w14:textFill>
            <w14:solidFill>
              <w14:schemeClr w14:val="tx1"/>
            </w14:solidFill>
          </w14:textFill>
        </w:rPr>
        <w:t>B</w:t>
      </w:r>
      <w:r>
        <w:rPr>
          <w:rFonts w:hint="eastAsia"/>
          <w:color w:val="000000" w:themeColor="text1"/>
          <w:sz w:val="28"/>
          <w:szCs w:val="28"/>
          <w14:textFill>
            <w14:solidFill>
              <w14:schemeClr w14:val="tx1"/>
            </w14:solidFill>
          </w14:textFill>
        </w:rPr>
        <w:t>类，属易燃、易爆性物质。其爆炸极限范围较宽，一旦泄漏，很容易与空气形成爆炸性气体混合物，遇火源极易发生燃爆。</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szCs w:val="28"/>
        </w:rPr>
      </w:pPr>
      <w:r>
        <w:rPr>
          <w:rFonts w:hint="eastAsia"/>
          <w:color w:val="auto"/>
          <w:sz w:val="28"/>
          <w:szCs w:val="28"/>
        </w:rPr>
        <w:t>可能引发火灾爆炸的另一类危险因素是点火源。在作业施工现场可能出现的点火源主要有：吸烟明火、施工机械和施工车辆的排气管火花或其他燃烧设备的燃烧火焰、电气火花或电气运行高温、静电打火、机械火花、雷电以及在井场周围进行烧荒等明火。</w:t>
      </w:r>
    </w:p>
    <w:p>
      <w:pPr>
        <w:adjustRightInd w:val="0"/>
        <w:snapToGrid w:val="0"/>
        <w:spacing w:line="360" w:lineRule="auto"/>
        <w:ind w:firstLine="560" w:firstLineChars="200"/>
        <w:rPr>
          <w:color w:val="auto"/>
          <w:sz w:val="28"/>
          <w:szCs w:val="28"/>
        </w:rPr>
      </w:pPr>
      <w:r>
        <w:rPr>
          <w:rFonts w:hint="eastAsia"/>
          <w:color w:val="auto"/>
          <w:sz w:val="28"/>
          <w:szCs w:val="28"/>
        </w:rPr>
        <w:t>作业现场若消防设施摆放位置不规范、使用不当或保管不善，一旦发生火险，来不及扑灭，就会使火灾蔓延。作业队的工作性质是作业地点经常变动，频繁的搬迁作业对消防器材的完好性带来很大程度的影响。若不及时检查和更换，一旦发生火灾，就很难及时扑救，后果严重。</w:t>
      </w:r>
    </w:p>
    <w:p>
      <w:pPr>
        <w:adjustRightInd w:val="0"/>
        <w:snapToGrid w:val="0"/>
        <w:spacing w:line="360" w:lineRule="auto"/>
        <w:ind w:firstLine="560" w:firstLineChars="200"/>
        <w:rPr>
          <w:color w:val="auto"/>
          <w:sz w:val="28"/>
          <w:szCs w:val="28"/>
        </w:rPr>
      </w:pPr>
      <w:r>
        <w:rPr>
          <w:rFonts w:hint="eastAsia"/>
          <w:color w:val="auto"/>
          <w:sz w:val="28"/>
          <w:szCs w:val="28"/>
        </w:rPr>
        <w:t>另外，部分职工消防意识淡薄，也是发生火灾的原因之一。作业人员未进行安全防火知识教育培训上岗，未执行安全生产管理制度，违章作业，也可能导致火灾爆炸事故的发生。</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.2 井喷及井喷失控</w:t>
      </w:r>
    </w:p>
    <w:p>
      <w:pPr>
        <w:adjustRightInd w:val="0"/>
        <w:snapToGrid w:val="0"/>
        <w:spacing w:line="360" w:lineRule="auto"/>
        <w:ind w:firstLine="560" w:firstLineChars="200"/>
        <w:rPr>
          <w:color w:val="auto"/>
          <w:sz w:val="28"/>
          <w:szCs w:val="28"/>
        </w:rPr>
      </w:pPr>
      <w:r>
        <w:rPr>
          <w:rFonts w:hint="eastAsia"/>
          <w:color w:val="auto"/>
          <w:sz w:val="28"/>
          <w:szCs w:val="28"/>
        </w:rPr>
        <w:t>井喷是指当井底压力远小于地层压力时，井内流体大量喷出，在地面形成较大喷势的现象称之为井喷。</w:t>
      </w:r>
    </w:p>
    <w:p>
      <w:pPr>
        <w:adjustRightInd w:val="0"/>
        <w:snapToGrid w:val="0"/>
        <w:spacing w:line="360" w:lineRule="auto"/>
        <w:ind w:firstLine="560" w:firstLineChars="200"/>
        <w:rPr>
          <w:color w:val="auto"/>
          <w:sz w:val="28"/>
          <w:szCs w:val="28"/>
        </w:rPr>
      </w:pPr>
      <w:r>
        <w:rPr>
          <w:rFonts w:hint="eastAsia"/>
          <w:color w:val="auto"/>
          <w:sz w:val="28"/>
          <w:szCs w:val="28"/>
        </w:rPr>
        <w:t>井喷失控是指井喷发生后，无法用常规方法控制井口而出现井口敞喷的现象称之为井喷失控。</w:t>
      </w:r>
    </w:p>
    <w:p>
      <w:pPr>
        <w:adjustRightInd w:val="0"/>
        <w:snapToGrid w:val="0"/>
        <w:spacing w:line="360" w:lineRule="auto"/>
        <w:ind w:firstLine="560" w:firstLineChars="200"/>
        <w:rPr>
          <w:color w:val="auto"/>
          <w:sz w:val="28"/>
          <w:szCs w:val="28"/>
        </w:rPr>
      </w:pPr>
      <w:r>
        <w:rPr>
          <w:rFonts w:hint="eastAsia"/>
          <w:color w:val="auto"/>
          <w:sz w:val="28"/>
          <w:szCs w:val="28"/>
        </w:rPr>
        <w:t>作业过程中，井喷失控泛指井喷后井口装置和井控管汇失去了对油气井的有效控制，甚至着火。油井失控和气井失控各有其特点和复杂性，气井或含气油井处理更为困难。由于天然气具有密度小、可压缩、膨胀、易溶性，在钻井液中易滑脱上升，易爆炸燃烧，难以封闭等物理化学特性，因而稍有疏忽，气井和含气油井比油井更易井喷和失控着火。其危害性可概括以下</w:t>
      </w:r>
      <w:r>
        <w:rPr>
          <w:rFonts w:hint="eastAsia"/>
          <w:color w:val="auto"/>
          <w:sz w:val="28"/>
          <w:szCs w:val="28"/>
          <w:lang w:val="en-US" w:eastAsia="zh-CN"/>
        </w:rPr>
        <w:t>几</w:t>
      </w:r>
      <w:r>
        <w:rPr>
          <w:rFonts w:hint="eastAsia"/>
          <w:color w:val="auto"/>
          <w:sz w:val="28"/>
          <w:szCs w:val="28"/>
        </w:rPr>
        <w:t>个方面：</w:t>
      </w:r>
    </w:p>
    <w:p>
      <w:pPr>
        <w:adjustRightInd w:val="0"/>
        <w:snapToGrid w:val="0"/>
        <w:spacing w:line="360" w:lineRule="auto"/>
        <w:ind w:firstLine="560" w:firstLineChars="200"/>
        <w:rPr>
          <w:color w:val="auto"/>
          <w:sz w:val="28"/>
          <w:szCs w:val="28"/>
        </w:rPr>
      </w:pPr>
      <w:r>
        <w:rPr>
          <w:rFonts w:hint="eastAsia"/>
          <w:color w:val="auto"/>
          <w:sz w:val="28"/>
          <w:szCs w:val="28"/>
        </w:rPr>
        <w:t>1.打乱全局的正常工作程序，影响全局生产；</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2</w:t>
      </w:r>
      <w:r>
        <w:rPr>
          <w:rFonts w:hint="eastAsia"/>
          <w:color w:val="auto"/>
          <w:sz w:val="28"/>
          <w:szCs w:val="28"/>
        </w:rPr>
        <w:t>.极易引起火灾（如井场、苇地及森林）；</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3</w:t>
      </w:r>
      <w:r>
        <w:rPr>
          <w:rFonts w:hint="eastAsia"/>
          <w:color w:val="auto"/>
          <w:sz w:val="28"/>
          <w:szCs w:val="28"/>
        </w:rPr>
        <w:t>.影响井场周围居民的正常生活，甚至生命安全；</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4</w:t>
      </w:r>
      <w:r>
        <w:rPr>
          <w:rFonts w:hint="eastAsia"/>
          <w:color w:val="auto"/>
          <w:sz w:val="28"/>
          <w:szCs w:val="28"/>
        </w:rPr>
        <w:t>.污染环境，影响农田、水里和渔牧业生产以及交通、通讯的正常运行等；</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5</w:t>
      </w:r>
      <w:r>
        <w:rPr>
          <w:rFonts w:hint="eastAsia"/>
          <w:color w:val="auto"/>
          <w:sz w:val="28"/>
          <w:szCs w:val="28"/>
        </w:rPr>
        <w:t>.伤害油气层，毁坏地下油气资源；</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6</w:t>
      </w:r>
      <w:r>
        <w:rPr>
          <w:rFonts w:hint="eastAsia"/>
          <w:color w:val="auto"/>
          <w:sz w:val="28"/>
          <w:szCs w:val="28"/>
        </w:rPr>
        <w:t>.造成人力及物力上的巨大损失，严重时造成机毁人亡和油气井报废。</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.3 锅炉爆炸</w:t>
      </w:r>
    </w:p>
    <w:p>
      <w:pPr>
        <w:adjustRightInd w:val="0"/>
        <w:snapToGrid w:val="0"/>
        <w:spacing w:line="360" w:lineRule="auto"/>
        <w:ind w:firstLine="560" w:firstLineChars="200"/>
        <w:rPr>
          <w:color w:val="auto"/>
          <w:sz w:val="28"/>
          <w:szCs w:val="28"/>
        </w:rPr>
      </w:pPr>
      <w:r>
        <w:rPr>
          <w:rFonts w:hint="eastAsia"/>
          <w:color w:val="auto"/>
          <w:sz w:val="28"/>
          <w:szCs w:val="28"/>
        </w:rPr>
        <w:t>造成锅炉爆炸的原因有以下几方面：</w:t>
      </w:r>
    </w:p>
    <w:p>
      <w:pPr>
        <w:adjustRightInd w:val="0"/>
        <w:snapToGrid w:val="0"/>
        <w:spacing w:line="360" w:lineRule="auto"/>
        <w:ind w:firstLine="560" w:firstLineChars="200"/>
        <w:rPr>
          <w:color w:val="auto"/>
          <w:sz w:val="28"/>
          <w:szCs w:val="28"/>
        </w:rPr>
      </w:pPr>
      <w:r>
        <w:rPr>
          <w:rFonts w:hint="eastAsia"/>
          <w:color w:val="auto"/>
          <w:sz w:val="28"/>
          <w:szCs w:val="28"/>
        </w:rPr>
        <w:t>1.超压破裂</w:t>
      </w:r>
    </w:p>
    <w:p>
      <w:pPr>
        <w:adjustRightInd w:val="0"/>
        <w:snapToGrid w:val="0"/>
        <w:spacing w:line="360" w:lineRule="auto"/>
        <w:ind w:firstLine="560" w:firstLineChars="200"/>
        <w:rPr>
          <w:color w:val="auto"/>
          <w:sz w:val="28"/>
          <w:szCs w:val="28"/>
        </w:rPr>
      </w:pPr>
      <w:r>
        <w:rPr>
          <w:rFonts w:hint="eastAsia"/>
          <w:color w:val="auto"/>
          <w:sz w:val="28"/>
          <w:szCs w:val="28"/>
        </w:rPr>
        <w:t>高压注汽锅炉运行压力超过最高许可工作压力，使允许应力超过材料的极限应力，造成锅炉爆管。注汽锅炉超压工况的出现常因安全泄放装置失灵、压力表失准、超压警报装置失灵、严重缺水事故处理不当引起。</w:t>
      </w:r>
    </w:p>
    <w:p>
      <w:pPr>
        <w:adjustRightInd w:val="0"/>
        <w:snapToGrid w:val="0"/>
        <w:spacing w:line="360" w:lineRule="auto"/>
        <w:ind w:firstLine="560" w:firstLineChars="200"/>
        <w:rPr>
          <w:color w:val="auto"/>
          <w:sz w:val="28"/>
          <w:szCs w:val="28"/>
        </w:rPr>
      </w:pPr>
      <w:r>
        <w:rPr>
          <w:rFonts w:hint="eastAsia"/>
          <w:color w:val="auto"/>
          <w:sz w:val="28"/>
          <w:szCs w:val="28"/>
        </w:rPr>
        <w:t>2.强度下降</w:t>
      </w:r>
    </w:p>
    <w:p>
      <w:pPr>
        <w:adjustRightInd w:val="0"/>
        <w:snapToGrid w:val="0"/>
        <w:spacing w:line="360" w:lineRule="auto"/>
        <w:ind w:firstLine="560" w:firstLineChars="200"/>
        <w:rPr>
          <w:color w:val="auto"/>
          <w:sz w:val="28"/>
          <w:szCs w:val="28"/>
        </w:rPr>
      </w:pPr>
      <w:r>
        <w:rPr>
          <w:rFonts w:hint="eastAsia"/>
          <w:color w:val="auto"/>
          <w:sz w:val="28"/>
          <w:szCs w:val="28"/>
        </w:rPr>
        <w:t>a.腐蚀失效</w:t>
      </w:r>
    </w:p>
    <w:p>
      <w:pPr>
        <w:adjustRightInd w:val="0"/>
        <w:snapToGrid w:val="0"/>
        <w:spacing w:line="360" w:lineRule="auto"/>
        <w:ind w:firstLine="560" w:firstLineChars="200"/>
        <w:rPr>
          <w:color w:val="auto"/>
          <w:sz w:val="28"/>
          <w:szCs w:val="28"/>
        </w:rPr>
      </w:pPr>
      <w:r>
        <w:rPr>
          <w:rFonts w:hint="eastAsia"/>
          <w:color w:val="auto"/>
          <w:sz w:val="28"/>
          <w:szCs w:val="28"/>
        </w:rPr>
        <w:t>循环水中存在杂质使炉管内壁受到腐蚀以及烟气对炉管外壁造成腐蚀，腐蚀作用会造成炉管金属厚度减薄，强度降低。</w:t>
      </w:r>
    </w:p>
    <w:p>
      <w:pPr>
        <w:adjustRightInd w:val="0"/>
        <w:snapToGrid w:val="0"/>
        <w:spacing w:line="360" w:lineRule="auto"/>
        <w:ind w:firstLine="560" w:firstLineChars="200"/>
        <w:rPr>
          <w:color w:val="auto"/>
          <w:sz w:val="28"/>
          <w:szCs w:val="28"/>
        </w:rPr>
      </w:pPr>
      <w:r>
        <w:rPr>
          <w:rFonts w:hint="eastAsia"/>
          <w:color w:val="auto"/>
          <w:sz w:val="28"/>
          <w:szCs w:val="28"/>
        </w:rPr>
        <w:t>b.交变应力损坏</w:t>
      </w:r>
    </w:p>
    <w:p>
      <w:pPr>
        <w:adjustRightInd w:val="0"/>
        <w:snapToGrid w:val="0"/>
        <w:spacing w:line="360" w:lineRule="auto"/>
        <w:ind w:firstLine="560" w:firstLineChars="200"/>
        <w:rPr>
          <w:color w:val="auto"/>
          <w:sz w:val="28"/>
          <w:szCs w:val="28"/>
        </w:rPr>
      </w:pPr>
      <w:r>
        <w:rPr>
          <w:rFonts w:hint="eastAsia"/>
          <w:color w:val="auto"/>
          <w:sz w:val="28"/>
          <w:szCs w:val="28"/>
        </w:rPr>
        <w:t>高压注汽锅炉在运行过程中，温度的骤升骤降，容易使受压元件受交变应力而产生疲劳裂纹；又由于腐蚀的综合作用，形成槽状减薄，承压强度降低，导致炉管爆裂。</w:t>
      </w:r>
    </w:p>
    <w:p>
      <w:pPr>
        <w:adjustRightInd w:val="0"/>
        <w:snapToGrid w:val="0"/>
        <w:spacing w:line="360" w:lineRule="auto"/>
        <w:ind w:firstLine="560" w:firstLineChars="200"/>
        <w:rPr>
          <w:color w:val="auto"/>
          <w:sz w:val="28"/>
          <w:szCs w:val="28"/>
        </w:rPr>
      </w:pPr>
      <w:r>
        <w:rPr>
          <w:rFonts w:hint="eastAsia"/>
          <w:color w:val="auto"/>
          <w:sz w:val="28"/>
          <w:szCs w:val="28"/>
        </w:rPr>
        <w:t>c.过热失效</w:t>
      </w:r>
    </w:p>
    <w:p>
      <w:pPr>
        <w:adjustRightInd w:val="0"/>
        <w:snapToGrid w:val="0"/>
        <w:spacing w:line="360" w:lineRule="auto"/>
        <w:ind w:firstLine="560" w:firstLineChars="200"/>
        <w:rPr>
          <w:color w:val="auto"/>
          <w:sz w:val="28"/>
          <w:szCs w:val="28"/>
        </w:rPr>
      </w:pPr>
      <w:r>
        <w:rPr>
          <w:rFonts w:hint="eastAsia"/>
          <w:color w:val="auto"/>
          <w:sz w:val="28"/>
          <w:szCs w:val="28"/>
        </w:rPr>
        <w:t>炉管内壁因结垢太厚或炉管中进入异物，受热面钢材因过热而致使强度降低，从而导致受压元件破坏。</w:t>
      </w:r>
    </w:p>
    <w:p>
      <w:pPr>
        <w:adjustRightInd w:val="0"/>
        <w:snapToGrid w:val="0"/>
        <w:spacing w:line="360" w:lineRule="auto"/>
        <w:ind w:firstLine="560" w:firstLineChars="200"/>
        <w:rPr>
          <w:color w:val="auto"/>
          <w:sz w:val="28"/>
          <w:szCs w:val="28"/>
        </w:rPr>
      </w:pPr>
      <w:r>
        <w:rPr>
          <w:rFonts w:hint="eastAsia"/>
          <w:color w:val="auto"/>
          <w:sz w:val="28"/>
          <w:szCs w:val="28"/>
        </w:rPr>
        <w:t>3.存在先天性缺陷</w:t>
      </w:r>
    </w:p>
    <w:p>
      <w:pPr>
        <w:adjustRightInd w:val="0"/>
        <w:snapToGrid w:val="0"/>
        <w:spacing w:line="360" w:lineRule="auto"/>
        <w:ind w:firstLine="560" w:firstLineChars="200"/>
        <w:rPr>
          <w:color w:val="auto"/>
          <w:sz w:val="28"/>
          <w:szCs w:val="28"/>
        </w:rPr>
      </w:pPr>
      <w:r>
        <w:rPr>
          <w:rFonts w:hint="eastAsia"/>
          <w:color w:val="auto"/>
          <w:sz w:val="28"/>
          <w:szCs w:val="28"/>
        </w:rPr>
        <w:t>因设计失误造成锅炉结构受力不合理、热补偿不当、水循环不合理、用材不当、强度计算错误、安全设施设置不当等；制造失误包括材料选用不当、不按图样施工、焊接质量低劣等；热处理、水压试验等工艺操作错误等；对锅炉进行改造、修理不当，留下事故隐患。</w:t>
      </w:r>
    </w:p>
    <w:p>
      <w:pPr>
        <w:adjustRightInd w:val="0"/>
        <w:snapToGrid w:val="0"/>
        <w:spacing w:line="360" w:lineRule="auto"/>
        <w:ind w:firstLine="560" w:firstLineChars="200"/>
        <w:rPr>
          <w:color w:val="auto"/>
          <w:sz w:val="28"/>
          <w:szCs w:val="28"/>
        </w:rPr>
      </w:pPr>
      <w:r>
        <w:rPr>
          <w:rFonts w:hint="eastAsia"/>
          <w:color w:val="auto"/>
          <w:sz w:val="28"/>
          <w:szCs w:val="28"/>
        </w:rPr>
        <w:t>4.自动控制仪器仪表失灵</w:t>
      </w:r>
    </w:p>
    <w:p>
      <w:pPr>
        <w:adjustRightInd w:val="0"/>
        <w:snapToGrid w:val="0"/>
        <w:spacing w:line="360" w:lineRule="auto"/>
        <w:ind w:firstLine="560" w:firstLineChars="200"/>
        <w:rPr>
          <w:rFonts w:hint="eastAsia"/>
          <w:color w:val="auto"/>
          <w:sz w:val="28"/>
          <w:szCs w:val="28"/>
        </w:rPr>
      </w:pPr>
      <w:r>
        <w:rPr>
          <w:rFonts w:hint="eastAsia"/>
          <w:color w:val="auto"/>
          <w:sz w:val="28"/>
          <w:szCs w:val="28"/>
        </w:rPr>
        <w:t>自动控制仪器仪表的失灵，将使操作人员不能及时发现注汽锅炉的超压情况，造成损失。</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eastAsia"/>
          <w:bCs/>
          <w:snapToGrid w:val="0"/>
          <w:color w:val="auto"/>
          <w:kern w:val="0"/>
          <w:szCs w:val="28"/>
          <w:lang w:val="en-US" w:eastAsia="zh-CN"/>
        </w:rPr>
      </w:pPr>
      <w:r>
        <w:rPr>
          <w:rFonts w:hint="default"/>
          <w:b w:val="0"/>
          <w:bCs w:val="0"/>
          <w:sz w:val="28"/>
          <w:szCs w:val="28"/>
        </w:rPr>
        <w:t>3.</w:t>
      </w:r>
      <w:r>
        <w:rPr>
          <w:rFonts w:hint="default"/>
          <w:b w:val="0"/>
          <w:bCs w:val="0"/>
          <w:sz w:val="28"/>
          <w:szCs w:val="28"/>
          <w:lang w:val="en-US" w:eastAsia="zh-CN"/>
        </w:rPr>
        <w:t>4</w:t>
      </w:r>
      <w:r>
        <w:rPr>
          <w:rFonts w:hint="default"/>
          <w:b w:val="0"/>
          <w:bCs w:val="0"/>
          <w:sz w:val="28"/>
          <w:szCs w:val="28"/>
        </w:rPr>
        <w:t>.4</w:t>
      </w:r>
      <w:r>
        <w:rPr>
          <w:rFonts w:hint="eastAsia"/>
          <w:sz w:val="28"/>
          <w:szCs w:val="28"/>
        </w:rPr>
        <w:t xml:space="preserve"> </w:t>
      </w:r>
      <w:r>
        <w:rPr>
          <w:rFonts w:hint="eastAsia" w:ascii="Times New Roman" w:hAnsi="Times New Roman" w:eastAsia="黑体" w:cs="Times New Roman"/>
          <w:b w:val="0"/>
          <w:bCs/>
          <w:snapToGrid w:val="0"/>
          <w:color w:val="auto"/>
          <w:kern w:val="0"/>
          <w:sz w:val="28"/>
          <w:szCs w:val="28"/>
          <w:lang w:val="en-US" w:eastAsia="zh-CN" w:bidi="ar-SA"/>
        </w:rPr>
        <w:t>容器爆炸</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ascii="Times New Roman" w:hAnsi="Times New Roman" w:eastAsia="宋体" w:cs="Times New Roman"/>
          <w:sz w:val="28"/>
          <w:szCs w:val="28"/>
          <w:lang w:val="en-US" w:eastAsia="zh-CN"/>
        </w:rPr>
        <w:t>空气压缩机的</w:t>
      </w:r>
      <w:r>
        <w:rPr>
          <w:rFonts w:hint="eastAsia" w:cs="Times New Roman"/>
          <w:sz w:val="28"/>
          <w:szCs w:val="28"/>
          <w:lang w:val="en-US" w:eastAsia="zh-CN"/>
        </w:rPr>
        <w:t>缓冲</w:t>
      </w:r>
      <w:r>
        <w:rPr>
          <w:rFonts w:hint="default" w:ascii="Times New Roman" w:hAnsi="Times New Roman" w:eastAsia="宋体" w:cs="Times New Roman"/>
          <w:sz w:val="28"/>
          <w:szCs w:val="28"/>
          <w:lang w:val="en-US" w:eastAsia="zh-CN"/>
        </w:rPr>
        <w:t>罐、油气分离器等设备为压力容器，若发生安全附件失效、操作人员缺乏必要的基本知识违章操作、压力容器压力管道设计安装缺陷、腐蚀等原因，皆有可能造成容器内部压力过高，进而发生爆炸的危险。</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5</w:t>
      </w:r>
      <w:r>
        <w:rPr>
          <w:rFonts w:hint="eastAsia" w:eastAsia="黑体"/>
          <w:bCs/>
          <w:snapToGrid w:val="0"/>
          <w:color w:val="auto"/>
          <w:kern w:val="0"/>
          <w:sz w:val="28"/>
          <w:szCs w:val="28"/>
        </w:rPr>
        <w:t xml:space="preserve"> 灼烫</w:t>
      </w:r>
    </w:p>
    <w:p>
      <w:pPr>
        <w:adjustRightInd w:val="0"/>
        <w:snapToGrid w:val="0"/>
        <w:spacing w:line="360" w:lineRule="auto"/>
        <w:ind w:firstLine="560" w:firstLineChars="200"/>
        <w:rPr>
          <w:color w:val="auto"/>
          <w:sz w:val="28"/>
          <w:szCs w:val="28"/>
        </w:rPr>
      </w:pPr>
      <w:r>
        <w:rPr>
          <w:rFonts w:hint="eastAsia"/>
          <w:color w:val="auto"/>
          <w:sz w:val="28"/>
          <w:szCs w:val="28"/>
        </w:rPr>
        <w:t>本项目灼烫危险源为蒸汽管线表面、注汽锅炉高温表面</w:t>
      </w:r>
      <w:r>
        <w:rPr>
          <w:rFonts w:hint="eastAsia"/>
          <w:color w:val="auto"/>
          <w:sz w:val="28"/>
          <w:szCs w:val="28"/>
          <w:lang w:eastAsia="zh-CN"/>
        </w:rPr>
        <w:t>、复合发生器高温表面</w:t>
      </w:r>
      <w:r>
        <w:rPr>
          <w:rFonts w:hint="eastAsia"/>
          <w:color w:val="auto"/>
          <w:sz w:val="28"/>
          <w:szCs w:val="28"/>
        </w:rPr>
        <w:t>。管线及锅炉内蒸汽的温度最高可达3</w:t>
      </w:r>
      <w:r>
        <w:rPr>
          <w:rFonts w:hint="eastAsia"/>
          <w:color w:val="auto"/>
          <w:sz w:val="28"/>
          <w:szCs w:val="28"/>
          <w:lang w:val="en-US" w:eastAsia="zh-CN"/>
        </w:rPr>
        <w:t>00</w:t>
      </w:r>
      <w:r>
        <w:rPr>
          <w:rFonts w:hint="eastAsia"/>
          <w:color w:val="auto"/>
          <w:sz w:val="28"/>
          <w:szCs w:val="28"/>
        </w:rPr>
        <w:t>℃，高温表面若隔热防护不可靠或高温表面裸露，人员在未加防护的情况下触及，可能发生人员烫伤事故。</w:t>
      </w:r>
    </w:p>
    <w:p>
      <w:pPr>
        <w:adjustRightInd w:val="0"/>
        <w:snapToGrid w:val="0"/>
        <w:spacing w:line="360" w:lineRule="auto"/>
        <w:ind w:firstLine="560" w:firstLineChars="200"/>
        <w:rPr>
          <w:color w:val="auto"/>
          <w:sz w:val="28"/>
          <w:szCs w:val="28"/>
        </w:rPr>
      </w:pPr>
      <w:r>
        <w:rPr>
          <w:rFonts w:hint="eastAsia"/>
          <w:color w:val="auto"/>
          <w:sz w:val="28"/>
          <w:szCs w:val="28"/>
        </w:rPr>
        <w:t>高温</w:t>
      </w:r>
      <w:r>
        <w:rPr>
          <w:rFonts w:hint="eastAsia"/>
          <w:color w:val="auto"/>
          <w:sz w:val="28"/>
          <w:szCs w:val="28"/>
          <w:lang w:val="en-US" w:eastAsia="zh-CN"/>
        </w:rPr>
        <w:t>复合气</w:t>
      </w:r>
      <w:r>
        <w:rPr>
          <w:rFonts w:hint="eastAsia"/>
          <w:color w:val="auto"/>
          <w:sz w:val="28"/>
          <w:szCs w:val="28"/>
        </w:rPr>
        <w:t>、高温蒸汽系统若密封不严、违章操作，造成高温蒸汽外泄，与人体接触也会发生烫伤事故。</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6</w:t>
      </w:r>
      <w:r>
        <w:rPr>
          <w:rFonts w:hint="eastAsia" w:eastAsia="黑体"/>
          <w:bCs/>
          <w:snapToGrid w:val="0"/>
          <w:color w:val="auto"/>
          <w:kern w:val="0"/>
          <w:sz w:val="28"/>
          <w:szCs w:val="28"/>
        </w:rPr>
        <w:t xml:space="preserve"> 中毒</w:t>
      </w:r>
      <w:r>
        <w:rPr>
          <w:rFonts w:hint="eastAsia" w:eastAsia="黑体"/>
          <w:bCs/>
          <w:snapToGrid w:val="0"/>
          <w:color w:val="auto"/>
          <w:kern w:val="0"/>
          <w:sz w:val="28"/>
          <w:szCs w:val="28"/>
          <w:lang w:val="en-US" w:eastAsia="zh-CN"/>
        </w:rPr>
        <w:t>和</w:t>
      </w:r>
      <w:r>
        <w:rPr>
          <w:rFonts w:hint="eastAsia" w:eastAsia="黑体"/>
          <w:bCs/>
          <w:snapToGrid w:val="0"/>
          <w:color w:val="auto"/>
          <w:kern w:val="0"/>
          <w:sz w:val="28"/>
          <w:szCs w:val="28"/>
        </w:rPr>
        <w:t>窒息</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lang w:val="en-US" w:eastAsia="zh-CN"/>
        </w:rPr>
      </w:pPr>
      <w:r>
        <w:rPr>
          <w:rFonts w:hint="eastAsia"/>
          <w:bCs/>
          <w:color w:val="auto"/>
          <w:sz w:val="28"/>
          <w:lang w:val="en-US" w:eastAsia="zh-CN"/>
        </w:rPr>
        <w:t>在作业过程中，会产生烟气和高干度复合气。</w:t>
      </w:r>
      <w:r>
        <w:rPr>
          <w:rFonts w:hint="eastAsia" w:cs="Arial"/>
          <w:color w:val="000000" w:themeColor="text1"/>
          <w:sz w:val="28"/>
          <w:szCs w:val="28"/>
          <w:lang w:val="en-US" w:eastAsia="zh-CN"/>
          <w14:textFill>
            <w14:solidFill>
              <w14:schemeClr w14:val="tx1"/>
            </w14:solidFill>
          </w14:textFill>
        </w:rPr>
        <w:t>烟道气中的有害物质可以使操作人员中毒和窒息，同时高干度复合气含有</w:t>
      </w:r>
      <w:r>
        <w:rPr>
          <w:rFonts w:hint="eastAsia"/>
          <w:color w:val="auto"/>
          <w:sz w:val="28"/>
          <w:szCs w:val="28"/>
          <w:lang w:val="en-US" w:eastAsia="zh-CN"/>
        </w:rPr>
        <w:t>蒸汽、氮气和二氧化碳，操作工操作不当导致复合气泄漏，也易导致中毒窒息。</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olor w:val="auto"/>
          <w:sz w:val="28"/>
          <w:szCs w:val="28"/>
          <w:lang w:val="en-US"/>
        </w:rPr>
      </w:pPr>
      <w:r>
        <w:rPr>
          <w:bCs/>
          <w:color w:val="auto"/>
          <w:sz w:val="28"/>
        </w:rPr>
        <w:t>由于设备、管线腐蚀、损坏漏气或者井场周围地面大面积冒气，天然气在大气中达到一定浓度，会造成人员中毒。</w:t>
      </w:r>
      <w:r>
        <w:rPr>
          <w:rFonts w:hint="eastAsia"/>
          <w:bCs/>
          <w:color w:val="auto"/>
          <w:sz w:val="28"/>
        </w:rPr>
        <w:t>作业时，可能发生井喷事故，井喷时可能出现原油、天然气、硫化氢等有毒物质，若防护不当，可能致使操作人员中毒。天然气的主要成分是甲烷、乙烷，是无色、无臭、低毒气体，人员短时间内吸入高浓度的天然气，可引起急性中毒事故。</w:t>
      </w:r>
    </w:p>
    <w:p>
      <w:pPr>
        <w:adjustRightInd w:val="0"/>
        <w:snapToGrid w:val="0"/>
        <w:spacing w:line="360" w:lineRule="auto"/>
        <w:ind w:firstLine="560" w:firstLineChars="200"/>
        <w:rPr>
          <w:color w:val="auto"/>
          <w:sz w:val="28"/>
          <w:szCs w:val="28"/>
        </w:rPr>
      </w:pPr>
      <w:r>
        <w:rPr>
          <w:rFonts w:hint="eastAsia"/>
          <w:bCs/>
          <w:color w:val="auto"/>
          <w:sz w:val="28"/>
        </w:rPr>
        <w:t>含硫气体对人体具有一定的毒性，当油气井内含有大量的硫化氢气体时，作业人员在此类油气井进行</w:t>
      </w:r>
      <w:r>
        <w:rPr>
          <w:rFonts w:hint="eastAsia"/>
          <w:color w:val="auto"/>
          <w:sz w:val="28"/>
          <w:szCs w:val="28"/>
        </w:rPr>
        <w:t>井下作业</w:t>
      </w:r>
      <w:r>
        <w:rPr>
          <w:rFonts w:hint="eastAsia"/>
          <w:bCs/>
          <w:color w:val="auto"/>
          <w:sz w:val="28"/>
        </w:rPr>
        <w:t>时，如果因井下情况不明或其他意外原因发生大量硫化氢气体泄漏，作业人员没有可靠的防护措施，可能导致作业人员中毒。</w:t>
      </w:r>
    </w:p>
    <w:p>
      <w:pPr>
        <w:adjustRightInd w:val="0"/>
        <w:snapToGrid w:val="0"/>
        <w:spacing w:line="360" w:lineRule="auto"/>
        <w:ind w:firstLine="560" w:firstLineChars="200"/>
        <w:rPr>
          <w:color w:val="auto"/>
          <w:sz w:val="28"/>
          <w:szCs w:val="28"/>
        </w:rPr>
      </w:pPr>
      <w:r>
        <w:rPr>
          <w:rFonts w:hint="eastAsia"/>
          <w:color w:val="auto"/>
          <w:sz w:val="28"/>
          <w:szCs w:val="28"/>
        </w:rPr>
        <w:t>不同浓度的硫化氢对人体的危害见下表3-</w:t>
      </w:r>
      <w:r>
        <w:rPr>
          <w:rFonts w:hint="eastAsia"/>
          <w:color w:val="auto"/>
          <w:sz w:val="28"/>
          <w:szCs w:val="28"/>
          <w:lang w:val="en-US" w:eastAsia="zh-CN"/>
        </w:rPr>
        <w:t>7</w:t>
      </w:r>
      <w:r>
        <w:rPr>
          <w:rFonts w:hint="eastAsia"/>
          <w:color w:val="auto"/>
          <w:sz w:val="28"/>
          <w:szCs w:val="28"/>
        </w:rPr>
        <w:t>。</w:t>
      </w:r>
    </w:p>
    <w:p>
      <w:pPr>
        <w:adjustRightInd w:val="0"/>
        <w:snapToGrid w:val="0"/>
        <w:spacing w:line="360" w:lineRule="auto"/>
        <w:jc w:val="center"/>
        <w:rPr>
          <w:b/>
          <w:bCs/>
          <w:color w:val="auto"/>
          <w:sz w:val="24"/>
        </w:rPr>
      </w:pPr>
      <w:r>
        <w:rPr>
          <w:rFonts w:hint="eastAsia"/>
          <w:b/>
          <w:bCs/>
          <w:color w:val="auto"/>
          <w:sz w:val="24"/>
          <w:szCs w:val="24"/>
        </w:rPr>
        <w:t>表3-</w:t>
      </w:r>
      <w:r>
        <w:rPr>
          <w:rFonts w:hint="eastAsia"/>
          <w:b/>
          <w:bCs/>
          <w:color w:val="auto"/>
          <w:sz w:val="24"/>
          <w:szCs w:val="24"/>
          <w:lang w:val="en-US" w:eastAsia="zh-CN"/>
        </w:rPr>
        <w:t>7</w:t>
      </w:r>
      <w:r>
        <w:rPr>
          <w:rFonts w:hint="eastAsia"/>
          <w:b/>
          <w:bCs/>
          <w:color w:val="auto"/>
          <w:sz w:val="24"/>
          <w:szCs w:val="24"/>
        </w:rPr>
        <w:t xml:space="preserve"> 硫化氢对人体的危害</w:t>
      </w:r>
    </w:p>
    <w:tbl>
      <w:tblPr>
        <w:tblStyle w:val="285"/>
        <w:tblW w:w="5016"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407"/>
        <w:gridCol w:w="1414"/>
        <w:gridCol w:w="1420"/>
        <w:gridCol w:w="412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64" w:hRule="atLeast"/>
          <w:tblHeader/>
        </w:trPr>
        <w:tc>
          <w:tcPr>
            <w:tcW w:w="2535" w:type="pct"/>
            <w:gridSpan w:val="3"/>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在空气中的浓度</w:t>
            </w:r>
          </w:p>
        </w:tc>
        <w:tc>
          <w:tcPr>
            <w:tcW w:w="2464" w:type="pct"/>
            <w:vMerge w:val="restar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暴露于硫化氢的典型特性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49" w:hRule="atLeast"/>
          <w:tblHeader/>
        </w:trPr>
        <w:tc>
          <w:tcPr>
            <w:tcW w:w="841"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%(体积分数)</w:t>
            </w:r>
          </w:p>
        </w:tc>
        <w:tc>
          <w:tcPr>
            <w:tcW w:w="845"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ppm</w:t>
            </w:r>
          </w:p>
        </w:tc>
        <w:tc>
          <w:tcPr>
            <w:tcW w:w="848"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mg/m³</w:t>
            </w:r>
          </w:p>
        </w:tc>
        <w:tc>
          <w:tcPr>
            <w:tcW w:w="2464" w:type="pct"/>
            <w:vMerge w:val="continue"/>
            <w:tcBorders>
              <w:tl2br w:val="nil"/>
              <w:tr2bl w:val="nil"/>
            </w:tcBorders>
            <w:vAlign w:val="center"/>
          </w:tcPr>
          <w:p>
            <w:pPr>
              <w:bidi w:val="0"/>
              <w:jc w:val="left"/>
              <w:rPr>
                <w:rFonts w:hint="default" w:ascii="Times New Roman" w:hAnsi="Times New Roman" w:eastAsia="宋体" w:cs="Times New Roman"/>
                <w:b/>
                <w:bCs/>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0.000013</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0.13</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0.18</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通常，在大气中含量为0.195mg/m³(0.13ppm)时，有明显和令人讨厌的气味，在大气中含量为6.9mg/m² (4.6ppm)时就相当明显。随着浓度的增加，嗅觉就会疲劳，气体不再能通过气味来辨别</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0.001</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14.41</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有令人讨厌的气味，眼睛可能受刺激，推荐的阈限值 (8h加权平均值)</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0.0015</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21.61</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推荐的15min短期暴露范围平均值</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0.002</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28.83</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在暴露1h或更长时间后，眼睛有烧灼感，呼吸道受到刺激</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0.005</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72.07</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暴露15min或15min以上的时间后嗅觉就会丧失；时间超过1h,可能导致头痛、头晕和(或)摇晃；超过 75mg/m³(50ppm)将会出现肺浮肿，也会对人员的眼睛产生严重刺激或伤害</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0.01</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144.14</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3min～5min就会出现咳嗽、眼睛受刺激和失去嗅觉；在5min～20min过后，呼吸就会变样、眼睛就会疼痛并昏昏欲睡；在1h后就会刺激喉道；延长暴露时间将逐渐加重这些症状</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0.03</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432.40</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明显的结膜炎和呼吸道刺激</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720.49</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短期暴露后就会不省人事，不迅速处理就会停止呼吸；头晕、失去理智和平衡感。患者需要迅速进行人工呼吸和(或)心肺复苏技术</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700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1008.55</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意识快速丧失，不迅速营救，呼吸就会停止并导致死亡。必须立即采取人工呼吸和(或)心肺复苏技术</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841"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0.10+</w:t>
            </w:r>
          </w:p>
        </w:tc>
        <w:tc>
          <w:tcPr>
            <w:tcW w:w="845"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1000+</w:t>
            </w:r>
          </w:p>
        </w:tc>
        <w:tc>
          <w:tcPr>
            <w:tcW w:w="848"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1440.98+</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立即丧失知觉，会产生永久性的脑伤害或脑死亡。必须迅速进行营救，应用人工呼吸和(或)心肺复苏</w:t>
            </w:r>
            <w:r>
              <w:rPr>
                <w:rFonts w:hint="eastAsia" w:cs="Times New Roman"/>
                <w:sz w:val="21"/>
                <w:szCs w:val="21"/>
                <w:lang w:eastAsia="zh-CN"/>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auto"/>
          <w:sz w:val="28"/>
          <w:szCs w:val="28"/>
        </w:rPr>
      </w:pPr>
      <w:r>
        <w:rPr>
          <w:rFonts w:hint="eastAsia"/>
          <w:color w:val="auto"/>
          <w:sz w:val="28"/>
          <w:szCs w:val="28"/>
        </w:rPr>
        <w:t>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不同浓度的二氧化硫对人体的危害见下表3-</w:t>
      </w:r>
      <w:r>
        <w:rPr>
          <w:rFonts w:hint="eastAsia"/>
          <w:color w:val="auto"/>
          <w:sz w:val="28"/>
          <w:szCs w:val="28"/>
          <w:lang w:val="en-US" w:eastAsia="zh-CN"/>
        </w:rPr>
        <w:t>8</w:t>
      </w:r>
      <w:r>
        <w:rPr>
          <w:rFonts w:hint="eastAsia"/>
          <w:color w:val="auto"/>
          <w:sz w:val="28"/>
          <w:szCs w:val="28"/>
        </w:rPr>
        <w:t>。</w:t>
      </w:r>
    </w:p>
    <w:p>
      <w:pPr>
        <w:adjustRightInd w:val="0"/>
        <w:snapToGrid w:val="0"/>
        <w:spacing w:line="360" w:lineRule="auto"/>
        <w:jc w:val="center"/>
        <w:rPr>
          <w:b/>
          <w:bCs/>
          <w:color w:val="auto"/>
          <w:sz w:val="28"/>
          <w:szCs w:val="28"/>
        </w:rPr>
      </w:pPr>
      <w:r>
        <w:rPr>
          <w:rFonts w:hint="eastAsia"/>
          <w:b/>
          <w:bCs/>
          <w:color w:val="auto"/>
          <w:sz w:val="24"/>
          <w:szCs w:val="24"/>
        </w:rPr>
        <w:t>表3-</w:t>
      </w:r>
      <w:r>
        <w:rPr>
          <w:rFonts w:hint="eastAsia"/>
          <w:b/>
          <w:bCs/>
          <w:color w:val="auto"/>
          <w:sz w:val="24"/>
          <w:szCs w:val="24"/>
          <w:lang w:val="en-US" w:eastAsia="zh-CN"/>
        </w:rPr>
        <w:t>8</w:t>
      </w:r>
      <w:r>
        <w:rPr>
          <w:rFonts w:hint="eastAsia"/>
          <w:b/>
          <w:bCs/>
          <w:color w:val="auto"/>
          <w:sz w:val="24"/>
          <w:szCs w:val="24"/>
        </w:rPr>
        <w:t xml:space="preserve"> 二氧化硫对人体的危害</w:t>
      </w:r>
    </w:p>
    <w:tbl>
      <w:tblPr>
        <w:tblStyle w:val="52"/>
        <w:tblW w:w="839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71"/>
        <w:gridCol w:w="61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eastAsia"/>
                <w:b/>
                <w:color w:val="auto"/>
                <w:szCs w:val="21"/>
              </w:rPr>
              <w:t>空气中浓度mg/m</w:t>
            </w:r>
            <w:r>
              <w:rPr>
                <w:rFonts w:hint="eastAsia"/>
                <w:b/>
                <w:color w:val="auto"/>
                <w:szCs w:val="21"/>
                <w:vertAlign w:val="superscript"/>
              </w:rPr>
              <w:t>3</w:t>
            </w:r>
            <w:r>
              <w:rPr>
                <w:rFonts w:hint="eastAsia"/>
                <w:b/>
                <w:color w:val="auto"/>
                <w:szCs w:val="21"/>
              </w:rPr>
              <w:t>（ppm）</w:t>
            </w:r>
          </w:p>
        </w:tc>
        <w:tc>
          <w:tcPr>
            <w:tcW w:w="6126" w:type="dxa"/>
            <w:vAlign w:val="center"/>
          </w:tcPr>
          <w:p>
            <w:pPr>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eastAsia"/>
                <w:b/>
                <w:color w:val="auto"/>
                <w:szCs w:val="21"/>
              </w:rPr>
              <w:t>生理影响及危害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2.71（1）</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具有刺激性气味，可能引起呼吸改变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5.42（2）</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美国政府工业卫生专家联合会（ACGIH）推荐的阈限值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13.50（5）</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灼伤眼睛，刺激呼吸，对嗓子有较小的刺激。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32.49（12）</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刺激嗓子咳嗽，胸腔收缩，流眼泪和恶心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271（100）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立即对生命和健康产生危险的浓度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406.35（150）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产生强烈的刺激，只能忍受几分钟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1354.50（500）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即使吸入一口，就会产生窒息感，应立即救治，提供人工呼吸会心肺复苏技术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27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eastAsia"/>
                <w:color w:val="auto"/>
                <w:szCs w:val="21"/>
              </w:rPr>
              <w:t>2708.99（1000）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auto"/>
                <w:szCs w:val="21"/>
              </w:rPr>
            </w:pPr>
            <w:r>
              <w:rPr>
                <w:rFonts w:hint="eastAsia"/>
                <w:color w:val="auto"/>
                <w:szCs w:val="21"/>
              </w:rPr>
              <w:t>如不立即救治就会导致死亡，应马上进行人工呼吸或心肺复苏</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7</w:t>
      </w:r>
      <w:r>
        <w:rPr>
          <w:rFonts w:hint="eastAsia" w:eastAsia="黑体"/>
          <w:bCs/>
          <w:snapToGrid w:val="0"/>
          <w:color w:val="auto"/>
          <w:kern w:val="0"/>
          <w:sz w:val="28"/>
          <w:szCs w:val="28"/>
        </w:rPr>
        <w:t xml:space="preserve"> 物体打击</w:t>
      </w:r>
    </w:p>
    <w:p>
      <w:pPr>
        <w:adjustRightInd w:val="0"/>
        <w:snapToGrid w:val="0"/>
        <w:spacing w:line="360" w:lineRule="auto"/>
        <w:ind w:firstLine="560" w:firstLineChars="200"/>
        <w:rPr>
          <w:color w:val="auto"/>
          <w:sz w:val="28"/>
          <w:szCs w:val="28"/>
        </w:rPr>
      </w:pPr>
      <w:r>
        <w:rPr>
          <w:rFonts w:hint="eastAsia"/>
          <w:color w:val="auto"/>
          <w:sz w:val="28"/>
          <w:szCs w:val="28"/>
        </w:rPr>
        <w:t>物体打击事故是井场作业施工过程中发生频率最高的事故，引起物体打击事故的原因有：</w:t>
      </w:r>
    </w:p>
    <w:p>
      <w:pPr>
        <w:adjustRightInd w:val="0"/>
        <w:snapToGrid w:val="0"/>
        <w:spacing w:line="360" w:lineRule="auto"/>
        <w:ind w:firstLine="560" w:firstLineChars="200"/>
        <w:rPr>
          <w:color w:val="auto"/>
          <w:sz w:val="28"/>
          <w:szCs w:val="28"/>
        </w:rPr>
      </w:pPr>
      <w:r>
        <w:rPr>
          <w:rFonts w:hint="eastAsia"/>
          <w:color w:val="auto"/>
          <w:sz w:val="28"/>
          <w:szCs w:val="28"/>
        </w:rPr>
        <w:t>1.工作场所狭小，缺乏躲避空间或操作人员违反操作规程；</w:t>
      </w:r>
    </w:p>
    <w:p>
      <w:pPr>
        <w:adjustRightInd w:val="0"/>
        <w:snapToGrid w:val="0"/>
        <w:spacing w:line="360" w:lineRule="auto"/>
        <w:ind w:firstLine="560" w:firstLineChars="200"/>
        <w:rPr>
          <w:color w:val="auto"/>
          <w:sz w:val="28"/>
          <w:szCs w:val="28"/>
        </w:rPr>
      </w:pPr>
      <w:r>
        <w:rPr>
          <w:rFonts w:hint="eastAsia"/>
          <w:color w:val="auto"/>
          <w:sz w:val="28"/>
          <w:szCs w:val="28"/>
        </w:rPr>
        <w:t>2.进行管线、井口装置、设备等拆装作业时，用力过猛，致使部件或工具失控；</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3</w:t>
      </w:r>
      <w:r>
        <w:rPr>
          <w:rFonts w:hint="eastAsia"/>
          <w:color w:val="auto"/>
          <w:sz w:val="28"/>
          <w:szCs w:val="28"/>
        </w:rPr>
        <w:t>.高压作业中，由于压力过高、系统试压不合格、压力超过系统承受压力等级，引起管线破裂，流体刺漏、井口抬升等；</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4</w:t>
      </w:r>
      <w:r>
        <w:rPr>
          <w:rFonts w:hint="eastAsia"/>
          <w:color w:val="auto"/>
          <w:sz w:val="28"/>
          <w:szCs w:val="28"/>
        </w:rPr>
        <w:t>.作业时高压管线未可靠固定，在升压过程中发生摆动。</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8</w:t>
      </w:r>
      <w:r>
        <w:rPr>
          <w:rFonts w:hint="eastAsia" w:eastAsia="黑体"/>
          <w:bCs/>
          <w:snapToGrid w:val="0"/>
          <w:color w:val="auto"/>
          <w:kern w:val="0"/>
          <w:sz w:val="28"/>
          <w:szCs w:val="28"/>
        </w:rPr>
        <w:t xml:space="preserve"> 机械伤害</w:t>
      </w:r>
    </w:p>
    <w:p>
      <w:pPr>
        <w:adjustRightInd w:val="0"/>
        <w:snapToGrid w:val="0"/>
        <w:spacing w:line="360" w:lineRule="auto"/>
        <w:ind w:firstLine="560" w:firstLineChars="200"/>
        <w:rPr>
          <w:color w:val="auto"/>
          <w:sz w:val="28"/>
          <w:szCs w:val="28"/>
        </w:rPr>
      </w:pPr>
      <w:r>
        <w:rPr>
          <w:rFonts w:hint="eastAsia"/>
          <w:color w:val="auto"/>
          <w:sz w:val="28"/>
          <w:szCs w:val="28"/>
        </w:rPr>
        <w:t>作业施工过程中，</w:t>
      </w:r>
      <w:r>
        <w:rPr>
          <w:rFonts w:hint="eastAsia"/>
          <w:color w:val="auto"/>
          <w:sz w:val="28"/>
          <w:szCs w:val="28"/>
          <w:lang w:val="en-US" w:eastAsia="zh-CN"/>
        </w:rPr>
        <w:t>会使用到空压力及机泵设备</w:t>
      </w:r>
      <w:r>
        <w:rPr>
          <w:rFonts w:hint="eastAsia"/>
          <w:color w:val="auto"/>
          <w:sz w:val="28"/>
          <w:szCs w:val="28"/>
        </w:rPr>
        <w:t>，若这些机械设备本身存在的故障未及时排除，可能会成为引发重大机械事故的隐患，造成机毁人亡的恶性事故。</w:t>
      </w:r>
    </w:p>
    <w:p>
      <w:pPr>
        <w:adjustRightInd w:val="0"/>
        <w:snapToGrid w:val="0"/>
        <w:spacing w:line="360" w:lineRule="auto"/>
        <w:ind w:firstLine="560" w:firstLineChars="200"/>
        <w:rPr>
          <w:color w:val="auto"/>
          <w:sz w:val="28"/>
          <w:szCs w:val="28"/>
        </w:rPr>
      </w:pPr>
      <w:r>
        <w:rPr>
          <w:rFonts w:hint="eastAsia"/>
          <w:color w:val="auto"/>
          <w:sz w:val="28"/>
          <w:szCs w:val="28"/>
        </w:rPr>
        <w:t>机械外露的运动部分缺乏防护罩或防护罩失效，联锁保护装置失灵或在检修作业中拆下后未复原，在运行中可引起绞、辗等伤害，或因运动部件断脱、飞出而造成人身伤亡及机器损坏事故。机械设备检修时，存在惯性的机械部件未可靠的停止（如刹车失灵）、未可靠切断动力源（如电源、气源等）、检修过程中发生违章操作（如意外送电）、安全防护装置损坏或缺失等都可能引起机械伤害事故。</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9</w:t>
      </w:r>
      <w:r>
        <w:rPr>
          <w:rFonts w:hint="eastAsia" w:eastAsia="黑体"/>
          <w:bCs/>
          <w:snapToGrid w:val="0"/>
          <w:color w:val="auto"/>
          <w:kern w:val="0"/>
          <w:sz w:val="28"/>
          <w:szCs w:val="28"/>
        </w:rPr>
        <w:t xml:space="preserve"> 触电</w:t>
      </w:r>
    </w:p>
    <w:p>
      <w:pPr>
        <w:adjustRightInd w:val="0"/>
        <w:snapToGrid w:val="0"/>
        <w:spacing w:line="360" w:lineRule="auto"/>
        <w:ind w:firstLine="560" w:firstLineChars="200"/>
        <w:rPr>
          <w:color w:val="auto"/>
          <w:sz w:val="28"/>
          <w:szCs w:val="28"/>
        </w:rPr>
      </w:pPr>
      <w:r>
        <w:rPr>
          <w:rFonts w:hint="eastAsia"/>
          <w:color w:val="auto"/>
          <w:sz w:val="28"/>
          <w:szCs w:val="28"/>
        </w:rPr>
        <w:t>电气设备、电气线路是引发触电事故的危险源。若电气设备、线路的绝缘损坏或因腐蚀、老化引起绝缘性能降低，带电体外露，安全距离不足，未设可靠的接地保护或漏电保护装置，高压电窜入低压线路，非专业人员违章进行电气作业，电气作业人员违反电气作业安全规程等，人体直接或间接触及带电体，都会导致触电事故发生。</w:t>
      </w:r>
    </w:p>
    <w:p>
      <w:pPr>
        <w:adjustRightInd w:val="0"/>
        <w:snapToGrid w:val="0"/>
        <w:spacing w:line="360" w:lineRule="auto"/>
        <w:ind w:firstLine="560" w:firstLineChars="200"/>
        <w:rPr>
          <w:color w:val="auto"/>
          <w:sz w:val="28"/>
          <w:szCs w:val="28"/>
        </w:rPr>
      </w:pPr>
      <w:r>
        <w:rPr>
          <w:rFonts w:hint="eastAsia"/>
          <w:color w:val="auto"/>
          <w:sz w:val="28"/>
          <w:szCs w:val="28"/>
        </w:rPr>
        <w:t>进行起重吊装作业时，若作业场地附近有高压线，吊物、钢丝绳等与高压线搭接，可能发生触电；运输超高、超长设备时，与沿途的架空线路搭接，也会发生触电。</w:t>
      </w:r>
    </w:p>
    <w:p>
      <w:pPr>
        <w:adjustRightInd w:val="0"/>
        <w:snapToGrid w:val="0"/>
        <w:spacing w:line="360" w:lineRule="auto"/>
        <w:ind w:firstLine="560" w:firstLineChars="200"/>
        <w:rPr>
          <w:rFonts w:hint="eastAsia"/>
          <w:color w:val="auto"/>
          <w:sz w:val="28"/>
          <w:szCs w:val="28"/>
        </w:rPr>
      </w:pPr>
      <w:r>
        <w:rPr>
          <w:rFonts w:hint="eastAsia"/>
          <w:color w:val="auto"/>
          <w:sz w:val="28"/>
          <w:szCs w:val="28"/>
        </w:rPr>
        <w:t>野外露天设置的电气开关，经风吹日晒，易造成线路老化、设施锈蚀，造成接触不良。夏季雨水较多，各电气开关易吸潮造成短路，引发触电事故。因此，野外施工作业要特别加强电气设备的维修及使用管理，电气维修一定要切断电源，严格执行挂牌制度，防止意外触电事故的发生，手持电动工具一定要安装漏电保护器，设备电源线沿地面铺设经过道路时，应有保护设施。</w:t>
      </w:r>
    </w:p>
    <w:p>
      <w:pPr>
        <w:keepNext/>
        <w:keepLines/>
        <w:adjustRightInd w:val="0"/>
        <w:snapToGrid w:val="0"/>
        <w:spacing w:line="360" w:lineRule="auto"/>
        <w:outlineLvl w:val="2"/>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10</w:t>
      </w:r>
      <w:r>
        <w:rPr>
          <w:rFonts w:hint="eastAsia" w:eastAsia="黑体"/>
          <w:bCs/>
          <w:snapToGrid w:val="0"/>
          <w:color w:val="auto"/>
          <w:kern w:val="0"/>
          <w:sz w:val="28"/>
          <w:szCs w:val="28"/>
        </w:rPr>
        <w:t xml:space="preserve"> </w:t>
      </w:r>
      <w:r>
        <w:rPr>
          <w:rFonts w:hint="eastAsia" w:eastAsia="黑体"/>
          <w:bCs/>
          <w:snapToGrid w:val="0"/>
          <w:color w:val="auto"/>
          <w:kern w:val="0"/>
          <w:sz w:val="28"/>
          <w:szCs w:val="28"/>
          <w:lang w:val="en-US" w:eastAsia="zh-CN"/>
        </w:rPr>
        <w:t>高处坠落</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kern w:val="2"/>
          <w:szCs w:val="28"/>
          <w:lang w:val="en-US" w:eastAsia="zh-CN" w:bidi="ar-SA"/>
        </w:rPr>
      </w:pPr>
      <w:r>
        <w:rPr>
          <w:rFonts w:hint="eastAsia" w:ascii="Times New Roman" w:hAnsi="Times New Roman" w:eastAsia="宋体" w:cs="Times New Roman"/>
          <w:color w:val="auto"/>
          <w:sz w:val="28"/>
          <w:szCs w:val="28"/>
          <w:lang w:val="en-US" w:eastAsia="zh-CN"/>
        </w:rPr>
        <w:t>在柴油罐的</w:t>
      </w:r>
      <w:r>
        <w:rPr>
          <w:rFonts w:hint="default" w:ascii="Times New Roman" w:hAnsi="Times New Roman" w:eastAsia="宋体" w:cs="Times New Roman"/>
          <w:color w:val="auto"/>
          <w:sz w:val="28"/>
          <w:szCs w:val="28"/>
          <w:lang w:val="en-US" w:eastAsia="zh-CN"/>
        </w:rPr>
        <w:t>巡检、维护过程中，涉及到高处</w:t>
      </w:r>
      <w:r>
        <w:rPr>
          <w:rFonts w:hint="default" w:cs="Times New Roman"/>
          <w:color w:val="auto"/>
          <w:sz w:val="28"/>
          <w:szCs w:val="28"/>
          <w:lang w:eastAsia="zh-CN"/>
        </w:rPr>
        <w:t>坠落</w:t>
      </w:r>
      <w:r>
        <w:rPr>
          <w:rFonts w:hint="default" w:ascii="Times New Roman" w:hAnsi="Times New Roman" w:eastAsia="宋体" w:cs="Times New Roman"/>
          <w:color w:val="auto"/>
          <w:sz w:val="28"/>
          <w:szCs w:val="28"/>
          <w:lang w:val="en-US" w:eastAsia="zh-CN"/>
        </w:rPr>
        <w:t>。作业时安全防护装置不完善或缺乏安全防护装置，人员安全培训不到位，作业中存在违章作业、违章指挥、违反劳动纪律的现象，均可导致高处坠落事故发生。</w:t>
      </w:r>
    </w:p>
    <w:p>
      <w:pPr>
        <w:keepNext/>
        <w:keepLines/>
        <w:adjustRightInd w:val="0"/>
        <w:snapToGrid w:val="0"/>
        <w:spacing w:line="360" w:lineRule="auto"/>
        <w:outlineLvl w:val="2"/>
        <w:rPr>
          <w:rFonts w:hint="default" w:ascii="Times New Roman" w:hAnsi="Times New Roman" w:eastAsia="宋体" w:cs="Times New Roman"/>
          <w:color w:val="auto"/>
          <w:kern w:val="2"/>
          <w:sz w:val="28"/>
          <w:szCs w:val="28"/>
          <w:lang w:val="en-US" w:eastAsia="zh-CN" w:bidi="ar-SA"/>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11</w:t>
      </w:r>
      <w:r>
        <w:rPr>
          <w:rFonts w:hint="eastAsia" w:eastAsia="黑体"/>
          <w:bCs/>
          <w:snapToGrid w:val="0"/>
          <w:color w:val="auto"/>
          <w:kern w:val="0"/>
          <w:sz w:val="28"/>
          <w:szCs w:val="28"/>
        </w:rPr>
        <w:t xml:space="preserve"> </w:t>
      </w:r>
      <w:r>
        <w:rPr>
          <w:rFonts w:hint="eastAsia" w:eastAsia="黑体"/>
          <w:bCs/>
          <w:snapToGrid w:val="0"/>
          <w:color w:val="auto"/>
          <w:kern w:val="0"/>
          <w:sz w:val="28"/>
          <w:szCs w:val="28"/>
          <w:lang w:val="en-US" w:eastAsia="zh-CN"/>
        </w:rPr>
        <w:t>起重伤害</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eastAsia="zh-CN"/>
        </w:rPr>
        <w:t>在设备设施搬迁过程中，</w:t>
      </w:r>
      <w:r>
        <w:rPr>
          <w:rFonts w:hint="default"/>
          <w:sz w:val="28"/>
          <w:szCs w:val="28"/>
        </w:rPr>
        <w:t>需要对设备进行吊运，在吊运过程中，因违章作业、起重设备的安全装置及保护措施失灵、吊车吊钩、钢丝绳、吊索具超载断裂，吊运时钢丝绳从吊钩中脱出，吊货物捆扎不牢固或作业时吊物下有人等情况，易发生起重伤害事故。</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12</w:t>
      </w:r>
      <w:r>
        <w:rPr>
          <w:rFonts w:hint="eastAsia" w:eastAsia="黑体"/>
          <w:bCs/>
          <w:snapToGrid w:val="0"/>
          <w:color w:val="auto"/>
          <w:kern w:val="0"/>
          <w:sz w:val="28"/>
          <w:szCs w:val="28"/>
        </w:rPr>
        <w:t xml:space="preserve"> 车辆伤害</w:t>
      </w:r>
    </w:p>
    <w:p>
      <w:pPr>
        <w:adjustRightInd w:val="0"/>
        <w:snapToGrid w:val="0"/>
        <w:spacing w:line="360" w:lineRule="auto"/>
        <w:ind w:firstLine="560" w:firstLineChars="200"/>
        <w:rPr>
          <w:color w:val="auto"/>
          <w:sz w:val="28"/>
          <w:szCs w:val="28"/>
        </w:rPr>
      </w:pPr>
      <w:r>
        <w:rPr>
          <w:rFonts w:hint="eastAsia"/>
          <w:color w:val="auto"/>
          <w:sz w:val="28"/>
          <w:szCs w:val="28"/>
        </w:rPr>
        <w:t>井下作业</w:t>
      </w:r>
      <w:r>
        <w:rPr>
          <w:rFonts w:hint="eastAsia"/>
          <w:color w:val="auto"/>
          <w:sz w:val="28"/>
          <w:szCs w:val="28"/>
          <w:lang w:val="en-US" w:eastAsia="zh-CN"/>
        </w:rPr>
        <w:t>项目</w:t>
      </w:r>
      <w:r>
        <w:rPr>
          <w:rFonts w:hint="eastAsia"/>
          <w:color w:val="auto"/>
          <w:sz w:val="28"/>
          <w:szCs w:val="28"/>
        </w:rPr>
        <w:t>流动性大，人员和设备的搬迁全部依靠运输车辆完成。石油企业的交通运输，往往车多路窄、各种特种车辆车体大而笨重，经常在路面状况不良的道路上行驶，受人员、车辆、路况、天气等原因容易发生各种交通事故。</w:t>
      </w:r>
    </w:p>
    <w:p>
      <w:pPr>
        <w:adjustRightInd w:val="0"/>
        <w:snapToGrid w:val="0"/>
        <w:spacing w:line="360" w:lineRule="auto"/>
        <w:ind w:firstLine="560" w:firstLineChars="200"/>
        <w:rPr>
          <w:rFonts w:hint="eastAsia"/>
          <w:color w:val="auto"/>
          <w:sz w:val="28"/>
          <w:szCs w:val="28"/>
        </w:rPr>
      </w:pPr>
      <w:r>
        <w:rPr>
          <w:rFonts w:hint="eastAsia"/>
          <w:color w:val="auto"/>
          <w:sz w:val="28"/>
          <w:szCs w:val="28"/>
        </w:rPr>
        <w:t>作业现场情况复杂，施工车辆在井场内移动（摆车）时，由于机械故障、视野不良、人员操作失误或违章等，可能造成井场内的人员碰伤、碾压、撞击等车辆伤害事故。</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default" w:ascii="Times New Roman" w:hAnsi="Times New Roman" w:eastAsia="黑体" w:cs="Times New Roman"/>
          <w:bCs/>
          <w:snapToGrid w:val="0"/>
          <w:color w:val="auto"/>
          <w:kern w:val="0"/>
          <w:szCs w:val="28"/>
          <w:lang w:val="en-US" w:eastAsia="zh-CN"/>
        </w:rPr>
      </w:pPr>
      <w:r>
        <w:rPr>
          <w:rFonts w:hint="default" w:ascii="Times New Roman" w:hAnsi="Times New Roman" w:eastAsia="黑体" w:cs="Times New Roman"/>
          <w:sz w:val="28"/>
          <w:szCs w:val="28"/>
        </w:rPr>
        <w:t>3.</w:t>
      </w:r>
      <w:r>
        <w:rPr>
          <w:rFonts w:hint="default" w:ascii="Times New Roman" w:hAnsi="Times New Roman" w:eastAsia="黑体" w:cs="Times New Roman"/>
          <w:sz w:val="28"/>
          <w:szCs w:val="28"/>
          <w:lang w:val="en-US" w:eastAsia="zh-CN"/>
        </w:rPr>
        <w:t>4</w:t>
      </w:r>
      <w:r>
        <w:rPr>
          <w:rFonts w:hint="default" w:ascii="Times New Roman" w:hAnsi="Times New Roman" w:eastAsia="黑体" w:cs="Times New Roman"/>
          <w:sz w:val="28"/>
          <w:szCs w:val="28"/>
        </w:rPr>
        <w:t>.</w:t>
      </w:r>
      <w:r>
        <w:rPr>
          <w:rFonts w:hint="default" w:ascii="Times New Roman" w:hAnsi="Times New Roman" w:eastAsia="黑体" w:cs="Times New Roman"/>
          <w:sz w:val="28"/>
          <w:szCs w:val="28"/>
          <w:lang w:val="en-US" w:eastAsia="zh-CN"/>
        </w:rPr>
        <w:t>1</w:t>
      </w:r>
      <w:r>
        <w:rPr>
          <w:rFonts w:hint="eastAsia" w:ascii="Times New Roman" w:hAnsi="Times New Roman" w:eastAsia="黑体" w:cs="Times New Roman"/>
          <w:sz w:val="28"/>
          <w:szCs w:val="28"/>
          <w:lang w:val="en-US" w:eastAsia="zh-CN"/>
        </w:rPr>
        <w:t>3</w:t>
      </w:r>
      <w:r>
        <w:rPr>
          <w:rFonts w:hint="default" w:ascii="Times New Roman" w:hAnsi="Times New Roman" w:eastAsia="黑体" w:cs="Times New Roman"/>
          <w:sz w:val="28"/>
          <w:szCs w:val="28"/>
        </w:rPr>
        <w:t xml:space="preserve"> </w:t>
      </w:r>
      <w:r>
        <w:rPr>
          <w:rFonts w:hint="eastAsia" w:ascii="Times New Roman" w:hAnsi="Times New Roman" w:eastAsia="黑体" w:cs="Times New Roman"/>
          <w:sz w:val="28"/>
          <w:szCs w:val="28"/>
          <w:lang w:val="en-US" w:eastAsia="zh-CN"/>
        </w:rPr>
        <w:t>淹溺</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黑体" w:cs="Times New Roman"/>
          <w:bCs/>
          <w:snapToGrid w:val="0"/>
          <w:color w:val="auto"/>
          <w:kern w:val="0"/>
          <w:szCs w:val="28"/>
          <w:lang w:val="en-US" w:eastAsia="zh-CN"/>
        </w:rPr>
      </w:pPr>
      <w:r>
        <w:rPr>
          <w:rFonts w:hint="default" w:ascii="Times New Roman" w:hAnsi="Times New Roman" w:cs="Times New Roman"/>
          <w:sz w:val="28"/>
          <w:szCs w:val="28"/>
          <w:lang w:val="en-US" w:eastAsia="zh-CN"/>
        </w:rPr>
        <w:t>注汽作业队施工现场设置有2个40m³的储水箱，当储水箱内注满水的时候，若周围无警示标识及防护设施，操作人员疏忽大意会掉落储水箱内，发生淹溺事故。</w:t>
      </w:r>
    </w:p>
    <w:p>
      <w:pPr>
        <w:pStyle w:val="4"/>
        <w:adjustRightInd w:val="0"/>
        <w:snapToGrid w:val="0"/>
        <w:spacing w:before="0" w:after="0" w:line="360" w:lineRule="auto"/>
        <w:rPr>
          <w:rFonts w:ascii="Times New Roman" w:hAnsi="Times New Roman"/>
          <w:b w:val="0"/>
          <w:bCs/>
          <w:color w:val="auto"/>
          <w:szCs w:val="32"/>
        </w:rPr>
      </w:pPr>
      <w:bookmarkStart w:id="67" w:name="_Toc216105914"/>
      <w:bookmarkStart w:id="68" w:name="_Toc281310743"/>
      <w:bookmarkStart w:id="69" w:name="_Toc8180"/>
      <w:bookmarkStart w:id="70" w:name="_Toc447782518"/>
      <w:bookmarkStart w:id="71" w:name="_Toc329433800"/>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5</w:t>
      </w:r>
      <w:r>
        <w:rPr>
          <w:rFonts w:hint="eastAsia" w:ascii="Times New Roman" w:hAnsi="Times New Roman"/>
          <w:b w:val="0"/>
          <w:bCs/>
          <w:color w:val="auto"/>
          <w:szCs w:val="32"/>
        </w:rPr>
        <w:t xml:space="preserve"> 主要有害因素辨识</w:t>
      </w:r>
      <w:bookmarkEnd w:id="67"/>
      <w:bookmarkEnd w:id="68"/>
      <w:bookmarkEnd w:id="69"/>
      <w:bookmarkEnd w:id="70"/>
      <w:bookmarkEnd w:id="71"/>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5</w:t>
      </w:r>
      <w:r>
        <w:rPr>
          <w:rFonts w:hint="eastAsia" w:eastAsia="黑体"/>
          <w:bCs/>
          <w:snapToGrid w:val="0"/>
          <w:color w:val="auto"/>
          <w:kern w:val="0"/>
          <w:sz w:val="28"/>
          <w:szCs w:val="28"/>
        </w:rPr>
        <w:t>.1 噪声危害</w:t>
      </w:r>
    </w:p>
    <w:p>
      <w:pPr>
        <w:adjustRightInd w:val="0"/>
        <w:snapToGrid w:val="0"/>
        <w:spacing w:line="360" w:lineRule="auto"/>
        <w:ind w:firstLine="560" w:firstLineChars="200"/>
        <w:rPr>
          <w:color w:val="auto"/>
          <w:sz w:val="28"/>
          <w:szCs w:val="28"/>
        </w:rPr>
      </w:pPr>
      <w:r>
        <w:rPr>
          <w:rFonts w:hint="eastAsia"/>
          <w:color w:val="auto"/>
          <w:sz w:val="28"/>
          <w:szCs w:val="28"/>
        </w:rPr>
        <w:t>各种机械运转设备如冷却装置泵、增压泵等运转时，工具、部件碰撞时发出的机械性噪声，介质输送、排放产生的空气动力性噪声，混杂在一起，可引起作业场所噪声值超标。</w:t>
      </w:r>
      <w:r>
        <w:rPr>
          <w:rFonts w:hint="eastAsia"/>
          <w:bCs/>
          <w:color w:val="auto"/>
          <w:sz w:val="28"/>
          <w:szCs w:val="28"/>
        </w:rPr>
        <w:t>人员长期在高噪声环境下工作，会引发</w:t>
      </w:r>
      <w:r>
        <w:rPr>
          <w:rFonts w:hint="eastAsia"/>
          <w:color w:val="auto"/>
          <w:sz w:val="28"/>
          <w:szCs w:val="28"/>
        </w:rPr>
        <w:t>噪声危害，其主要症状有听力损伤、职业性噪声聋、神经系统功能紊乱，甚至引起心血管疾病及消化系统疾病的高发。</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5</w:t>
      </w:r>
      <w:r>
        <w:rPr>
          <w:rFonts w:hint="eastAsia" w:eastAsia="黑体"/>
          <w:bCs/>
          <w:snapToGrid w:val="0"/>
          <w:color w:val="auto"/>
          <w:kern w:val="0"/>
          <w:sz w:val="28"/>
          <w:szCs w:val="28"/>
        </w:rPr>
        <w:t>.2 毒物危害</w:t>
      </w:r>
    </w:p>
    <w:p>
      <w:pPr>
        <w:adjustRightInd w:val="0"/>
        <w:snapToGrid w:val="0"/>
        <w:spacing w:line="360" w:lineRule="auto"/>
        <w:ind w:firstLine="560" w:firstLineChars="200"/>
        <w:rPr>
          <w:rFonts w:hint="eastAsia"/>
          <w:color w:val="auto"/>
          <w:sz w:val="28"/>
          <w:szCs w:val="28"/>
        </w:rPr>
      </w:pPr>
      <w:r>
        <w:rPr>
          <w:rFonts w:hint="eastAsia"/>
          <w:color w:val="auto"/>
          <w:sz w:val="28"/>
          <w:szCs w:val="28"/>
        </w:rPr>
        <w:t>石油天然气工程施工过程中可能接触到天然气、油蒸气、硫化氢、二氧化硫等有毒、有害物质。这些有毒、有害物质对呼吸道、肺组织有强烈的刺激、腐蚀作用，短时间内高浓度接触可引起急性中毒；长期低浓度接触会引起慢性毒物危害（慢性中毒）。主要</w:t>
      </w:r>
      <w:r>
        <w:rPr>
          <w:color w:val="auto"/>
          <w:sz w:val="28"/>
          <w:szCs w:val="28"/>
        </w:rPr>
        <w:t>危害症状有头痛、恶心</w:t>
      </w:r>
      <w:r>
        <w:rPr>
          <w:rFonts w:hint="eastAsia"/>
          <w:color w:val="auto"/>
          <w:sz w:val="28"/>
          <w:szCs w:val="28"/>
        </w:rPr>
        <w:t>，以及</w:t>
      </w:r>
      <w:r>
        <w:rPr>
          <w:color w:val="auto"/>
          <w:sz w:val="28"/>
          <w:szCs w:val="28"/>
        </w:rPr>
        <w:t>呼吸道疾病</w:t>
      </w:r>
      <w:r>
        <w:rPr>
          <w:rFonts w:hint="eastAsia"/>
          <w:color w:val="auto"/>
          <w:sz w:val="28"/>
          <w:szCs w:val="28"/>
        </w:rPr>
        <w:t>等。</w:t>
      </w:r>
    </w:p>
    <w:p>
      <w:pPr>
        <w:keepNext w:val="0"/>
        <w:keepLines w:val="0"/>
        <w:pageBreakBefore w:val="0"/>
        <w:widowControl w:val="0"/>
        <w:wordWrap/>
        <w:bidi w:val="0"/>
        <w:adjustRightInd w:val="0"/>
        <w:snapToGrid w:val="0"/>
        <w:spacing w:line="360" w:lineRule="auto"/>
        <w:outlineLvl w:val="2"/>
        <w:rPr>
          <w:rFonts w:hint="eastAsia" w:eastAsia="黑体"/>
          <w:bCs/>
          <w:snapToGrid w:val="0"/>
          <w:color w:val="auto"/>
          <w:kern w:val="0"/>
          <w:sz w:val="28"/>
          <w:szCs w:val="28"/>
          <w:lang w:val="zh-CN"/>
        </w:rPr>
      </w:pPr>
      <w:r>
        <w:rPr>
          <w:rFonts w:hint="eastAsia" w:eastAsia="黑体"/>
          <w:bCs/>
          <w:snapToGrid w:val="0"/>
          <w:color w:val="auto"/>
          <w:kern w:val="0"/>
          <w:sz w:val="28"/>
          <w:szCs w:val="28"/>
          <w:lang w:val="zh-CN"/>
        </w:rPr>
        <w:t>3.</w:t>
      </w:r>
      <w:r>
        <w:rPr>
          <w:rFonts w:hint="eastAsia" w:eastAsia="黑体"/>
          <w:bCs/>
          <w:snapToGrid w:val="0"/>
          <w:color w:val="auto"/>
          <w:kern w:val="0"/>
          <w:sz w:val="28"/>
          <w:szCs w:val="28"/>
          <w:lang w:val="en-US" w:eastAsia="zh-CN"/>
        </w:rPr>
        <w:t>5</w:t>
      </w:r>
      <w:r>
        <w:rPr>
          <w:rFonts w:hint="eastAsia" w:eastAsia="黑体"/>
          <w:bCs/>
          <w:snapToGrid w:val="0"/>
          <w:color w:val="auto"/>
          <w:kern w:val="0"/>
          <w:sz w:val="28"/>
          <w:szCs w:val="28"/>
          <w:lang w:val="zh-CN"/>
        </w:rPr>
        <w:t>.</w:t>
      </w:r>
      <w:r>
        <w:rPr>
          <w:rFonts w:hint="eastAsia" w:eastAsia="黑体"/>
          <w:bCs/>
          <w:snapToGrid w:val="0"/>
          <w:color w:val="auto"/>
          <w:kern w:val="0"/>
          <w:sz w:val="28"/>
          <w:szCs w:val="28"/>
          <w:lang w:val="en-US" w:eastAsia="zh-CN"/>
        </w:rPr>
        <w:t>3</w:t>
      </w:r>
      <w:r>
        <w:rPr>
          <w:rFonts w:hint="eastAsia" w:eastAsia="黑体"/>
          <w:bCs/>
          <w:snapToGrid w:val="0"/>
          <w:color w:val="auto"/>
          <w:kern w:val="0"/>
          <w:sz w:val="28"/>
          <w:szCs w:val="28"/>
          <w:lang w:val="zh-CN"/>
        </w:rPr>
        <w:t xml:space="preserve"> 振动危害</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rPr>
      </w:pPr>
      <w:r>
        <w:rPr>
          <w:rFonts w:hint="eastAsia"/>
          <w:color w:val="auto"/>
        </w:rPr>
        <w:t>机械设备运转时可产生振动，振动可引起机械效应、生理和心理的效应，长期接触会给人带来危害，我国已将振动病列为法定职业病。</w:t>
      </w:r>
    </w:p>
    <w:p>
      <w:pPr>
        <w:pStyle w:val="4"/>
        <w:adjustRightInd w:val="0"/>
        <w:snapToGrid w:val="0"/>
        <w:spacing w:before="0" w:after="0" w:line="360" w:lineRule="auto"/>
        <w:rPr>
          <w:rFonts w:ascii="Times New Roman" w:hAnsi="Times New Roman"/>
          <w:b w:val="0"/>
          <w:bCs/>
          <w:color w:val="auto"/>
          <w:szCs w:val="32"/>
        </w:rPr>
      </w:pPr>
      <w:bookmarkStart w:id="72" w:name="_Toc5945"/>
      <w:bookmarkStart w:id="73" w:name="_Toc447782519"/>
      <w:bookmarkStart w:id="74" w:name="_Toc329433801"/>
      <w:bookmarkStart w:id="75" w:name="_Toc216105913"/>
      <w:bookmarkStart w:id="76" w:name="_Toc281310742"/>
      <w:bookmarkStart w:id="77" w:name="_Toc281310744"/>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6</w:t>
      </w:r>
      <w:r>
        <w:rPr>
          <w:rFonts w:hint="eastAsia" w:ascii="Times New Roman" w:hAnsi="Times New Roman"/>
          <w:b w:val="0"/>
          <w:bCs/>
          <w:color w:val="auto"/>
          <w:szCs w:val="32"/>
        </w:rPr>
        <w:t xml:space="preserve"> 自然灾害的影响</w:t>
      </w:r>
      <w:bookmarkEnd w:id="72"/>
      <w:bookmarkEnd w:id="73"/>
      <w:bookmarkEnd w:id="74"/>
      <w:bookmarkEnd w:id="75"/>
      <w:bookmarkEnd w:id="76"/>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该企业主要服务于</w:t>
      </w:r>
      <w:r>
        <w:rPr>
          <w:rFonts w:hint="eastAsia" w:ascii="宋体" w:hAnsi="宋体" w:eastAsia="宋体" w:cs="宋体"/>
          <w:sz w:val="28"/>
          <w:szCs w:val="28"/>
        </w:rPr>
        <w:t>胜利油田</w:t>
      </w:r>
      <w:r>
        <w:rPr>
          <w:rFonts w:hint="eastAsia" w:ascii="宋体" w:hAnsi="宋体" w:cs="宋体"/>
          <w:sz w:val="28"/>
          <w:szCs w:val="28"/>
          <w:lang w:val="en-US" w:eastAsia="zh-CN"/>
        </w:rPr>
        <w:t>作业区域</w:t>
      </w:r>
      <w:r>
        <w:rPr>
          <w:rFonts w:hint="eastAsia"/>
          <w:color w:val="000000" w:themeColor="text1"/>
          <w:sz w:val="28"/>
          <w:szCs w:val="28"/>
          <w14:textFill>
            <w14:solidFill>
              <w14:schemeClr w14:val="tx1"/>
            </w14:solidFill>
          </w14:textFill>
        </w:rPr>
        <w:t>，作业地点</w:t>
      </w:r>
      <w:r>
        <w:rPr>
          <w:rFonts w:hint="eastAsia"/>
          <w:color w:val="000000" w:themeColor="text1"/>
          <w:sz w:val="28"/>
          <w:szCs w:val="28"/>
          <w:lang w:val="en-US" w:eastAsia="zh-CN"/>
          <w14:textFill>
            <w14:solidFill>
              <w14:schemeClr w14:val="tx1"/>
            </w14:solidFill>
          </w14:textFill>
        </w:rPr>
        <w:t>主要</w:t>
      </w:r>
      <w:r>
        <w:rPr>
          <w:rFonts w:hint="eastAsia"/>
          <w:color w:val="000000" w:themeColor="text1"/>
          <w:sz w:val="28"/>
          <w:szCs w:val="28"/>
          <w:lang w:eastAsia="zh-CN"/>
          <w14:textFill>
            <w14:solidFill>
              <w14:schemeClr w14:val="tx1"/>
            </w14:solidFill>
          </w14:textFill>
        </w:rPr>
        <w:t>为</w:t>
      </w:r>
      <w:r>
        <w:rPr>
          <w:rFonts w:hint="eastAsia"/>
          <w:color w:val="000000" w:themeColor="text1"/>
          <w:sz w:val="28"/>
          <w:szCs w:val="28"/>
          <w14:textFill>
            <w14:solidFill>
              <w14:schemeClr w14:val="tx1"/>
            </w14:solidFill>
          </w14:textFill>
        </w:rPr>
        <w:t>东营市</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滨州市</w:t>
      </w:r>
      <w:r>
        <w:rPr>
          <w:rFonts w:hint="eastAsia"/>
          <w:color w:val="000000" w:themeColor="text1"/>
          <w:sz w:val="28"/>
          <w:szCs w:val="28"/>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施工</w:t>
      </w:r>
      <w:r>
        <w:rPr>
          <w:rFonts w:hint="eastAsia"/>
          <w:color w:val="000000" w:themeColor="text1"/>
          <w:sz w:val="28"/>
          <w:szCs w:val="28"/>
          <w14:textFill>
            <w14:solidFill>
              <w14:schemeClr w14:val="tx1"/>
            </w14:solidFill>
          </w14:textFill>
        </w:rPr>
        <w:t>作业队伍长年处于野外作业环境中，易受到自然灾害如：雷电、大风、雨、寒冷、高温酷暑等的侵袭，发生一些灾害性的事故。</w:t>
      </w:r>
    </w:p>
    <w:p>
      <w:pPr>
        <w:keepNext w:val="0"/>
        <w:keepLines w:val="0"/>
        <w:pageBreakBefore w:val="0"/>
        <w:widowControl w:val="0"/>
        <w:wordWrap/>
        <w:bidi w:val="0"/>
        <w:adjustRightInd w:val="0"/>
        <w:snapToGrid w:val="0"/>
        <w:spacing w:line="360" w:lineRule="auto"/>
        <w:ind w:firstLine="560" w:firstLineChars="200"/>
        <w:rPr>
          <w:color w:val="auto"/>
          <w:sz w:val="28"/>
          <w:szCs w:val="28"/>
        </w:rPr>
      </w:pPr>
      <w:r>
        <w:rPr>
          <w:rFonts w:hint="eastAsia"/>
          <w:color w:val="000000" w:themeColor="text1"/>
          <w:sz w:val="28"/>
          <w:szCs w:val="28"/>
          <w14:textFill>
            <w14:solidFill>
              <w14:schemeClr w14:val="tx1"/>
            </w14:solidFill>
          </w14:textFill>
        </w:rPr>
        <w:t>对本工程施工影响较大的自然灾害有：雷电袭击、大风</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暴雨</w:t>
      </w:r>
      <w:r>
        <w:rPr>
          <w:rFonts w:hint="eastAsia"/>
          <w:color w:val="000000" w:themeColor="text1"/>
          <w:sz w:val="28"/>
          <w:szCs w:val="28"/>
          <w14:textFill>
            <w14:solidFill>
              <w14:schemeClr w14:val="tx1"/>
            </w14:solidFill>
          </w14:textFill>
        </w:rPr>
        <w:t>和高温、低温、地震灾害等。</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6</w:t>
      </w:r>
      <w:r>
        <w:rPr>
          <w:rFonts w:hint="eastAsia" w:eastAsia="黑体"/>
          <w:bCs/>
          <w:snapToGrid w:val="0"/>
          <w:color w:val="auto"/>
          <w:kern w:val="0"/>
          <w:sz w:val="28"/>
          <w:szCs w:val="28"/>
        </w:rPr>
        <w:t>.1 雷电袭击</w:t>
      </w:r>
    </w:p>
    <w:p>
      <w:pPr>
        <w:adjustRightInd w:val="0"/>
        <w:snapToGrid w:val="0"/>
        <w:spacing w:line="360" w:lineRule="auto"/>
        <w:ind w:firstLine="560" w:firstLineChars="200"/>
        <w:rPr>
          <w:color w:val="auto"/>
          <w:sz w:val="28"/>
          <w:szCs w:val="28"/>
        </w:rPr>
      </w:pPr>
      <w:r>
        <w:rPr>
          <w:rFonts w:hint="eastAsia"/>
          <w:color w:val="auto"/>
          <w:sz w:val="28"/>
          <w:szCs w:val="28"/>
        </w:rPr>
        <w:t>雷电是大自然中的静电放电现象，建构筑物、输变电线路和变配电装置等设施及设备遭到雷电袭击时，会产生极高的电压和极大的电流，在其波及的范围内，可能造成设备或设施的损坏，直接或间接地造成人员伤亡，引发火灾、爆炸事故的发生。</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6</w:t>
      </w:r>
      <w:r>
        <w:rPr>
          <w:rFonts w:hint="eastAsia" w:eastAsia="黑体"/>
          <w:bCs/>
          <w:snapToGrid w:val="0"/>
          <w:color w:val="auto"/>
          <w:kern w:val="0"/>
          <w:sz w:val="28"/>
          <w:szCs w:val="28"/>
        </w:rPr>
        <w:t>.2 大风灾害</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rPr>
        <w:t>六级以上强风有造成设备及建、构筑物倾斜、倒塌，甚至造成设备、管道扭曲、破裂的危险，可导致物料泄漏、火灾、爆炸等事故。</w:t>
      </w:r>
    </w:p>
    <w:p>
      <w:pPr>
        <w:keepNext/>
        <w:keepLines/>
        <w:adjustRightInd w:val="0"/>
        <w:snapToGrid w:val="0"/>
        <w:spacing w:line="360" w:lineRule="auto"/>
        <w:outlineLvl w:val="2"/>
        <w:rPr>
          <w:rFonts w:hint="eastAsia" w:eastAsia="黑体"/>
          <w:bCs/>
          <w:snapToGrid w:val="0"/>
          <w:color w:val="auto"/>
          <w:kern w:val="0"/>
          <w:sz w:val="28"/>
          <w:szCs w:val="28"/>
          <w:lang w:val="en-US" w:eastAsia="zh-CN"/>
        </w:rPr>
      </w:pPr>
      <w:r>
        <w:rPr>
          <w:rFonts w:hint="eastAsia" w:eastAsia="黑体"/>
          <w:bCs/>
          <w:snapToGrid w:val="0"/>
          <w:color w:val="auto"/>
          <w:kern w:val="0"/>
          <w:sz w:val="28"/>
          <w:szCs w:val="28"/>
          <w:lang w:val="en-US" w:eastAsia="zh-CN"/>
        </w:rPr>
        <w:t>3.6.3 暴雨灾害</w:t>
      </w:r>
    </w:p>
    <w:p>
      <w:pPr>
        <w:pStyle w:val="2"/>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color w:val="auto"/>
        </w:rPr>
      </w:pPr>
      <w:r>
        <w:rPr>
          <w:rFonts w:hint="eastAsia" w:ascii="Times New Roman" w:hAnsi="Times New Roman" w:eastAsia="宋体" w:cs="Times New Roman"/>
          <w:color w:val="auto"/>
          <w:kern w:val="2"/>
          <w:sz w:val="28"/>
          <w:szCs w:val="28"/>
          <w:lang w:val="en-US" w:eastAsia="zh-CN" w:bidi="ar-SA"/>
        </w:rPr>
        <w:t>该公司井下作业项目在平原地带，地形高差不大，如果发生暴雨，或遭遇洪水，可能威胁工作人员的安全。</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6</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4</w:t>
      </w:r>
      <w:r>
        <w:rPr>
          <w:rFonts w:hint="eastAsia" w:eastAsia="黑体"/>
          <w:bCs/>
          <w:snapToGrid w:val="0"/>
          <w:color w:val="auto"/>
          <w:kern w:val="0"/>
          <w:sz w:val="28"/>
          <w:szCs w:val="28"/>
        </w:rPr>
        <w:t xml:space="preserve"> 高温、低温</w:t>
      </w:r>
    </w:p>
    <w:p>
      <w:pPr>
        <w:adjustRightInd w:val="0"/>
        <w:snapToGrid w:val="0"/>
        <w:spacing w:line="360" w:lineRule="auto"/>
        <w:ind w:firstLine="560" w:firstLineChars="200"/>
        <w:rPr>
          <w:color w:val="auto"/>
          <w:sz w:val="28"/>
          <w:szCs w:val="28"/>
        </w:rPr>
      </w:pPr>
      <w:r>
        <w:rPr>
          <w:rFonts w:hint="eastAsia"/>
          <w:color w:val="auto"/>
          <w:sz w:val="28"/>
          <w:szCs w:val="28"/>
        </w:rPr>
        <w:t>温度的升高会引起爆炸性气体的爆炸浓度极限范围扩大，增加易燃、易爆介质的火灾、爆炸危险性。夏季高温环境下，野外作业的施工人员室外工作时间过长且无有效的防暑降温措施，可能引起人员的高温中暑。</w:t>
      </w:r>
    </w:p>
    <w:p>
      <w:pPr>
        <w:adjustRightInd w:val="0"/>
        <w:snapToGrid w:val="0"/>
        <w:spacing w:line="360" w:lineRule="auto"/>
        <w:ind w:firstLine="560" w:firstLineChars="200"/>
        <w:rPr>
          <w:color w:val="auto"/>
          <w:sz w:val="28"/>
          <w:szCs w:val="28"/>
        </w:rPr>
      </w:pPr>
      <w:r>
        <w:rPr>
          <w:rFonts w:hint="eastAsia"/>
          <w:color w:val="auto"/>
          <w:sz w:val="28"/>
          <w:szCs w:val="28"/>
        </w:rPr>
        <w:t>在极端低温条件下，若无有效的防冻保温措施，可引起管线中介质的冻堵，泵压升高，引起管线损坏、介质泄漏；人员在室外作业工作时间过长，可能引起人员冻伤。</w:t>
      </w:r>
    </w:p>
    <w:p>
      <w:pPr>
        <w:adjustRightInd w:val="0"/>
        <w:snapToGrid w:val="0"/>
        <w:spacing w:line="360" w:lineRule="auto"/>
        <w:ind w:firstLine="560" w:firstLineChars="200"/>
        <w:rPr>
          <w:color w:val="auto"/>
          <w:sz w:val="28"/>
          <w:szCs w:val="28"/>
        </w:rPr>
      </w:pPr>
      <w:r>
        <w:rPr>
          <w:rFonts w:hint="eastAsia"/>
          <w:color w:val="auto"/>
          <w:sz w:val="28"/>
          <w:szCs w:val="28"/>
        </w:rPr>
        <w:t>无论是高温还是低温环境，都可影响人员的情绪、反应灵敏性，增加违章事故发生的频率，并可能成为引发其他事故的诱因。</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6</w:t>
      </w:r>
      <w:r>
        <w:rPr>
          <w:rFonts w:hint="eastAsia" w:eastAsia="黑体"/>
          <w:bCs/>
          <w:snapToGrid w:val="0"/>
          <w:color w:val="auto"/>
          <w:kern w:val="0"/>
          <w:sz w:val="28"/>
          <w:szCs w:val="28"/>
        </w:rPr>
        <w:t>.</w:t>
      </w:r>
      <w:r>
        <w:rPr>
          <w:rFonts w:hint="eastAsia" w:eastAsia="黑体"/>
          <w:bCs/>
          <w:snapToGrid w:val="0"/>
          <w:color w:val="auto"/>
          <w:kern w:val="0"/>
          <w:sz w:val="28"/>
          <w:szCs w:val="28"/>
          <w:lang w:val="en-US" w:eastAsia="zh-CN"/>
        </w:rPr>
        <w:t>5</w:t>
      </w:r>
      <w:r>
        <w:rPr>
          <w:rFonts w:hint="eastAsia" w:eastAsia="黑体"/>
          <w:bCs/>
          <w:snapToGrid w:val="0"/>
          <w:color w:val="auto"/>
          <w:kern w:val="0"/>
          <w:sz w:val="28"/>
          <w:szCs w:val="28"/>
        </w:rPr>
        <w:t xml:space="preserve"> 地震灾害</w:t>
      </w:r>
    </w:p>
    <w:p>
      <w:pPr>
        <w:adjustRightInd w:val="0"/>
        <w:snapToGrid w:val="0"/>
        <w:spacing w:line="360" w:lineRule="auto"/>
        <w:ind w:firstLine="560" w:firstLineChars="200"/>
        <w:rPr>
          <w:color w:val="0070C0"/>
          <w:sz w:val="28"/>
          <w:szCs w:val="28"/>
        </w:rPr>
      </w:pPr>
      <w:r>
        <w:rPr>
          <w:rFonts w:hint="eastAsia"/>
          <w:color w:val="auto"/>
          <w:sz w:val="28"/>
          <w:szCs w:val="28"/>
        </w:rPr>
        <w:t>地震是地球内部突然发生的一系列弹性波，具有突发性和难以预报的特点，地震产生的强烈振动除可直接导致建构筑物倒塌、电杆折断、容器管道破裂、火灾爆炸之外，还会伴随出现海啸、断层、地裂、山崩、滑坡及地面隆起和下沉现象。对石油工业生产来说，地震会造成钻机倾覆、油（气）井毁坏、管道及阀件断裂等震害，同时害往往伴随火灾、爆炸等严重的二次灾害的发生。</w:t>
      </w:r>
    </w:p>
    <w:p>
      <w:pPr>
        <w:pStyle w:val="4"/>
        <w:keepNext w:val="0"/>
        <w:keepLines w:val="0"/>
        <w:adjustRightInd w:val="0"/>
        <w:snapToGrid w:val="0"/>
        <w:spacing w:before="0" w:after="0" w:line="360" w:lineRule="auto"/>
        <w:rPr>
          <w:rFonts w:hint="default" w:ascii="Times New Roman" w:hAnsi="Times New Roman" w:eastAsia="黑体"/>
          <w:b w:val="0"/>
          <w:bCs/>
          <w:color w:val="000000" w:themeColor="text1"/>
          <w:szCs w:val="32"/>
          <w:lang w:val="en-US" w:eastAsia="zh-CN"/>
          <w14:textFill>
            <w14:solidFill>
              <w14:schemeClr w14:val="tx1"/>
            </w14:solidFill>
          </w14:textFill>
        </w:rPr>
      </w:pPr>
      <w:bookmarkStart w:id="78" w:name="_Toc27363"/>
      <w:bookmarkStart w:id="79" w:name="_Toc20776"/>
      <w:bookmarkStart w:id="80" w:name="_Toc447782520"/>
      <w:bookmarkStart w:id="81" w:name="_Toc329433802"/>
      <w:r>
        <w:rPr>
          <w:rFonts w:ascii="Times New Roman" w:hAnsi="Times New Roman"/>
          <w:b w:val="0"/>
          <w:bCs/>
          <w:color w:val="000000" w:themeColor="text1"/>
          <w:szCs w:val="32"/>
          <w14:textFill>
            <w14:solidFill>
              <w14:schemeClr w14:val="tx1"/>
            </w14:solidFill>
          </w14:textFill>
        </w:rPr>
        <w:t xml:space="preserve">3.7 </w:t>
      </w:r>
      <w:r>
        <w:rPr>
          <w:rFonts w:hint="eastAsia" w:ascii="Times New Roman" w:hAnsi="Times New Roman"/>
          <w:b w:val="0"/>
          <w:bCs/>
          <w:color w:val="000000" w:themeColor="text1"/>
          <w:szCs w:val="32"/>
          <w:lang w:val="en-US" w:eastAsia="zh-CN"/>
          <w14:textFill>
            <w14:solidFill>
              <w14:schemeClr w14:val="tx1"/>
            </w14:solidFill>
          </w14:textFill>
        </w:rPr>
        <w:t>人的不安全行为和安全管理缺陷</w:t>
      </w:r>
      <w:bookmarkEnd w:id="78"/>
      <w:bookmarkEnd w:id="79"/>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 xml:space="preserve">3.7.1 </w:t>
      </w:r>
      <w:r>
        <w:rPr>
          <w:rFonts w:hint="eastAsia" w:eastAsia="黑体"/>
          <w:bCs/>
          <w:snapToGrid w:val="0"/>
          <w:color w:val="000000" w:themeColor="text1"/>
          <w:kern w:val="0"/>
          <w:sz w:val="28"/>
          <w:szCs w:val="28"/>
          <w:lang w:val="en-US" w:eastAsia="zh-CN"/>
          <w14:textFill>
            <w14:solidFill>
              <w14:schemeClr w14:val="tx1"/>
            </w14:solidFill>
          </w14:textFill>
        </w:rPr>
        <w:t>人的不安全行为</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大量事故的统计分析表明，大部分事故是由人的因素造成的。长期超负荷作业致使操作人员疲劳、</w:t>
      </w:r>
      <w:r>
        <w:rPr>
          <w:rFonts w:hint="eastAsia" w:cs="Times New Roman"/>
          <w:bCs/>
          <w:snapToGrid w:val="0"/>
          <w:color w:val="000000" w:themeColor="text1"/>
          <w:kern w:val="0"/>
          <w:sz w:val="28"/>
          <w:szCs w:val="28"/>
          <w:lang w:val="en-US" w:eastAsia="zh-CN"/>
          <w14:textFill>
            <w14:solidFill>
              <w14:schemeClr w14:val="tx1"/>
            </w14:solidFill>
          </w14:textFill>
        </w:rPr>
        <w:t>负荷超限、</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精力不集中导致误操作；疾病或饮酒致操作和指挥失误；操作人员从事禁忌作业引起事故；人员心理异常、故意犯错或存在识别功能缺陷均可导致事故。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人的不安全行为主要表现为以下几个方面：</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1</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不专心致志工作，麻痹大意或急躁慌张、判断失误导致事故发生。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2</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不按操作规程进行操作；不按规章制度进行巡回检查，甚至在岗上睡觉，或者串岗，脱岗，岗上看杂志、干私活，或交接班不具体等致使事故隐患不能及时发现，从而酿成事故。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3</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个人英雄主义：争强好胜，充英雄好汉，此类人员因与上岗干部、班组长、安全监管人员认识不同、感情不和，或受他人蛊惑而蓄意故犯、故意蛮干、违章操作，以泄私愤。</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4</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不求上进、不思进取、得过且过，对</w:t>
      </w:r>
      <w:r>
        <w:rPr>
          <w:rFonts w:hint="eastAsia" w:cs="Times New Roman"/>
          <w:bCs/>
          <w:snapToGrid w:val="0"/>
          <w:color w:val="000000" w:themeColor="text1"/>
          <w:kern w:val="0"/>
          <w:sz w:val="28"/>
          <w:szCs w:val="28"/>
          <w:lang w:val="en-US" w:eastAsia="zh-CN"/>
          <w14:textFill>
            <w14:solidFill>
              <w14:schemeClr w14:val="tx1"/>
            </w14:solidFill>
          </w14:textFill>
        </w:rPr>
        <w:t>施工</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中使用的各种物质组成、性质不了解，缺乏普通的和专业的安全知识，缺乏专业知识和</w:t>
      </w:r>
      <w:r>
        <w:rPr>
          <w:rFonts w:hint="eastAsia" w:cs="Times New Roman"/>
          <w:bCs/>
          <w:snapToGrid w:val="0"/>
          <w:color w:val="000000" w:themeColor="text1"/>
          <w:kern w:val="0"/>
          <w:sz w:val="28"/>
          <w:szCs w:val="28"/>
          <w:lang w:val="en-US" w:eastAsia="zh-CN"/>
          <w14:textFill>
            <w14:solidFill>
              <w14:schemeClr w14:val="tx1"/>
            </w14:solidFill>
          </w14:textFill>
        </w:rPr>
        <w:t>技术</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技能，因知识和技能的缺陷导致指挥或操作失误，引起事故。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5</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身体素质差，易疲劳；思想素质低，指挥者独断专行，违章指挥；操作者不负责任，擅离职守；承受不起生活和工作上的压力，心理变态、精神失常、神思恍惚，思想不集中；或过于兴奋，得意忘形等均有可能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6</w:t>
      </w:r>
      <w:r>
        <w:rPr>
          <w:rFonts w:hint="eastAsia"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主要负责人不能保证安全资金的投入，管理人员安全意识不强，不认真落实防范措施，决策失误或指挥能力差，可间接导致事故发生或使事故扩大。</w:t>
      </w:r>
    </w:p>
    <w:p>
      <w:pPr>
        <w:adjustRightInd w:val="0"/>
        <w:snapToGrid w:val="0"/>
        <w:spacing w:line="360" w:lineRule="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eastAsia="黑体"/>
          <w:bCs/>
          <w:snapToGrid w:val="0"/>
          <w:color w:val="000000" w:themeColor="text1"/>
          <w:kern w:val="0"/>
          <w:sz w:val="28"/>
          <w:szCs w:val="28"/>
          <w14:textFill>
            <w14:solidFill>
              <w14:schemeClr w14:val="tx1"/>
            </w14:solidFill>
          </w14:textFill>
        </w:rPr>
        <w:t>3.</w:t>
      </w:r>
      <w:r>
        <w:rPr>
          <w:rFonts w:hint="eastAsia" w:eastAsia="黑体"/>
          <w:bCs/>
          <w:snapToGrid w:val="0"/>
          <w:color w:val="000000" w:themeColor="text1"/>
          <w:kern w:val="0"/>
          <w:sz w:val="28"/>
          <w:szCs w:val="28"/>
          <w:lang w:val="en-US" w:eastAsia="zh-CN"/>
          <w14:textFill>
            <w14:solidFill>
              <w14:schemeClr w14:val="tx1"/>
            </w14:solidFill>
          </w14:textFill>
        </w:rPr>
        <w:t>7</w:t>
      </w:r>
      <w:r>
        <w:rPr>
          <w:rFonts w:eastAsia="黑体"/>
          <w:bCs/>
          <w:snapToGrid w:val="0"/>
          <w:color w:val="000000" w:themeColor="text1"/>
          <w:kern w:val="0"/>
          <w:sz w:val="28"/>
          <w:szCs w:val="28"/>
          <w14:textFill>
            <w14:solidFill>
              <w14:schemeClr w14:val="tx1"/>
            </w14:solidFill>
          </w14:textFill>
        </w:rPr>
        <w:t xml:space="preserve">.2 </w:t>
      </w:r>
      <w:r>
        <w:rPr>
          <w:rFonts w:hint="eastAsia" w:eastAsia="黑体"/>
          <w:bCs/>
          <w:snapToGrid w:val="0"/>
          <w:color w:val="000000" w:themeColor="text1"/>
          <w:kern w:val="0"/>
          <w:sz w:val="28"/>
          <w:szCs w:val="28"/>
          <w:lang w:val="en-US" w:eastAsia="zh-CN"/>
          <w14:textFill>
            <w14:solidFill>
              <w14:schemeClr w14:val="tx1"/>
            </w14:solidFill>
          </w14:textFill>
        </w:rPr>
        <w:t>安全管理缺陷</w:t>
      </w:r>
    </w:p>
    <w:p>
      <w:pPr>
        <w:adjustRightInd w:val="0"/>
        <w:snapToGrid w:val="0"/>
        <w:spacing w:line="360" w:lineRule="auto"/>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安全生产责任制不完善或未落实；</w:t>
      </w:r>
      <w:r>
        <w:rPr>
          <w:rFonts w:hint="eastAsia"/>
          <w:color w:val="000000" w:themeColor="text1"/>
          <w:sz w:val="28"/>
          <w:szCs w:val="28"/>
          <w14:textFill>
            <w14:solidFill>
              <w14:schemeClr w14:val="tx1"/>
            </w14:solidFill>
          </w14:textFill>
        </w:rPr>
        <w:t>未设置相应的</w:t>
      </w:r>
      <w:r>
        <w:rPr>
          <w:rFonts w:hint="eastAsia"/>
          <w:color w:val="000000" w:themeColor="text1"/>
          <w:sz w:val="28"/>
          <w:szCs w:val="28"/>
          <w:lang w:val="en-US" w:eastAsia="zh-CN"/>
          <w14:textFill>
            <w14:solidFill>
              <w14:schemeClr w14:val="tx1"/>
            </w14:solidFill>
          </w14:textFill>
        </w:rPr>
        <w:t>安全</w:t>
      </w:r>
      <w:r>
        <w:rPr>
          <w:rFonts w:hint="eastAsia"/>
          <w:color w:val="000000" w:themeColor="text1"/>
          <w:sz w:val="28"/>
          <w:szCs w:val="28"/>
          <w14:textFill>
            <w14:solidFill>
              <w14:schemeClr w14:val="tx1"/>
            </w14:solidFill>
          </w14:textFill>
        </w:rPr>
        <w:t>管理机构或</w:t>
      </w:r>
      <w:r>
        <w:rPr>
          <w:rFonts w:hint="eastAsia"/>
          <w:color w:val="000000" w:themeColor="text1"/>
          <w:sz w:val="28"/>
          <w:szCs w:val="28"/>
          <w:lang w:val="en-US" w:eastAsia="zh-CN"/>
          <w14:textFill>
            <w14:solidFill>
              <w14:schemeClr w14:val="tx1"/>
            </w14:solidFill>
          </w14:textFill>
        </w:rPr>
        <w:t>安全</w:t>
      </w:r>
      <w:r>
        <w:rPr>
          <w:rFonts w:hint="eastAsia"/>
          <w:color w:val="000000" w:themeColor="text1"/>
          <w:sz w:val="28"/>
          <w:szCs w:val="28"/>
          <w14:textFill>
            <w14:solidFill>
              <w14:schemeClr w14:val="tx1"/>
            </w14:solidFill>
          </w14:textFill>
        </w:rPr>
        <w:t>管理机构设置不合理，</w:t>
      </w:r>
      <w:r>
        <w:rPr>
          <w:rFonts w:hint="eastAsia"/>
          <w:color w:val="000000" w:themeColor="text1"/>
          <w:sz w:val="28"/>
          <w:szCs w:val="28"/>
          <w:lang w:val="en-US" w:eastAsia="zh-CN"/>
          <w14:textFill>
            <w14:solidFill>
              <w14:schemeClr w14:val="tx1"/>
            </w14:solidFill>
          </w14:textFill>
        </w:rPr>
        <w:t>人员配置不足，</w:t>
      </w:r>
      <w:r>
        <w:rPr>
          <w:rFonts w:hint="eastAsia"/>
          <w:color w:val="000000" w:themeColor="text1"/>
          <w:sz w:val="28"/>
          <w:szCs w:val="28"/>
          <w14:textFill>
            <w14:solidFill>
              <w14:schemeClr w14:val="tx1"/>
            </w14:solidFill>
          </w14:textFill>
        </w:rPr>
        <w:t>管理混乱；管理制度不健全或管理措施落实不到位，生产人员无章可循、行为随意、盲目乱干；</w:t>
      </w:r>
      <w:r>
        <w:rPr>
          <w:rFonts w:hint="eastAsia"/>
          <w:color w:val="000000" w:themeColor="text1"/>
          <w:sz w:val="28"/>
          <w:szCs w:val="28"/>
          <w:lang w:val="en-US" w:eastAsia="zh-CN"/>
          <w14:textFill>
            <w14:solidFill>
              <w14:schemeClr w14:val="tx1"/>
            </w14:solidFill>
          </w14:textFill>
        </w:rPr>
        <w:t>未建立安全投入制度，可导致安全投入不足；</w:t>
      </w:r>
      <w:r>
        <w:rPr>
          <w:rFonts w:hint="eastAsia"/>
          <w:color w:val="000000" w:themeColor="text1"/>
          <w:sz w:val="28"/>
          <w:szCs w:val="28"/>
          <w14:textFill>
            <w14:solidFill>
              <w14:schemeClr w14:val="tx1"/>
            </w14:solidFill>
          </w14:textFill>
        </w:rPr>
        <w:t>无相应的奖惩制度，会使人员无积极性、主动性，巡检不及时、不认真，交接班不具体；没有制定完善的安全操作规程，操作人员盲目乱干等；无培训制度，操作人员没有经过安全教育</w:t>
      </w:r>
      <w:r>
        <w:rPr>
          <w:rFonts w:hint="eastAsia"/>
          <w:color w:val="000000" w:themeColor="text1"/>
          <w:sz w:val="28"/>
          <w:szCs w:val="28"/>
          <w:lang w:val="en-US" w:eastAsia="zh-CN"/>
          <w14:textFill>
            <w14:solidFill>
              <w14:schemeClr w14:val="tx1"/>
            </w14:solidFill>
          </w14:textFill>
        </w:rPr>
        <w:t>培训</w:t>
      </w:r>
      <w:r>
        <w:rPr>
          <w:rFonts w:hint="eastAsia"/>
          <w:color w:val="000000" w:themeColor="text1"/>
          <w:sz w:val="28"/>
          <w:szCs w:val="28"/>
          <w14:textFill>
            <w14:solidFill>
              <w14:schemeClr w14:val="tx1"/>
            </w14:solidFill>
          </w14:textFill>
        </w:rPr>
        <w:t>和技能培训，让未经培训的</w:t>
      </w:r>
      <w:r>
        <w:rPr>
          <w:rFonts w:hint="eastAsia"/>
          <w:color w:val="000000" w:themeColor="text1"/>
          <w:sz w:val="28"/>
          <w:szCs w:val="28"/>
          <w:lang w:val="en-US" w:eastAsia="zh-CN"/>
          <w14:textFill>
            <w14:solidFill>
              <w14:schemeClr w14:val="tx1"/>
            </w14:solidFill>
          </w14:textFill>
        </w:rPr>
        <w:t>操作人员</w:t>
      </w:r>
      <w:r>
        <w:rPr>
          <w:rFonts w:hint="eastAsia"/>
          <w:color w:val="000000" w:themeColor="text1"/>
          <w:sz w:val="28"/>
          <w:szCs w:val="28"/>
          <w14:textFill>
            <w14:solidFill>
              <w14:schemeClr w14:val="tx1"/>
            </w14:solidFill>
          </w14:textFill>
        </w:rPr>
        <w:t>上岗，知识不足，不能判断错误；对安全漠不关心，已发现的问题不及时解决；没有严格执行监督检查制度；指挥错误，甚至违章指挥；设备、设施无检修更换计划或维护保养制度，或检修制度不严，没有及时检修已出现故障的设备，使设备带病运转。</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color w:val="000000" w:themeColor="text1"/>
          <w:lang w:val="en-US" w:eastAsia="zh-CN"/>
          <w14:textFill>
            <w14:solidFill>
              <w14:schemeClr w14:val="tx1"/>
            </w14:solidFill>
          </w14:textFill>
        </w:rPr>
      </w:pPr>
      <w:r>
        <w:rPr>
          <w:rFonts w:hint="eastAsia" w:ascii="宋体" w:hAnsi="宋体" w:cs="仿宋"/>
          <w:color w:val="000000" w:themeColor="text1"/>
          <w:szCs w:val="21"/>
          <w:lang w:val="en-US" w:eastAsia="zh-CN"/>
          <w14:textFill>
            <w14:solidFill>
              <w14:schemeClr w14:val="tx1"/>
            </w14:solidFill>
          </w14:textFill>
        </w:rPr>
        <w:t>未进行</w:t>
      </w:r>
      <w:r>
        <w:rPr>
          <w:rFonts w:hint="eastAsia" w:ascii="宋体" w:hAnsi="宋体" w:cs="仿宋"/>
          <w:color w:val="000000" w:themeColor="text1"/>
          <w:szCs w:val="21"/>
          <w14:textFill>
            <w14:solidFill>
              <w14:schemeClr w14:val="tx1"/>
            </w14:solidFill>
          </w14:textFill>
        </w:rPr>
        <w:t>识别生产中的所有常规和非常规活动存在的危害，以及所有生产现场使用设备设施和作业环境中存在的危害，采用科学合理的评估方法进行</w:t>
      </w:r>
      <w:r>
        <w:rPr>
          <w:rFonts w:hint="eastAsia" w:ascii="宋体" w:hAnsi="宋体" w:cs="仿宋"/>
          <w:color w:val="000000" w:themeColor="text1"/>
          <w:szCs w:val="21"/>
          <w:lang w:val="en-US" w:eastAsia="zh-CN"/>
          <w14:textFill>
            <w14:solidFill>
              <w14:schemeClr w14:val="tx1"/>
            </w14:solidFill>
          </w14:textFill>
        </w:rPr>
        <w:t>风险</w:t>
      </w:r>
      <w:r>
        <w:rPr>
          <w:rFonts w:hint="eastAsia" w:ascii="宋体" w:hAnsi="宋体" w:cs="仿宋"/>
          <w:color w:val="000000" w:themeColor="text1"/>
          <w:szCs w:val="21"/>
          <w14:textFill>
            <w14:solidFill>
              <w14:schemeClr w14:val="tx1"/>
            </w14:solidFill>
          </w14:textFill>
        </w:rPr>
        <w:t>评估</w:t>
      </w:r>
      <w:r>
        <w:rPr>
          <w:rFonts w:hint="eastAsia" w:ascii="宋体" w:hAnsi="宋体" w:cs="仿宋"/>
          <w:color w:val="000000" w:themeColor="text1"/>
          <w:szCs w:val="21"/>
          <w:lang w:val="en-US" w:eastAsia="zh-CN"/>
          <w14:textFill>
            <w14:solidFill>
              <w14:schemeClr w14:val="tx1"/>
            </w14:solidFill>
          </w14:textFill>
        </w:rPr>
        <w:t>并进行分级管</w:t>
      </w:r>
      <w:r>
        <w:rPr>
          <w:rFonts w:hint="eastAsia" w:ascii="宋体" w:hAnsi="宋体" w:cs="仿宋"/>
          <w:color w:val="000000" w:themeColor="text1"/>
          <w:szCs w:val="21"/>
          <w14:textFill>
            <w14:solidFill>
              <w14:schemeClr w14:val="tx1"/>
            </w14:solidFill>
          </w14:textFill>
        </w:rPr>
        <w:t>控</w:t>
      </w:r>
      <w:r>
        <w:rPr>
          <w:rFonts w:hint="eastAsia" w:ascii="宋体" w:hAnsi="宋体" w:cs="仿宋"/>
          <w:color w:val="000000" w:themeColor="text1"/>
          <w:szCs w:val="21"/>
          <w:lang w:eastAsia="zh-CN"/>
          <w14:textFill>
            <w14:solidFill>
              <w14:schemeClr w14:val="tx1"/>
            </w14:solidFill>
          </w14:textFill>
        </w:rPr>
        <w:t>；</w:t>
      </w:r>
      <w:r>
        <w:rPr>
          <w:rFonts w:hint="eastAsia" w:ascii="宋体" w:hAnsi="宋体" w:cs="仿宋"/>
          <w:color w:val="000000" w:themeColor="text1"/>
          <w:szCs w:val="21"/>
          <w:lang w:val="en-US" w:eastAsia="zh-CN"/>
          <w14:textFill>
            <w14:solidFill>
              <w14:schemeClr w14:val="tx1"/>
            </w14:solidFill>
          </w14:textFill>
        </w:rPr>
        <w:t>未定期</w:t>
      </w:r>
      <w:r>
        <w:rPr>
          <w:rFonts w:hint="eastAsia" w:ascii="宋体" w:hAnsi="宋体" w:cs="仿宋"/>
          <w:color w:val="000000" w:themeColor="text1"/>
          <w:szCs w:val="21"/>
          <w:lang w:eastAsia="zh-CN"/>
          <w14:textFill>
            <w14:solidFill>
              <w14:schemeClr w14:val="tx1"/>
            </w14:solidFill>
          </w14:textFill>
        </w:rPr>
        <w:t>组织安全生产管理人员、工程技术人员、岗位员工以及其他相关人员</w:t>
      </w:r>
      <w:r>
        <w:rPr>
          <w:rFonts w:hint="eastAsia" w:ascii="宋体" w:hAnsi="宋体" w:cs="仿宋"/>
          <w:color w:val="000000" w:themeColor="text1"/>
          <w:szCs w:val="21"/>
          <w:lang w:val="en-US" w:eastAsia="zh-CN"/>
          <w14:textFill>
            <w14:solidFill>
              <w14:schemeClr w14:val="tx1"/>
            </w14:solidFill>
          </w14:textFill>
        </w:rPr>
        <w:t>对</w:t>
      </w:r>
      <w:r>
        <w:rPr>
          <w:rFonts w:hint="eastAsia" w:ascii="宋体" w:hAnsi="宋体" w:cs="仿宋"/>
          <w:color w:val="000000" w:themeColor="text1"/>
          <w:szCs w:val="21"/>
          <w:lang w:eastAsia="zh-CN"/>
          <w14:textFill>
            <w14:solidFill>
              <w14:schemeClr w14:val="tx1"/>
            </w14:solidFill>
          </w14:textFill>
        </w:rPr>
        <w:t>事故隐患进行排查</w:t>
      </w:r>
      <w:r>
        <w:rPr>
          <w:rFonts w:hint="eastAsia" w:ascii="宋体" w:hAnsi="宋体" w:cs="仿宋"/>
          <w:color w:val="000000" w:themeColor="text1"/>
          <w:szCs w:val="21"/>
          <w:lang w:val="en-US" w:eastAsia="zh-CN"/>
          <w14:textFill>
            <w14:solidFill>
              <w14:schemeClr w14:val="tx1"/>
            </w14:solidFill>
          </w14:textFill>
        </w:rPr>
        <w:t>治理，设备设施带病运行而导致事故发生。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应急资源调查不充分；应急能力、风险评估不全面；应急预案不健全、可操作性不强、无针对性；应急预案培训不到位，应急预案演练不规范，应急预案评估不到位，现场负责人、监护人员、作业人员和应急救援人员均未掌握应急预案内容,不具备相应的应急处置能力，导致事故扩大。</w:t>
      </w:r>
    </w:p>
    <w:p>
      <w:pPr>
        <w:pStyle w:val="4"/>
        <w:adjustRightInd w:val="0"/>
        <w:snapToGrid w:val="0"/>
        <w:spacing w:before="0" w:after="0" w:line="360" w:lineRule="auto"/>
        <w:rPr>
          <w:rFonts w:ascii="Times New Roman" w:hAnsi="Times New Roman"/>
          <w:b w:val="0"/>
          <w:bCs/>
          <w:color w:val="auto"/>
          <w:szCs w:val="32"/>
        </w:rPr>
      </w:pPr>
      <w:bookmarkStart w:id="82" w:name="_Toc21157"/>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8</w:t>
      </w:r>
      <w:r>
        <w:rPr>
          <w:rFonts w:hint="eastAsia" w:ascii="Times New Roman" w:hAnsi="Times New Roman"/>
          <w:b w:val="0"/>
          <w:bCs/>
          <w:color w:val="auto"/>
          <w:szCs w:val="32"/>
        </w:rPr>
        <w:t xml:space="preserve"> 重大危险源辨识</w:t>
      </w:r>
      <w:bookmarkEnd w:id="77"/>
      <w:bookmarkEnd w:id="80"/>
      <w:bookmarkEnd w:id="81"/>
      <w:bookmarkEnd w:id="82"/>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8</w:t>
      </w:r>
      <w:r>
        <w:rPr>
          <w:rFonts w:hint="eastAsia" w:eastAsia="黑体"/>
          <w:bCs/>
          <w:snapToGrid w:val="0"/>
          <w:color w:val="auto"/>
          <w:kern w:val="0"/>
          <w:sz w:val="28"/>
          <w:szCs w:val="28"/>
        </w:rPr>
        <w:t>.1 重大危险源辨识依据</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依据《危险化学品重大危险源辨识》（GB18218-2018）和《危险化学品重大危险源监督管理暂行规定》（安监总局令第40号，79号令修订）规定，危险化学品重大危险源、危险化学品和临界量的定义如下：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危险化学品重大危险源：指长期地或临时地生产、加工、使用或储存危险化学品，且危险化学品的数量等于或超过临界量的单元。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生产单元：危险化学品的生产、加工及使用的装置及设施，当装置及设施之间有切断阀时，以切断阀作为分隔界限划分为独立的单元。</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储存单元：用于储存危险化学品的储罐或仓库组成的相对独立的区域，储罐区以罐区防火堤为界限划分为独立的单元，仓库以独立库房（独立建筑物）为界限划分为独立的单元。</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临界量：指对于某种或某类危险化学品规定的数量，若单元中的危险化学品数量等于或超过该数量，则该单元定为重大危险源。</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依据《危险化学品重大危险源辨识》（GB18218-2018）</w:t>
      </w:r>
      <w:r>
        <w:rPr>
          <w:rFonts w:hint="default" w:ascii="Times New Roman" w:hAnsi="Times New Roman" w:cs="Times New Roman"/>
          <w:color w:val="auto"/>
          <w:sz w:val="28"/>
          <w:szCs w:val="28"/>
          <w:highlight w:val="none"/>
        </w:rPr>
        <w:t>第4.2.1生产单元、储存单元内存在危险化学品的数量等于或超过表1、表2</w:t>
      </w:r>
      <w:r>
        <w:rPr>
          <w:rFonts w:hint="default" w:ascii="Times New Roman" w:hAnsi="Times New Roman" w:cs="Times New Roman"/>
          <w:color w:val="000000"/>
          <w:sz w:val="28"/>
          <w:szCs w:val="28"/>
        </w:rPr>
        <w:t>规定的临界量，即被定为重大危险源。危险化学品的纯物质及其混合物应按GB 30000.2、GB 30000.3、GB 30000.4、GB30000.5、GB 30000.7、GB 30000.8、GB 30000.9、GB 30000.10、GB 30000.11、GB 30000.12、GB 30000.13、GB 30000.14、GB 30000.15、GB 30000.16、GB 30000.18的规定进行分类。</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单元内存在的危险化学品的数量根据处理危险化学品种类的多少区分为以下两种情况：</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eastAsia" w:cs="Times New Roman"/>
          <w:color w:val="000000"/>
          <w:sz w:val="28"/>
          <w:szCs w:val="28"/>
          <w:lang w:eastAsia="zh-CN"/>
        </w:rPr>
        <w:t>（</w:t>
      </w:r>
      <w:r>
        <w:rPr>
          <w:rFonts w:hint="eastAsia" w:cs="Times New Roman"/>
          <w:color w:val="000000"/>
          <w:sz w:val="28"/>
          <w:szCs w:val="28"/>
          <w:lang w:val="en-US" w:eastAsia="zh-CN"/>
        </w:rPr>
        <w:t>1</w:t>
      </w:r>
      <w:r>
        <w:rPr>
          <w:rFonts w:hint="eastAsia" w:cs="Times New Roman"/>
          <w:color w:val="000000"/>
          <w:sz w:val="28"/>
          <w:szCs w:val="28"/>
          <w:lang w:eastAsia="zh-CN"/>
        </w:rPr>
        <w:t>）</w:t>
      </w:r>
      <w:r>
        <w:rPr>
          <w:rFonts w:hint="default" w:ascii="Times New Roman" w:hAnsi="Times New Roman" w:cs="Times New Roman"/>
          <w:color w:val="000000"/>
          <w:sz w:val="28"/>
          <w:szCs w:val="28"/>
        </w:rPr>
        <w:t>生产单元、储存单元内存在的危险化学品为单一品种，则该危险化学品的数量即为单元内危险化学品的总量，若等于或超过相应的临界量，则定为危险化学品重大危险源；</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eastAsia" w:cs="Times New Roman"/>
          <w:color w:val="000000"/>
          <w:sz w:val="28"/>
          <w:szCs w:val="28"/>
          <w:lang w:eastAsia="zh-CN"/>
        </w:rPr>
        <w:t>（</w:t>
      </w:r>
      <w:r>
        <w:rPr>
          <w:rFonts w:hint="eastAsia" w:cs="Times New Roman"/>
          <w:color w:val="000000"/>
          <w:sz w:val="28"/>
          <w:szCs w:val="28"/>
          <w:lang w:val="en-US" w:eastAsia="zh-CN"/>
        </w:rPr>
        <w:t>2</w:t>
      </w:r>
      <w:r>
        <w:rPr>
          <w:rFonts w:hint="eastAsia" w:cs="Times New Roman"/>
          <w:color w:val="000000"/>
          <w:sz w:val="28"/>
          <w:szCs w:val="28"/>
          <w:lang w:eastAsia="zh-CN"/>
        </w:rPr>
        <w:t>）</w:t>
      </w:r>
      <w:r>
        <w:rPr>
          <w:rFonts w:hint="default" w:ascii="Times New Roman" w:hAnsi="Times New Roman" w:cs="Times New Roman"/>
          <w:color w:val="000000"/>
          <w:sz w:val="28"/>
          <w:szCs w:val="28"/>
        </w:rPr>
        <w:t>生产单元、储存单元内内存在的危险化学品为多品种时，则按下列公式计算，若满足下列公式，则定为危险化学品重大危险源。</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S=q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 xml:space="preserve"> + 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 xml:space="preserve"> + … + 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≥1     ……………①</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式中：</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S—辨识指标；</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—每种危险化学品实际存在量，单位为t；</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—与各危险化学品相对应的临界量，单位为t。</w:t>
      </w:r>
    </w:p>
    <w:p>
      <w:pPr>
        <w:keepNext/>
        <w:keepLines/>
        <w:adjustRightInd w:val="0"/>
        <w:snapToGrid w:val="0"/>
        <w:spacing w:line="360" w:lineRule="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8</w:t>
      </w:r>
      <w:r>
        <w:rPr>
          <w:rFonts w:hint="eastAsia" w:eastAsia="黑体"/>
          <w:bCs/>
          <w:snapToGrid w:val="0"/>
          <w:color w:val="auto"/>
          <w:kern w:val="0"/>
          <w:sz w:val="28"/>
          <w:szCs w:val="28"/>
        </w:rPr>
        <w:t>.2 重大危险源辨识过程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olor w:val="auto"/>
          <w:sz w:val="28"/>
          <w:szCs w:val="28"/>
          <w:highlight w:val="none"/>
          <w:lang w:val="en-US" w:eastAsia="zh-CN"/>
        </w:rPr>
      </w:pPr>
      <w:r>
        <w:rPr>
          <w:rFonts w:hint="eastAsia"/>
          <w:color w:val="auto"/>
          <w:sz w:val="28"/>
          <w:szCs w:val="28"/>
          <w:highlight w:val="none"/>
          <w:lang w:eastAsia="zh-CN"/>
        </w:rPr>
        <w:t>山东华曦石油技术服务有限公司</w:t>
      </w:r>
      <w:r>
        <w:rPr>
          <w:rFonts w:hint="eastAsia"/>
          <w:color w:val="auto"/>
          <w:sz w:val="28"/>
          <w:szCs w:val="28"/>
          <w:highlight w:val="none"/>
          <w:lang w:val="en-US" w:eastAsia="zh-CN"/>
        </w:rPr>
        <w:t>作业</w:t>
      </w:r>
      <w:r>
        <w:rPr>
          <w:rFonts w:hint="eastAsia"/>
          <w:color w:val="auto"/>
          <w:sz w:val="28"/>
          <w:szCs w:val="28"/>
          <w:highlight w:val="none"/>
          <w:lang w:eastAsia="zh-CN"/>
        </w:rPr>
        <w:t>施工队，流动性很大，无固定的作业场所，从事的</w:t>
      </w:r>
      <w:r>
        <w:rPr>
          <w:rFonts w:hint="eastAsia"/>
          <w:color w:val="auto"/>
          <w:sz w:val="28"/>
          <w:szCs w:val="28"/>
          <w:highlight w:val="none"/>
          <w:lang w:val="en-US" w:eastAsia="zh-CN"/>
        </w:rPr>
        <w:t>注汽作业</w:t>
      </w:r>
      <w:r>
        <w:rPr>
          <w:rFonts w:hint="eastAsia"/>
          <w:color w:val="auto"/>
          <w:sz w:val="28"/>
          <w:szCs w:val="28"/>
          <w:highlight w:val="none"/>
          <w:lang w:eastAsia="zh-CN"/>
        </w:rPr>
        <w:t>施工过程中，</w:t>
      </w:r>
      <w:r>
        <w:rPr>
          <w:rFonts w:hint="eastAsia"/>
          <w:color w:val="auto"/>
          <w:sz w:val="28"/>
          <w:szCs w:val="28"/>
          <w:highlight w:val="none"/>
          <w:lang w:val="en-US" w:eastAsia="zh-CN"/>
        </w:rPr>
        <w:t>使用天然气作为注汽锅炉的燃料，但不涉及天然气的储存，因此不构成重大危险源。</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4"/>
          <w:szCs w:val="24"/>
        </w:rPr>
      </w:pPr>
      <w:r>
        <w:rPr>
          <w:rFonts w:hint="eastAsia"/>
          <w:color w:val="auto"/>
          <w:sz w:val="28"/>
          <w:szCs w:val="28"/>
          <w:lang w:val="en-US" w:eastAsia="zh-CN"/>
        </w:rPr>
        <w:t>复合气作业</w:t>
      </w:r>
      <w:r>
        <w:rPr>
          <w:rFonts w:hint="eastAsia"/>
          <w:color w:val="auto"/>
          <w:sz w:val="28"/>
          <w:szCs w:val="28"/>
        </w:rPr>
        <w:t>队</w:t>
      </w:r>
      <w:r>
        <w:rPr>
          <w:rFonts w:hint="eastAsia"/>
          <w:color w:val="auto"/>
          <w:sz w:val="28"/>
          <w:szCs w:val="28"/>
          <w:lang w:val="en-US" w:eastAsia="zh-CN"/>
        </w:rPr>
        <w:t>在施工</w:t>
      </w:r>
      <w:r>
        <w:rPr>
          <w:rFonts w:hint="eastAsia"/>
          <w:color w:val="auto"/>
          <w:sz w:val="28"/>
          <w:szCs w:val="28"/>
        </w:rPr>
        <w:t>过程中</w:t>
      </w:r>
      <w:r>
        <w:rPr>
          <w:rFonts w:hint="eastAsia"/>
          <w:color w:val="auto"/>
          <w:sz w:val="28"/>
          <w:szCs w:val="28"/>
          <w:lang w:eastAsia="zh-CN"/>
        </w:rPr>
        <w:t>，</w:t>
      </w:r>
      <w:r>
        <w:rPr>
          <w:rFonts w:hint="eastAsia"/>
          <w:color w:val="auto"/>
          <w:sz w:val="28"/>
          <w:szCs w:val="28"/>
          <w:lang w:val="en-US" w:eastAsia="zh-CN"/>
        </w:rPr>
        <w:t>复合发生器的燃料为柴油，作业现场设置有1台容积为16m³的卧式柴油罐，根据</w:t>
      </w:r>
      <w:r>
        <w:rPr>
          <w:rFonts w:hint="eastAsia"/>
          <w:color w:val="auto"/>
          <w:sz w:val="28"/>
          <w:szCs w:val="28"/>
          <w:lang w:eastAsia="zh-CN"/>
        </w:rPr>
        <w:t>《危险化学品重大危险源辨识》（GB18218-2018）</w:t>
      </w:r>
      <w:r>
        <w:rPr>
          <w:rFonts w:hint="eastAsia"/>
          <w:color w:val="auto"/>
          <w:sz w:val="28"/>
          <w:szCs w:val="28"/>
          <w:lang w:val="en-US" w:eastAsia="zh-CN"/>
        </w:rPr>
        <w:t>表2，柴油为易燃液体类别3，临界量为5000吨。</w:t>
      </w:r>
    </w:p>
    <w:p>
      <w:pPr>
        <w:keepNext/>
        <w:keepLines/>
        <w:pageBreakBefore w:val="0"/>
        <w:widowControl w:val="0"/>
        <w:kinsoku/>
        <w:wordWrap/>
        <w:overflowPunct/>
        <w:topLinePunct w:val="0"/>
        <w:autoSpaceDE/>
        <w:autoSpaceDN/>
        <w:bidi w:val="0"/>
        <w:adjustRightInd w:val="0"/>
        <w:snapToGrid w:val="0"/>
        <w:spacing w:line="360" w:lineRule="auto"/>
        <w:textAlignment w:val="auto"/>
        <w:outlineLvl w:val="2"/>
        <w:rPr>
          <w:rFonts w:eastAsia="黑体"/>
          <w:bCs/>
          <w:snapToGrid w:val="0"/>
          <w:color w:val="auto"/>
          <w:kern w:val="0"/>
          <w:sz w:val="28"/>
          <w:szCs w:val="28"/>
        </w:rPr>
      </w:pPr>
      <w:r>
        <w:rPr>
          <w:rFonts w:hint="eastAsia" w:eastAsia="黑体"/>
          <w:bCs/>
          <w:snapToGrid w:val="0"/>
          <w:color w:val="auto"/>
          <w:kern w:val="0"/>
          <w:sz w:val="28"/>
          <w:szCs w:val="28"/>
        </w:rPr>
        <w:t>3.</w:t>
      </w:r>
      <w:r>
        <w:rPr>
          <w:rFonts w:hint="eastAsia" w:eastAsia="黑体"/>
          <w:bCs/>
          <w:snapToGrid w:val="0"/>
          <w:color w:val="auto"/>
          <w:kern w:val="0"/>
          <w:sz w:val="28"/>
          <w:szCs w:val="28"/>
          <w:lang w:val="en-US" w:eastAsia="zh-CN"/>
        </w:rPr>
        <w:t>8</w:t>
      </w:r>
      <w:r>
        <w:rPr>
          <w:rFonts w:hint="eastAsia" w:eastAsia="黑体"/>
          <w:bCs/>
          <w:snapToGrid w:val="0"/>
          <w:color w:val="auto"/>
          <w:kern w:val="0"/>
          <w:sz w:val="28"/>
          <w:szCs w:val="28"/>
        </w:rPr>
        <w:t>.3 重大危险源辨识结果</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根据《危险化学品重大危险源辨识》（GB18218-2018）的有关规定，进行危险化学品重大危险源辨识可知：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复合气作业</w:t>
      </w:r>
      <w:r>
        <w:rPr>
          <w:rFonts w:hint="default" w:ascii="Times New Roman" w:hAnsi="Times New Roman" w:cs="Times New Roman"/>
          <w:color w:val="000000" w:themeColor="text1"/>
          <w:sz w:val="28"/>
          <w:szCs w:val="28"/>
          <w14:textFill>
            <w14:solidFill>
              <w14:schemeClr w14:val="tx1"/>
            </w14:solidFill>
          </w14:textFill>
        </w:rPr>
        <w:t>施工现场有1台</w:t>
      </w:r>
      <w:r>
        <w:rPr>
          <w:rFonts w:hint="eastAsia"/>
          <w:color w:val="auto"/>
          <w:sz w:val="28"/>
          <w:szCs w:val="28"/>
          <w:lang w:val="en-US" w:eastAsia="zh-CN"/>
        </w:rPr>
        <w:t>16m³</w:t>
      </w:r>
      <w:r>
        <w:rPr>
          <w:rFonts w:hint="default" w:ascii="Times New Roman" w:hAnsi="Times New Roman" w:cs="Times New Roman"/>
          <w:color w:val="000000" w:themeColor="text1"/>
          <w:sz w:val="28"/>
          <w:szCs w:val="28"/>
          <w14:textFill>
            <w14:solidFill>
              <w14:schemeClr w14:val="tx1"/>
            </w14:solidFill>
          </w14:textFill>
        </w:rPr>
        <w:t>卧式柴油罐，柴油密度按照880kg/</w:t>
      </w:r>
      <w:r>
        <w:rPr>
          <w:rFonts w:hint="eastAsia"/>
          <w:color w:val="auto"/>
          <w:sz w:val="28"/>
          <w:szCs w:val="28"/>
          <w:lang w:val="en-US" w:eastAsia="zh-CN"/>
        </w:rPr>
        <w:t>m³</w:t>
      </w: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柴油储存量最大为</w:t>
      </w:r>
      <w:r>
        <w:rPr>
          <w:rFonts w:hint="eastAsia" w:cs="Times New Roman"/>
          <w:color w:val="000000" w:themeColor="text1"/>
          <w:sz w:val="28"/>
          <w:szCs w:val="28"/>
          <w:lang w:val="en-US" w:eastAsia="zh-CN"/>
          <w14:textFill>
            <w14:solidFill>
              <w14:schemeClr w14:val="tx1"/>
            </w14:solidFill>
          </w14:textFill>
        </w:rPr>
        <w:t>14.1</w:t>
      </w:r>
      <w:r>
        <w:rPr>
          <w:rFonts w:hint="default" w:ascii="Times New Roman" w:hAnsi="Times New Roman" w:cs="Times New Roman"/>
          <w:color w:val="000000" w:themeColor="text1"/>
          <w:sz w:val="28"/>
          <w:szCs w:val="28"/>
          <w:lang w:val="en-US" w:eastAsia="zh-CN"/>
          <w14:textFill>
            <w14:solidFill>
              <w14:schemeClr w14:val="tx1"/>
            </w14:solidFill>
          </w14:textFill>
        </w:rPr>
        <w:t>吨</w:t>
      </w:r>
      <w:r>
        <w:rPr>
          <w:rFonts w:hint="default" w:ascii="Times New Roman" w:hAnsi="Times New Roman" w:cs="Times New Roman"/>
          <w:color w:val="000000" w:themeColor="text1"/>
          <w:sz w:val="28"/>
          <w:szCs w:val="28"/>
          <w14:textFill>
            <w14:solidFill>
              <w14:schemeClr w14:val="tx1"/>
            </w14:solidFill>
          </w14:textFill>
        </w:rPr>
        <w:t>，远小于5000吨的临界量。</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szCs w:val="28"/>
        </w:rPr>
      </w:pPr>
      <w:r>
        <w:rPr>
          <w:rFonts w:hint="eastAsia"/>
          <w:color w:val="auto"/>
          <w:sz w:val="28"/>
          <w:szCs w:val="28"/>
          <w:lang w:eastAsia="zh-CN"/>
        </w:rPr>
        <w:t>山东华曦石油技术服务有限公司</w:t>
      </w:r>
      <w:r>
        <w:rPr>
          <w:rFonts w:hint="eastAsia"/>
          <w:color w:val="auto"/>
          <w:sz w:val="28"/>
          <w:szCs w:val="28"/>
        </w:rPr>
        <w:t>井下作业</w:t>
      </w:r>
      <w:r>
        <w:rPr>
          <w:rFonts w:hint="eastAsia"/>
          <w:color w:val="auto"/>
          <w:sz w:val="28"/>
          <w:szCs w:val="28"/>
          <w:lang w:eastAsia="zh-CN"/>
        </w:rPr>
        <w:t>-注气（蒸汽）</w:t>
      </w:r>
      <w:r>
        <w:rPr>
          <w:rFonts w:hint="eastAsia"/>
          <w:color w:val="auto"/>
          <w:sz w:val="28"/>
          <w:szCs w:val="28"/>
        </w:rPr>
        <w:t>项目</w:t>
      </w:r>
      <w:r>
        <w:rPr>
          <w:rFonts w:hint="eastAsia"/>
          <w:color w:val="auto"/>
          <w:sz w:val="28"/>
          <w:szCs w:val="28"/>
          <w:lang w:val="en-US" w:eastAsia="zh-CN"/>
        </w:rPr>
        <w:t>未</w:t>
      </w:r>
      <w:r>
        <w:rPr>
          <w:rFonts w:hint="eastAsia"/>
          <w:color w:val="auto"/>
          <w:sz w:val="28"/>
          <w:szCs w:val="28"/>
        </w:rPr>
        <w:t>构成危险化学品重大危险源。</w:t>
      </w:r>
    </w:p>
    <w:p>
      <w:pPr>
        <w:rPr>
          <w:rFonts w:hint="eastAsia" w:ascii="Times New Roman" w:hAnsi="Times New Roman"/>
          <w:b w:val="0"/>
          <w:bCs/>
          <w:color w:val="auto"/>
          <w:szCs w:val="32"/>
        </w:rPr>
      </w:pPr>
      <w:bookmarkStart w:id="83" w:name="_Toc329433803"/>
      <w:bookmarkStart w:id="84" w:name="_Toc281310745"/>
      <w:bookmarkStart w:id="85" w:name="_Toc447782521"/>
      <w:r>
        <w:rPr>
          <w:rFonts w:hint="eastAsia" w:ascii="Times New Roman" w:hAnsi="Times New Roman"/>
          <w:b w:val="0"/>
          <w:bCs/>
          <w:color w:val="auto"/>
          <w:szCs w:val="32"/>
        </w:rPr>
        <w:br w:type="page"/>
      </w:r>
    </w:p>
    <w:p>
      <w:pPr>
        <w:pStyle w:val="4"/>
        <w:adjustRightInd w:val="0"/>
        <w:snapToGrid w:val="0"/>
        <w:spacing w:before="0" w:after="0" w:line="360" w:lineRule="auto"/>
        <w:rPr>
          <w:rFonts w:ascii="Times New Roman" w:hAnsi="Times New Roman"/>
          <w:b w:val="0"/>
          <w:bCs/>
          <w:color w:val="auto"/>
          <w:szCs w:val="32"/>
        </w:rPr>
      </w:pPr>
      <w:bookmarkStart w:id="86" w:name="_Toc1418"/>
      <w:r>
        <w:rPr>
          <w:rFonts w:hint="eastAsia" w:ascii="Times New Roman" w:hAnsi="Times New Roman"/>
          <w:b w:val="0"/>
          <w:bCs/>
          <w:color w:val="auto"/>
          <w:szCs w:val="32"/>
        </w:rPr>
        <w:t>3.</w:t>
      </w:r>
      <w:r>
        <w:rPr>
          <w:rFonts w:hint="eastAsia" w:ascii="Times New Roman" w:hAnsi="Times New Roman"/>
          <w:b w:val="0"/>
          <w:bCs/>
          <w:color w:val="auto"/>
          <w:szCs w:val="32"/>
          <w:lang w:val="en-US" w:eastAsia="zh-CN"/>
        </w:rPr>
        <w:t>9</w:t>
      </w:r>
      <w:r>
        <w:rPr>
          <w:rFonts w:hint="eastAsia" w:ascii="Times New Roman" w:hAnsi="Times New Roman"/>
          <w:b w:val="0"/>
          <w:bCs/>
          <w:color w:val="auto"/>
          <w:szCs w:val="32"/>
        </w:rPr>
        <w:t xml:space="preserve"> </w:t>
      </w:r>
      <w:bookmarkEnd w:id="83"/>
      <w:bookmarkEnd w:id="84"/>
      <w:bookmarkEnd w:id="85"/>
      <w:r>
        <w:rPr>
          <w:rFonts w:hint="default" w:ascii="Times New Roman" w:hAnsi="Times New Roman" w:cs="Times New Roman"/>
          <w:b w:val="0"/>
          <w:bCs/>
          <w:color w:val="auto"/>
          <w:szCs w:val="32"/>
          <w:lang w:eastAsia="zh-CN"/>
        </w:rPr>
        <w:t>事故案例分析</w:t>
      </w:r>
      <w:bookmarkEnd w:id="86"/>
    </w:p>
    <w:p>
      <w:pPr>
        <w:keepNext w:val="0"/>
        <w:keepLines w:val="0"/>
        <w:pageBreakBefore w:val="0"/>
        <w:widowControl w:val="0"/>
        <w:wordWrap/>
        <w:bidi w:val="0"/>
        <w:adjustRightInd w:val="0"/>
        <w:snapToGrid w:val="0"/>
        <w:spacing w:line="360" w:lineRule="auto"/>
        <w:outlineLvl w:val="2"/>
        <w:rPr>
          <w:rFonts w:hint="eastAsia" w:eastAsia="黑体" w:cs="Times New Roman"/>
          <w:bCs/>
          <w:snapToGrid w:val="0"/>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w:t>
      </w:r>
      <w:r>
        <w:rPr>
          <w:rFonts w:hint="eastAsia" w:eastAsia="黑体" w:cs="Times New Roman"/>
          <w:bCs/>
          <w:snapToGrid w:val="0"/>
          <w:color w:val="000000" w:themeColor="text1"/>
          <w:kern w:val="0"/>
          <w:sz w:val="28"/>
          <w:szCs w:val="28"/>
          <w:lang w:val="en-US" w:eastAsia="zh-CN"/>
          <w14:textFill>
            <w14:solidFill>
              <w14:schemeClr w14:val="tx1"/>
            </w14:solidFill>
          </w14:textFill>
        </w:rPr>
        <w:t>9</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w:t>
      </w:r>
      <w:r>
        <w:rPr>
          <w:rFonts w:hint="eastAsia" w:eastAsia="黑体" w:cs="Times New Roman"/>
          <w:bCs/>
          <w:snapToGrid w:val="0"/>
          <w:color w:val="000000" w:themeColor="text1"/>
          <w:kern w:val="0"/>
          <w:sz w:val="28"/>
          <w:szCs w:val="28"/>
          <w:lang w:val="en-US" w:eastAsia="zh-CN"/>
          <w14:textFill>
            <w14:solidFill>
              <w14:schemeClr w14:val="tx1"/>
            </w14:solidFill>
          </w14:textFill>
        </w:rPr>
        <w:t>1盲目加水太大意，锅炉爆炸把命丧</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 xml:space="preserve">1.事故经过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 xml:space="preserve">某年9月29日，某单位油气集输大队污水处理站锅炉房当班司炉工周某到卸油站通知某公司刘某，让刘某向二首站要求提高天然气压力，周某回锅炉房后，仅两、三分钟锅炉房一声巨响，1号锅炉发生爆炸，周某经抢救无效死亡。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 xml:space="preserve">2.事故原因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 xml:space="preserve">（1）司炉工周某在锅炉严重缺水的情况下，盲目加水，致使锅炉爆炸，是导致事故发生的直接原因和主要原因。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 xml:space="preserve">（2）司炉工周某安全意识淡薄，值班期间擅自离开锅炉房，是导致事故发生的重要原因。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 xml:space="preserve">3.防范措施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 xml:space="preserve">（1）加强特种作业人员安全培训，提高职工安全操作技能，严格遵守操作规程。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（2）通过技术改造、设备更新，实现锅炉低水位报警，不断提高设备的本质安全度。</w:t>
      </w:r>
    </w:p>
    <w:p>
      <w:pPr>
        <w:keepNext w:val="0"/>
        <w:keepLines w:val="0"/>
        <w:pageBreakBefore w:val="0"/>
        <w:widowControl w:val="0"/>
        <w:wordWrap/>
        <w:bidi w:val="0"/>
        <w:adjustRightInd w:val="0"/>
        <w:snapToGrid w:val="0"/>
        <w:spacing w:line="360" w:lineRule="auto"/>
        <w:outlineLvl w:val="2"/>
        <w:rPr>
          <w:rFonts w:hint="default" w:eastAsia="黑体" w:cs="Times New Roman"/>
          <w:bCs/>
          <w:snapToGrid w:val="0"/>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w:t>
      </w:r>
      <w:r>
        <w:rPr>
          <w:rFonts w:hint="eastAsia" w:eastAsia="黑体" w:cs="Times New Roman"/>
          <w:bCs/>
          <w:snapToGrid w:val="0"/>
          <w:color w:val="000000" w:themeColor="text1"/>
          <w:kern w:val="0"/>
          <w:sz w:val="28"/>
          <w:szCs w:val="28"/>
          <w:lang w:val="en-US" w:eastAsia="zh-CN"/>
          <w14:textFill>
            <w14:solidFill>
              <w14:schemeClr w14:val="tx1"/>
            </w14:solidFill>
          </w14:textFill>
        </w:rPr>
        <w:t>9</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w:t>
      </w:r>
      <w:r>
        <w:rPr>
          <w:rFonts w:hint="eastAsia" w:eastAsia="黑体" w:cs="Times New Roman"/>
          <w:bCs/>
          <w:snapToGrid w:val="0"/>
          <w:color w:val="000000" w:themeColor="text1"/>
          <w:kern w:val="0"/>
          <w:sz w:val="28"/>
          <w:szCs w:val="28"/>
          <w:lang w:val="en-US" w:eastAsia="zh-CN"/>
          <w14:textFill>
            <w14:solidFill>
              <w14:schemeClr w14:val="tx1"/>
            </w14:solidFill>
          </w14:textFill>
        </w:rPr>
        <w:t>2“2·28”起重伤害事故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2005年2月28日10时3分，某石油管理局井下作业公司大修作业队在塔里木轮南小区物资检查站东1公里处修井86队设备配套现场，准备进行安装作业。安装前，修井86队副队长李某主持召开了班前会。技术员吴某对当天工作进行了安排，要求：一班负责井架配套，二班负责柴油罐移位。会后，吊车到达设备配套现场，队长陈某安排副队长李某组织吊装工作，二班班长齐某告诉吊车司机柴油罐需要摆放的位置（即事发地点）。随后，合同工付某拿来一根∅9.6mm的钢丝绳交给班长齐某，由齐某将钢丝绳拴在球型高架罐的吊耳上，先将球型高架罐吊放至平卧位置再用∅19mm钢丝绳将其整体移位至离原位置10米左右的指定地点。这时，合同工梁某从距高架油箱15米处拿来一根4.1米长（重约44千克，内径40mm，外径58mm）的支撑杆至安装处。李某指挥吊车司机用小吊钩挂上∅9.6mm的钢丝绳起吊球型高架罐至高点，在距离高架油箱到位挡板约10cm处时，让吊臂停下，并和赵某、马某（副司钻）、付某三人在球型高架罐下安装支撑杆，发现球型高架罐未吊至到位挡板位置，支撑杆无法插入下部支撑孔。李某指挥吊车在升一点，吊车在提升时，钢丝绳突然被拉断，球型高架罐迅速坠落。将李某、赵某压在罐下，马某挤在罐右侧和配电箱之间。</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（一）直接原因</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吊装作业时，违章使用了打结且缺一股的钢丝绳套，导致钢丝绳抗拉强度降低，吊车在提升时钢丝绳突然被拉断，球型高架罐迅速坠落。</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（二）间接原因</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1、吊车司机违反吊装做作业规定，在被吊的球型高架罐上、下均有作业人员的情况下实施起吊。</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2、指挥人员违反吊物下严禁站人的规定，在人员未离开球型高架罐底的情况下，仍然指挥吊车起吊。</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3、高架油罐存在结构设计缺陷，致使吊装球型高架罐时，作业人员必须在罐下部安装支撑杆，致使作业人员处在危险区域内。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4、吊车摆放位置不当，致使吊车司机操作时，无法看清球型高架罐和到位挡板之间的距离，影响了司机的操作准确性。</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（三）管理原因</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1、对油罐存在的结构设计缺陷未进行认真的风险识别，且未制定有效的风险控制措施的情况下，盲目施工。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2、对大修86队现场设备配套工作监督管理不到位，现场未按要求派驻安全监督，造成现场施工作业时监督工作不落实。</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3、对外部市场的安全管理工作未引起足够重视，造成管理较为混乱。</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（四）防范措施</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1、定期对作业区域内具有危险性的设备、作业工序进行危险性识别分析，无法降低其危险性的，制定相关的风险管控措施，保证施工作业能安全进行。</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2、在吊装作业现场要派具有资质的专人进行指挥，施工人员和指挥人员要按章进行作业。</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ascii="Times New Roman" w:hAnsi="Times New Roman" w:eastAsia="宋体" w:cs="Times New Roman"/>
          <w:sz w:val="28"/>
          <w:szCs w:val="28"/>
          <w:lang w:val="en-US" w:eastAsia="zh-CN"/>
        </w:rPr>
        <w:t>3、加强危险作业的管理，定期对危险作业人员进行培训学习。</w:t>
      </w:r>
    </w:p>
    <w:p>
      <w:pPr>
        <w:pStyle w:val="4"/>
        <w:keepNext w:val="0"/>
        <w:keepLines w:val="0"/>
        <w:pageBreakBefore w:val="0"/>
        <w:widowControl w:val="0"/>
        <w:wordWrap/>
        <w:bidi w:val="0"/>
        <w:adjustRightInd w:val="0"/>
        <w:snapToGrid w:val="0"/>
        <w:spacing w:before="0" w:after="0" w:line="360" w:lineRule="auto"/>
        <w:rPr>
          <w:rFonts w:ascii="Times New Roman" w:hAnsi="Times New Roman"/>
          <w:b w:val="0"/>
          <w:bCs/>
          <w:color w:val="000000" w:themeColor="text1"/>
          <w:szCs w:val="32"/>
          <w14:textFill>
            <w14:solidFill>
              <w14:schemeClr w14:val="tx1"/>
            </w14:solidFill>
          </w14:textFill>
        </w:rPr>
      </w:pPr>
      <w:bookmarkStart w:id="87" w:name="_Toc14092"/>
      <w:bookmarkStart w:id="88" w:name="_Toc21585"/>
      <w:r>
        <w:rPr>
          <w:rFonts w:hint="eastAsia" w:ascii="Times New Roman" w:hAnsi="Times New Roman"/>
          <w:b w:val="0"/>
          <w:bCs/>
          <w:color w:val="000000" w:themeColor="text1"/>
          <w:szCs w:val="32"/>
          <w14:textFill>
            <w14:solidFill>
              <w14:schemeClr w14:val="tx1"/>
            </w14:solidFill>
          </w14:textFill>
        </w:rPr>
        <w:t>3.</w:t>
      </w:r>
      <w:r>
        <w:rPr>
          <w:rFonts w:hint="eastAsia" w:ascii="Times New Roman" w:hAnsi="Times New Roman"/>
          <w:b w:val="0"/>
          <w:bCs/>
          <w:color w:val="000000" w:themeColor="text1"/>
          <w:szCs w:val="32"/>
          <w:lang w:val="en-US" w:eastAsia="zh-CN"/>
          <w14:textFill>
            <w14:solidFill>
              <w14:schemeClr w14:val="tx1"/>
            </w14:solidFill>
          </w14:textFill>
        </w:rPr>
        <w:t>10</w:t>
      </w:r>
      <w:r>
        <w:rPr>
          <w:rFonts w:hint="eastAsia" w:ascii="Times New Roman" w:hAnsi="Times New Roman"/>
          <w:b w:val="0"/>
          <w:bCs/>
          <w:color w:val="000000" w:themeColor="text1"/>
          <w:szCs w:val="32"/>
          <w14:textFill>
            <w14:solidFill>
              <w14:schemeClr w14:val="tx1"/>
            </w14:solidFill>
          </w14:textFill>
        </w:rPr>
        <w:t xml:space="preserve"> 主要危险、有害因素分析结论</w:t>
      </w:r>
      <w:bookmarkEnd w:id="87"/>
      <w:bookmarkEnd w:id="88"/>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70C0"/>
          <w:sz w:val="28"/>
          <w:szCs w:val="28"/>
        </w:rPr>
      </w:pPr>
      <w:r>
        <w:rPr>
          <w:rFonts w:hint="eastAsia"/>
          <w:color w:val="auto"/>
          <w:sz w:val="28"/>
          <w:szCs w:val="28"/>
          <w:lang w:eastAsia="zh-CN"/>
        </w:rPr>
        <w:t>山东华曦石油技术服务有限公司</w:t>
      </w:r>
      <w:r>
        <w:rPr>
          <w:rFonts w:hint="eastAsia"/>
          <w:color w:val="auto"/>
          <w:sz w:val="28"/>
          <w:szCs w:val="28"/>
        </w:rPr>
        <w:t>井下作业</w:t>
      </w:r>
      <w:r>
        <w:rPr>
          <w:rFonts w:hint="eastAsia"/>
          <w:color w:val="auto"/>
          <w:sz w:val="28"/>
          <w:szCs w:val="28"/>
          <w:lang w:eastAsia="zh-CN"/>
        </w:rPr>
        <w:t>-注气（蒸汽）</w:t>
      </w:r>
      <w:r>
        <w:rPr>
          <w:rFonts w:hint="eastAsia"/>
          <w:color w:val="auto"/>
          <w:sz w:val="28"/>
          <w:szCs w:val="28"/>
          <w:lang w:val="en-US" w:eastAsia="zh-CN"/>
        </w:rPr>
        <w:t>作业</w:t>
      </w:r>
      <w:r>
        <w:rPr>
          <w:rFonts w:hint="eastAsia"/>
          <w:color w:val="auto"/>
          <w:sz w:val="28"/>
          <w:szCs w:val="28"/>
        </w:rPr>
        <w:t>过程中，涉及的主要危险、有害物质有：原油、天然气、硫化氢、柴油、高温</w:t>
      </w:r>
      <w:r>
        <w:rPr>
          <w:rFonts w:hint="eastAsia"/>
          <w:color w:val="auto"/>
          <w:sz w:val="28"/>
          <w:szCs w:val="28"/>
          <w:lang w:eastAsia="zh-CN"/>
        </w:rPr>
        <w:t>高压</w:t>
      </w:r>
      <w:r>
        <w:rPr>
          <w:rFonts w:hint="eastAsia"/>
          <w:color w:val="auto"/>
          <w:sz w:val="28"/>
          <w:szCs w:val="28"/>
        </w:rPr>
        <w:t>蒸汽</w:t>
      </w:r>
      <w:r>
        <w:rPr>
          <w:rFonts w:hint="eastAsia"/>
          <w:color w:val="auto"/>
          <w:sz w:val="28"/>
          <w:szCs w:val="28"/>
          <w:lang w:eastAsia="zh-CN"/>
        </w:rPr>
        <w:t>和</w:t>
      </w:r>
      <w:r>
        <w:rPr>
          <w:rFonts w:hint="eastAsia"/>
          <w:color w:val="auto"/>
          <w:sz w:val="28"/>
          <w:szCs w:val="28"/>
          <w:lang w:val="en-US" w:eastAsia="zh-CN"/>
        </w:rPr>
        <w:t>复合气</w:t>
      </w:r>
      <w:r>
        <w:rPr>
          <w:rFonts w:hint="eastAsia"/>
          <w:color w:val="auto"/>
          <w:sz w:val="28"/>
          <w:szCs w:val="28"/>
        </w:rPr>
        <w:t>等。</w:t>
      </w:r>
    </w:p>
    <w:p>
      <w:pPr>
        <w:adjustRightInd w:val="0"/>
        <w:snapToGrid w:val="0"/>
        <w:spacing w:line="360" w:lineRule="auto"/>
        <w:ind w:firstLine="560" w:firstLineChars="200"/>
        <w:rPr>
          <w:color w:val="auto"/>
          <w:sz w:val="28"/>
          <w:szCs w:val="28"/>
        </w:rPr>
      </w:pPr>
      <w:r>
        <w:rPr>
          <w:rFonts w:hint="eastAsia"/>
          <w:color w:val="auto"/>
          <w:sz w:val="28"/>
          <w:szCs w:val="28"/>
        </w:rPr>
        <w:t>主要危险因素主要有：火灾爆炸、井喷及井喷失控、锅炉爆炸、</w:t>
      </w:r>
      <w:r>
        <w:rPr>
          <w:rFonts w:hint="eastAsia"/>
          <w:color w:val="auto"/>
          <w:sz w:val="28"/>
          <w:szCs w:val="28"/>
          <w:lang w:val="en-US" w:eastAsia="zh-CN"/>
        </w:rPr>
        <w:t>容器爆炸、</w:t>
      </w:r>
      <w:r>
        <w:rPr>
          <w:rFonts w:hint="eastAsia"/>
          <w:color w:val="auto"/>
          <w:sz w:val="28"/>
          <w:szCs w:val="28"/>
        </w:rPr>
        <w:t>灼烫、中毒</w:t>
      </w:r>
      <w:r>
        <w:rPr>
          <w:rFonts w:hint="eastAsia"/>
          <w:color w:val="auto"/>
          <w:sz w:val="28"/>
          <w:szCs w:val="28"/>
          <w:lang w:val="en-US" w:eastAsia="zh-CN"/>
        </w:rPr>
        <w:t>和</w:t>
      </w:r>
      <w:r>
        <w:rPr>
          <w:rFonts w:hint="eastAsia"/>
          <w:color w:val="auto"/>
          <w:sz w:val="28"/>
          <w:szCs w:val="28"/>
        </w:rPr>
        <w:t>窒息、物体打击、机械伤害、触电、</w:t>
      </w:r>
      <w:r>
        <w:rPr>
          <w:rFonts w:hint="eastAsia"/>
          <w:color w:val="auto"/>
          <w:sz w:val="28"/>
          <w:szCs w:val="28"/>
          <w:lang w:val="en-US" w:eastAsia="zh-CN"/>
        </w:rPr>
        <w:t>高处坠落、起重伤害、</w:t>
      </w:r>
      <w:r>
        <w:rPr>
          <w:rFonts w:hint="eastAsia"/>
          <w:color w:val="auto"/>
          <w:sz w:val="28"/>
          <w:szCs w:val="28"/>
        </w:rPr>
        <w:t>车辆伤害</w:t>
      </w:r>
      <w:r>
        <w:rPr>
          <w:rFonts w:hint="eastAsia"/>
          <w:color w:val="auto"/>
          <w:sz w:val="28"/>
          <w:szCs w:val="28"/>
          <w:lang w:eastAsia="zh-CN"/>
        </w:rPr>
        <w:t>、</w:t>
      </w:r>
      <w:r>
        <w:rPr>
          <w:rFonts w:hint="eastAsia"/>
          <w:color w:val="auto"/>
          <w:sz w:val="28"/>
          <w:szCs w:val="28"/>
          <w:lang w:val="en-US" w:eastAsia="zh-CN"/>
        </w:rPr>
        <w:t>淹溺</w:t>
      </w:r>
      <w:r>
        <w:rPr>
          <w:rFonts w:hint="eastAsia"/>
          <w:color w:val="auto"/>
          <w:sz w:val="28"/>
          <w:szCs w:val="28"/>
        </w:rPr>
        <w:t>等。</w:t>
      </w:r>
    </w:p>
    <w:p>
      <w:pPr>
        <w:adjustRightInd w:val="0"/>
        <w:snapToGrid w:val="0"/>
        <w:spacing w:line="360" w:lineRule="auto"/>
        <w:ind w:firstLine="560" w:firstLineChars="200"/>
        <w:rPr>
          <w:color w:val="auto"/>
          <w:sz w:val="28"/>
          <w:szCs w:val="28"/>
        </w:rPr>
      </w:pPr>
      <w:r>
        <w:rPr>
          <w:rFonts w:hint="eastAsia"/>
          <w:color w:val="auto"/>
          <w:sz w:val="28"/>
          <w:szCs w:val="28"/>
        </w:rPr>
        <w:t>主要有害因素有：噪声危害</w:t>
      </w:r>
      <w:r>
        <w:rPr>
          <w:rFonts w:hint="eastAsia"/>
          <w:color w:val="auto"/>
          <w:sz w:val="28"/>
          <w:szCs w:val="28"/>
          <w:lang w:eastAsia="zh-CN"/>
        </w:rPr>
        <w:t>、</w:t>
      </w:r>
      <w:r>
        <w:rPr>
          <w:rFonts w:hint="eastAsia"/>
          <w:color w:val="auto"/>
          <w:sz w:val="28"/>
          <w:szCs w:val="28"/>
        </w:rPr>
        <w:t>毒物危害</w:t>
      </w:r>
      <w:r>
        <w:rPr>
          <w:rFonts w:hint="eastAsia"/>
          <w:color w:val="auto"/>
          <w:sz w:val="28"/>
          <w:szCs w:val="28"/>
          <w:lang w:val="en-US" w:eastAsia="zh-CN"/>
        </w:rPr>
        <w:t>和振动危害</w:t>
      </w:r>
      <w:r>
        <w:rPr>
          <w:rFonts w:hint="eastAsia"/>
          <w:color w:val="auto"/>
          <w:sz w:val="28"/>
          <w:szCs w:val="28"/>
        </w:rPr>
        <w:t>。</w:t>
      </w:r>
    </w:p>
    <w:p>
      <w:pPr>
        <w:adjustRightInd w:val="0"/>
        <w:snapToGrid w:val="0"/>
        <w:spacing w:line="360" w:lineRule="auto"/>
        <w:ind w:firstLine="560" w:firstLineChars="200"/>
        <w:rPr>
          <w:color w:val="auto"/>
          <w:sz w:val="28"/>
          <w:szCs w:val="28"/>
        </w:rPr>
      </w:pPr>
      <w:r>
        <w:rPr>
          <w:rFonts w:hint="eastAsia"/>
          <w:color w:val="auto"/>
          <w:sz w:val="28"/>
          <w:szCs w:val="28"/>
        </w:rPr>
        <w:t>自然灾害有：雷电袭击、大风、</w:t>
      </w:r>
      <w:r>
        <w:rPr>
          <w:rFonts w:hint="eastAsia"/>
          <w:color w:val="auto"/>
          <w:sz w:val="28"/>
          <w:szCs w:val="28"/>
          <w:lang w:val="en-US" w:eastAsia="zh-CN"/>
        </w:rPr>
        <w:t>暴雨、</w:t>
      </w:r>
      <w:r>
        <w:rPr>
          <w:rFonts w:hint="eastAsia"/>
          <w:color w:val="auto"/>
          <w:sz w:val="28"/>
          <w:szCs w:val="28"/>
        </w:rPr>
        <w:t>高温、低温、地震灾害等。</w:t>
      </w:r>
    </w:p>
    <w:p>
      <w:pPr>
        <w:adjustRightInd w:val="0"/>
        <w:snapToGrid w:val="0"/>
        <w:spacing w:line="360" w:lineRule="auto"/>
        <w:ind w:firstLine="560" w:firstLineChars="200"/>
        <w:rPr>
          <w:color w:val="auto"/>
          <w:sz w:val="28"/>
          <w:szCs w:val="28"/>
        </w:rPr>
      </w:pPr>
      <w:r>
        <w:rPr>
          <w:rFonts w:hint="eastAsia"/>
          <w:color w:val="auto"/>
          <w:sz w:val="28"/>
          <w:szCs w:val="28"/>
          <w:lang w:eastAsia="zh-CN"/>
        </w:rPr>
        <w:t>山东华曦石油技术服务有限公司</w:t>
      </w:r>
      <w:r>
        <w:rPr>
          <w:rFonts w:hint="eastAsia"/>
          <w:color w:val="auto"/>
          <w:sz w:val="28"/>
          <w:szCs w:val="28"/>
        </w:rPr>
        <w:t>井下作业</w:t>
      </w:r>
      <w:r>
        <w:rPr>
          <w:rFonts w:hint="eastAsia"/>
          <w:color w:val="auto"/>
          <w:sz w:val="28"/>
          <w:szCs w:val="28"/>
          <w:lang w:eastAsia="zh-CN"/>
        </w:rPr>
        <w:t>-注气（蒸汽）</w:t>
      </w:r>
      <w:r>
        <w:rPr>
          <w:rFonts w:hint="eastAsia"/>
          <w:color w:val="auto"/>
          <w:sz w:val="28"/>
          <w:szCs w:val="28"/>
        </w:rPr>
        <w:t>项目</w:t>
      </w:r>
      <w:r>
        <w:rPr>
          <w:rFonts w:hint="eastAsia"/>
          <w:color w:val="auto"/>
          <w:sz w:val="28"/>
          <w:szCs w:val="28"/>
          <w:lang w:val="en-US" w:eastAsia="zh-CN"/>
        </w:rPr>
        <w:t>未</w:t>
      </w:r>
      <w:r>
        <w:rPr>
          <w:rFonts w:hint="eastAsia"/>
          <w:color w:val="auto"/>
          <w:sz w:val="28"/>
          <w:szCs w:val="28"/>
        </w:rPr>
        <w:t>构成危险化学品重大危险源。</w:t>
      </w:r>
    </w:p>
    <w:p>
      <w:pPr>
        <w:adjustRightInd w:val="0"/>
        <w:snapToGrid w:val="0"/>
        <w:spacing w:line="360" w:lineRule="auto"/>
        <w:ind w:firstLine="560" w:firstLineChars="200"/>
        <w:rPr>
          <w:color w:val="0070C0"/>
          <w:sz w:val="28"/>
          <w:szCs w:val="28"/>
        </w:rPr>
      </w:pPr>
    </w:p>
    <w:p>
      <w:pPr>
        <w:adjustRightInd w:val="0"/>
        <w:snapToGrid w:val="0"/>
        <w:spacing w:line="360" w:lineRule="auto"/>
        <w:rPr>
          <w:color w:val="0070C0"/>
          <w:sz w:val="28"/>
          <w:szCs w:val="28"/>
        </w:rPr>
        <w:sectPr>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bookmarkEnd w:id="13"/>
    <w:bookmarkEnd w:id="14"/>
    <w:bookmarkEnd w:id="15"/>
    <w:bookmarkEnd w:id="16"/>
    <w:bookmarkEnd w:id="23"/>
    <w:p>
      <w:pPr>
        <w:pStyle w:val="3"/>
        <w:adjustRightInd w:val="0"/>
        <w:snapToGrid w:val="0"/>
        <w:spacing w:line="360" w:lineRule="auto"/>
        <w:rPr>
          <w:rFonts w:eastAsia="楷体_GB2312"/>
          <w:b/>
          <w:color w:val="auto"/>
          <w:sz w:val="36"/>
          <w:szCs w:val="36"/>
        </w:rPr>
      </w:pPr>
      <w:bookmarkStart w:id="89" w:name="_Toc202759432"/>
      <w:bookmarkStart w:id="90" w:name="_Toc291144373"/>
      <w:bookmarkStart w:id="91" w:name="_Toc27108"/>
      <w:bookmarkStart w:id="92" w:name="_Toc215277173"/>
      <w:bookmarkStart w:id="93" w:name="_Toc244964631"/>
      <w:bookmarkStart w:id="94" w:name="_Toc298756206"/>
      <w:bookmarkStart w:id="95" w:name="_Toc281310747"/>
      <w:r>
        <w:rPr>
          <w:rFonts w:hint="eastAsia" w:eastAsia="楷体_GB2312"/>
          <w:b/>
          <w:color w:val="auto"/>
          <w:sz w:val="36"/>
          <w:szCs w:val="36"/>
        </w:rPr>
        <w:t>4</w:t>
      </w:r>
      <w:r>
        <w:rPr>
          <w:rFonts w:eastAsia="楷体_GB2312"/>
          <w:b/>
          <w:color w:val="auto"/>
          <w:sz w:val="36"/>
          <w:szCs w:val="36"/>
        </w:rPr>
        <w:t xml:space="preserve"> </w:t>
      </w:r>
      <w:r>
        <w:rPr>
          <w:rFonts w:hint="eastAsia" w:ascii="宋体" w:hAnsi="宋体" w:eastAsia="宋体" w:cs="宋体"/>
          <w:b/>
          <w:color w:val="auto"/>
          <w:sz w:val="36"/>
          <w:szCs w:val="36"/>
        </w:rPr>
        <w:t>评价单元划分</w:t>
      </w:r>
      <w:bookmarkEnd w:id="89"/>
      <w:r>
        <w:rPr>
          <w:rFonts w:hint="eastAsia" w:ascii="宋体" w:hAnsi="宋体" w:eastAsia="宋体" w:cs="宋体"/>
          <w:b/>
          <w:color w:val="auto"/>
          <w:sz w:val="36"/>
          <w:szCs w:val="36"/>
        </w:rPr>
        <w:t>及评价方法选择</w:t>
      </w:r>
      <w:bookmarkEnd w:id="90"/>
      <w:bookmarkEnd w:id="91"/>
      <w:bookmarkEnd w:id="92"/>
      <w:bookmarkEnd w:id="93"/>
      <w:bookmarkEnd w:id="94"/>
    </w:p>
    <w:p>
      <w:pPr>
        <w:pStyle w:val="4"/>
        <w:adjustRightInd w:val="0"/>
        <w:snapToGrid w:val="0"/>
        <w:spacing w:before="0" w:after="0" w:line="360" w:lineRule="auto"/>
        <w:rPr>
          <w:rFonts w:ascii="Times New Roman" w:hAnsi="Times New Roman"/>
          <w:b w:val="0"/>
          <w:bCs/>
          <w:color w:val="auto"/>
          <w:szCs w:val="32"/>
        </w:rPr>
      </w:pPr>
      <w:bookmarkStart w:id="96" w:name="_Toc18802"/>
      <w:bookmarkStart w:id="97" w:name="_Toc244964632"/>
      <w:bookmarkStart w:id="98" w:name="_Toc215277174"/>
      <w:bookmarkStart w:id="99" w:name="_Toc291144374"/>
      <w:bookmarkStart w:id="100" w:name="_Toc298756207"/>
      <w:r>
        <w:rPr>
          <w:rFonts w:hint="eastAsia" w:ascii="Times New Roman" w:hAnsi="Times New Roman"/>
          <w:b w:val="0"/>
          <w:bCs/>
          <w:color w:val="auto"/>
          <w:szCs w:val="32"/>
        </w:rPr>
        <w:t>4.1</w:t>
      </w:r>
      <w:r>
        <w:rPr>
          <w:rFonts w:ascii="Times New Roman" w:hAnsi="Times New Roman"/>
          <w:b w:val="0"/>
          <w:bCs/>
          <w:color w:val="auto"/>
          <w:szCs w:val="32"/>
        </w:rPr>
        <w:t xml:space="preserve"> </w:t>
      </w:r>
      <w:r>
        <w:rPr>
          <w:rFonts w:hint="eastAsia" w:ascii="Times New Roman" w:hAnsi="Times New Roman"/>
          <w:b w:val="0"/>
          <w:bCs/>
          <w:color w:val="auto"/>
          <w:szCs w:val="32"/>
        </w:rPr>
        <w:t>评价单元划分</w:t>
      </w:r>
      <w:bookmarkEnd w:id="96"/>
      <w:bookmarkEnd w:id="97"/>
      <w:bookmarkEnd w:id="98"/>
      <w:bookmarkEnd w:id="99"/>
      <w:bookmarkEnd w:id="100"/>
    </w:p>
    <w:p>
      <w:pPr>
        <w:pStyle w:val="5"/>
        <w:adjustRightInd w:val="0"/>
        <w:snapToGrid w:val="0"/>
        <w:spacing w:before="0" w:after="0" w:line="360" w:lineRule="auto"/>
        <w:rPr>
          <w:rFonts w:eastAsia="黑体"/>
          <w:b w:val="0"/>
          <w:snapToGrid w:val="0"/>
          <w:color w:val="auto"/>
          <w:kern w:val="0"/>
          <w:sz w:val="28"/>
          <w:szCs w:val="28"/>
        </w:rPr>
      </w:pPr>
      <w:r>
        <w:rPr>
          <w:rFonts w:hint="eastAsia" w:eastAsia="黑体"/>
          <w:b w:val="0"/>
          <w:snapToGrid w:val="0"/>
          <w:color w:val="auto"/>
          <w:kern w:val="0"/>
          <w:sz w:val="28"/>
          <w:szCs w:val="28"/>
        </w:rPr>
        <w:t>4.1.1</w:t>
      </w:r>
      <w:r>
        <w:rPr>
          <w:rFonts w:eastAsia="黑体"/>
          <w:b w:val="0"/>
          <w:snapToGrid w:val="0"/>
          <w:color w:val="auto"/>
          <w:kern w:val="0"/>
          <w:sz w:val="28"/>
          <w:szCs w:val="28"/>
        </w:rPr>
        <w:t xml:space="preserve"> </w:t>
      </w:r>
      <w:r>
        <w:rPr>
          <w:rFonts w:hint="eastAsia" w:eastAsia="黑体"/>
          <w:b w:val="0"/>
          <w:snapToGrid w:val="0"/>
          <w:color w:val="auto"/>
          <w:kern w:val="0"/>
          <w:sz w:val="28"/>
          <w:szCs w:val="28"/>
        </w:rPr>
        <w:t>划分原则</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评价单元是指在对工程危险、有害因素进行分析的基础上，根据评价目标和评价方法的需要，将整个系统划分成若干个有限的确定范围而分别进行评价的相对独立的装置、设施和场所。</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划分评价单元的一般性原则是按生产工艺功能、生产设施设备相对独立空间、危险有害因素类别及事故范围划分评价单元，使评价单元相对独立，具有明显特征界限。</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常用的评价单元的划分原则有：</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1、以危险、有害因素的类别为主划分；</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2、以装置和物质的特性划分。</w:t>
      </w:r>
    </w:p>
    <w:p>
      <w:pPr>
        <w:adjustRightInd w:val="0"/>
        <w:snapToGrid w:val="0"/>
        <w:spacing w:line="360" w:lineRule="auto"/>
        <w:ind w:firstLine="560" w:firstLineChars="200"/>
        <w:rPr>
          <w:snapToGrid w:val="0"/>
          <w:color w:val="0070C0"/>
          <w:kern w:val="0"/>
          <w:sz w:val="28"/>
        </w:rPr>
      </w:pPr>
      <w:r>
        <w:rPr>
          <w:rFonts w:hint="eastAsia"/>
          <w:snapToGrid w:val="0"/>
          <w:color w:val="auto"/>
          <w:kern w:val="0"/>
          <w:sz w:val="28"/>
        </w:rPr>
        <w:t>通过对</w:t>
      </w:r>
      <w:r>
        <w:rPr>
          <w:rFonts w:hint="eastAsia"/>
          <w:snapToGrid w:val="0"/>
          <w:color w:val="auto"/>
          <w:kern w:val="0"/>
          <w:sz w:val="28"/>
          <w:lang w:eastAsia="zh-CN"/>
        </w:rPr>
        <w:t>山东华曦石油技术服务有限公司</w:t>
      </w:r>
      <w:r>
        <w:rPr>
          <w:rFonts w:hint="eastAsia"/>
          <w:snapToGrid w:val="0"/>
          <w:color w:val="auto"/>
          <w:kern w:val="0"/>
          <w:sz w:val="28"/>
        </w:rPr>
        <w:t>生产过程中的危险、有害因素分析，结合本工程的特点和具体情况，本次评价按工艺流程，兼顾危险、有害因素的相似特性等进行评价单元的划分。</w:t>
      </w:r>
    </w:p>
    <w:p>
      <w:pPr>
        <w:pStyle w:val="5"/>
        <w:adjustRightInd w:val="0"/>
        <w:snapToGrid w:val="0"/>
        <w:spacing w:before="0" w:after="0" w:line="360" w:lineRule="auto"/>
        <w:rPr>
          <w:rFonts w:eastAsia="黑体"/>
          <w:b w:val="0"/>
          <w:snapToGrid w:val="0"/>
          <w:color w:val="auto"/>
          <w:kern w:val="0"/>
          <w:sz w:val="28"/>
          <w:szCs w:val="28"/>
        </w:rPr>
      </w:pPr>
      <w:r>
        <w:rPr>
          <w:rFonts w:hint="eastAsia" w:eastAsia="黑体"/>
          <w:b w:val="0"/>
          <w:snapToGrid w:val="0"/>
          <w:color w:val="auto"/>
          <w:kern w:val="0"/>
          <w:sz w:val="28"/>
          <w:szCs w:val="28"/>
        </w:rPr>
        <w:t>4.1.2</w:t>
      </w:r>
      <w:r>
        <w:rPr>
          <w:rFonts w:eastAsia="黑体"/>
          <w:b w:val="0"/>
          <w:snapToGrid w:val="0"/>
          <w:color w:val="auto"/>
          <w:kern w:val="0"/>
          <w:sz w:val="28"/>
          <w:szCs w:val="28"/>
        </w:rPr>
        <w:t xml:space="preserve"> </w:t>
      </w:r>
      <w:r>
        <w:rPr>
          <w:rFonts w:hint="eastAsia" w:eastAsia="黑体"/>
          <w:b w:val="0"/>
          <w:snapToGrid w:val="0"/>
          <w:color w:val="auto"/>
          <w:kern w:val="0"/>
          <w:sz w:val="28"/>
          <w:szCs w:val="28"/>
        </w:rPr>
        <w:t>划分评价单元</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根据</w:t>
      </w:r>
      <w:r>
        <w:rPr>
          <w:rFonts w:hint="eastAsia"/>
          <w:snapToGrid w:val="0"/>
          <w:color w:val="auto"/>
          <w:kern w:val="0"/>
          <w:sz w:val="28"/>
          <w:lang w:eastAsia="zh-CN"/>
        </w:rPr>
        <w:t>山东华曦石油技术服务有限公司</w:t>
      </w:r>
      <w:r>
        <w:rPr>
          <w:rFonts w:hint="eastAsia"/>
          <w:snapToGrid w:val="0"/>
          <w:color w:val="auto"/>
          <w:kern w:val="0"/>
          <w:sz w:val="28"/>
        </w:rPr>
        <w:t>的实际情况和安全现状评价的需要，本次评价划分为以下2个评价单元进行评价：</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1、生产单元（主要针对</w:t>
      </w:r>
      <w:r>
        <w:rPr>
          <w:rFonts w:hint="eastAsia"/>
          <w:snapToGrid w:val="0"/>
          <w:color w:val="auto"/>
          <w:kern w:val="0"/>
          <w:sz w:val="28"/>
          <w:lang w:eastAsia="zh-CN"/>
        </w:rPr>
        <w:t>山东华曦石油技术服务有限公司</w:t>
      </w:r>
      <w:r>
        <w:rPr>
          <w:rFonts w:hint="eastAsia"/>
          <w:snapToGrid w:val="0"/>
          <w:color w:val="auto"/>
          <w:kern w:val="0"/>
          <w:sz w:val="28"/>
          <w:lang w:val="en-US" w:eastAsia="zh-CN"/>
        </w:rPr>
        <w:t>井下作业</w:t>
      </w:r>
      <w:r>
        <w:rPr>
          <w:rFonts w:hint="eastAsia"/>
          <w:snapToGrid w:val="0"/>
          <w:color w:val="auto"/>
          <w:kern w:val="0"/>
          <w:sz w:val="28"/>
          <w:lang w:eastAsia="zh-CN"/>
        </w:rPr>
        <w:t>-注气（蒸汽）</w:t>
      </w:r>
      <w:r>
        <w:rPr>
          <w:rFonts w:hint="eastAsia"/>
          <w:color w:val="000000" w:themeColor="text1"/>
          <w:sz w:val="28"/>
          <w:szCs w:val="28"/>
          <w:lang w:val="en-US" w:eastAsia="zh-CN"/>
          <w14:textFill>
            <w14:solidFill>
              <w14:schemeClr w14:val="tx1"/>
            </w14:solidFill>
          </w14:textFill>
        </w:rPr>
        <w:t>项目</w:t>
      </w:r>
      <w:r>
        <w:rPr>
          <w:rFonts w:hint="eastAsia"/>
          <w:snapToGrid w:val="0"/>
          <w:color w:val="auto"/>
          <w:kern w:val="0"/>
          <w:sz w:val="28"/>
        </w:rPr>
        <w:t>所用主要设备、设施；生产作业场所的内、外部安全生产条件进行评价</w:t>
      </w:r>
      <w:r>
        <w:rPr>
          <w:rFonts w:hint="eastAsia"/>
          <w:snapToGrid w:val="0"/>
          <w:color w:val="auto"/>
          <w:kern w:val="0"/>
          <w:sz w:val="28"/>
          <w:lang w:eastAsia="zh-CN"/>
        </w:rPr>
        <w:t>）</w:t>
      </w:r>
      <w:r>
        <w:rPr>
          <w:rFonts w:hint="eastAsia"/>
          <w:snapToGrid w:val="0"/>
          <w:color w:val="auto"/>
          <w:kern w:val="0"/>
          <w:sz w:val="28"/>
        </w:rPr>
        <w:t>。</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2、安全管理单元（主要针对</w:t>
      </w:r>
      <w:r>
        <w:rPr>
          <w:rFonts w:hint="eastAsia"/>
          <w:snapToGrid w:val="0"/>
          <w:color w:val="auto"/>
          <w:kern w:val="0"/>
          <w:sz w:val="28"/>
          <w:lang w:eastAsia="zh-CN"/>
        </w:rPr>
        <w:t>山东华曦石油技术服务有限公司</w:t>
      </w:r>
      <w:r>
        <w:rPr>
          <w:rFonts w:hint="eastAsia"/>
          <w:snapToGrid w:val="0"/>
          <w:color w:val="auto"/>
          <w:kern w:val="0"/>
          <w:sz w:val="28"/>
        </w:rPr>
        <w:t>在安全管理方面的各项安全生产条件进行评价）。</w:t>
      </w:r>
    </w:p>
    <w:p>
      <w:pPr>
        <w:pStyle w:val="4"/>
        <w:adjustRightInd w:val="0"/>
        <w:snapToGrid w:val="0"/>
        <w:spacing w:before="0" w:after="0" w:line="360" w:lineRule="auto"/>
        <w:rPr>
          <w:rFonts w:ascii="Times New Roman" w:hAnsi="Times New Roman"/>
          <w:b w:val="0"/>
          <w:bCs/>
          <w:color w:val="auto"/>
          <w:szCs w:val="32"/>
        </w:rPr>
      </w:pPr>
      <w:bookmarkStart w:id="101" w:name="_Toc244964633"/>
      <w:bookmarkStart w:id="102" w:name="_Toc298756208"/>
      <w:bookmarkStart w:id="103" w:name="_Toc6134"/>
      <w:bookmarkStart w:id="104" w:name="_Toc215277175"/>
      <w:bookmarkStart w:id="105" w:name="_Toc291144375"/>
      <w:r>
        <w:rPr>
          <w:rFonts w:hint="eastAsia" w:ascii="Times New Roman" w:hAnsi="Times New Roman"/>
          <w:b w:val="0"/>
          <w:bCs/>
          <w:color w:val="auto"/>
          <w:szCs w:val="32"/>
        </w:rPr>
        <w:t>4.2</w:t>
      </w:r>
      <w:r>
        <w:rPr>
          <w:rFonts w:ascii="Times New Roman" w:hAnsi="Times New Roman"/>
          <w:b w:val="0"/>
          <w:bCs/>
          <w:color w:val="auto"/>
          <w:szCs w:val="32"/>
        </w:rPr>
        <w:t xml:space="preserve"> </w:t>
      </w:r>
      <w:r>
        <w:rPr>
          <w:rFonts w:hint="eastAsia" w:ascii="Times New Roman" w:hAnsi="Times New Roman"/>
          <w:b w:val="0"/>
          <w:bCs/>
          <w:color w:val="auto"/>
          <w:szCs w:val="32"/>
        </w:rPr>
        <w:t>评价方法选择</w:t>
      </w:r>
      <w:bookmarkEnd w:id="101"/>
      <w:bookmarkEnd w:id="102"/>
      <w:bookmarkEnd w:id="103"/>
      <w:bookmarkEnd w:id="104"/>
      <w:bookmarkEnd w:id="105"/>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napToGrid w:val="0"/>
          <w:color w:val="000000" w:themeColor="text1"/>
          <w:kern w:val="0"/>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根据《安全生产许可证条例》（国务院令[2004]第397号，2014修订版）、《非煤矿矿山企业安全生产许可证实施办法》（国家安全生产监督管理总局令[2009]第20号，2015修订版）的要求，</w:t>
      </w:r>
      <w:r>
        <w:rPr>
          <w:rFonts w:hint="default" w:ascii="Times New Roman" w:hAnsi="Times New Roman" w:cs="Times New Roman"/>
          <w:snapToGrid w:val="0"/>
          <w:color w:val="000000" w:themeColor="text1"/>
          <w:kern w:val="0"/>
          <w:sz w:val="28"/>
          <w14:textFill>
            <w14:solidFill>
              <w14:schemeClr w14:val="tx1"/>
            </w14:solidFill>
          </w14:textFill>
        </w:rPr>
        <w:t>本次评价选择安全检查表法（SCL）</w:t>
      </w:r>
      <w:r>
        <w:rPr>
          <w:rFonts w:hint="default" w:ascii="Times New Roman" w:hAnsi="Times New Roman" w:cs="Times New Roman"/>
          <w:snapToGrid w:val="0"/>
          <w:color w:val="auto"/>
          <w:kern w:val="0"/>
          <w:sz w:val="28"/>
          <w:lang w:val="en-US" w:eastAsia="zh-CN"/>
        </w:rPr>
        <w:t>和</w:t>
      </w:r>
      <w:r>
        <w:rPr>
          <w:rFonts w:hint="eastAsia" w:cs="Times New Roman"/>
          <w:smallCaps w:val="0"/>
          <w:color w:val="auto"/>
          <w:sz w:val="28"/>
          <w:szCs w:val="28"/>
          <w:lang w:val="en-US" w:eastAsia="zh-CN"/>
        </w:rPr>
        <w:t>预先危险性分析</w:t>
      </w:r>
      <w:r>
        <w:rPr>
          <w:rFonts w:hint="default" w:ascii="Times New Roman" w:hAnsi="Times New Roman" w:cs="Times New Roman"/>
          <w:color w:val="000000" w:themeColor="text1"/>
          <w:sz w:val="28"/>
          <w14:textFill>
            <w14:solidFill>
              <w14:schemeClr w14:val="tx1"/>
            </w14:solidFill>
          </w14:textFill>
        </w:rPr>
        <w:t>对该公司的各项安全生产条件进行评价</w:t>
      </w:r>
      <w:r>
        <w:rPr>
          <w:rFonts w:hint="default" w:ascii="Times New Roman" w:hAnsi="Times New Roman" w:cs="Times New Roman"/>
          <w:snapToGrid w:val="0"/>
          <w:color w:val="000000" w:themeColor="text1"/>
          <w:kern w:val="0"/>
          <w:sz w:val="28"/>
          <w14:textFill>
            <w14:solidFill>
              <w14:schemeClr w14:val="tx1"/>
            </w14:solidFill>
          </w14:textFill>
        </w:rPr>
        <w:t>。各评价方法的具体操作程序如下表：</w:t>
      </w:r>
    </w:p>
    <w:p>
      <w:pPr>
        <w:adjustRightInd w:val="0"/>
        <w:snapToGrid w:val="0"/>
        <w:spacing w:line="360" w:lineRule="auto"/>
        <w:ind w:firstLine="360" w:firstLineChars="150"/>
        <w:jc w:val="center"/>
        <w:rPr>
          <w:b w:val="0"/>
          <w:bCs w:val="0"/>
          <w:snapToGrid w:val="0"/>
          <w:color w:val="auto"/>
          <w:kern w:val="0"/>
          <w:sz w:val="24"/>
          <w:szCs w:val="24"/>
        </w:rPr>
      </w:pPr>
      <w:r>
        <w:rPr>
          <w:b/>
          <w:bCs/>
          <w:snapToGrid w:val="0"/>
          <w:color w:val="auto"/>
          <w:kern w:val="0"/>
          <w:sz w:val="24"/>
          <w:szCs w:val="24"/>
        </w:rPr>
        <w:t>表4-1 各单元评价方法表</w:t>
      </w:r>
    </w:p>
    <w:tbl>
      <w:tblPr>
        <w:tblStyle w:val="52"/>
        <w:tblW w:w="825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6"/>
        <w:gridCol w:w="4762"/>
        <w:gridCol w:w="2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66" w:type="dxa"/>
            <w:tcBorders>
              <w:top w:val="single" w:color="auto" w:sz="12" w:space="0"/>
              <w:left w:val="single" w:color="auto" w:sz="12"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default"/>
                <w:b/>
                <w:color w:val="auto"/>
                <w:szCs w:val="21"/>
              </w:rPr>
              <w:t>序号</w:t>
            </w:r>
          </w:p>
        </w:tc>
        <w:tc>
          <w:tcPr>
            <w:tcW w:w="4762" w:type="dxa"/>
            <w:tcBorders>
              <w:top w:val="single" w:color="auto" w:sz="12" w:space="0"/>
              <w:left w:val="single" w:color="auto" w:sz="6"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default"/>
                <w:b/>
                <w:color w:val="auto"/>
                <w:szCs w:val="21"/>
              </w:rPr>
              <w:t>评价单元</w:t>
            </w:r>
          </w:p>
        </w:tc>
        <w:tc>
          <w:tcPr>
            <w:tcW w:w="2730" w:type="dxa"/>
            <w:tcBorders>
              <w:top w:val="single" w:color="auto" w:sz="12" w:space="0"/>
              <w:left w:val="single" w:color="auto" w:sz="6" w:space="0"/>
              <w:bottom w:val="single" w:color="auto" w:sz="6"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default"/>
                <w:b/>
                <w:color w:val="auto"/>
                <w:szCs w:val="21"/>
              </w:rPr>
              <w:t>选用的评价方法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66" w:type="dxa"/>
            <w:tcBorders>
              <w:top w:val="single" w:color="auto" w:sz="6" w:space="0"/>
              <w:left w:val="single" w:color="auto" w:sz="12"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1</w:t>
            </w:r>
          </w:p>
        </w:tc>
        <w:tc>
          <w:tcPr>
            <w:tcW w:w="4762" w:type="dxa"/>
            <w:tcBorders>
              <w:top w:val="single" w:color="auto" w:sz="6" w:space="0"/>
              <w:left w:val="single" w:color="auto" w:sz="6"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生产单元</w:t>
            </w:r>
          </w:p>
        </w:tc>
        <w:tc>
          <w:tcPr>
            <w:tcW w:w="2730" w:type="dxa"/>
            <w:tcBorders>
              <w:top w:val="single" w:color="auto" w:sz="6" w:space="0"/>
              <w:left w:val="single" w:color="auto" w:sz="6" w:space="0"/>
              <w:bottom w:val="single" w:color="auto" w:sz="6"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eastAsia="宋体"/>
                <w:color w:val="auto"/>
                <w:szCs w:val="21"/>
                <w:lang w:val="en-US" w:eastAsia="zh-CN"/>
              </w:rPr>
            </w:pPr>
            <w:r>
              <w:rPr>
                <w:rFonts w:hint="default" w:ascii="Times New Roman" w:hAnsi="Times New Roman" w:cs="Times New Roman"/>
                <w:color w:val="auto"/>
                <w:szCs w:val="21"/>
              </w:rPr>
              <w:t>SCL</w:t>
            </w:r>
            <w:r>
              <w:rPr>
                <w:rFonts w:hint="eastAsia" w:cs="Times New Roman"/>
                <w:color w:val="auto"/>
                <w:szCs w:val="21"/>
                <w:lang w:eastAsia="zh-CN"/>
              </w:rPr>
              <w:t>、</w:t>
            </w:r>
            <w:r>
              <w:rPr>
                <w:rFonts w:hint="eastAsia" w:cs="Times New Roman"/>
                <w:smallCaps w:val="0"/>
                <w:color w:val="auto"/>
                <w:sz w:val="21"/>
                <w:szCs w:val="21"/>
                <w:lang w:val="en-US" w:eastAsia="zh-CN"/>
              </w:rPr>
              <w:t>LEC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66" w:type="dxa"/>
            <w:tcBorders>
              <w:top w:val="single" w:color="auto" w:sz="6" w:space="0"/>
              <w:left w:val="single" w:color="auto" w:sz="12" w:space="0"/>
              <w:bottom w:val="single" w:color="auto" w:sz="12"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2</w:t>
            </w:r>
          </w:p>
        </w:tc>
        <w:tc>
          <w:tcPr>
            <w:tcW w:w="4762" w:type="dxa"/>
            <w:tcBorders>
              <w:top w:val="single" w:color="auto" w:sz="6" w:space="0"/>
              <w:left w:val="single" w:color="auto" w:sz="6" w:space="0"/>
              <w:bottom w:val="single" w:color="auto" w:sz="12"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安全管理单元</w:t>
            </w:r>
          </w:p>
        </w:tc>
        <w:tc>
          <w:tcPr>
            <w:tcW w:w="2730" w:type="dxa"/>
            <w:tcBorders>
              <w:top w:val="single" w:color="auto" w:sz="6" w:space="0"/>
              <w:left w:val="single" w:color="auto" w:sz="6" w:space="0"/>
              <w:bottom w:val="single" w:color="auto" w:sz="12"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SCL</w:t>
            </w:r>
          </w:p>
        </w:tc>
      </w:tr>
    </w:tbl>
    <w:p>
      <w:pPr>
        <w:pStyle w:val="5"/>
        <w:keepNext w:val="0"/>
        <w:keepLines w:val="0"/>
        <w:pageBreakBefore w:val="0"/>
        <w:widowControl w:val="0"/>
        <w:kinsoku/>
        <w:wordWrap/>
        <w:overflowPunct/>
        <w:topLinePunct w:val="0"/>
        <w:autoSpaceDE/>
        <w:autoSpaceDN/>
        <w:bidi w:val="0"/>
        <w:adjustRightInd w:val="0"/>
        <w:snapToGrid w:val="0"/>
        <w:spacing w:before="157" w:beforeLines="50" w:after="0" w:line="360" w:lineRule="auto"/>
        <w:textAlignment w:val="auto"/>
        <w:rPr>
          <w:snapToGrid w:val="0"/>
          <w:color w:val="0070C0"/>
          <w:kern w:val="0"/>
          <w:sz w:val="28"/>
        </w:rPr>
      </w:pPr>
      <w:r>
        <w:rPr>
          <w:rFonts w:hint="default" w:ascii="Times New Roman" w:hAnsi="Times New Roman" w:eastAsia="黑体" w:cs="Times New Roman"/>
          <w:b w:val="0"/>
          <w:snapToGrid w:val="0"/>
          <w:kern w:val="0"/>
          <w:sz w:val="28"/>
          <w:szCs w:val="28"/>
        </w:rPr>
        <w:t>4.</w:t>
      </w:r>
      <w:r>
        <w:rPr>
          <w:rFonts w:hint="default" w:ascii="Times New Roman" w:hAnsi="Times New Roman" w:eastAsia="黑体" w:cs="Times New Roman"/>
          <w:b w:val="0"/>
          <w:snapToGrid w:val="0"/>
          <w:kern w:val="0"/>
          <w:sz w:val="28"/>
          <w:szCs w:val="28"/>
          <w:lang w:val="en-US" w:eastAsia="zh-CN"/>
        </w:rPr>
        <w:t>2</w:t>
      </w:r>
      <w:r>
        <w:rPr>
          <w:rFonts w:hint="default" w:ascii="Times New Roman" w:hAnsi="Times New Roman" w:eastAsia="黑体" w:cs="Times New Roman"/>
          <w:b w:val="0"/>
          <w:snapToGrid w:val="0"/>
          <w:kern w:val="0"/>
          <w:sz w:val="28"/>
          <w:szCs w:val="28"/>
        </w:rPr>
        <w:t>.</w:t>
      </w:r>
      <w:r>
        <w:rPr>
          <w:rFonts w:hint="default" w:ascii="Times New Roman" w:hAnsi="Times New Roman" w:eastAsia="黑体" w:cs="Times New Roman"/>
          <w:b w:val="0"/>
          <w:snapToGrid w:val="0"/>
          <w:kern w:val="0"/>
          <w:sz w:val="28"/>
          <w:szCs w:val="28"/>
          <w:lang w:val="en-US" w:eastAsia="zh-CN"/>
        </w:rPr>
        <w:t>1</w:t>
      </w:r>
      <w:r>
        <w:rPr>
          <w:rFonts w:hint="default" w:ascii="Times New Roman" w:hAnsi="Times New Roman" w:eastAsia="黑体" w:cs="Times New Roman"/>
          <w:b w:val="0"/>
          <w:snapToGrid w:val="0"/>
          <w:kern w:val="0"/>
          <w:sz w:val="28"/>
          <w:szCs w:val="28"/>
        </w:rPr>
        <w:t xml:space="preserve"> </w:t>
      </w:r>
      <w:r>
        <w:rPr>
          <w:rFonts w:hint="default" w:ascii="Times New Roman" w:hAnsi="Times New Roman" w:eastAsia="黑体" w:cs="Times New Roman"/>
          <w:b w:val="0"/>
          <w:snapToGrid w:val="0"/>
          <w:kern w:val="0"/>
          <w:sz w:val="28"/>
          <w:szCs w:val="28"/>
          <w:lang w:val="en-US" w:eastAsia="zh-CN"/>
        </w:rPr>
        <w:t>安全检查表（SCL）</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安全检查表以下列格式列出，对于符合要求的检查内容，在检查结果栏中标以“√”，对于不符合要求的检查项目在检查结果栏中标以“×”。见下表4-</w:t>
      </w:r>
      <w:r>
        <w:rPr>
          <w:snapToGrid w:val="0"/>
          <w:color w:val="auto"/>
          <w:kern w:val="0"/>
          <w:sz w:val="28"/>
        </w:rPr>
        <w:t>2</w:t>
      </w:r>
      <w:r>
        <w:rPr>
          <w:rFonts w:hint="eastAsia"/>
          <w:snapToGrid w:val="0"/>
          <w:color w:val="auto"/>
          <w:kern w:val="0"/>
          <w:sz w:val="28"/>
        </w:rPr>
        <w:t>。</w:t>
      </w:r>
    </w:p>
    <w:p>
      <w:pPr>
        <w:adjustRightInd w:val="0"/>
        <w:snapToGrid w:val="0"/>
        <w:spacing w:line="360" w:lineRule="auto"/>
        <w:jc w:val="center"/>
        <w:rPr>
          <w:b/>
          <w:bCs w:val="0"/>
          <w:snapToGrid w:val="0"/>
          <w:color w:val="auto"/>
          <w:kern w:val="0"/>
          <w:sz w:val="24"/>
        </w:rPr>
      </w:pPr>
      <w:r>
        <w:rPr>
          <w:rFonts w:hint="eastAsia"/>
          <w:b/>
          <w:bCs w:val="0"/>
          <w:snapToGrid w:val="0"/>
          <w:color w:val="auto"/>
          <w:kern w:val="0"/>
          <w:sz w:val="24"/>
        </w:rPr>
        <w:t>表4-</w:t>
      </w:r>
      <w:r>
        <w:rPr>
          <w:b/>
          <w:bCs w:val="0"/>
          <w:snapToGrid w:val="0"/>
          <w:color w:val="auto"/>
          <w:kern w:val="0"/>
          <w:sz w:val="24"/>
        </w:rPr>
        <w:t xml:space="preserve">2 </w:t>
      </w:r>
      <w:r>
        <w:rPr>
          <w:rFonts w:hint="eastAsia"/>
          <w:b/>
          <w:bCs w:val="0"/>
          <w:snapToGrid w:val="0"/>
          <w:color w:val="auto"/>
          <w:kern w:val="0"/>
          <w:sz w:val="24"/>
        </w:rPr>
        <w:t>安全检查表</w:t>
      </w:r>
    </w:p>
    <w:tbl>
      <w:tblPr>
        <w:tblStyle w:val="52"/>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4"/>
        <w:gridCol w:w="1852"/>
        <w:gridCol w:w="1852"/>
        <w:gridCol w:w="1852"/>
        <w:gridCol w:w="18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序号</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检查项目</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检查依据</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检查结果</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pStyle w:val="81"/>
              <w:keepNext w:val="0"/>
              <w:keepLines w:val="0"/>
              <w:suppressLineNumbers w:val="0"/>
              <w:spacing w:beforeAutospacing="0" w:afterAutospacing="0"/>
              <w:ind w:left="0" w:right="0"/>
              <w:rPr>
                <w:rFonts w:hint="default"/>
                <w:snapToGrid w:val="0"/>
                <w:color w:val="auto"/>
              </w:rPr>
            </w:pPr>
          </w:p>
        </w:tc>
        <w:tc>
          <w:tcPr>
            <w:tcW w:w="1852" w:type="dxa"/>
            <w:vAlign w:val="center"/>
          </w:tcPr>
          <w:p>
            <w:pPr>
              <w:keepNext w:val="0"/>
              <w:keepLines w:val="0"/>
              <w:suppressLineNumbers w:val="0"/>
              <w:adjustRightInd w:val="0"/>
              <w:snapToGrid w:val="0"/>
              <w:spacing w:before="0" w:beforeAutospacing="0" w:after="0" w:afterAutospacing="0"/>
              <w:ind w:left="0" w:right="0"/>
              <w:rPr>
                <w:rFonts w:hint="default"/>
                <w:b/>
                <w:snapToGrid w:val="0"/>
                <w:color w:val="auto"/>
                <w:kern w:val="0"/>
                <w:szCs w:val="21"/>
              </w:rPr>
            </w:pP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rPr>
            </w:pP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bCs/>
                <w:snapToGrid w:val="0"/>
                <w:color w:val="auto"/>
                <w:kern w:val="0"/>
                <w:szCs w:val="21"/>
              </w:rPr>
            </w:pPr>
          </w:p>
        </w:tc>
        <w:tc>
          <w:tcPr>
            <w:tcW w:w="1852" w:type="dxa"/>
            <w:vAlign w:val="center"/>
          </w:tcPr>
          <w:p>
            <w:pPr>
              <w:pStyle w:val="81"/>
              <w:keepNext w:val="0"/>
              <w:keepLines w:val="0"/>
              <w:suppressLineNumbers w:val="0"/>
              <w:spacing w:beforeAutospacing="0" w:afterAutospacing="0"/>
              <w:ind w:left="0" w:right="0"/>
              <w:rPr>
                <w:rFonts w:hint="default"/>
                <w:snapToGrid w:val="0"/>
                <w:color w:val="auto"/>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auto"/>
          <w:sz w:val="28"/>
        </w:rPr>
      </w:pPr>
      <w:r>
        <w:rPr>
          <w:rFonts w:hint="eastAsia"/>
          <w:color w:val="auto"/>
          <w:sz w:val="28"/>
        </w:rPr>
        <w:t>安全检查表的具体操作程序如下：</w:t>
      </w:r>
    </w:p>
    <w:p>
      <w:pPr>
        <w:adjustRightInd w:val="0"/>
        <w:snapToGrid w:val="0"/>
        <w:spacing w:line="360" w:lineRule="auto"/>
        <w:ind w:firstLine="560" w:firstLineChars="200"/>
        <w:rPr>
          <w:color w:val="auto"/>
          <w:sz w:val="28"/>
        </w:rPr>
      </w:pPr>
      <w:r>
        <w:rPr>
          <w:rFonts w:hint="eastAsia"/>
          <w:color w:val="auto"/>
          <w:sz w:val="28"/>
        </w:rPr>
        <w:t>1、熟悉系统</w:t>
      </w:r>
    </w:p>
    <w:p>
      <w:pPr>
        <w:adjustRightInd w:val="0"/>
        <w:snapToGrid w:val="0"/>
        <w:spacing w:line="360" w:lineRule="auto"/>
        <w:ind w:firstLine="560" w:firstLineChars="200"/>
        <w:rPr>
          <w:color w:val="auto"/>
          <w:sz w:val="28"/>
        </w:rPr>
      </w:pPr>
      <w:r>
        <w:rPr>
          <w:rFonts w:hint="eastAsia"/>
          <w:color w:val="auto"/>
          <w:sz w:val="28"/>
        </w:rPr>
        <w:t>包括系统结构、功能、工艺流程、主要设备、操作条件、平面布置、已有的安全卫生设施、安全管理现状等。</w:t>
      </w:r>
    </w:p>
    <w:p>
      <w:pPr>
        <w:adjustRightInd w:val="0"/>
        <w:snapToGrid w:val="0"/>
        <w:spacing w:line="360" w:lineRule="auto"/>
        <w:ind w:firstLine="560" w:firstLineChars="200"/>
        <w:rPr>
          <w:color w:val="auto"/>
          <w:sz w:val="28"/>
        </w:rPr>
      </w:pPr>
      <w:r>
        <w:rPr>
          <w:rFonts w:hint="eastAsia"/>
          <w:color w:val="auto"/>
          <w:sz w:val="28"/>
        </w:rPr>
        <w:t>2、搜集资料</w:t>
      </w:r>
    </w:p>
    <w:p>
      <w:pPr>
        <w:adjustRightInd w:val="0"/>
        <w:snapToGrid w:val="0"/>
        <w:spacing w:line="360" w:lineRule="auto"/>
        <w:ind w:firstLine="560" w:firstLineChars="200"/>
        <w:rPr>
          <w:color w:val="auto"/>
          <w:sz w:val="28"/>
        </w:rPr>
      </w:pPr>
      <w:r>
        <w:rPr>
          <w:rFonts w:hint="eastAsia"/>
          <w:color w:val="auto"/>
          <w:sz w:val="28"/>
        </w:rPr>
        <w:t>搜集有关的安全法规、标准、制度以及本系统过去发生过事故的资料，作为编制安全检查表的依据。</w:t>
      </w:r>
    </w:p>
    <w:p>
      <w:pPr>
        <w:adjustRightInd w:val="0"/>
        <w:snapToGrid w:val="0"/>
        <w:spacing w:line="360" w:lineRule="auto"/>
        <w:ind w:firstLine="560" w:firstLineChars="200"/>
        <w:rPr>
          <w:color w:val="auto"/>
          <w:sz w:val="28"/>
        </w:rPr>
      </w:pPr>
      <w:r>
        <w:rPr>
          <w:rFonts w:hint="eastAsia"/>
          <w:color w:val="auto"/>
          <w:sz w:val="28"/>
        </w:rPr>
        <w:t>3、划分单元</w:t>
      </w:r>
    </w:p>
    <w:p>
      <w:pPr>
        <w:adjustRightInd w:val="0"/>
        <w:snapToGrid w:val="0"/>
        <w:spacing w:line="360" w:lineRule="auto"/>
        <w:ind w:firstLine="560" w:firstLineChars="200"/>
        <w:rPr>
          <w:color w:val="auto"/>
          <w:sz w:val="28"/>
        </w:rPr>
      </w:pPr>
      <w:r>
        <w:rPr>
          <w:rFonts w:hint="eastAsia"/>
          <w:color w:val="auto"/>
          <w:sz w:val="28"/>
        </w:rPr>
        <w:t>按功能或结构将系统划分成子系统或单元。</w:t>
      </w:r>
    </w:p>
    <w:p>
      <w:pPr>
        <w:adjustRightInd w:val="0"/>
        <w:snapToGrid w:val="0"/>
        <w:spacing w:line="360" w:lineRule="auto"/>
        <w:ind w:firstLine="560" w:firstLineChars="200"/>
        <w:rPr>
          <w:color w:val="auto"/>
          <w:sz w:val="28"/>
        </w:rPr>
      </w:pPr>
      <w:r>
        <w:rPr>
          <w:rFonts w:hint="eastAsia"/>
          <w:color w:val="auto"/>
          <w:sz w:val="28"/>
        </w:rPr>
        <w:t>4、编制安全检查表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rPr>
      </w:pPr>
      <w:r>
        <w:rPr>
          <w:rFonts w:hint="eastAsia"/>
          <w:color w:val="auto"/>
          <w:sz w:val="28"/>
        </w:rPr>
        <w:t>针对危险因素，依据有关法规、标准规定，参考过去的事故教训和本单位的经验确定安全检查表的检查要点、内容和为达到安全指标应采取的措施，并按照一定的要求编制安全检查表。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rPr>
      </w:pPr>
      <w:r>
        <w:rPr>
          <w:rFonts w:hint="eastAsia"/>
          <w:color w:val="auto"/>
          <w:sz w:val="28"/>
        </w:rPr>
        <w:t>5、实施检查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rPr>
      </w:pPr>
      <w:r>
        <w:rPr>
          <w:rFonts w:hint="eastAsia"/>
          <w:color w:val="auto"/>
          <w:sz w:val="28"/>
        </w:rPr>
        <w:t>对照已编制完成的安全检查表，进行逐项检查，对检查项目的符合性作出判断。</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rPr>
      </w:pPr>
      <w:r>
        <w:rPr>
          <w:rFonts w:hint="eastAsia"/>
          <w:color w:val="auto"/>
          <w:sz w:val="28"/>
        </w:rPr>
        <w:t>6、评价结果汇总</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olor w:val="auto"/>
          <w:sz w:val="28"/>
        </w:rPr>
      </w:pPr>
      <w:r>
        <w:rPr>
          <w:rFonts w:hint="eastAsia"/>
          <w:color w:val="auto"/>
          <w:sz w:val="28"/>
        </w:rPr>
        <w:t>将检查的结果汇总，并据此提出具体的安全对策措施及建议。</w:t>
      </w:r>
      <w:bookmarkEnd w:id="95"/>
    </w:p>
    <w:p>
      <w:pPr>
        <w:pStyle w:val="5"/>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黑体" w:cs="Times New Roman"/>
          <w:b w:val="0"/>
          <w:snapToGrid w:val="0"/>
          <w:kern w:val="0"/>
          <w:sz w:val="28"/>
          <w:szCs w:val="28"/>
          <w:lang w:val="en-US" w:eastAsia="zh-CN"/>
        </w:rPr>
      </w:pPr>
      <w:r>
        <w:rPr>
          <w:rFonts w:hint="default" w:ascii="Times New Roman" w:hAnsi="Times New Roman" w:eastAsia="黑体" w:cs="Times New Roman"/>
          <w:b w:val="0"/>
          <w:snapToGrid w:val="0"/>
          <w:kern w:val="0"/>
          <w:sz w:val="28"/>
          <w:szCs w:val="28"/>
        </w:rPr>
        <w:t>4.</w:t>
      </w:r>
      <w:r>
        <w:rPr>
          <w:rFonts w:hint="default" w:ascii="Times New Roman" w:hAnsi="Times New Roman" w:eastAsia="黑体" w:cs="Times New Roman"/>
          <w:b w:val="0"/>
          <w:snapToGrid w:val="0"/>
          <w:kern w:val="0"/>
          <w:sz w:val="28"/>
          <w:szCs w:val="28"/>
          <w:lang w:val="en-US" w:eastAsia="zh-CN"/>
        </w:rPr>
        <w:t>2</w:t>
      </w:r>
      <w:r>
        <w:rPr>
          <w:rFonts w:hint="default" w:ascii="Times New Roman" w:hAnsi="Times New Roman" w:eastAsia="黑体" w:cs="Times New Roman"/>
          <w:b w:val="0"/>
          <w:snapToGrid w:val="0"/>
          <w:kern w:val="0"/>
          <w:sz w:val="28"/>
          <w:szCs w:val="28"/>
        </w:rPr>
        <w:t>.</w:t>
      </w:r>
      <w:r>
        <w:rPr>
          <w:rFonts w:hint="eastAsia" w:ascii="Times New Roman" w:hAnsi="Times New Roman" w:eastAsia="黑体" w:cs="Times New Roman"/>
          <w:b w:val="0"/>
          <w:snapToGrid w:val="0"/>
          <w:kern w:val="0"/>
          <w:sz w:val="28"/>
          <w:szCs w:val="28"/>
          <w:lang w:val="en-US" w:eastAsia="zh-CN"/>
        </w:rPr>
        <w:t>2</w:t>
      </w:r>
      <w:r>
        <w:rPr>
          <w:rFonts w:hint="default" w:ascii="Times New Roman" w:hAnsi="Times New Roman" w:eastAsia="黑体" w:cs="Times New Roman"/>
          <w:b w:val="0"/>
          <w:snapToGrid w:val="0"/>
          <w:kern w:val="0"/>
          <w:sz w:val="28"/>
          <w:szCs w:val="28"/>
        </w:rPr>
        <w:t xml:space="preserve"> </w:t>
      </w:r>
      <w:r>
        <w:rPr>
          <w:rFonts w:hint="eastAsia" w:ascii="Times New Roman" w:hAnsi="Times New Roman" w:eastAsia="黑体" w:cs="Times New Roman"/>
          <w:b w:val="0"/>
          <w:snapToGrid w:val="0"/>
          <w:kern w:val="0"/>
          <w:sz w:val="28"/>
          <w:szCs w:val="28"/>
          <w:lang w:val="en-US" w:eastAsia="zh-CN"/>
        </w:rPr>
        <w:t>作业条件危险性评价法（LEC）</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作业条件危险性评价法是以所评价的环境与某些作为参考环境的对比为基础，将作业条件的危险性做因变量（D），事故或危险事件发生的可能性（L）、暴露于危险环境的频率（E）及危险严重程度（C）为自变量，确定他们之间的函数式。对所评价的对象根据情况进行“打分”，然后根据公式计算出其危险程度。从而定量的对其危险性进行评价。</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作业条件危险性评价是一种简单的半定量评价，是根据事故发生的可能性、人员暴露于危险环境的频率程度和一旦发生事故可能造成的后果等因素来确定的。</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L-事故或危险时间发生的可能性；</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E—暴露于危险环境的频率；</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C—发生事故或危险事件的可能结果。</w:t>
      </w:r>
    </w:p>
    <w:p>
      <w:pPr>
        <w:adjustRightInd w:val="0"/>
        <w:snapToGrid w:val="0"/>
        <w:spacing w:line="360" w:lineRule="auto"/>
        <w:ind w:firstLine="560" w:firstLineChars="200"/>
        <w:rPr>
          <w:snapToGrid w:val="0"/>
          <w:color w:val="000000" w:themeColor="text1"/>
          <w:kern w:val="0"/>
          <w:sz w:val="28"/>
          <w:szCs w:val="28"/>
          <w14:textFill>
            <w14:solidFill>
              <w14:schemeClr w14:val="tx1"/>
            </w14:solidFill>
          </w14:textFill>
        </w:rPr>
      </w:pPr>
      <w:r>
        <w:rPr>
          <w:snapToGrid w:val="0"/>
          <w:color w:val="000000" w:themeColor="text1"/>
          <w:kern w:val="0"/>
          <w:sz w:val="28"/>
          <w:szCs w:val="28"/>
          <w14:textFill>
            <w14:solidFill>
              <w14:schemeClr w14:val="tx1"/>
            </w14:solidFill>
          </w14:textFill>
        </w:rPr>
        <w:t>作业条件的危险性：D=L·E·C</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color w:val="auto"/>
          <w:sz w:val="28"/>
        </w:rPr>
      </w:pPr>
      <w:r>
        <w:rPr>
          <w:rFonts w:hint="eastAsia"/>
          <w:snapToGrid w:val="0"/>
          <w:color w:val="000000" w:themeColor="text1"/>
          <w:kern w:val="0"/>
          <w:sz w:val="28"/>
          <w:szCs w:val="28"/>
          <w:lang w:val="en-US" w:eastAsia="zh-CN"/>
          <w14:textFill>
            <w14:solidFill>
              <w14:schemeClr w14:val="tx1"/>
            </w14:solidFill>
          </w14:textFill>
        </w:rPr>
        <w:t>L、</w:t>
      </w:r>
      <w:r>
        <w:rPr>
          <w:snapToGrid w:val="0"/>
          <w:color w:val="000000" w:themeColor="text1"/>
          <w:kern w:val="0"/>
          <w:sz w:val="28"/>
          <w:szCs w:val="28"/>
          <w14:textFill>
            <w14:solidFill>
              <w14:schemeClr w14:val="tx1"/>
            </w14:solidFill>
          </w14:textFill>
        </w:rPr>
        <w:t>E、C取值见表4-3、4-4、4-5，D值见表4-6。</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pPr>
      <w:r>
        <w:rPr>
          <w:rFonts w:hint="default" w:ascii="Times New Roman" w:hAnsi="Times New Roman" w:eastAsia="宋体" w:cs="Times New Roman"/>
          <w:b/>
          <w:bCs/>
          <w:sz w:val="24"/>
          <w:szCs w:val="24"/>
        </w:rPr>
        <w:t>表4-3 发生事故或危险事件的可能性分值表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08"/>
        <w:gridCol w:w="3028"/>
        <w:gridCol w:w="1131"/>
        <w:gridCol w:w="31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事故或危险情况发生可能性</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事故或危险情况发生可能性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10×</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完全会被预料到</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0.5</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可以设想，但高度不可能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6</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相当可能</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0.2</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极不可能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3</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不经常，但可能</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eastAsia" w:eastAsia="宋体"/>
                <w:snapToGrid w:val="0"/>
                <w:color w:val="000000" w:themeColor="text1"/>
                <w:kern w:val="0"/>
                <w:lang w:eastAsia="zh-CN"/>
                <w14:textFill>
                  <w14:solidFill>
                    <w14:schemeClr w14:val="tx1"/>
                  </w14:solidFill>
                </w14:textFill>
              </w:rPr>
            </w:pPr>
            <w:r>
              <w:rPr>
                <w:rFonts w:hint="default"/>
                <w:snapToGrid w:val="0"/>
                <w:color w:val="000000" w:themeColor="text1"/>
                <w:kern w:val="0"/>
                <w14:textFill>
                  <w14:solidFill>
                    <w14:schemeClr w14:val="tx1"/>
                  </w14:solidFill>
                </w14:textFill>
              </w:rPr>
              <w:t>0.1</w:t>
            </w:r>
            <w:r>
              <w:rPr>
                <w:rFonts w:hint="eastAsia"/>
                <w:snapToGrid w:val="0"/>
                <w:color w:val="000000" w:themeColor="text1"/>
                <w:kern w:val="0"/>
                <w:lang w:val="en-US" w:eastAsia="zh-CN"/>
                <w14:textFill>
                  <w14:solidFill>
                    <w14:schemeClr w14:val="tx1"/>
                  </w14:solidFill>
                </w14:textFill>
              </w:rPr>
              <w:t>*</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实际上不可能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1×</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r>
              <w:rPr>
                <w:rFonts w:hint="default"/>
                <w:snapToGrid w:val="0"/>
                <w:color w:val="000000" w:themeColor="text1"/>
                <w:kern w:val="0"/>
                <w14:textFill>
                  <w14:solidFill>
                    <w14:schemeClr w14:val="tx1"/>
                  </w14:solidFill>
                </w14:textFill>
              </w:rPr>
              <w:t>完全意外，极少可能</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val="0"/>
        <w:snapToGrid w:val="0"/>
        <w:spacing w:before="159" w:beforeLines="50" w:line="360" w:lineRule="auto"/>
        <w:jc w:val="center"/>
        <w:textAlignment w:val="auto"/>
        <w:rPr>
          <w:b/>
          <w:bCs/>
          <w:snapToGrid w:val="0"/>
          <w:color w:val="000000" w:themeColor="text1"/>
          <w:kern w:val="0"/>
          <w:sz w:val="24"/>
          <w14:textFill>
            <w14:solidFill>
              <w14:schemeClr w14:val="tx1"/>
            </w14:solidFill>
          </w14:textFill>
        </w:rPr>
      </w:pPr>
      <w:r>
        <w:rPr>
          <w:rFonts w:hint="default" w:ascii="Times New Roman" w:hAnsi="Times New Roman" w:eastAsia="宋体" w:cs="Times New Roman"/>
          <w:b/>
          <w:bCs/>
          <w:snapToGrid w:val="0"/>
          <w:color w:val="000000" w:themeColor="text1"/>
          <w:kern w:val="0"/>
          <w:sz w:val="24"/>
          <w14:textFill>
            <w14:solidFill>
              <w14:schemeClr w14:val="tx1"/>
            </w14:solidFill>
          </w14:textFill>
        </w:rPr>
        <w:t>表4-4 暴露于危险环境的分值表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35"/>
        <w:gridCol w:w="3028"/>
        <w:gridCol w:w="1131"/>
        <w:gridCol w:w="32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出现于危险环境的情况</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934"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出现于危险环境的情况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10×</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连续暴露于潜在危险环境</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2</w:t>
            </w:r>
          </w:p>
        </w:tc>
        <w:tc>
          <w:tcPr>
            <w:tcW w:w="1934"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每月暴露一次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6</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逐日在工作时间内暴露</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w:t>
            </w:r>
            <w:r>
              <w:rPr>
                <w:rFonts w:hint="eastAsia"/>
                <w:snapToGrid w:val="0"/>
                <w:color w:val="000000" w:themeColor="text1"/>
                <w:kern w:val="0"/>
                <w:lang w:val="en-US" w:eastAsia="zh-CN"/>
                <w14:textFill>
                  <w14:solidFill>
                    <w14:schemeClr w14:val="tx1"/>
                  </w14:solidFill>
                </w14:textFill>
              </w:rPr>
              <w:t>*</w:t>
            </w:r>
          </w:p>
        </w:tc>
        <w:tc>
          <w:tcPr>
            <w:tcW w:w="1934"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每年几次出现在潜在危险环境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2" w:hRule="atLeast"/>
          <w:jc w:val="center"/>
        </w:trPr>
        <w:tc>
          <w:tcPr>
            <w:tcW w:w="61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3</w:t>
            </w:r>
          </w:p>
        </w:tc>
        <w:tc>
          <w:tcPr>
            <w:tcW w:w="178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每周一次或偶然地暴露</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0.1</w:t>
            </w:r>
          </w:p>
        </w:tc>
        <w:tc>
          <w:tcPr>
            <w:tcW w:w="1934"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非常罕见地暴露</w:t>
            </w:r>
          </w:p>
        </w:tc>
      </w:tr>
    </w:tbl>
    <w:p>
      <w:pPr>
        <w:keepNext w:val="0"/>
        <w:keepLines w:val="0"/>
        <w:pageBreakBefore w:val="0"/>
        <w:widowControl w:val="0"/>
        <w:kinsoku/>
        <w:wordWrap/>
        <w:overflowPunct/>
        <w:topLinePunct w:val="0"/>
        <w:autoSpaceDE/>
        <w:autoSpaceDN/>
        <w:bidi w:val="0"/>
        <w:adjustRightInd w:val="0"/>
        <w:snapToGrid w:val="0"/>
        <w:spacing w:before="159" w:beforeLines="50" w:line="360" w:lineRule="auto"/>
        <w:jc w:val="center"/>
        <w:textAlignment w:val="auto"/>
        <w:rPr>
          <w:rFonts w:hint="default" w:ascii="Times New Roman" w:hAnsi="Times New Roman" w:eastAsia="宋体" w:cs="Times New Roman"/>
          <w:b/>
          <w:bCs/>
          <w:snapToGrid w:val="0"/>
          <w:color w:val="000000" w:themeColor="text1"/>
          <w:kern w:val="0"/>
          <w:sz w:val="24"/>
          <w14:textFill>
            <w14:solidFill>
              <w14:schemeClr w14:val="tx1"/>
            </w14:solidFill>
          </w14:textFill>
        </w:rPr>
      </w:pPr>
      <w:r>
        <w:rPr>
          <w:rFonts w:hint="default" w:ascii="Times New Roman" w:hAnsi="Times New Roman" w:eastAsia="宋体" w:cs="Times New Roman"/>
          <w:b/>
          <w:bCs/>
          <w:snapToGrid w:val="0"/>
          <w:color w:val="000000" w:themeColor="text1"/>
          <w:kern w:val="0"/>
          <w:sz w:val="24"/>
          <w14:textFill>
            <w14:solidFill>
              <w14:schemeClr w14:val="tx1"/>
            </w14:solidFill>
          </w14:textFill>
        </w:rPr>
        <w:t>表4-5 发生事故或危险时间的可能结果的分值表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3446"/>
        <w:gridCol w:w="1131"/>
        <w:gridCol w:w="31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203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可能结果</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可能结果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100×</w:t>
            </w:r>
          </w:p>
        </w:tc>
        <w:tc>
          <w:tcPr>
            <w:tcW w:w="203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大灾难，许多人死亡</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7</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严重，严重伤害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40</w:t>
            </w:r>
          </w:p>
        </w:tc>
        <w:tc>
          <w:tcPr>
            <w:tcW w:w="203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灾难，数人死亡</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3</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重大，致残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66"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15</w:t>
            </w:r>
          </w:p>
        </w:tc>
        <w:tc>
          <w:tcPr>
            <w:tcW w:w="2033"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非常严重，一人死亡</w:t>
            </w:r>
          </w:p>
        </w:tc>
        <w:tc>
          <w:tcPr>
            <w:tcW w:w="667"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w:t>
            </w:r>
            <w:r>
              <w:rPr>
                <w:rFonts w:hint="eastAsia"/>
                <w:snapToGrid w:val="0"/>
                <w:color w:val="000000" w:themeColor="text1"/>
                <w:kern w:val="0"/>
                <w:lang w:val="en-US" w:eastAsia="zh-CN"/>
                <w14:textFill>
                  <w14:solidFill>
                    <w14:schemeClr w14:val="tx1"/>
                  </w14:solidFill>
                </w14:textFill>
              </w:rPr>
              <w:t>*</w:t>
            </w:r>
          </w:p>
        </w:tc>
        <w:tc>
          <w:tcPr>
            <w:tcW w:w="1832"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引人瞩目，需要救护</w:t>
            </w:r>
          </w:p>
        </w:tc>
      </w:tr>
    </w:tbl>
    <w:p>
      <w:pPr>
        <w:keepNext w:val="0"/>
        <w:keepLines w:val="0"/>
        <w:pageBreakBefore w:val="0"/>
        <w:widowControl w:val="0"/>
        <w:kinsoku/>
        <w:wordWrap/>
        <w:overflowPunct/>
        <w:topLinePunct w:val="0"/>
        <w:autoSpaceDE/>
        <w:autoSpaceDN/>
        <w:bidi w:val="0"/>
        <w:adjustRightInd w:val="0"/>
        <w:snapToGrid w:val="0"/>
        <w:spacing w:before="159" w:beforeLines="50" w:line="360" w:lineRule="auto"/>
        <w:jc w:val="center"/>
        <w:textAlignment w:val="auto"/>
        <w:rPr>
          <w:b/>
          <w:bCs/>
          <w:snapToGrid w:val="0"/>
          <w:color w:val="000000" w:themeColor="text1"/>
          <w:kern w:val="0"/>
          <w:sz w:val="24"/>
          <w14:textFill>
            <w14:solidFill>
              <w14:schemeClr w14:val="tx1"/>
            </w14:solidFill>
          </w14:textFill>
        </w:rPr>
      </w:pPr>
      <w:r>
        <w:rPr>
          <w:b/>
          <w:bCs/>
          <w:snapToGrid w:val="0"/>
          <w:color w:val="000000" w:themeColor="text1"/>
          <w:kern w:val="0"/>
          <w:sz w:val="24"/>
          <w14:textFill>
            <w14:solidFill>
              <w14:schemeClr w14:val="tx1"/>
            </w14:solidFill>
          </w14:textFill>
        </w:rPr>
        <w:t>表4-6 作业条件危险性分值与危险程度表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3406"/>
        <w:gridCol w:w="1117"/>
        <w:gridCol w:w="28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20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危险程度</w:t>
            </w:r>
          </w:p>
        </w:tc>
        <w:tc>
          <w:tcPr>
            <w:tcW w:w="65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分值</w:t>
            </w:r>
          </w:p>
        </w:tc>
        <w:tc>
          <w:tcPr>
            <w:tcW w:w="17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b/>
                <w:snapToGrid w:val="0"/>
                <w:color w:val="000000" w:themeColor="text1"/>
                <w:kern w:val="0"/>
                <w:szCs w:val="21"/>
                <w14:textFill>
                  <w14:solidFill>
                    <w14:schemeClr w14:val="tx1"/>
                  </w14:solidFill>
                </w14:textFill>
              </w:rPr>
            </w:pPr>
            <w:r>
              <w:rPr>
                <w:rFonts w:hint="default"/>
                <w:b/>
                <w:snapToGrid w:val="0"/>
                <w:color w:val="000000" w:themeColor="text1"/>
                <w:kern w:val="0"/>
                <w:szCs w:val="21"/>
                <w14:textFill>
                  <w14:solidFill>
                    <w14:schemeClr w14:val="tx1"/>
                  </w14:solidFill>
                </w14:textFill>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320</w:t>
            </w:r>
          </w:p>
        </w:tc>
        <w:tc>
          <w:tcPr>
            <w:tcW w:w="20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及其危险，不能继续作业</w:t>
            </w:r>
          </w:p>
        </w:tc>
        <w:tc>
          <w:tcPr>
            <w:tcW w:w="65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20-70</w:t>
            </w:r>
          </w:p>
        </w:tc>
        <w:tc>
          <w:tcPr>
            <w:tcW w:w="17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可能危险，需要注意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160-320</w:t>
            </w:r>
          </w:p>
        </w:tc>
        <w:tc>
          <w:tcPr>
            <w:tcW w:w="20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高度危险，需要立即整改</w:t>
            </w:r>
          </w:p>
        </w:tc>
        <w:tc>
          <w:tcPr>
            <w:tcW w:w="65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20</w:t>
            </w:r>
          </w:p>
        </w:tc>
        <w:tc>
          <w:tcPr>
            <w:tcW w:w="17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稍有危险，或许可以接受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621"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70-160</w:t>
            </w:r>
          </w:p>
        </w:tc>
        <w:tc>
          <w:tcPr>
            <w:tcW w:w="20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r>
              <w:rPr>
                <w:rFonts w:hint="default"/>
                <w:snapToGrid w:val="0"/>
                <w:color w:val="000000" w:themeColor="text1"/>
                <w:kern w:val="0"/>
                <w:szCs w:val="21"/>
                <w14:textFill>
                  <w14:solidFill>
                    <w14:schemeClr w14:val="tx1"/>
                  </w14:solidFill>
                </w14:textFill>
              </w:rPr>
              <w:t>显著危险，需要整改</w:t>
            </w:r>
          </w:p>
        </w:tc>
        <w:tc>
          <w:tcPr>
            <w:tcW w:w="65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p>
        </w:tc>
        <w:tc>
          <w:tcPr>
            <w:tcW w:w="1709" w:type="pct"/>
            <w:tcBorders>
              <w:tl2br w:val="nil"/>
              <w:tr2bl w:val="nil"/>
            </w:tcBorders>
            <w:tcMar>
              <w:top w:w="85" w:type="dxa"/>
              <w:left w:w="85" w:type="dxa"/>
              <w:bottom w:w="85" w:type="dxa"/>
              <w:right w:w="85"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snapToGrid w:val="0"/>
                <w:color w:val="000000" w:themeColor="text1"/>
                <w:kern w:val="0"/>
                <w:szCs w:val="21"/>
                <w14:textFill>
                  <w14:solidFill>
                    <w14:schemeClr w14:val="tx1"/>
                  </w14:solidFill>
                </w14:textFill>
              </w:rPr>
            </w:pPr>
          </w:p>
        </w:tc>
      </w:tr>
    </w:tbl>
    <w:p>
      <w:pPr>
        <w:adjustRightInd w:val="0"/>
        <w:snapToGrid w:val="0"/>
        <w:spacing w:before="159" w:beforeLines="50"/>
        <w:jc w:val="center"/>
        <w:rPr>
          <w:b/>
          <w:bCs/>
          <w:snapToGrid w:val="0"/>
          <w:color w:val="000000" w:themeColor="text1"/>
          <w:kern w:val="0"/>
          <w:sz w:val="24"/>
          <w14:textFill>
            <w14:solidFill>
              <w14:schemeClr w14:val="tx1"/>
            </w14:solidFill>
          </w14:textFill>
        </w:rPr>
      </w:pPr>
    </w:p>
    <w:p>
      <w:pPr>
        <w:pStyle w:val="2"/>
        <w:jc w:val="center"/>
      </w:pPr>
    </w:p>
    <w:p>
      <w:pPr>
        <w:widowControl/>
        <w:jc w:val="left"/>
        <w:rPr>
          <w:color w:val="0070C0"/>
          <w:sz w:val="28"/>
          <w:szCs w:val="28"/>
        </w:rPr>
      </w:pPr>
      <w:r>
        <w:rPr>
          <w:color w:val="0070C0"/>
          <w:szCs w:val="28"/>
        </w:rPr>
        <w:br w:type="page"/>
      </w:r>
    </w:p>
    <w:p>
      <w:pPr>
        <w:pStyle w:val="3"/>
        <w:adjustRightInd w:val="0"/>
        <w:snapToGrid w:val="0"/>
        <w:spacing w:line="360" w:lineRule="auto"/>
        <w:rPr>
          <w:rFonts w:hint="default" w:eastAsia="楷体_GB2312"/>
          <w:b/>
          <w:color w:val="auto"/>
          <w:sz w:val="36"/>
          <w:szCs w:val="36"/>
          <w:lang w:val="en-US" w:eastAsia="zh-CN"/>
        </w:rPr>
      </w:pPr>
      <w:bookmarkStart w:id="106" w:name="_Toc416954893"/>
      <w:bookmarkStart w:id="107" w:name="_Toc281310749"/>
      <w:bookmarkStart w:id="108" w:name="_Toc446488249"/>
      <w:bookmarkStart w:id="109" w:name="_Toc9364"/>
      <w:r>
        <w:rPr>
          <w:rFonts w:hint="eastAsia" w:eastAsia="楷体_GB2312"/>
          <w:b/>
          <w:color w:val="auto"/>
          <w:sz w:val="36"/>
          <w:szCs w:val="36"/>
        </w:rPr>
        <w:t>5</w:t>
      </w:r>
      <w:r>
        <w:rPr>
          <w:rFonts w:eastAsia="楷体_GB2312"/>
          <w:b/>
          <w:color w:val="auto"/>
          <w:sz w:val="36"/>
          <w:szCs w:val="36"/>
        </w:rPr>
        <w:t xml:space="preserve"> </w:t>
      </w:r>
      <w:bookmarkEnd w:id="106"/>
      <w:bookmarkEnd w:id="107"/>
      <w:bookmarkEnd w:id="108"/>
      <w:r>
        <w:rPr>
          <w:rFonts w:hint="eastAsia" w:ascii="宋体" w:hAnsi="宋体" w:cs="宋体"/>
          <w:b/>
          <w:color w:val="auto"/>
          <w:sz w:val="36"/>
          <w:szCs w:val="36"/>
          <w:lang w:val="en-US" w:eastAsia="zh-CN"/>
        </w:rPr>
        <w:t>定性定量安全评价</w:t>
      </w:r>
      <w:bookmarkEnd w:id="109"/>
    </w:p>
    <w:p>
      <w:pPr>
        <w:pStyle w:val="4"/>
        <w:adjustRightInd w:val="0"/>
        <w:snapToGrid w:val="0"/>
        <w:spacing w:before="0" w:after="0" w:line="360" w:lineRule="auto"/>
        <w:rPr>
          <w:rFonts w:hint="default" w:ascii="Times New Roman" w:hAnsi="Times New Roman" w:eastAsia="黑体"/>
          <w:b w:val="0"/>
          <w:bCs/>
          <w:color w:val="auto"/>
          <w:szCs w:val="32"/>
          <w:lang w:val="en-US" w:eastAsia="zh-CN"/>
        </w:rPr>
      </w:pPr>
      <w:bookmarkStart w:id="110" w:name="_Toc446488250"/>
      <w:bookmarkStart w:id="111" w:name="_Toc416954894"/>
      <w:bookmarkStart w:id="112" w:name="_Toc281310751"/>
      <w:bookmarkStart w:id="113" w:name="_Toc5929"/>
      <w:r>
        <w:rPr>
          <w:rFonts w:hint="eastAsia" w:ascii="Times New Roman" w:hAnsi="Times New Roman"/>
          <w:b w:val="0"/>
          <w:bCs/>
          <w:color w:val="auto"/>
          <w:szCs w:val="32"/>
        </w:rPr>
        <w:t>5.1 生产单元安全检查表</w:t>
      </w:r>
      <w:bookmarkEnd w:id="110"/>
      <w:bookmarkEnd w:id="111"/>
      <w:bookmarkEnd w:id="112"/>
      <w:bookmarkEnd w:id="113"/>
    </w:p>
    <w:p>
      <w:pPr>
        <w:keepNext/>
        <w:keepLines/>
        <w:adjustRightInd w:val="0"/>
        <w:snapToGrid w:val="0"/>
        <w:spacing w:line="360" w:lineRule="auto"/>
        <w:outlineLvl w:val="2"/>
        <w:rPr>
          <w:rFonts w:hint="default" w:eastAsia="黑体"/>
          <w:bCs/>
          <w:snapToGrid w:val="0"/>
          <w:color w:val="auto"/>
          <w:kern w:val="0"/>
          <w:sz w:val="28"/>
          <w:szCs w:val="28"/>
          <w:lang w:val="en-US" w:eastAsia="zh-CN"/>
        </w:rPr>
      </w:pPr>
      <w:bookmarkStart w:id="114" w:name="_Toc472176361"/>
      <w:bookmarkStart w:id="115" w:name="_Toc472176467"/>
      <w:r>
        <w:rPr>
          <w:rFonts w:eastAsia="黑体"/>
          <w:bCs/>
          <w:snapToGrid w:val="0"/>
          <w:color w:val="auto"/>
          <w:kern w:val="0"/>
          <w:sz w:val="28"/>
          <w:szCs w:val="28"/>
        </w:rPr>
        <w:t xml:space="preserve">5.1.1 </w:t>
      </w:r>
      <w:bookmarkEnd w:id="114"/>
      <w:bookmarkEnd w:id="115"/>
      <w:r>
        <w:rPr>
          <w:rFonts w:hint="default" w:ascii="Times New Roman" w:hAnsi="Times New Roman" w:eastAsia="黑体" w:cs="Times New Roman"/>
          <w:b w:val="0"/>
          <w:bCs w:val="0"/>
          <w:sz w:val="28"/>
          <w:szCs w:val="28"/>
          <w:lang w:val="en-US" w:eastAsia="zh-CN"/>
        </w:rPr>
        <w:t>注高干度复合气</w:t>
      </w:r>
      <w:r>
        <w:rPr>
          <w:rFonts w:hint="eastAsia" w:eastAsia="黑体" w:cs="Times New Roman"/>
          <w:b w:val="0"/>
          <w:bCs w:val="0"/>
          <w:sz w:val="28"/>
          <w:szCs w:val="28"/>
          <w:lang w:val="en-US" w:eastAsia="zh-CN"/>
        </w:rPr>
        <w:t>作业</w:t>
      </w:r>
      <w:r>
        <w:rPr>
          <w:rFonts w:hint="default" w:ascii="Times New Roman" w:hAnsi="Times New Roman" w:eastAsia="黑体" w:cs="Times New Roman"/>
          <w:b w:val="0"/>
          <w:bCs w:val="0"/>
          <w:sz w:val="28"/>
          <w:szCs w:val="28"/>
          <w:lang w:val="en-US" w:eastAsia="zh-CN"/>
        </w:rPr>
        <w:t>安全检查表评价</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eastAsia="宋体"/>
          <w:b/>
          <w:bCs/>
          <w:color w:val="auto"/>
          <w:sz w:val="24"/>
          <w:szCs w:val="24"/>
          <w:lang w:eastAsia="zh-CN"/>
        </w:rPr>
      </w:pPr>
      <w:r>
        <w:rPr>
          <w:rFonts w:hint="eastAsia" w:eastAsia="宋体"/>
          <w:b/>
          <w:bCs/>
          <w:color w:val="auto"/>
          <w:sz w:val="24"/>
          <w:szCs w:val="24"/>
          <w:lang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Times New Roman" w:hAnsi="Times New Roman" w:eastAsia="宋体" w:cs="Times New Roman"/>
          <w:color w:val="auto"/>
          <w:kern w:val="2"/>
          <w:sz w:val="28"/>
          <w:szCs w:val="28"/>
          <w:lang w:val="en-US" w:eastAsia="zh-CN" w:bidi="ar-SA"/>
        </w:rPr>
      </w:pPr>
      <w:r>
        <w:rPr>
          <w:rFonts w:hint="eastAsia" w:ascii="宋体" w:hAnsi="宋体" w:cs="宋体"/>
          <w:b w:val="0"/>
          <w:bCs w:val="0"/>
          <w:sz w:val="28"/>
          <w:szCs w:val="28"/>
          <w:lang w:val="en-US" w:eastAsia="zh-CN"/>
        </w:rPr>
        <w:t>（</w:t>
      </w:r>
      <w:r>
        <w:rPr>
          <w:rFonts w:hint="default" w:ascii="Times New Roman" w:hAnsi="Times New Roman" w:cs="Times New Roman"/>
          <w:b w:val="0"/>
          <w:bCs w:val="0"/>
          <w:sz w:val="28"/>
          <w:szCs w:val="28"/>
          <w:lang w:val="en-US" w:eastAsia="zh-CN"/>
        </w:rPr>
        <w:t>5</w:t>
      </w:r>
      <w:r>
        <w:rPr>
          <w:rFonts w:hint="eastAsia" w:ascii="宋体" w:hAnsi="宋体" w:cs="宋体"/>
          <w:b w:val="0"/>
          <w:bCs w:val="0"/>
          <w:sz w:val="28"/>
          <w:szCs w:val="28"/>
          <w:lang w:val="en-US" w:eastAsia="zh-CN"/>
        </w:rPr>
        <w:t>）</w:t>
      </w:r>
      <w:r>
        <w:rPr>
          <w:rFonts w:hint="eastAsia" w:ascii="Times New Roman" w:hAnsi="Times New Roman" w:eastAsia="宋体" w:cs="Times New Roman"/>
          <w:color w:val="auto"/>
          <w:kern w:val="2"/>
          <w:sz w:val="28"/>
          <w:szCs w:val="28"/>
          <w:lang w:val="en-US" w:eastAsia="zh-CN" w:bidi="ar-SA"/>
        </w:rPr>
        <w:t>安全检查表</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本节根据《井下作业安全规程》（SY/T5727-2020）、《石油天然气钻井、开发、储运防火防爆安全生产技术规程》（SY/T5225-2019）</w:t>
      </w:r>
      <w:r>
        <w:rPr>
          <w:rFonts w:hint="eastAsia"/>
          <w:lang w:val="en-US" w:eastAsia="zh-CN"/>
        </w:rPr>
        <w:t>等标准规范，</w:t>
      </w:r>
      <w:r>
        <w:rPr>
          <w:rFonts w:hint="default"/>
          <w:lang w:val="en-US" w:eastAsia="zh-CN"/>
        </w:rPr>
        <w:t>对本项目生产单元进行安全评价，具体评价过程见表5-</w:t>
      </w:r>
      <w:r>
        <w:rPr>
          <w:rFonts w:hint="eastAsia"/>
          <w:lang w:val="en-US" w:eastAsia="zh-CN"/>
        </w:rPr>
        <w:t>3</w:t>
      </w:r>
      <w:r>
        <w:rPr>
          <w:rFonts w:hint="default"/>
          <w:lang w:val="en-US" w:eastAsia="zh-CN"/>
        </w:rPr>
        <w:t>。</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lang w:val="en-US" w:eastAsia="zh-CN"/>
        </w:rPr>
      </w:pPr>
      <w:r>
        <w:rPr>
          <w:rFonts w:hint="eastAsia" w:ascii="Times New Roman" w:hAnsi="Times New Roman" w:eastAsia="宋体" w:cs="Times New Roman"/>
          <w:b/>
          <w:color w:val="auto"/>
          <w:sz w:val="24"/>
          <w:szCs w:val="28"/>
        </w:rPr>
        <w:t>表5-</w:t>
      </w:r>
      <w:r>
        <w:rPr>
          <w:rFonts w:hint="eastAsia" w:cs="Times New Roman"/>
          <w:b/>
          <w:color w:val="auto"/>
          <w:sz w:val="24"/>
          <w:szCs w:val="28"/>
          <w:lang w:val="en-US" w:eastAsia="zh-CN"/>
        </w:rPr>
        <w:t xml:space="preserve">3 </w:t>
      </w:r>
      <w:r>
        <w:rPr>
          <w:rFonts w:hint="eastAsia" w:ascii="Times New Roman" w:hAnsi="Times New Roman" w:eastAsia="宋体" w:cs="Times New Roman"/>
          <w:b/>
          <w:color w:val="auto"/>
          <w:sz w:val="24"/>
          <w:szCs w:val="28"/>
        </w:rPr>
        <w:t>生产单元安全检查表</w:t>
      </w:r>
    </w:p>
    <w:tbl>
      <w:tblPr>
        <w:tblStyle w:val="53"/>
        <w:tblW w:w="0" w:type="auto"/>
        <w:tblInd w:w="14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8"/>
        <w:gridCol w:w="2825"/>
        <w:gridCol w:w="1691"/>
        <w:gridCol w:w="2538"/>
        <w:gridCol w:w="8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blHeader/>
        </w:trPr>
        <w:tc>
          <w:tcPr>
            <w:tcW w:w="468" w:type="dxa"/>
            <w:tcBorders>
              <w:tl2br w:val="nil"/>
              <w:tr2bl w:val="nil"/>
            </w:tcBorders>
            <w:vAlign w:val="center"/>
          </w:tcPr>
          <w:p>
            <w:pPr>
              <w:keepNext w:val="0"/>
              <w:keepLines w:val="0"/>
              <w:numPr>
                <w:ilvl w:val="0"/>
                <w:numId w:val="0"/>
              </w:numPr>
              <w:suppressLineNumbers w:val="0"/>
              <w:spacing w:before="0" w:beforeAutospacing="0" w:after="0" w:afterAutospacing="0"/>
              <w:ind w:left="0" w:leftChars="0" w:right="0" w:rightChars="0"/>
              <w:jc w:val="both"/>
              <w:rPr>
                <w:rFonts w:hint="eastAsia" w:eastAsiaTheme="minorEastAsia"/>
                <w:b/>
                <w:bCs/>
                <w:sz w:val="21"/>
                <w:szCs w:val="21"/>
                <w:vertAlign w:val="baseline"/>
                <w:lang w:val="en-US" w:eastAsia="zh-CN"/>
              </w:rPr>
            </w:pPr>
            <w:r>
              <w:rPr>
                <w:rFonts w:hint="eastAsia"/>
                <w:b/>
                <w:bCs/>
                <w:sz w:val="21"/>
                <w:szCs w:val="21"/>
                <w:vertAlign w:val="baseline"/>
                <w:lang w:val="en-US" w:eastAsia="zh-CN"/>
              </w:rPr>
              <w:t>序号</w:t>
            </w:r>
          </w:p>
        </w:tc>
        <w:tc>
          <w:tcPr>
            <w:tcW w:w="2825"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eastAsiaTheme="minorEastAsia"/>
                <w:b/>
                <w:bCs/>
                <w:sz w:val="21"/>
                <w:szCs w:val="21"/>
                <w:vertAlign w:val="baseline"/>
                <w:lang w:val="en-US" w:eastAsia="zh-CN"/>
              </w:rPr>
            </w:pPr>
            <w:r>
              <w:rPr>
                <w:rFonts w:hint="eastAsia"/>
                <w:b/>
                <w:bCs/>
                <w:sz w:val="21"/>
                <w:szCs w:val="21"/>
                <w:vertAlign w:val="baseline"/>
                <w:lang w:val="en-US" w:eastAsia="zh-CN"/>
              </w:rPr>
              <w:t>检查项目</w:t>
            </w:r>
          </w:p>
        </w:tc>
        <w:tc>
          <w:tcPr>
            <w:tcW w:w="169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eastAsiaTheme="minorEastAsia"/>
                <w:b/>
                <w:bCs/>
                <w:sz w:val="21"/>
                <w:szCs w:val="21"/>
                <w:vertAlign w:val="baseline"/>
                <w:lang w:val="en-US" w:eastAsia="zh-CN"/>
              </w:rPr>
            </w:pPr>
            <w:r>
              <w:rPr>
                <w:rFonts w:hint="eastAsia"/>
                <w:b/>
                <w:bCs/>
                <w:sz w:val="21"/>
                <w:szCs w:val="21"/>
                <w:vertAlign w:val="baseline"/>
                <w:lang w:val="en-US" w:eastAsia="zh-CN"/>
              </w:rPr>
              <w:t>检查依据</w:t>
            </w:r>
          </w:p>
        </w:tc>
        <w:tc>
          <w:tcPr>
            <w:tcW w:w="253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eastAsiaTheme="minorEastAsia"/>
                <w:b/>
                <w:bCs/>
                <w:sz w:val="21"/>
                <w:szCs w:val="21"/>
                <w:vertAlign w:val="baseline"/>
                <w:lang w:val="en-US" w:eastAsia="zh-CN"/>
              </w:rPr>
            </w:pPr>
            <w:r>
              <w:rPr>
                <w:rFonts w:hint="eastAsia"/>
                <w:b/>
                <w:bCs/>
                <w:sz w:val="21"/>
                <w:szCs w:val="21"/>
                <w:vertAlign w:val="baseline"/>
                <w:lang w:val="en-US" w:eastAsia="zh-CN"/>
              </w:rPr>
              <w:t>实际情况</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检查</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b/>
                <w:bCs/>
                <w:lang w:val="en-US" w:eastAsia="zh-CN"/>
              </w:rPr>
              <w:t>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tcPr>
          <w:p>
            <w:pPr>
              <w:keepNext w:val="0"/>
              <w:keepLines w:val="0"/>
              <w:numPr>
                <w:ilvl w:val="0"/>
                <w:numId w:val="0"/>
              </w:numPr>
              <w:suppressLineNumbers w:val="0"/>
              <w:spacing w:before="0" w:beforeAutospacing="0" w:after="0" w:afterAutospacing="0"/>
              <w:ind w:left="0" w:leftChars="0" w:right="0" w:rightChars="0"/>
              <w:jc w:val="left"/>
              <w:rPr>
                <w:rFonts w:hint="eastAsia" w:eastAsiaTheme="minorEastAsia"/>
                <w:b/>
                <w:bCs/>
                <w:vertAlign w:val="baseline"/>
                <w:lang w:val="en-US" w:eastAsia="zh-CN"/>
              </w:rPr>
            </w:pPr>
            <w:r>
              <w:rPr>
                <w:rFonts w:hint="eastAsia"/>
                <w:b/>
                <w:bCs/>
                <w:vertAlign w:val="baseline"/>
                <w:lang w:val="en-US" w:eastAsia="zh-CN"/>
              </w:rPr>
              <w:t>一</w:t>
            </w:r>
          </w:p>
        </w:tc>
        <w:tc>
          <w:tcPr>
            <w:tcW w:w="7904" w:type="dxa"/>
            <w:gridSpan w:val="4"/>
            <w:tcBorders>
              <w:tl2br w:val="nil"/>
              <w:tr2bl w:val="nil"/>
            </w:tcBorders>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rPr>
            </w:pPr>
            <w:r>
              <w:rPr>
                <w:rFonts w:hint="default" w:ascii="Times New Roman" w:hAnsi="Times New Roman" w:eastAsia="宋体" w:cs="Times New Roman"/>
                <w:b/>
                <w:bCs/>
              </w:rPr>
              <w:t>区域位置及总平面布置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vertAlign w:val="baseline"/>
              </w:rPr>
            </w:pPr>
            <w:r>
              <w:rPr>
                <w:rFonts w:hint="eastAsia"/>
                <w:color w:val="000000" w:themeColor="text1"/>
                <w:szCs w:val="21"/>
                <w:lang w:val="en-US" w:eastAsia="zh-CN"/>
                <w14:textFill>
                  <w14:solidFill>
                    <w14:schemeClr w14:val="tx1"/>
                  </w14:solidFill>
                </w14:textFill>
              </w:rPr>
              <w:t>值班房、发电房、储油罐应放置于季节风的上风向，且距井口不应小于30m。</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color w:val="000000" w:themeColor="text1"/>
                <w:szCs w:val="21"/>
                <w14:textFill>
                  <w14:solidFill>
                    <w14:schemeClr w14:val="tx1"/>
                  </w14:solidFill>
                </w14:textFill>
              </w:rPr>
              <w:t>3.</w:t>
            </w:r>
            <w:r>
              <w:rPr>
                <w:rFonts w:hint="eastAsia"/>
                <w:color w:val="000000" w:themeColor="text1"/>
                <w:szCs w:val="21"/>
                <w:lang w:val="en-US" w:eastAsia="zh-CN"/>
                <w14:textFill>
                  <w14:solidFill>
                    <w14:schemeClr w14:val="tx1"/>
                  </w14:solidFill>
                </w14:textFill>
              </w:rPr>
              <w:t>2</w:t>
            </w:r>
            <w:r>
              <w:rPr>
                <w:rFonts w:hint="default"/>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3</w:t>
            </w:r>
          </w:p>
        </w:tc>
        <w:tc>
          <w:tcPr>
            <w:tcW w:w="2538" w:type="dxa"/>
            <w:tcBorders>
              <w:tl2br w:val="nil"/>
              <w:tr2bl w:val="nil"/>
            </w:tcBorders>
            <w:vAlign w:val="center"/>
          </w:tcPr>
          <w:p>
            <w:pPr>
              <w:pStyle w:val="81"/>
              <w:keepNext w:val="0"/>
              <w:keepLines w:val="0"/>
              <w:suppressLineNumbers w:val="0"/>
              <w:spacing w:beforeAutospacing="0" w:afterAutospacing="0"/>
              <w:ind w:left="0" w:leftChars="0" w:right="0" w:rightChars="0"/>
              <w:jc w:val="left"/>
              <w:rPr>
                <w:rFonts w:hint="default"/>
                <w:vertAlign w:val="baseline"/>
              </w:rPr>
            </w:pPr>
            <w:r>
              <w:rPr>
                <w:rFonts w:hint="eastAsia" w:eastAsiaTheme="minorEastAsia"/>
                <w:b w:val="0"/>
                <w:bCs w:val="0"/>
                <w:sz w:val="21"/>
                <w:szCs w:val="21"/>
                <w:vertAlign w:val="baseline"/>
                <w:lang w:val="en-US" w:eastAsia="zh-CN"/>
              </w:rPr>
              <w:t>值班室距井口26m，复合发生器控制室距井口16m。</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vertAlign w:val="baseline"/>
              </w:rPr>
            </w:pPr>
            <w:r>
              <w:rPr>
                <w:rFonts w:hint="eastAsia"/>
                <w:color w:val="000000" w:themeColor="text1"/>
                <w:szCs w:val="21"/>
                <w:lang w:val="en-US" w:eastAsia="zh-CN"/>
                <w14:textFill>
                  <w14:solidFill>
                    <w14:schemeClr w14:val="tx1"/>
                  </w14:solidFill>
                </w14:textFill>
              </w:rPr>
              <w:t>排液用储液罐应放置距井口25m以外。</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color w:val="000000" w:themeColor="text1"/>
                <w:szCs w:val="21"/>
                <w14:textFill>
                  <w14:solidFill>
                    <w14:schemeClr w14:val="tx1"/>
                  </w14:solidFill>
                </w14:textFill>
              </w:rPr>
              <w:t>3.</w:t>
            </w:r>
            <w:r>
              <w:rPr>
                <w:rFonts w:hint="eastAsia"/>
                <w:color w:val="000000" w:themeColor="text1"/>
                <w:szCs w:val="21"/>
                <w:lang w:val="en-US" w:eastAsia="zh-CN"/>
                <w14:textFill>
                  <w14:solidFill>
                    <w14:schemeClr w14:val="tx1"/>
                  </w14:solidFill>
                </w14:textFill>
              </w:rPr>
              <w:t>2</w:t>
            </w:r>
            <w:r>
              <w:rPr>
                <w:rFonts w:hint="default"/>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4</w:t>
            </w:r>
          </w:p>
        </w:tc>
        <w:tc>
          <w:tcPr>
            <w:tcW w:w="2538" w:type="dxa"/>
            <w:tcBorders>
              <w:tl2br w:val="nil"/>
              <w:tr2bl w:val="nil"/>
            </w:tcBorders>
            <w:vAlign w:val="center"/>
          </w:tcPr>
          <w:p>
            <w:pPr>
              <w:pStyle w:val="81"/>
              <w:keepNext w:val="0"/>
              <w:keepLines w:val="0"/>
              <w:suppressLineNumbers w:val="0"/>
              <w:spacing w:beforeAutospacing="0" w:afterAutospacing="0"/>
              <w:ind w:left="0" w:leftChars="0" w:right="0" w:rightChars="0"/>
              <w:jc w:val="left"/>
              <w:rPr>
                <w:rFonts w:hint="default"/>
                <w:vertAlign w:val="baseline"/>
              </w:rPr>
            </w:pPr>
            <w:r>
              <w:rPr>
                <w:rFonts w:hint="eastAsia" w:eastAsiaTheme="minorEastAsia"/>
                <w:b w:val="0"/>
                <w:bCs w:val="0"/>
                <w:sz w:val="21"/>
                <w:szCs w:val="21"/>
                <w:vertAlign w:val="baseline"/>
                <w:lang w:val="en-US" w:eastAsia="zh-CN"/>
              </w:rPr>
              <w:t>排液池距井口8m。</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7" w:hRule="atLeast"/>
        </w:trPr>
        <w:tc>
          <w:tcPr>
            <w:tcW w:w="468" w:type="dxa"/>
            <w:tcBorders>
              <w:tl2br w:val="nil"/>
              <w:tr2bl w:val="nil"/>
            </w:tcBorders>
          </w:tcPr>
          <w:p>
            <w:pPr>
              <w:keepNext w:val="0"/>
              <w:keepLines w:val="0"/>
              <w:numPr>
                <w:ilvl w:val="0"/>
                <w:numId w:val="0"/>
              </w:numPr>
              <w:suppressLineNumbers w:val="0"/>
              <w:spacing w:before="0" w:beforeAutospacing="0" w:after="0" w:afterAutospacing="0"/>
              <w:ind w:left="0" w:leftChars="0" w:right="0" w:rightChars="0"/>
              <w:jc w:val="left"/>
              <w:rPr>
                <w:rFonts w:hint="eastAsia" w:eastAsiaTheme="minorEastAsia"/>
                <w:b/>
                <w:bCs/>
                <w:vertAlign w:val="baseline"/>
                <w:lang w:val="en-US" w:eastAsia="zh-CN"/>
              </w:rPr>
            </w:pPr>
            <w:r>
              <w:rPr>
                <w:rFonts w:hint="eastAsia"/>
                <w:b/>
                <w:bCs/>
                <w:vertAlign w:val="baseline"/>
                <w:lang w:val="en-US" w:eastAsia="zh-CN"/>
              </w:rPr>
              <w:t>二</w:t>
            </w:r>
          </w:p>
        </w:tc>
        <w:tc>
          <w:tcPr>
            <w:tcW w:w="7904" w:type="dxa"/>
            <w:gridSpan w:val="4"/>
            <w:tcBorders>
              <w:tl2br w:val="nil"/>
              <w:tr2bl w:val="nil"/>
            </w:tcBorders>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设备、设施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77" w:hRule="atLeas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安全设备的设计、制造、安装、使用、检测、维修、改造和报废，应当符合国家标准或者行业标准。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生产经营单位必须对安全设备进行经常性维护、保养，并定期检测，保证正常运转。维护、保养、检测应当作好记录，并由有关人员签字。</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olor w:val="000000" w:themeColor="text1"/>
                <w:szCs w:val="21"/>
                <w:lang w:val="en-US" w:eastAsia="zh-CN"/>
                <w14:textFill>
                  <w14:solidFill>
                    <w14:schemeClr w14:val="tx1"/>
                  </w14:solidFill>
                </w14:textFill>
              </w:rPr>
              <w:t>生产经营单位不得关闭、破坏直接关系生产安全的监控、报警、防护、救生设备、设施，或者篡改、隐瞒、销毁其相关数据、信息。</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安全生产法</w:t>
            </w:r>
            <w:r>
              <w:rPr>
                <w:rFonts w:hint="eastAsia" w:ascii="宋体" w:hAnsi="宋体" w:eastAsia="宋体" w:cs="宋体"/>
                <w:color w:val="000000" w:themeColor="text1"/>
                <w:szCs w:val="21"/>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eastAsia"/>
                <w:color w:val="000000" w:themeColor="text1"/>
                <w:szCs w:val="21"/>
                <w:lang w:val="en-US" w:eastAsia="zh-CN"/>
                <w14:textFill>
                  <w14:solidFill>
                    <w14:schemeClr w14:val="tx1"/>
                  </w14:solidFill>
                </w14:textFill>
              </w:rPr>
              <w:t>第三十六条</w:t>
            </w:r>
          </w:p>
        </w:tc>
        <w:tc>
          <w:tcPr>
            <w:tcW w:w="2538" w:type="dxa"/>
            <w:tcBorders>
              <w:tl2br w:val="nil"/>
              <w:tr2bl w:val="nil"/>
            </w:tcBorders>
            <w:vAlign w:val="center"/>
          </w:tcPr>
          <w:p>
            <w:pPr>
              <w:keepNext w:val="0"/>
              <w:keepLines w:val="0"/>
              <w:suppressLineNumbers w:val="0"/>
              <w:adjustRightInd w:val="0"/>
              <w:snapToGrid w:val="0"/>
              <w:spacing w:before="20" w:beforeAutospacing="0" w:after="20" w:afterAutospacing="0"/>
              <w:ind w:left="0" w:leftChars="0" w:right="0" w:rightChars="0"/>
              <w:jc w:val="left"/>
              <w:rPr>
                <w:rFonts w:hint="default"/>
                <w:vertAlign w:val="baseline"/>
              </w:rPr>
            </w:pPr>
            <w:r>
              <w:rPr>
                <w:rFonts w:hint="eastAsia" w:cs="Times New Roman"/>
                <w:color w:val="000000" w:themeColor="text1"/>
                <w:sz w:val="21"/>
                <w:szCs w:val="21"/>
                <w:lang w:val="en-US" w:eastAsia="zh-CN"/>
                <w14:textFill>
                  <w14:solidFill>
                    <w14:schemeClr w14:val="tx1"/>
                  </w14:solidFill>
                </w14:textFill>
              </w:rPr>
              <w:t>安全设备定期检测。</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color w:val="000000" w:themeColor="text1"/>
                <w:szCs w:val="21"/>
                <w:lang w:val="en-US" w:eastAsia="zh-CN"/>
                <w14:textFill>
                  <w14:solidFill>
                    <w14:schemeClr w14:val="tx1"/>
                  </w14:solidFill>
                </w14:textFill>
              </w:rPr>
            </w:pPr>
            <w:r>
              <w:rPr>
                <w:rFonts w:hint="default"/>
                <w:color w:val="000000" w:themeColor="text1"/>
                <w:szCs w:val="21"/>
                <w:lang w:val="en-US" w:eastAsia="zh-CN"/>
                <w14:textFill>
                  <w14:solidFill>
                    <w14:schemeClr w14:val="tx1"/>
                  </w14:solidFill>
                </w14:textFill>
              </w:rPr>
              <w:t>井口装置及其他设备应不漏油、不漏气、不漏</w:t>
            </w:r>
            <w:r>
              <w:rPr>
                <w:rFonts w:hint="eastAsia"/>
                <w:color w:val="000000" w:themeColor="text1"/>
                <w:szCs w:val="21"/>
                <w:lang w:val="en-US" w:eastAsia="zh-CN"/>
                <w14:textFill>
                  <w14:solidFill>
                    <w14:schemeClr w14:val="tx1"/>
                  </w14:solidFill>
                </w14:textFill>
              </w:rPr>
              <w:t>电</w:t>
            </w:r>
            <w:r>
              <w:rPr>
                <w:rFonts w:hint="default"/>
                <w:color w:val="000000" w:themeColor="text1"/>
                <w:szCs w:val="21"/>
                <w:lang w:val="en-US" w:eastAsia="zh-CN"/>
                <w14:textFill>
                  <w14:solidFill>
                    <w14:schemeClr w14:val="tx1"/>
                  </w14:solidFill>
                </w14:textFill>
              </w:rPr>
              <w:t>。当发生漏油、漏电时，应采取如下措施</w:t>
            </w:r>
            <w:r>
              <w:rPr>
                <w:rFonts w:hint="eastAsia"/>
                <w:color w:val="000000" w:themeColor="text1"/>
                <w:szCs w:val="21"/>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r>
              <w:rPr>
                <w:rFonts w:hint="default"/>
                <w:color w:val="000000" w:themeColor="text1"/>
                <w:szCs w:val="21"/>
                <w:lang w:val="en-US" w:eastAsia="zh-CN"/>
                <w14:textFill>
                  <w14:solidFill>
                    <w14:schemeClr w14:val="tx1"/>
                  </w14:solidFill>
                </w14:textFill>
              </w:rPr>
              <w:t>井口装置一旦泄漏油、气、水时，应先放压，后整改</w:t>
            </w:r>
            <w:r>
              <w:rPr>
                <w:rFonts w:hint="eastAsia"/>
                <w:color w:val="000000" w:themeColor="text1"/>
                <w:szCs w:val="21"/>
                <w:lang w:val="en-US" w:eastAsia="zh-CN"/>
                <w14:textFill>
                  <w14:solidFill>
                    <w14:schemeClr w14:val="tx1"/>
                  </w14:solidFill>
                </w14:textFill>
              </w:rPr>
              <w:t>；</w:t>
            </w:r>
            <w:r>
              <w:rPr>
                <w:rFonts w:hint="default"/>
                <w:color w:val="000000" w:themeColor="text1"/>
                <w:szCs w:val="21"/>
                <w:lang w:val="en-US" w:eastAsia="zh-CN"/>
                <w14:textFill>
                  <w14:solidFill>
                    <w14:schemeClr w14:val="tx1"/>
                  </w14:solidFill>
                </w14:textFill>
              </w:rPr>
              <w:t>若不能放压或不能完全放压需要卸掉井口整改时</w:t>
            </w:r>
            <w:r>
              <w:rPr>
                <w:rFonts w:hint="eastAsia"/>
                <w:color w:val="000000" w:themeColor="text1"/>
                <w:szCs w:val="21"/>
                <w:lang w:val="en-US" w:eastAsia="zh-CN"/>
                <w14:textFill>
                  <w14:solidFill>
                    <w14:schemeClr w14:val="tx1"/>
                  </w14:solidFill>
                </w14:textFill>
              </w:rPr>
              <w:t>，</w:t>
            </w:r>
            <w:r>
              <w:rPr>
                <w:rFonts w:hint="default"/>
                <w:color w:val="000000" w:themeColor="text1"/>
                <w:szCs w:val="21"/>
                <w:lang w:val="en-US" w:eastAsia="zh-CN"/>
                <w14:textFill>
                  <w14:solidFill>
                    <w14:schemeClr w14:val="tx1"/>
                  </w14:solidFill>
                </w14:textFill>
              </w:rPr>
              <w:t>应无压井</w:t>
            </w:r>
            <w:r>
              <w:rPr>
                <w:rFonts w:hint="eastAsia"/>
                <w:color w:val="000000" w:themeColor="text1"/>
                <w:szCs w:val="21"/>
                <w:lang w:val="en-US" w:eastAsia="zh-CN"/>
                <w14:textFill>
                  <w14:solidFill>
                    <w14:schemeClr w14:val="tx1"/>
                  </w14:solidFill>
                </w14:textFill>
              </w:rPr>
              <w:t>，</w:t>
            </w:r>
            <w:r>
              <w:rPr>
                <w:rFonts w:hint="default"/>
                <w:color w:val="000000" w:themeColor="text1"/>
                <w:szCs w:val="21"/>
                <w:lang w:val="en-US" w:eastAsia="zh-CN"/>
                <w14:textFill>
                  <w14:solidFill>
                    <w14:schemeClr w14:val="tx1"/>
                  </w14:solidFill>
                </w14:textFill>
              </w:rPr>
              <w:t xml:space="preserve">后整改。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color w:val="000000" w:themeColor="text1"/>
                <w:szCs w:val="21"/>
                <w:lang w:val="en-US" w:eastAsia="zh-CN"/>
                <w14:textFill>
                  <w14:solidFill>
                    <w14:schemeClr w14:val="tx1"/>
                  </w14:solidFill>
                </w14:textFill>
              </w:rPr>
            </w:pPr>
            <w:r>
              <w:rPr>
                <w:rFonts w:hint="default"/>
                <w:color w:val="000000" w:themeColor="text1"/>
                <w:szCs w:val="21"/>
                <w:lang w:val="en-US" w:eastAsia="zh-CN"/>
                <w14:textFill>
                  <w14:solidFill>
                    <w14:schemeClr w14:val="tx1"/>
                  </w14:solidFill>
                </w14:textFill>
              </w:rPr>
              <w:t>一一地面设备发生泄漏动力油时，应采取措施予以整改</w:t>
            </w:r>
            <w:r>
              <w:rPr>
                <w:rFonts w:hint="eastAsia"/>
                <w:color w:val="000000" w:themeColor="text1"/>
                <w:szCs w:val="21"/>
                <w:lang w:val="en-US" w:eastAsia="zh-CN"/>
                <w14:textFill>
                  <w14:solidFill>
                    <w14:schemeClr w14:val="tx1"/>
                  </w14:solidFill>
                </w14:textFill>
              </w:rPr>
              <w:t>；</w:t>
            </w:r>
            <w:r>
              <w:rPr>
                <w:rFonts w:hint="default"/>
                <w:color w:val="000000" w:themeColor="text1"/>
                <w:szCs w:val="21"/>
                <w:lang w:val="en-US" w:eastAsia="zh-CN"/>
                <w14:textFill>
                  <w14:solidFill>
                    <w14:schemeClr w14:val="tx1"/>
                  </w14:solidFill>
                </w14:textFill>
              </w:rPr>
              <w:t xml:space="preserve">严重漏油时，应停机整改。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r>
              <w:rPr>
                <w:rFonts w:hint="default"/>
                <w:color w:val="000000" w:themeColor="text1"/>
                <w:szCs w:val="21"/>
                <w:lang w:val="en-US" w:eastAsia="zh-CN"/>
                <w14:textFill>
                  <w14:solidFill>
                    <w14:schemeClr w14:val="tx1"/>
                  </w14:solidFill>
                </w14:textFill>
              </w:rPr>
              <w:t xml:space="preserve">地面油气管线、流程装置发生泄漏油、气时，应关闭泄漏流程的上、下游闸门，对泄漏部位整改。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olor w:val="000000" w:themeColor="text1"/>
                <w:szCs w:val="21"/>
                <w:lang w:val="en-US" w:eastAsia="zh-CN"/>
                <w14:textFill>
                  <w14:solidFill>
                    <w14:schemeClr w14:val="tx1"/>
                  </w14:solidFill>
                </w14:textFill>
              </w:rPr>
              <w:t>——</w:t>
            </w:r>
            <w:r>
              <w:rPr>
                <w:rFonts w:hint="default"/>
                <w:color w:val="000000" w:themeColor="text1"/>
                <w:szCs w:val="21"/>
                <w:lang w:val="en-US" w:eastAsia="zh-CN"/>
                <w14:textFill>
                  <w14:solidFill>
                    <w14:schemeClr w14:val="tx1"/>
                  </w14:solidFill>
                </w14:textFill>
              </w:rPr>
              <w:t>发现地面设备漏电，应断开电源开关。</w:t>
            </w:r>
          </w:p>
        </w:tc>
        <w:tc>
          <w:tcPr>
            <w:tcW w:w="169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5225-201</w:t>
            </w:r>
            <w:r>
              <w:rPr>
                <w:rFonts w:hint="eastAsia"/>
                <w:bCs/>
                <w:color w:val="000000" w:themeColor="text1"/>
                <w:szCs w:val="21"/>
                <w:lang w:val="en-US" w:eastAsia="zh-CN"/>
                <w14:textFill>
                  <w14:solidFill>
                    <w14:schemeClr w14:val="tx1"/>
                  </w14:solidFill>
                </w14:textFill>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vertAlign w:val="baseline"/>
              </w:rPr>
            </w:pPr>
            <w:r>
              <w:rPr>
                <w:rFonts w:hint="eastAsia"/>
                <w:bCs/>
                <w:color w:val="000000" w:themeColor="text1"/>
                <w:szCs w:val="21"/>
                <w:lang w:val="en-US" w:eastAsia="zh-CN"/>
                <w14:textFill>
                  <w14:solidFill>
                    <w14:schemeClr w14:val="tx1"/>
                  </w14:solidFill>
                </w14:textFill>
              </w:rPr>
              <w:t>4</w:t>
            </w:r>
            <w:r>
              <w:rPr>
                <w:rFonts w:hint="eastAsia"/>
                <w:bCs/>
                <w:color w:val="000000" w:themeColor="text1"/>
                <w:szCs w:val="21"/>
                <w14:textFill>
                  <w14:solidFill>
                    <w14:schemeClr w14:val="tx1"/>
                  </w14:solidFill>
                </w14:textFill>
              </w:rPr>
              <w:t>.</w:t>
            </w:r>
            <w:r>
              <w:rPr>
                <w:rFonts w:hint="eastAsia"/>
                <w:bCs/>
                <w:color w:val="000000" w:themeColor="text1"/>
                <w:szCs w:val="21"/>
                <w:lang w:val="en-US" w:eastAsia="zh-CN"/>
                <w14:textFill>
                  <w14:solidFill>
                    <w14:schemeClr w14:val="tx1"/>
                  </w14:solidFill>
                </w14:textFill>
              </w:rPr>
              <w:t>3.2</w:t>
            </w:r>
          </w:p>
        </w:tc>
        <w:tc>
          <w:tcPr>
            <w:tcW w:w="2538" w:type="dxa"/>
            <w:tcBorders>
              <w:tl2br w:val="nil"/>
              <w:tr2bl w:val="nil"/>
            </w:tcBorders>
            <w:vAlign w:val="center"/>
          </w:tcPr>
          <w:p>
            <w:pPr>
              <w:keepNext w:val="0"/>
              <w:keepLines w:val="0"/>
              <w:suppressLineNumbers w:val="0"/>
              <w:adjustRightInd w:val="0"/>
              <w:snapToGrid w:val="0"/>
              <w:spacing w:before="20" w:beforeAutospacing="0" w:after="20" w:afterAutospacing="0"/>
              <w:ind w:left="0" w:leftChars="0" w:right="0" w:rightChars="0"/>
              <w:jc w:val="left"/>
              <w:rPr>
                <w:rFonts w:hint="default"/>
                <w:vertAlign w:val="baseli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井口装置及其他设备不漏油、不漏气、不漏电。</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olor w:val="000000" w:themeColor="text1"/>
                <w:szCs w:val="21"/>
                <w14:textFill>
                  <w14:solidFill>
                    <w14:schemeClr w14:val="tx1"/>
                  </w14:solidFill>
                </w14:textFill>
              </w:rPr>
              <w:t>所有设备应按设备操作规程进行安装，做到“平、稳、正、全、牢”。</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bCs/>
                <w:color w:val="000000" w:themeColor="text1"/>
                <w:szCs w:val="21"/>
                <w14:textFill>
                  <w14:solidFill>
                    <w14:schemeClr w14:val="tx1"/>
                  </w14:solidFill>
                </w14:textFill>
              </w:rPr>
              <w:t>3.</w:t>
            </w:r>
            <w:r>
              <w:rPr>
                <w:rFonts w:hint="eastAsia"/>
                <w:bCs/>
                <w:color w:val="000000" w:themeColor="text1"/>
                <w:szCs w:val="21"/>
                <w:lang w:val="en-US" w:eastAsia="zh-CN"/>
                <w14:textFill>
                  <w14:solidFill>
                    <w14:schemeClr w14:val="tx1"/>
                  </w14:solidFill>
                </w14:textFill>
              </w:rPr>
              <w:t>3</w:t>
            </w:r>
            <w:r>
              <w:rPr>
                <w:rFonts w:hint="default"/>
                <w:bCs/>
                <w:color w:val="000000" w:themeColor="text1"/>
                <w:szCs w:val="21"/>
                <w14:textFill>
                  <w14:solidFill>
                    <w14:schemeClr w14:val="tx1"/>
                  </w14:solidFill>
                </w14:textFill>
              </w:rPr>
              <w:t>.1</w:t>
            </w:r>
          </w:p>
        </w:tc>
        <w:tc>
          <w:tcPr>
            <w:tcW w:w="2538" w:type="dxa"/>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ascii="Times New Roman" w:hAnsi="Times New Roman" w:eastAsia="宋体" w:cs="Times New Roman"/>
                <w:color w:val="000000" w:themeColor="text1"/>
                <w:sz w:val="21"/>
                <w:szCs w:val="21"/>
                <w14:textFill>
                  <w14:solidFill>
                    <w14:schemeClr w14:val="tx1"/>
                  </w14:solidFill>
                </w14:textFill>
              </w:rPr>
              <w:t>所有设备</w:t>
            </w:r>
            <w:r>
              <w:rPr>
                <w:rFonts w:hint="eastAsia" w:cs="Times New Roman"/>
                <w:color w:val="000000" w:themeColor="text1"/>
                <w:sz w:val="21"/>
                <w:szCs w:val="21"/>
                <w:lang w:eastAsia="zh-CN"/>
                <w14:textFill>
                  <w14:solidFill>
                    <w14:schemeClr w14:val="tx1"/>
                  </w14:solidFill>
                </w14:textFill>
              </w:rPr>
              <w:t>安装平稳。</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63" w:hRule="atLeas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olor w:val="000000" w:themeColor="text1"/>
                <w:szCs w:val="21"/>
                <w14:textFill>
                  <w14:solidFill>
                    <w14:schemeClr w14:val="tx1"/>
                  </w14:solidFill>
                </w14:textFill>
              </w:rPr>
              <w:t>设备运转部位转动灵活，各种阀件应灵活可靠、安全保险；设备油水应符合要求，保证油、气、水路通畅，不渗不漏。</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bCs/>
                <w:color w:val="000000" w:themeColor="text1"/>
                <w:szCs w:val="21"/>
                <w14:textFill>
                  <w14:solidFill>
                    <w14:schemeClr w14:val="tx1"/>
                  </w14:solidFill>
                </w14:textFill>
              </w:rPr>
              <w:t>3.</w:t>
            </w:r>
            <w:r>
              <w:rPr>
                <w:rFonts w:hint="eastAsia"/>
                <w:bCs/>
                <w:color w:val="000000" w:themeColor="text1"/>
                <w:szCs w:val="21"/>
                <w:lang w:val="en-US" w:eastAsia="zh-CN"/>
                <w14:textFill>
                  <w14:solidFill>
                    <w14:schemeClr w14:val="tx1"/>
                  </w14:solidFill>
                </w14:textFill>
              </w:rPr>
              <w:t>3</w:t>
            </w:r>
            <w:r>
              <w:rPr>
                <w:rFonts w:hint="default"/>
                <w:bCs/>
                <w:color w:val="000000" w:themeColor="text1"/>
                <w:szCs w:val="21"/>
                <w14:textFill>
                  <w14:solidFill>
                    <w14:schemeClr w14:val="tx1"/>
                  </w14:solidFill>
                </w14:textFill>
              </w:rPr>
              <w:t>.</w:t>
            </w:r>
            <w:r>
              <w:rPr>
                <w:rFonts w:hint="eastAsia"/>
                <w:bCs/>
                <w:color w:val="000000" w:themeColor="text1"/>
                <w:szCs w:val="21"/>
                <w:lang w:val="en-US" w:eastAsia="zh-CN"/>
                <w14:textFill>
                  <w14:solidFill>
                    <w14:schemeClr w14:val="tx1"/>
                  </w14:solidFill>
                </w14:textFill>
              </w:rPr>
              <w:t>3</w:t>
            </w:r>
          </w:p>
        </w:tc>
        <w:tc>
          <w:tcPr>
            <w:tcW w:w="2538" w:type="dxa"/>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ascii="Times New Roman" w:hAnsi="Times New Roman" w:eastAsia="宋体" w:cs="Times New Roman"/>
                <w:color w:val="000000" w:themeColor="text1"/>
                <w:sz w:val="21"/>
                <w:szCs w:val="21"/>
                <w14:textFill>
                  <w14:solidFill>
                    <w14:schemeClr w14:val="tx1"/>
                  </w14:solidFill>
                </w14:textFill>
              </w:rPr>
              <w:t>设备运转部位转动灵活</w:t>
            </w:r>
            <w:r>
              <w:rPr>
                <w:rFonts w:hint="eastAsia" w:ascii="Times New Roman" w:hAnsi="Times New Roman" w:cs="Times New Roman"/>
                <w:color w:val="000000" w:themeColor="text1"/>
                <w:sz w:val="21"/>
                <w:szCs w:val="21"/>
                <w:lang w:eastAsia="zh-CN"/>
                <w14:textFill>
                  <w14:solidFill>
                    <w14:schemeClr w14:val="tx1"/>
                  </w14:solidFill>
                </w14:textFill>
              </w:rPr>
              <w:t>，蒸汽管</w:t>
            </w:r>
            <w:r>
              <w:rPr>
                <w:rFonts w:hint="default" w:ascii="Times New Roman" w:hAnsi="Times New Roman" w:eastAsia="宋体" w:cs="Times New Roman"/>
                <w:color w:val="000000" w:themeColor="text1"/>
                <w:sz w:val="21"/>
                <w:szCs w:val="21"/>
                <w14:textFill>
                  <w14:solidFill>
                    <w14:schemeClr w14:val="tx1"/>
                  </w14:solidFill>
                </w14:textFill>
              </w:rPr>
              <w:t>不渗不漏</w:t>
            </w:r>
            <w:r>
              <w:rPr>
                <w:rFonts w:hint="eastAsia" w:cs="Times New Roman"/>
                <w:color w:val="000000" w:themeColor="text1"/>
                <w:sz w:val="21"/>
                <w:szCs w:val="21"/>
                <w:lang w:eastAsia="zh-CN"/>
                <w14:textFill>
                  <w14:solidFill>
                    <w14:schemeClr w14:val="tx1"/>
                  </w14:solidFill>
                </w14:textFill>
              </w:rPr>
              <w:t>。</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olor w:val="000000" w:themeColor="text1"/>
                <w:szCs w:val="21"/>
                <w:lang w:val="en-US" w:eastAsia="zh-CN"/>
                <w14:textFill>
                  <w14:solidFill>
                    <w14:schemeClr w14:val="tx1"/>
                  </w14:solidFill>
                </w14:textFill>
              </w:rPr>
              <w:t>设备布置应紧凑。并保证设备安装、维修和运行监视方便。</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SY/T0027-2014</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eastAsia"/>
                <w:color w:val="000000" w:themeColor="text1"/>
                <w:szCs w:val="21"/>
                <w:lang w:val="en-US" w:eastAsia="zh-CN"/>
                <w14:textFill>
                  <w14:solidFill>
                    <w14:schemeClr w14:val="tx1"/>
                  </w14:solidFill>
                </w14:textFill>
              </w:rPr>
              <w:t>4.4.1</w:t>
            </w:r>
          </w:p>
        </w:tc>
        <w:tc>
          <w:tcPr>
            <w:tcW w:w="2538" w:type="dxa"/>
            <w:tcBorders>
              <w:tl2br w:val="nil"/>
              <w:tr2bl w:val="nil"/>
            </w:tcBorders>
            <w:vAlign w:val="center"/>
          </w:tcPr>
          <w:p>
            <w:pPr>
              <w:keepNext w:val="0"/>
              <w:keepLines w:val="0"/>
              <w:suppressLineNumbers w:val="0"/>
              <w:adjustRightInd w:val="0"/>
              <w:snapToGrid w:val="0"/>
              <w:spacing w:before="20" w:beforeAutospacing="0" w:after="20" w:afterAutospacing="0"/>
              <w:ind w:left="0" w:leftChars="0" w:right="0" w:rightChars="0"/>
              <w:jc w:val="left"/>
              <w:rPr>
                <w:rFonts w:hint="default"/>
                <w:vertAlign w:val="baseline"/>
              </w:rPr>
            </w:pPr>
            <w:r>
              <w:rPr>
                <w:rFonts w:hint="eastAsia"/>
                <w:color w:val="000000" w:themeColor="text1"/>
                <w:lang w:val="en-US" w:eastAsia="zh-CN"/>
                <w14:textFill>
                  <w14:solidFill>
                    <w14:schemeClr w14:val="tx1"/>
                  </w14:solidFill>
                </w14:textFill>
              </w:rPr>
              <w:t>设备布置紧凑，视频监控方便。</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olor w:val="000000" w:themeColor="text1"/>
                <w:szCs w:val="21"/>
                <w:lang w:val="en-US" w:eastAsia="zh-CN"/>
                <w14:textFill>
                  <w14:solidFill>
                    <w14:schemeClr w14:val="tx1"/>
                  </w14:solidFill>
                </w14:textFill>
              </w:rPr>
              <w:t>管道阀门的布置应方便检查和操作。</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SY/T0027-2014</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eastAsia"/>
                <w:color w:val="000000" w:themeColor="text1"/>
                <w:szCs w:val="21"/>
                <w:lang w:val="en-US" w:eastAsia="zh-CN"/>
                <w14:textFill>
                  <w14:solidFill>
                    <w14:schemeClr w14:val="tx1"/>
                  </w14:solidFill>
                </w14:textFill>
              </w:rPr>
              <w:t>4.4.6</w:t>
            </w:r>
          </w:p>
        </w:tc>
        <w:tc>
          <w:tcPr>
            <w:tcW w:w="2538" w:type="dxa"/>
            <w:tcBorders>
              <w:tl2br w:val="nil"/>
              <w:tr2bl w:val="nil"/>
            </w:tcBorders>
            <w:vAlign w:val="center"/>
          </w:tcPr>
          <w:p>
            <w:pPr>
              <w:keepNext w:val="0"/>
              <w:keepLines w:val="0"/>
              <w:suppressLineNumbers w:val="0"/>
              <w:adjustRightInd w:val="0"/>
              <w:snapToGrid w:val="0"/>
              <w:spacing w:before="20" w:beforeAutospacing="0" w:after="20" w:afterAutospacing="0"/>
              <w:ind w:left="0" w:leftChars="0" w:right="0" w:rightChars="0"/>
              <w:jc w:val="left"/>
              <w:rPr>
                <w:rFonts w:hint="default"/>
                <w:vertAlign w:val="baseline"/>
              </w:rPr>
            </w:pPr>
            <w:r>
              <w:rPr>
                <w:rFonts w:hint="eastAsia"/>
                <w:color w:val="000000" w:themeColor="text1"/>
                <w:lang w:val="en-US" w:eastAsia="zh-CN"/>
                <w14:textFill>
                  <w14:solidFill>
                    <w14:schemeClr w14:val="tx1"/>
                  </w14:solidFill>
                </w14:textFill>
              </w:rPr>
              <w:t>管道阀门布置合理。</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olor w:val="000000" w:themeColor="text1"/>
                <w:szCs w:val="21"/>
                <w:lang w:val="en-US" w:eastAsia="zh-CN"/>
                <w14:textFill>
                  <w14:solidFill>
                    <w14:schemeClr w14:val="tx1"/>
                  </w14:solidFill>
                </w14:textFill>
              </w:rPr>
              <w:t>储油罐呼吸阀、阻火器、液压安全阀的设置应分别按SY/T 0511.1和SY/T 0511.2的规定执行。对安全阀每年至少委托有资格检验的机构检验，校验一次。</w:t>
            </w:r>
          </w:p>
        </w:tc>
        <w:tc>
          <w:tcPr>
            <w:tcW w:w="169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5225-201</w:t>
            </w:r>
            <w:r>
              <w:rPr>
                <w:rFonts w:hint="eastAsia"/>
                <w:bCs/>
                <w:color w:val="000000" w:themeColor="text1"/>
                <w:szCs w:val="21"/>
                <w:lang w:val="en-US" w:eastAsia="zh-CN"/>
                <w14:textFill>
                  <w14:solidFill>
                    <w14:schemeClr w14:val="tx1"/>
                  </w14:solidFill>
                </w14:textFill>
              </w:rPr>
              <w:t>9</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eastAsia"/>
                <w:color w:val="000000" w:themeColor="text1"/>
                <w:szCs w:val="21"/>
                <w:lang w:val="en-US" w:eastAsia="zh-CN"/>
                <w14:textFill>
                  <w14:solidFill>
                    <w14:schemeClr w14:val="tx1"/>
                  </w14:solidFill>
                </w14:textFill>
              </w:rPr>
              <w:t>7.4.1.1</w:t>
            </w:r>
          </w:p>
        </w:tc>
        <w:tc>
          <w:tcPr>
            <w:tcW w:w="2538" w:type="dxa"/>
            <w:tcBorders>
              <w:tl2br w:val="nil"/>
              <w:tr2bl w:val="nil"/>
            </w:tcBorders>
            <w:vAlign w:val="center"/>
          </w:tcPr>
          <w:p>
            <w:pPr>
              <w:keepNext w:val="0"/>
              <w:keepLines w:val="0"/>
              <w:suppressLineNumbers w:val="0"/>
              <w:adjustRightInd w:val="0"/>
              <w:snapToGrid w:val="0"/>
              <w:spacing w:before="20" w:beforeAutospacing="0" w:after="20" w:afterAutospacing="0"/>
              <w:ind w:left="0" w:leftChars="0" w:right="0" w:rightChars="0"/>
              <w:jc w:val="left"/>
              <w:rPr>
                <w:rFonts w:hint="default"/>
                <w:vertAlign w:val="baseline"/>
              </w:rPr>
            </w:pPr>
            <w:r>
              <w:rPr>
                <w:rFonts w:hint="eastAsia"/>
                <w:color w:val="000000" w:themeColor="text1"/>
                <w:lang w:val="en-US" w:eastAsia="zh-CN"/>
                <w14:textFill>
                  <w14:solidFill>
                    <w14:schemeClr w14:val="tx1"/>
                  </w14:solidFill>
                </w14:textFill>
              </w:rPr>
              <w:t>安全阀、阻火呼吸阀定期检测。</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tcPr>
          <w:p>
            <w:pPr>
              <w:keepNext w:val="0"/>
              <w:keepLines w:val="0"/>
              <w:numPr>
                <w:ilvl w:val="0"/>
                <w:numId w:val="0"/>
              </w:numPr>
              <w:suppressLineNumbers w:val="0"/>
              <w:spacing w:before="0" w:beforeAutospacing="0" w:after="0" w:afterAutospacing="0"/>
              <w:ind w:left="0" w:leftChars="0" w:right="0" w:rightChars="0"/>
              <w:jc w:val="left"/>
              <w:rPr>
                <w:rFonts w:hint="eastAsia" w:eastAsiaTheme="minorEastAsia"/>
                <w:b/>
                <w:bCs/>
                <w:vertAlign w:val="baseline"/>
                <w:lang w:val="en-US" w:eastAsia="zh-CN"/>
              </w:rPr>
            </w:pPr>
            <w:r>
              <w:rPr>
                <w:rFonts w:hint="eastAsia"/>
                <w:b/>
                <w:bCs/>
                <w:vertAlign w:val="baseline"/>
                <w:lang w:val="en-US" w:eastAsia="zh-CN"/>
              </w:rPr>
              <w:t>三</w:t>
            </w:r>
          </w:p>
        </w:tc>
        <w:tc>
          <w:tcPr>
            <w:tcW w:w="7904" w:type="dxa"/>
            <w:gridSpan w:val="4"/>
            <w:tcBorders>
              <w:tl2br w:val="nil"/>
              <w:tr2bl w:val="nil"/>
            </w:tcBorders>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rPr>
            </w:pPr>
            <w:r>
              <w:rPr>
                <w:rFonts w:hint="default" w:ascii="Times New Roman" w:hAnsi="Times New Roman" w:eastAsia="宋体" w:cs="Times New Roman"/>
                <w:b/>
                <w:bCs/>
                <w:lang w:eastAsia="zh-CN"/>
              </w:rPr>
              <w:t>安全警示标志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650" w:hRule="atLeas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vertAlign w:val="baseline"/>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油气井作业施工区域内严禁烟火，工区内所有人员禁止吸烟。在井场进行动火施工作业按相关动火作业安全规定执行。</w:t>
            </w:r>
          </w:p>
        </w:tc>
        <w:tc>
          <w:tcPr>
            <w:tcW w:w="169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5225-201</w:t>
            </w:r>
            <w:r>
              <w:rPr>
                <w:rFonts w:hint="eastAsia"/>
                <w:bCs/>
                <w:color w:val="000000" w:themeColor="text1"/>
                <w:szCs w:val="21"/>
                <w:lang w:val="en-US" w:eastAsia="zh-CN"/>
                <w14:textFill>
                  <w14:solidFill>
                    <w14:schemeClr w14:val="tx1"/>
                  </w14:solidFill>
                </w14:textFill>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vertAlign w:val="baseline"/>
              </w:rPr>
            </w:pPr>
            <w:r>
              <w:rPr>
                <w:rFonts w:hint="eastAsia"/>
                <w:bCs/>
                <w:color w:val="000000" w:themeColor="text1"/>
                <w:szCs w:val="21"/>
                <w:lang w:val="en-US" w:eastAsia="zh-CN"/>
                <w14:textFill>
                  <w14:solidFill>
                    <w14:schemeClr w14:val="tx1"/>
                  </w14:solidFill>
                </w14:textFill>
              </w:rPr>
              <w:t>4</w:t>
            </w:r>
            <w:r>
              <w:rPr>
                <w:rFonts w:hint="eastAsia"/>
                <w:bCs/>
                <w:color w:val="000000" w:themeColor="text1"/>
                <w:szCs w:val="21"/>
                <w14:textFill>
                  <w14:solidFill>
                    <w14:schemeClr w14:val="tx1"/>
                  </w14:solidFill>
                </w14:textFill>
              </w:rPr>
              <w:t>.1.</w:t>
            </w:r>
            <w:r>
              <w:rPr>
                <w:rFonts w:hint="eastAsia"/>
                <w:bCs/>
                <w:color w:val="000000" w:themeColor="text1"/>
                <w:szCs w:val="21"/>
                <w:lang w:val="en-US" w:eastAsia="zh-CN"/>
                <w14:textFill>
                  <w14:solidFill>
                    <w14:schemeClr w14:val="tx1"/>
                  </w14:solidFill>
                </w14:textFill>
              </w:rPr>
              <w:t>2</w:t>
            </w:r>
          </w:p>
        </w:tc>
        <w:tc>
          <w:tcPr>
            <w:tcW w:w="2538" w:type="dxa"/>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s="Times New Roman"/>
                <w:color w:val="000000" w:themeColor="text1"/>
                <w:sz w:val="21"/>
                <w:szCs w:val="21"/>
                <w:lang w:eastAsia="zh-CN"/>
                <w14:textFill>
                  <w14:solidFill>
                    <w14:schemeClr w14:val="tx1"/>
                  </w14:solidFill>
                </w14:textFill>
              </w:rPr>
              <w:t>设有</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严禁烟火</w:t>
            </w:r>
            <w:r>
              <w:rPr>
                <w:rFonts w:hint="eastAsia" w:ascii="Times New Roman" w:hAnsi="Times New Roman" w:cs="Times New Roman"/>
                <w:color w:val="000000" w:themeColor="text1"/>
                <w:sz w:val="21"/>
                <w:szCs w:val="21"/>
                <w:lang w:val="en-US" w:eastAsia="zh-CN"/>
                <w14:textFill>
                  <w14:solidFill>
                    <w14:schemeClr w14:val="tx1"/>
                  </w14:solidFill>
                </w14:textFill>
              </w:rPr>
              <w:t>安全警示标志</w:t>
            </w:r>
            <w:r>
              <w:rPr>
                <w:rFonts w:hint="eastAsia" w:cs="Times New Roman"/>
                <w:color w:val="000000" w:themeColor="text1"/>
                <w:sz w:val="21"/>
                <w:szCs w:val="21"/>
                <w:lang w:val="en-US" w:eastAsia="zh-CN"/>
                <w14:textFill>
                  <w14:solidFill>
                    <w14:schemeClr w14:val="tx1"/>
                  </w14:solidFill>
                </w14:textFill>
              </w:rPr>
              <w:t>。</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textAlignment w:val="auto"/>
              <w:rPr>
                <w:rFonts w:hint="default"/>
                <w:vertAlign w:val="baseline"/>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井场应设置危险区域图、逃生路线图、紧急集合点及两个以上的逃生出口，并有明显标识。</w:t>
            </w:r>
          </w:p>
        </w:tc>
        <w:tc>
          <w:tcPr>
            <w:tcW w:w="1691" w:type="dxa"/>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14:textFill>
                  <w14:solidFill>
                    <w14:schemeClr w14:val="tx1"/>
                  </w14:solidFill>
                </w14:textFill>
              </w:rPr>
              <w:t>SY</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/T</w:t>
            </w:r>
            <w:r>
              <w:rPr>
                <w:rFonts w:hint="default" w:ascii="Times New Roman" w:hAnsi="Times New Roman" w:eastAsia="宋体" w:cs="Times New Roman"/>
                <w:bCs/>
                <w:color w:val="000000" w:themeColor="text1"/>
                <w:sz w:val="21"/>
                <w:szCs w:val="21"/>
                <w:highlight w:val="none"/>
                <w14:textFill>
                  <w14:solidFill>
                    <w14:schemeClr w14:val="tx1"/>
                  </w14:solidFill>
                </w14:textFill>
              </w:rPr>
              <w:t>5225-201</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9</w:t>
            </w:r>
          </w:p>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3</w:t>
            </w:r>
            <w:r>
              <w:rPr>
                <w:rFonts w:hint="default" w:ascii="Times New Roman" w:hAnsi="Times New Roman" w:eastAsia="宋体" w:cs="Times New Roman"/>
                <w:bCs/>
                <w:color w:val="000000" w:themeColor="text1"/>
                <w:sz w:val="21"/>
                <w:szCs w:val="21"/>
                <w:highlight w:val="none"/>
                <w14:textFill>
                  <w14:solidFill>
                    <w14:schemeClr w14:val="tx1"/>
                  </w14:solidFill>
                </w14:textFill>
              </w:rPr>
              <w:t>.1.</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6</w:t>
            </w:r>
          </w:p>
        </w:tc>
        <w:tc>
          <w:tcPr>
            <w:tcW w:w="2538" w:type="dxa"/>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olor w:val="000000" w:themeColor="text1"/>
                <w:lang w:val="en-US" w:eastAsia="zh-CN"/>
                <w14:textFill>
                  <w14:solidFill>
                    <w14:schemeClr w14:val="tx1"/>
                  </w14:solidFill>
                </w14:textFill>
              </w:rPr>
              <w:t>井场内设有逃生路线、紧急集合点，但两块紧急集合点放置在同一位置。</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vertAlign w:val="baseline"/>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油、气井场内应设置明显的防火防爆标志及风向标。</w:t>
            </w:r>
          </w:p>
        </w:tc>
        <w:tc>
          <w:tcPr>
            <w:tcW w:w="1691" w:type="dxa"/>
            <w:tcBorders>
              <w:tl2br w:val="nil"/>
              <w:tr2bl w:val="nil"/>
            </w:tcBorders>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5225-201</w:t>
            </w:r>
            <w:r>
              <w:rPr>
                <w:rFonts w:hint="eastAsia"/>
                <w:bCs/>
                <w:color w:val="000000" w:themeColor="text1"/>
                <w:szCs w:val="21"/>
                <w:lang w:val="en-US" w:eastAsia="zh-CN"/>
                <w14:textFill>
                  <w14:solidFill>
                    <w14:schemeClr w14:val="tx1"/>
                  </w14:solidFill>
                </w14:textFill>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vertAlign w:val="baseline"/>
              </w:rPr>
            </w:pPr>
            <w:r>
              <w:rPr>
                <w:rFonts w:hint="eastAsia"/>
                <w:bCs/>
                <w:color w:val="000000" w:themeColor="text1"/>
                <w:szCs w:val="21"/>
                <w:lang w:val="en-US" w:eastAsia="zh-CN"/>
                <w14:textFill>
                  <w14:solidFill>
                    <w14:schemeClr w14:val="tx1"/>
                  </w14:solidFill>
                </w14:textFill>
              </w:rPr>
              <w:t>4</w:t>
            </w:r>
            <w:r>
              <w:rPr>
                <w:rFonts w:hint="eastAsia"/>
                <w:bCs/>
                <w:color w:val="000000" w:themeColor="text1"/>
                <w:szCs w:val="21"/>
                <w14:textFill>
                  <w14:solidFill>
                    <w14:schemeClr w14:val="tx1"/>
                  </w14:solidFill>
                </w14:textFill>
              </w:rPr>
              <w:t>.1.</w:t>
            </w:r>
            <w:r>
              <w:rPr>
                <w:rFonts w:hint="eastAsia"/>
                <w:bCs/>
                <w:color w:val="000000" w:themeColor="text1"/>
                <w:szCs w:val="21"/>
                <w:lang w:val="en-US" w:eastAsia="zh-CN"/>
                <w14:textFill>
                  <w14:solidFill>
                    <w14:schemeClr w14:val="tx1"/>
                  </w14:solidFill>
                </w14:textFill>
              </w:rPr>
              <w:t>10</w:t>
            </w:r>
          </w:p>
        </w:tc>
        <w:tc>
          <w:tcPr>
            <w:tcW w:w="2538" w:type="dxa"/>
            <w:tcBorders>
              <w:tl2br w:val="nil"/>
              <w:tr2bl w:val="nil"/>
            </w:tcBorders>
            <w:vAlign w:val="center"/>
          </w:tcPr>
          <w:p>
            <w:pPr>
              <w:pStyle w:val="81"/>
              <w:keepNext w:val="0"/>
              <w:keepLines w:val="0"/>
              <w:suppressLineNumbers w:val="0"/>
              <w:spacing w:before="156" w:beforeLines="50" w:beforeAutospacing="0" w:after="156" w:afterLines="50" w:afterAutospacing="0"/>
              <w:ind w:left="0" w:leftChars="0" w:right="0" w:rightChars="0"/>
              <w:jc w:val="left"/>
              <w:rPr>
                <w:rFonts w:hint="default"/>
                <w:vertAlign w:val="baseline"/>
                <w:lang w:val="en-US"/>
              </w:rPr>
            </w:pPr>
            <w:r>
              <w:rPr>
                <w:rFonts w:hint="eastAsia" w:cs="Times New Roman"/>
                <w:color w:val="000000" w:themeColor="text1"/>
                <w:kern w:val="2"/>
                <w:sz w:val="21"/>
                <w:szCs w:val="21"/>
                <w:highlight w:val="none"/>
                <w:lang w:val="en-US" w:eastAsia="zh-CN" w:bidi="ar-SA"/>
                <w14:textFill>
                  <w14:solidFill>
                    <w14:schemeClr w14:val="tx1"/>
                  </w14:solidFill>
                </w14:textFill>
              </w:rPr>
              <w:t>井场内设有</w:t>
            </w: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防火防爆标志及风向标</w:t>
            </w:r>
            <w:r>
              <w:rPr>
                <w:rFonts w:hint="eastAsia" w:cs="Times New Roman"/>
                <w:color w:val="000000" w:themeColor="text1"/>
                <w:kern w:val="2"/>
                <w:sz w:val="21"/>
                <w:szCs w:val="21"/>
                <w:highlight w:val="none"/>
                <w:lang w:val="en-US" w:eastAsia="zh-CN" w:bidi="ar-SA"/>
                <w14:textFill>
                  <w14:solidFill>
                    <w14:schemeClr w14:val="tx1"/>
                  </w14:solidFill>
                </w14:textFill>
              </w:rPr>
              <w:t>。</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79" w:hRule="atLeas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现场应根据施工情况设置以下（包括但不限于）醒目的安全警示标志，并放在相应的位置，安全标志应符合 GB 2894-2008 中第4章的规定：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a) </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必须带安全帽</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b) </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禁止烟火</w:t>
            </w:r>
            <w:r>
              <w:rPr>
                <w:rFonts w:hint="eastAsia"/>
                <w:color w:val="000000" w:themeColor="text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c) </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必须系安全带</w:t>
            </w:r>
            <w:r>
              <w:rPr>
                <w:rFonts w:hint="eastAsia"/>
                <w:color w:val="000000" w:themeColor="text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d) </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当心触电</w:t>
            </w:r>
            <w:r>
              <w:rPr>
                <w:rFonts w:hint="eastAsia"/>
                <w:color w:val="000000" w:themeColor="text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e）</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当心机械伤人</w:t>
            </w:r>
            <w:r>
              <w:rPr>
                <w:rFonts w:hint="eastAsia"/>
                <w:color w:val="000000" w:themeColor="text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f) </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当心坠落</w:t>
            </w:r>
            <w:r>
              <w:rPr>
                <w:rFonts w:hint="eastAsia"/>
                <w:color w:val="000000" w:themeColor="text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g) </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当心落物</w:t>
            </w:r>
            <w:r>
              <w:rPr>
                <w:rFonts w:hint="eastAsia"/>
                <w:color w:val="000000" w:themeColor="text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h) </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当心井喷</w:t>
            </w:r>
            <w:r>
              <w:rPr>
                <w:rFonts w:hint="eastAsia"/>
                <w:color w:val="000000" w:themeColor="text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 xml:space="preserve">i) </w:t>
            </w:r>
            <w:r>
              <w:rPr>
                <w:rFonts w:hint="eastAsia"/>
                <w:color w:val="000000" w:themeColor="text1"/>
                <w:szCs w:val="21"/>
                <w:lang w:eastAsia="zh-CN"/>
                <w14:textFill>
                  <w14:solidFill>
                    <w14:schemeClr w14:val="tx1"/>
                  </w14:solidFill>
                </w14:textFill>
              </w:rPr>
              <w:t>“当心中毒”。</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 xml:space="preserve">j) </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高压工作区</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（需要高压施工时）</w:t>
            </w:r>
            <w:r>
              <w:rPr>
                <w:rFonts w:hint="eastAsia"/>
                <w:color w:val="000000" w:themeColor="text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437" w:firstLineChars="0"/>
              <w:textAlignment w:val="auto"/>
              <w:rPr>
                <w:rFonts w:hint="default"/>
                <w:vertAlign w:val="baseline"/>
              </w:rPr>
            </w:pPr>
            <w:r>
              <w:rPr>
                <w:rFonts w:hint="eastAsia"/>
                <w:color w:val="000000" w:themeColor="text1"/>
                <w:szCs w:val="21"/>
                <w:lang w:val="en-US" w:eastAsia="zh-CN"/>
                <w14:textFill>
                  <w14:solidFill>
                    <w14:schemeClr w14:val="tx1"/>
                  </w14:solidFill>
                </w14:textFill>
              </w:rPr>
              <w:t>k）</w:t>
            </w:r>
            <w:r>
              <w:rPr>
                <w:rFonts w:hint="eastAsia"/>
                <w:color w:val="000000" w:themeColor="text1"/>
                <w:szCs w:val="21"/>
                <w14:textFill>
                  <w14:solidFill>
                    <w14:schemeClr w14:val="tx1"/>
                  </w14:solidFill>
                </w14:textFill>
              </w:rPr>
              <w:t>对使用380V以上电压的抽油机，还应在配电箱处挂“高压危险”警示牌。</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color w:val="000000" w:themeColor="text1"/>
                <w:szCs w:val="21"/>
                <w14:textFill>
                  <w14:solidFill>
                    <w14:schemeClr w14:val="tx1"/>
                  </w14:solidFill>
                </w14:textFill>
              </w:rPr>
              <w:t>3.</w:t>
            </w:r>
            <w:r>
              <w:rPr>
                <w:rFonts w:hint="eastAsia"/>
                <w:color w:val="000000" w:themeColor="text1"/>
                <w:szCs w:val="21"/>
                <w:lang w:val="en-US" w:eastAsia="zh-CN"/>
                <w14:textFill>
                  <w14:solidFill>
                    <w14:schemeClr w14:val="tx1"/>
                  </w14:solidFill>
                </w14:textFill>
              </w:rPr>
              <w:t>2</w:t>
            </w:r>
            <w:r>
              <w:rPr>
                <w:rFonts w:hint="default"/>
                <w:color w:val="000000" w:themeColor="text1"/>
                <w:szCs w:val="21"/>
                <w14:textFill>
                  <w14:solidFill>
                    <w14:schemeClr w14:val="tx1"/>
                  </w14:solidFill>
                </w14:textFill>
              </w:rPr>
              <w:t>.1</w:t>
            </w:r>
          </w:p>
        </w:tc>
        <w:tc>
          <w:tcPr>
            <w:tcW w:w="2538" w:type="dxa"/>
            <w:tcBorders>
              <w:tl2br w:val="nil"/>
              <w:tr2bl w:val="nil"/>
            </w:tcBorders>
            <w:vAlign w:val="center"/>
          </w:tcPr>
          <w:p>
            <w:pPr>
              <w:pStyle w:val="81"/>
              <w:keepNext w:val="0"/>
              <w:keepLines w:val="0"/>
              <w:suppressLineNumbers w:val="0"/>
              <w:spacing w:before="156" w:beforeLines="50" w:beforeAutospacing="0" w:after="156" w:afterLines="50" w:afterAutospacing="0"/>
              <w:ind w:left="0" w:leftChars="0" w:right="0" w:rightChars="0"/>
              <w:jc w:val="left"/>
              <w:rPr>
                <w:rFonts w:hint="default" w:eastAsia="宋体"/>
                <w:vertAlign w:val="baseline"/>
                <w:lang w:val="en-US" w:eastAsia="zh-CN"/>
              </w:rPr>
            </w:pPr>
            <w:r>
              <w:rPr>
                <w:rFonts w:hint="eastAsia"/>
                <w:vertAlign w:val="baseline"/>
                <w:lang w:val="en-US" w:eastAsia="zh-CN"/>
              </w:rPr>
              <w:t>井场作业区域内安全警示标志设置符合要求。</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标牌安装应牢固、可靠，位置醒目、内容清晰，字体应采用蚀刻。</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SY/T7425-2018</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5.2.13</w:t>
            </w:r>
          </w:p>
        </w:tc>
        <w:tc>
          <w:tcPr>
            <w:tcW w:w="2538" w:type="dxa"/>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olor w:val="000000" w:themeColor="text1"/>
                <w:lang w:val="en-US" w:eastAsia="zh-CN"/>
                <w14:textFill>
                  <w14:solidFill>
                    <w14:schemeClr w14:val="tx1"/>
                  </w14:solidFill>
                </w14:textFill>
              </w:rPr>
              <w:t>标牌安装牢固、可靠。</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tcPr>
          <w:p>
            <w:pPr>
              <w:keepNext w:val="0"/>
              <w:keepLines w:val="0"/>
              <w:numPr>
                <w:ilvl w:val="0"/>
                <w:numId w:val="0"/>
              </w:numPr>
              <w:suppressLineNumbers w:val="0"/>
              <w:spacing w:before="0" w:beforeAutospacing="0" w:after="0" w:afterAutospacing="0"/>
              <w:ind w:left="0" w:leftChars="0" w:right="0" w:rightChars="0"/>
              <w:jc w:val="left"/>
              <w:rPr>
                <w:rFonts w:hint="eastAsia" w:eastAsiaTheme="minorEastAsia"/>
                <w:b/>
                <w:bCs/>
                <w:vertAlign w:val="baseline"/>
                <w:lang w:val="en-US" w:eastAsia="zh-CN"/>
              </w:rPr>
            </w:pPr>
            <w:r>
              <w:rPr>
                <w:rFonts w:hint="eastAsia"/>
                <w:b/>
                <w:bCs/>
                <w:vertAlign w:val="baseline"/>
                <w:lang w:val="en-US" w:eastAsia="zh-CN"/>
              </w:rPr>
              <w:t>四</w:t>
            </w:r>
          </w:p>
        </w:tc>
        <w:tc>
          <w:tcPr>
            <w:tcW w:w="7904" w:type="dxa"/>
            <w:gridSpan w:val="4"/>
            <w:tcBorders>
              <w:tl2br w:val="nil"/>
              <w:tr2bl w:val="nil"/>
            </w:tcBorders>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rPr>
            </w:pPr>
            <w:r>
              <w:rPr>
                <w:rFonts w:hint="default" w:ascii="Times New Roman" w:hAnsi="Times New Roman" w:eastAsia="宋体" w:cs="Times New Roman"/>
                <w:b/>
                <w:bCs/>
                <w:lang w:eastAsia="zh-CN"/>
              </w:rPr>
              <w:t>安全防护及消防设施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在含有或可能含有有毒有害气体井施工，应配备合格的个人防护用具和相应气体监测仪。对硫化氢的监测和人身安全防护应符合SY/T 6277</w:t>
            </w:r>
            <w:r>
              <w:rPr>
                <w:rFonts w:hint="eastAsia"/>
                <w:color w:val="000000" w:themeColor="text1"/>
                <w:szCs w:val="21"/>
                <w:lang w:val="en-US" w:eastAsia="zh-CN"/>
                <w14:textFill>
                  <w14:solidFill>
                    <w14:schemeClr w14:val="tx1"/>
                  </w14:solidFill>
                </w14:textFill>
              </w:rPr>
              <w:t>-</w:t>
            </w:r>
            <w:r>
              <w:rPr>
                <w:rFonts w:hint="default"/>
                <w:color w:val="000000" w:themeColor="text1"/>
                <w:szCs w:val="21"/>
                <w14:textFill>
                  <w14:solidFill>
                    <w14:schemeClr w14:val="tx1"/>
                  </w14:solidFill>
                </w14:textFill>
              </w:rPr>
              <w:t>2017 中第4章、第5章的规定。</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SY</w:t>
            </w:r>
            <w:r>
              <w:rPr>
                <w:rFonts w:hint="default"/>
                <w:bCs/>
                <w:color w:val="000000" w:themeColor="text1"/>
                <w:szCs w:val="21"/>
                <w:lang w:val="en-US" w:eastAsia="zh-CN"/>
                <w14:textFill>
                  <w14:solidFill>
                    <w14:schemeClr w14:val="tx1"/>
                  </w14:solidFill>
                </w14:textFill>
              </w:rPr>
              <w:t>/T</w:t>
            </w:r>
            <w:r>
              <w:rPr>
                <w:rFonts w:hint="default"/>
                <w:bCs/>
                <w:color w:val="000000" w:themeColor="text1"/>
                <w:szCs w:val="21"/>
                <w14:textFill>
                  <w14:solidFill>
                    <w14:schemeClr w14:val="tx1"/>
                  </w14:solidFill>
                </w14:textFill>
              </w:rPr>
              <w:t>5727-20</w:t>
            </w:r>
            <w:r>
              <w:rPr>
                <w:rFonts w:hint="default"/>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eastAsia"/>
                <w:bCs/>
                <w:color w:val="000000" w:themeColor="text1"/>
                <w:szCs w:val="21"/>
                <w:lang w:val="en-US" w:eastAsia="zh-CN"/>
                <w14:textFill>
                  <w14:solidFill>
                    <w14:schemeClr w14:val="tx1"/>
                  </w14:solidFill>
                </w14:textFill>
              </w:rPr>
              <w:t>4.6.2</w:t>
            </w:r>
          </w:p>
        </w:tc>
        <w:tc>
          <w:tcPr>
            <w:tcW w:w="2538" w:type="dxa"/>
            <w:tcBorders>
              <w:tl2br w:val="nil"/>
              <w:tr2bl w:val="nil"/>
            </w:tcBorders>
            <w:vAlign w:val="center"/>
          </w:tcPr>
          <w:p>
            <w:pPr>
              <w:keepNext w:val="0"/>
              <w:keepLines w:val="0"/>
              <w:suppressLineNumbers w:val="0"/>
              <w:adjustRightInd w:val="0"/>
              <w:snapToGrid w:val="0"/>
              <w:spacing w:before="156" w:beforeLines="50" w:beforeAutospacing="0" w:after="156" w:afterLines="50" w:afterAutospacing="0"/>
              <w:ind w:left="0" w:leftChars="0" w:right="0" w:rightChars="0"/>
              <w:jc w:val="left"/>
              <w:rPr>
                <w:rFonts w:hint="default"/>
                <w:vertAlign w:val="baseline"/>
              </w:rPr>
            </w:pPr>
            <w:r>
              <w:rPr>
                <w:rFonts w:hint="eastAsia"/>
                <w:color w:val="000000" w:themeColor="text1"/>
                <w:lang w:val="en-US" w:eastAsia="zh-CN"/>
                <w14:textFill>
                  <w14:solidFill>
                    <w14:schemeClr w14:val="tx1"/>
                  </w14:solidFill>
                </w14:textFill>
              </w:rPr>
              <w:t>配有硫化氢检测仪、可燃气体检测仪和自给开路式压缩空气呼吸器。</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个人防护用具、气体监测仪器的配备、使用操作、应急抢险和紧急疏散应符合SY/T 6610-2017中第5章、第6章、第7章的规定。</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SY</w:t>
            </w:r>
            <w:r>
              <w:rPr>
                <w:rFonts w:hint="default"/>
                <w:bCs/>
                <w:color w:val="000000" w:themeColor="text1"/>
                <w:szCs w:val="21"/>
                <w:lang w:val="en-US" w:eastAsia="zh-CN"/>
                <w14:textFill>
                  <w14:solidFill>
                    <w14:schemeClr w14:val="tx1"/>
                  </w14:solidFill>
                </w14:textFill>
              </w:rPr>
              <w:t>/T</w:t>
            </w:r>
            <w:r>
              <w:rPr>
                <w:rFonts w:hint="default"/>
                <w:bCs/>
                <w:color w:val="000000" w:themeColor="text1"/>
                <w:szCs w:val="21"/>
                <w14:textFill>
                  <w14:solidFill>
                    <w14:schemeClr w14:val="tx1"/>
                  </w14:solidFill>
                </w14:textFill>
              </w:rPr>
              <w:t>5727-20</w:t>
            </w:r>
            <w:r>
              <w:rPr>
                <w:rFonts w:hint="default"/>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eastAsia"/>
                <w:bCs/>
                <w:color w:val="000000" w:themeColor="text1"/>
                <w:szCs w:val="21"/>
                <w:lang w:val="en-US" w:eastAsia="zh-CN"/>
                <w14:textFill>
                  <w14:solidFill>
                    <w14:schemeClr w14:val="tx1"/>
                  </w14:solidFill>
                </w14:textFill>
              </w:rPr>
              <w:t>4.6.3</w:t>
            </w:r>
          </w:p>
        </w:tc>
        <w:tc>
          <w:tcPr>
            <w:tcW w:w="2538" w:type="dxa"/>
            <w:tcBorders>
              <w:tl2br w:val="nil"/>
              <w:tr2bl w:val="nil"/>
            </w:tcBorders>
            <w:vAlign w:val="center"/>
          </w:tcPr>
          <w:p>
            <w:pPr>
              <w:keepNext w:val="0"/>
              <w:keepLines w:val="0"/>
              <w:suppressLineNumbers w:val="0"/>
              <w:adjustRightInd w:val="0"/>
              <w:snapToGrid w:val="0"/>
              <w:spacing w:before="156" w:beforeLines="50" w:beforeAutospacing="0" w:after="156" w:afterLines="50" w:afterAutospacing="0"/>
              <w:ind w:left="0" w:leftChars="0" w:right="0" w:rightChars="0"/>
              <w:jc w:val="left"/>
              <w:rPr>
                <w:rFonts w:hint="default"/>
                <w:vertAlign w:val="baseline"/>
              </w:rPr>
            </w:pPr>
            <w:r>
              <w:rPr>
                <w:rFonts w:hint="eastAsia"/>
                <w:color w:val="000000" w:themeColor="text1"/>
                <w:lang w:val="en-US" w:eastAsia="zh-CN"/>
                <w14:textFill>
                  <w14:solidFill>
                    <w14:schemeClr w14:val="tx1"/>
                  </w14:solidFill>
                </w14:textFill>
              </w:rPr>
              <w:t>符合配备标准。</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07" w:hRule="atLeas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现场应有可燃气体检测仪。可燃气体检测仪应定期校验和维护。</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SY</w:t>
            </w:r>
            <w:r>
              <w:rPr>
                <w:rFonts w:hint="default"/>
                <w:bCs/>
                <w:color w:val="000000" w:themeColor="text1"/>
                <w:szCs w:val="21"/>
                <w:lang w:val="en-US" w:eastAsia="zh-CN"/>
                <w14:textFill>
                  <w14:solidFill>
                    <w14:schemeClr w14:val="tx1"/>
                  </w14:solidFill>
                </w14:textFill>
              </w:rPr>
              <w:t>/T</w:t>
            </w:r>
            <w:r>
              <w:rPr>
                <w:rFonts w:hint="default"/>
                <w:bCs/>
                <w:color w:val="000000" w:themeColor="text1"/>
                <w:szCs w:val="21"/>
                <w14:textFill>
                  <w14:solidFill>
                    <w14:schemeClr w14:val="tx1"/>
                  </w14:solidFill>
                </w14:textFill>
              </w:rPr>
              <w:t>5727-20</w:t>
            </w:r>
            <w:r>
              <w:rPr>
                <w:rFonts w:hint="default"/>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color w:val="000000" w:themeColor="text1"/>
                <w:szCs w:val="21"/>
                <w14:textFill>
                  <w14:solidFill>
                    <w14:schemeClr w14:val="tx1"/>
                  </w14:solidFill>
                </w14:textFill>
              </w:rPr>
              <w:t>4.9.2</w:t>
            </w:r>
          </w:p>
        </w:tc>
        <w:tc>
          <w:tcPr>
            <w:tcW w:w="2538" w:type="dxa"/>
            <w:tcBorders>
              <w:tl2br w:val="nil"/>
              <w:tr2bl w:val="nil"/>
            </w:tcBorders>
            <w:vAlign w:val="center"/>
          </w:tcPr>
          <w:p>
            <w:pPr>
              <w:keepNext w:val="0"/>
              <w:keepLines w:val="0"/>
              <w:suppressLineNumbers w:val="0"/>
              <w:adjustRightInd w:val="0"/>
              <w:snapToGrid w:val="0"/>
              <w:spacing w:before="156" w:beforeLines="50" w:beforeAutospacing="0" w:after="156" w:afterLines="50" w:afterAutospacing="0"/>
              <w:ind w:left="0" w:leftChars="0" w:right="0" w:rightChars="0"/>
              <w:jc w:val="left"/>
              <w:rPr>
                <w:rFonts w:hint="default"/>
                <w:vertAlign w:val="baseline"/>
              </w:rPr>
            </w:pPr>
            <w:r>
              <w:rPr>
                <w:rFonts w:hint="eastAsia"/>
                <w:color w:val="000000" w:themeColor="text1"/>
                <w:lang w:val="en-US" w:eastAsia="zh-CN"/>
                <w14:textFill>
                  <w14:solidFill>
                    <w14:schemeClr w14:val="tx1"/>
                  </w14:solidFill>
                </w14:textFill>
              </w:rPr>
              <w:t>定期校验和维护。</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tcPr>
          <w:p>
            <w:pPr>
              <w:keepNext w:val="0"/>
              <w:keepLines w:val="0"/>
              <w:numPr>
                <w:ilvl w:val="0"/>
                <w:numId w:val="0"/>
              </w:numPr>
              <w:suppressLineNumbers w:val="0"/>
              <w:spacing w:before="0" w:beforeAutospacing="0" w:after="0" w:afterAutospacing="0"/>
              <w:ind w:left="0" w:leftChars="0" w:right="0" w:rightChars="0"/>
              <w:jc w:val="left"/>
              <w:rPr>
                <w:rFonts w:hint="eastAsia" w:eastAsiaTheme="minorEastAsia"/>
                <w:b/>
                <w:bCs/>
                <w:vertAlign w:val="baseline"/>
                <w:lang w:val="en-US" w:eastAsia="zh-CN"/>
              </w:rPr>
            </w:pPr>
            <w:r>
              <w:rPr>
                <w:rFonts w:hint="eastAsia"/>
                <w:b/>
                <w:bCs/>
                <w:vertAlign w:val="baseline"/>
                <w:lang w:val="en-US" w:eastAsia="zh-CN"/>
              </w:rPr>
              <w:t>五</w:t>
            </w:r>
          </w:p>
        </w:tc>
        <w:tc>
          <w:tcPr>
            <w:tcW w:w="7904" w:type="dxa"/>
            <w:gridSpan w:val="4"/>
            <w:tcBorders>
              <w:tl2br w:val="nil"/>
              <w:tr2bl w:val="nil"/>
            </w:tcBorders>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rPr>
            </w:pPr>
            <w:r>
              <w:rPr>
                <w:rFonts w:hint="default" w:ascii="Times New Roman" w:hAnsi="Times New Roman" w:eastAsia="宋体" w:cs="Times New Roman"/>
                <w:b/>
                <w:bCs/>
                <w:lang w:eastAsia="zh-CN"/>
              </w:rPr>
              <w:t>供配电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不应将供电线路直接挂在设备、井架、绷绳、罐等金属物体上。</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bCs/>
                <w:color w:val="000000" w:themeColor="text1"/>
                <w:szCs w:val="21"/>
                <w14:textFill>
                  <w14:solidFill>
                    <w14:schemeClr w14:val="tx1"/>
                  </w14:solidFill>
                </w14:textFill>
              </w:rPr>
              <w:t>3.</w:t>
            </w:r>
            <w:r>
              <w:rPr>
                <w:rFonts w:hint="eastAsia"/>
                <w:bCs/>
                <w:color w:val="000000" w:themeColor="text1"/>
                <w:szCs w:val="21"/>
                <w:lang w:val="en-US" w:eastAsia="zh-CN"/>
                <w14:textFill>
                  <w14:solidFill>
                    <w14:schemeClr w14:val="tx1"/>
                  </w14:solidFill>
                </w14:textFill>
              </w:rPr>
              <w:t>19.1.8</w:t>
            </w:r>
          </w:p>
        </w:tc>
        <w:tc>
          <w:tcPr>
            <w:tcW w:w="2538" w:type="dxa"/>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ascii="Times New Roman" w:hAnsi="Times New Roman" w:eastAsia="宋体" w:cs="Times New Roman"/>
                <w:color w:val="000000" w:themeColor="text1"/>
                <w:sz w:val="21"/>
                <w:szCs w:val="21"/>
                <w14:textFill>
                  <w14:solidFill>
                    <w14:schemeClr w14:val="tx1"/>
                  </w14:solidFill>
                </w14:textFill>
              </w:rPr>
              <w:t>供电线路</w:t>
            </w:r>
            <w:r>
              <w:rPr>
                <w:rFonts w:hint="eastAsia" w:ascii="Times New Roman" w:hAnsi="Times New Roman" w:cs="Times New Roman"/>
                <w:color w:val="000000" w:themeColor="text1"/>
                <w:sz w:val="21"/>
                <w:szCs w:val="21"/>
                <w:lang w:eastAsia="zh-CN"/>
                <w14:textFill>
                  <w14:solidFill>
                    <w14:schemeClr w14:val="tx1"/>
                  </w14:solidFill>
                </w14:textFill>
              </w:rPr>
              <w:t>未</w:t>
            </w:r>
            <w:r>
              <w:rPr>
                <w:rFonts w:hint="default" w:ascii="Times New Roman" w:hAnsi="Times New Roman" w:eastAsia="宋体" w:cs="Times New Roman"/>
                <w:color w:val="000000" w:themeColor="text1"/>
                <w:sz w:val="21"/>
                <w:szCs w:val="21"/>
                <w14:textFill>
                  <w14:solidFill>
                    <w14:schemeClr w14:val="tx1"/>
                  </w14:solidFill>
                </w14:textFill>
              </w:rPr>
              <w:t>直接挂在设备</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罐等金属物体上</w:t>
            </w:r>
            <w:r>
              <w:rPr>
                <w:rFonts w:hint="eastAsia" w:cs="Times New Roman"/>
                <w:color w:val="000000" w:themeColor="text1"/>
                <w:sz w:val="21"/>
                <w:szCs w:val="21"/>
                <w:lang w:eastAsia="zh-CN"/>
                <w14:textFill>
                  <w14:solidFill>
                    <w14:schemeClr w14:val="tx1"/>
                  </w14:solidFill>
                </w14:textFill>
              </w:rPr>
              <w:t>。</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13" w:hRule="atLeas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值班房配线应采用绝缘导线，进户线过墙应穿绝缘管保护，并设防雨弯。</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bCs/>
                <w:color w:val="000000" w:themeColor="text1"/>
                <w:szCs w:val="21"/>
                <w14:textFill>
                  <w14:solidFill>
                    <w14:schemeClr w14:val="tx1"/>
                  </w14:solidFill>
                </w14:textFill>
              </w:rPr>
              <w:t>3.</w:t>
            </w:r>
            <w:r>
              <w:rPr>
                <w:rFonts w:hint="eastAsia"/>
                <w:bCs/>
                <w:color w:val="000000" w:themeColor="text1"/>
                <w:szCs w:val="21"/>
                <w:lang w:val="en-US" w:eastAsia="zh-CN"/>
                <w14:textFill>
                  <w14:solidFill>
                    <w14:schemeClr w14:val="tx1"/>
                  </w14:solidFill>
                </w14:textFill>
              </w:rPr>
              <w:t>19.2.1</w:t>
            </w:r>
          </w:p>
        </w:tc>
        <w:tc>
          <w:tcPr>
            <w:tcW w:w="2538" w:type="dxa"/>
            <w:tcBorders>
              <w:tl2br w:val="nil"/>
              <w:tr2bl w:val="nil"/>
            </w:tcBorders>
            <w:vAlign w:val="center"/>
          </w:tcPr>
          <w:p>
            <w:pPr>
              <w:pStyle w:val="81"/>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s="Times New Roman"/>
                <w:color w:val="000000" w:themeColor="text1"/>
                <w:sz w:val="21"/>
                <w:szCs w:val="21"/>
                <w:lang w:val="en-US" w:eastAsia="zh-CN"/>
                <w14:textFill>
                  <w14:solidFill>
                    <w14:schemeClr w14:val="tx1"/>
                  </w14:solidFill>
                </w14:textFill>
              </w:rPr>
              <w:t>值</w:t>
            </w:r>
            <w:r>
              <w:rPr>
                <w:rFonts w:hint="default" w:ascii="Times New Roman" w:hAnsi="Times New Roman" w:eastAsia="宋体" w:cs="Times New Roman"/>
                <w:color w:val="000000" w:themeColor="text1"/>
                <w:sz w:val="21"/>
                <w:szCs w:val="21"/>
                <w14:textFill>
                  <w14:solidFill>
                    <w14:schemeClr w14:val="tx1"/>
                  </w14:solidFill>
                </w14:textFill>
              </w:rPr>
              <w:t>班</w:t>
            </w:r>
            <w:r>
              <w:rPr>
                <w:rFonts w:hint="eastAsia" w:cs="Times New Roman"/>
                <w:color w:val="000000" w:themeColor="text1"/>
                <w:sz w:val="21"/>
                <w:szCs w:val="21"/>
                <w:lang w:val="en-US" w:eastAsia="zh-CN"/>
                <w14:textFill>
                  <w14:solidFill>
                    <w14:schemeClr w14:val="tx1"/>
                  </w14:solidFill>
                </w14:textFill>
              </w:rPr>
              <w:t>室</w:t>
            </w:r>
            <w:r>
              <w:rPr>
                <w:rFonts w:hint="default" w:ascii="Times New Roman" w:hAnsi="Times New Roman" w:eastAsia="宋体" w:cs="Times New Roman"/>
                <w:color w:val="000000" w:themeColor="text1"/>
                <w:sz w:val="21"/>
                <w:szCs w:val="21"/>
                <w14:textFill>
                  <w14:solidFill>
                    <w14:schemeClr w14:val="tx1"/>
                  </w14:solidFill>
                </w14:textFill>
              </w:rPr>
              <w:t>配线采用绝缘导线</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配电箱应防雨通风、保持干燥。</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color w:val="000000" w:themeColor="text1"/>
                <w:szCs w:val="21"/>
                <w14:textFill>
                  <w14:solidFill>
                    <w14:schemeClr w14:val="tx1"/>
                  </w14:solidFill>
                </w14:textFill>
              </w:rPr>
              <w:t>3.19.4.1</w:t>
            </w:r>
          </w:p>
        </w:tc>
        <w:tc>
          <w:tcPr>
            <w:tcW w:w="2538" w:type="dxa"/>
            <w:tcBorders>
              <w:tl2br w:val="nil"/>
              <w:tr2bl w:val="nil"/>
            </w:tcBorders>
            <w:vAlign w:val="center"/>
          </w:tcPr>
          <w:p>
            <w:pPr>
              <w:pStyle w:val="81"/>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olor w:val="000000" w:themeColor="text1"/>
                <w:lang w:val="en-US" w:eastAsia="zh-CN"/>
                <w14:textFill>
                  <w14:solidFill>
                    <w14:schemeClr w14:val="tx1"/>
                  </w14:solidFill>
                </w14:textFill>
              </w:rPr>
              <w:t>配电箱防雨、干燥。</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配电箱应安装端正、牢固。配电箱前地面有绝缘保护，并有足够的工作空间和通道。</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color w:val="000000" w:themeColor="text1"/>
                <w:szCs w:val="21"/>
                <w14:textFill>
                  <w14:solidFill>
                    <w14:schemeClr w14:val="tx1"/>
                  </w14:solidFill>
                </w14:textFill>
              </w:rPr>
              <w:t>3.19.4.</w:t>
            </w:r>
            <w:r>
              <w:rPr>
                <w:rFonts w:hint="eastAsia"/>
                <w:color w:val="000000" w:themeColor="text1"/>
                <w:szCs w:val="21"/>
                <w:lang w:val="en-US" w:eastAsia="zh-CN"/>
                <w14:textFill>
                  <w14:solidFill>
                    <w14:schemeClr w14:val="tx1"/>
                  </w14:solidFill>
                </w14:textFill>
              </w:rPr>
              <w:t>2</w:t>
            </w:r>
          </w:p>
        </w:tc>
        <w:tc>
          <w:tcPr>
            <w:tcW w:w="2538" w:type="dxa"/>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ascii="Times New Roman" w:hAnsi="Times New Roman" w:eastAsia="宋体" w:cs="Times New Roman"/>
                <w:color w:val="000000" w:themeColor="text1"/>
                <w:sz w:val="21"/>
                <w:szCs w:val="21"/>
                <w14:textFill>
                  <w14:solidFill>
                    <w14:schemeClr w14:val="tx1"/>
                  </w14:solidFill>
                </w14:textFill>
              </w:rPr>
              <w:t>配电箱前地面有绝缘保护</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配电箱总开关应装设漏电保护器。分闸应距井口15m以外。若采用不高于36V的安全电压照明，安全电压变压器应防水。</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color w:val="000000" w:themeColor="text1"/>
                <w:szCs w:val="21"/>
                <w14:textFill>
                  <w14:solidFill>
                    <w14:schemeClr w14:val="tx1"/>
                  </w14:solidFill>
                </w14:textFill>
              </w:rPr>
              <w:t>3.19.4.</w:t>
            </w:r>
            <w:r>
              <w:rPr>
                <w:rFonts w:hint="eastAsia"/>
                <w:color w:val="000000" w:themeColor="text1"/>
                <w:szCs w:val="21"/>
                <w:lang w:val="en-US" w:eastAsia="zh-CN"/>
                <w14:textFill>
                  <w14:solidFill>
                    <w14:schemeClr w14:val="tx1"/>
                  </w14:solidFill>
                </w14:textFill>
              </w:rPr>
              <w:t>6</w:t>
            </w:r>
          </w:p>
        </w:tc>
        <w:tc>
          <w:tcPr>
            <w:tcW w:w="2538" w:type="dxa"/>
            <w:tcBorders>
              <w:tl2br w:val="nil"/>
              <w:tr2bl w:val="nil"/>
            </w:tcBorders>
            <w:vAlign w:val="center"/>
          </w:tcPr>
          <w:p>
            <w:pPr>
              <w:pStyle w:val="81"/>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ascii="Times New Roman" w:hAnsi="Times New Roman" w:eastAsia="宋体" w:cs="Times New Roman"/>
                <w:color w:val="000000" w:themeColor="text1"/>
                <w:sz w:val="21"/>
                <w:szCs w:val="21"/>
                <w14:textFill>
                  <w14:solidFill>
                    <w14:schemeClr w14:val="tx1"/>
                  </w14:solidFill>
                </w14:textFill>
              </w:rPr>
              <w:t>装设</w:t>
            </w:r>
            <w:r>
              <w:rPr>
                <w:rFonts w:hint="eastAsia" w:ascii="Times New Roman" w:hAnsi="Times New Roman" w:cs="Times New Roman"/>
                <w:color w:val="000000" w:themeColor="text1"/>
                <w:sz w:val="21"/>
                <w:szCs w:val="21"/>
                <w:lang w:eastAsia="zh-CN"/>
                <w14:textFill>
                  <w14:solidFill>
                    <w14:schemeClr w14:val="tx1"/>
                  </w14:solidFill>
                </w14:textFill>
              </w:rPr>
              <w:t>有</w:t>
            </w:r>
            <w:r>
              <w:rPr>
                <w:rFonts w:hint="default" w:ascii="Times New Roman" w:hAnsi="Times New Roman" w:eastAsia="宋体" w:cs="Times New Roman"/>
                <w:color w:val="000000" w:themeColor="text1"/>
                <w:sz w:val="21"/>
                <w:szCs w:val="21"/>
                <w14:textFill>
                  <w14:solidFill>
                    <w14:schemeClr w14:val="tx1"/>
                  </w14:solidFill>
                </w14:textFill>
              </w:rPr>
              <w:t>漏电保护器。</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restart"/>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配电箱门应由专人管理。</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color w:val="000000" w:themeColor="text1"/>
                <w:szCs w:val="21"/>
                <w14:textFill>
                  <w14:solidFill>
                    <w14:schemeClr w14:val="tx1"/>
                  </w14:solidFill>
                </w14:textFill>
              </w:rPr>
              <w:t>3.19.</w:t>
            </w:r>
            <w:r>
              <w:rPr>
                <w:rFonts w:hint="eastAsia"/>
                <w:color w:val="000000" w:themeColor="text1"/>
                <w:szCs w:val="21"/>
                <w:lang w:val="en-US" w:eastAsia="zh-CN"/>
                <w14:textFill>
                  <w14:solidFill>
                    <w14:schemeClr w14:val="tx1"/>
                  </w14:solidFill>
                </w14:textFill>
              </w:rPr>
              <w:t>5</w:t>
            </w:r>
            <w:r>
              <w:rPr>
                <w:rFonts w:hint="default"/>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2</w:t>
            </w:r>
          </w:p>
        </w:tc>
        <w:tc>
          <w:tcPr>
            <w:tcW w:w="2538" w:type="dxa"/>
            <w:vMerge w:val="restart"/>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s="Times New Roman"/>
                <w:color w:val="000000" w:themeColor="text1"/>
                <w:sz w:val="21"/>
                <w:szCs w:val="21"/>
                <w:lang w:eastAsia="zh-CN"/>
                <w14:textFill>
                  <w14:solidFill>
                    <w14:schemeClr w14:val="tx1"/>
                  </w14:solidFill>
                </w14:textFill>
              </w:rPr>
              <w:t>未</w:t>
            </w:r>
            <w:r>
              <w:rPr>
                <w:rFonts w:hint="eastAsia" w:cs="Times New Roman"/>
                <w:color w:val="000000" w:themeColor="text1"/>
                <w:sz w:val="21"/>
                <w:szCs w:val="21"/>
                <w:lang w:val="en-US" w:eastAsia="zh-CN"/>
                <w14:textFill>
                  <w14:solidFill>
                    <w14:schemeClr w14:val="tx1"/>
                  </w14:solidFill>
                </w14:textFill>
              </w:rPr>
              <w:t>由</w:t>
            </w:r>
            <w:r>
              <w:rPr>
                <w:rFonts w:hint="default"/>
                <w:color w:val="000000" w:themeColor="text1"/>
                <w:szCs w:val="21"/>
                <w14:textFill>
                  <w14:solidFill>
                    <w14:schemeClr w14:val="tx1"/>
                  </w14:solidFill>
                </w14:textFill>
              </w:rPr>
              <w:t>持证</w:t>
            </w:r>
            <w:r>
              <w:rPr>
                <w:rFonts w:hint="eastAsia"/>
                <w:color w:val="000000" w:themeColor="text1"/>
                <w:szCs w:val="21"/>
                <w:lang w:val="en-US" w:eastAsia="zh-CN"/>
                <w14:textFill>
                  <w14:solidFill>
                    <w14:schemeClr w14:val="tx1"/>
                  </w14:solidFill>
                </w14:textFill>
              </w:rPr>
              <w:t>人员</w:t>
            </w:r>
            <w:r>
              <w:rPr>
                <w:rFonts w:hint="default" w:ascii="Times New Roman" w:hAnsi="Times New Roman" w:eastAsia="宋体" w:cs="Times New Roman"/>
                <w:color w:val="000000" w:themeColor="text1"/>
                <w:sz w:val="21"/>
                <w:szCs w:val="21"/>
                <w14:textFill>
                  <w14:solidFill>
                    <w14:schemeClr w14:val="tx1"/>
                  </w14:solidFill>
                </w14:textFill>
              </w:rPr>
              <w:t>定期检查和</w:t>
            </w:r>
            <w:r>
              <w:rPr>
                <w:rFonts w:hint="eastAsia" w:cs="Times New Roman"/>
                <w:color w:val="000000" w:themeColor="text1"/>
                <w:sz w:val="21"/>
                <w:szCs w:val="21"/>
                <w:lang w:val="en-US" w:eastAsia="zh-CN"/>
                <w14:textFill>
                  <w14:solidFill>
                    <w14:schemeClr w14:val="tx1"/>
                  </w14:solidFill>
                </w14:textFill>
              </w:rPr>
              <w:t>维护</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850" w:type="dxa"/>
            <w:vMerge w:val="restart"/>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continue"/>
            <w:tcBorders>
              <w:tl2br w:val="nil"/>
              <w:tr2bl w:val="nil"/>
            </w:tcBorders>
            <w:vAlign w:val="center"/>
          </w:tcPr>
          <w:p>
            <w:pPr>
              <w:keepNext w:val="0"/>
              <w:keepLines w:val="0"/>
              <w:suppressLineNumbers w:val="0"/>
              <w:spacing w:before="0" w:beforeAutospacing="0" w:after="0" w:afterAutospacing="0"/>
              <w:ind w:left="0" w:right="0" w:firstLineChars="0"/>
              <w:jc w:val="center"/>
              <w:rPr>
                <w:rFonts w:hint="default"/>
                <w:vertAlign w:val="baseline"/>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配电箱应由持证电工定期进行检查和维修。</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color w:val="000000" w:themeColor="text1"/>
                <w:szCs w:val="21"/>
                <w14:textFill>
                  <w14:solidFill>
                    <w14:schemeClr w14:val="tx1"/>
                  </w14:solidFill>
                </w14:textFill>
              </w:rPr>
              <w:t>3.19.</w:t>
            </w:r>
            <w:r>
              <w:rPr>
                <w:rFonts w:hint="eastAsia"/>
                <w:color w:val="000000" w:themeColor="text1"/>
                <w:szCs w:val="21"/>
                <w:lang w:val="en-US" w:eastAsia="zh-CN"/>
                <w14:textFill>
                  <w14:solidFill>
                    <w14:schemeClr w14:val="tx1"/>
                  </w14:solidFill>
                </w14:textFill>
              </w:rPr>
              <w:t>5</w:t>
            </w:r>
            <w:r>
              <w:rPr>
                <w:rFonts w:hint="default"/>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3</w:t>
            </w:r>
          </w:p>
        </w:tc>
        <w:tc>
          <w:tcPr>
            <w:tcW w:w="2538" w:type="dxa"/>
            <w:vMerge w:val="continue"/>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p>
        </w:tc>
        <w:tc>
          <w:tcPr>
            <w:tcW w:w="850" w:type="dxa"/>
            <w:vMerge w:val="continue"/>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配电箱的进出线不应承受外力，不应与金属断口和腐蚀介质接触。</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SY</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5727-20</w:t>
            </w:r>
            <w:r>
              <w:rPr>
                <w:rFonts w:hint="eastAsia"/>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color w:val="000000" w:themeColor="text1"/>
                <w:szCs w:val="21"/>
                <w14:textFill>
                  <w14:solidFill>
                    <w14:schemeClr w14:val="tx1"/>
                  </w14:solidFill>
                </w14:textFill>
              </w:rPr>
              <w:t>3.19.</w:t>
            </w:r>
            <w:r>
              <w:rPr>
                <w:rFonts w:hint="eastAsia"/>
                <w:color w:val="000000" w:themeColor="text1"/>
                <w:szCs w:val="21"/>
                <w:lang w:val="en-US" w:eastAsia="zh-CN"/>
                <w14:textFill>
                  <w14:solidFill>
                    <w14:schemeClr w14:val="tx1"/>
                  </w14:solidFill>
                </w14:textFill>
              </w:rPr>
              <w:t>5</w:t>
            </w:r>
            <w:r>
              <w:rPr>
                <w:rFonts w:hint="default"/>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6</w:t>
            </w:r>
          </w:p>
        </w:tc>
        <w:tc>
          <w:tcPr>
            <w:tcW w:w="2538" w:type="dxa"/>
            <w:tcBorders>
              <w:tl2br w:val="nil"/>
              <w:tr2bl w:val="nil"/>
            </w:tcBorders>
            <w:vAlign w:val="center"/>
          </w:tcPr>
          <w:p>
            <w:pPr>
              <w:pStyle w:val="81"/>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ascii="Times New Roman" w:hAnsi="Times New Roman" w:eastAsia="宋体" w:cs="Times New Roman"/>
                <w:color w:val="000000" w:themeColor="text1"/>
                <w:sz w:val="21"/>
                <w:szCs w:val="21"/>
                <w14:textFill>
                  <w14:solidFill>
                    <w14:schemeClr w14:val="tx1"/>
                  </w14:solidFill>
                </w14:textFill>
              </w:rPr>
              <w:t>进出线不承受外力</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灯具的相线应在配电箱设开关控制，不应将相线直接引人灯具。</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SY</w:t>
            </w:r>
            <w:r>
              <w:rPr>
                <w:rFonts w:hint="default"/>
                <w:bCs/>
                <w:color w:val="000000" w:themeColor="text1"/>
                <w:szCs w:val="21"/>
                <w:lang w:val="en-US" w:eastAsia="zh-CN"/>
                <w14:textFill>
                  <w14:solidFill>
                    <w14:schemeClr w14:val="tx1"/>
                  </w14:solidFill>
                </w14:textFill>
              </w:rPr>
              <w:t>/T</w:t>
            </w:r>
            <w:r>
              <w:rPr>
                <w:rFonts w:hint="default"/>
                <w:bCs/>
                <w:color w:val="000000" w:themeColor="text1"/>
                <w:szCs w:val="21"/>
                <w14:textFill>
                  <w14:solidFill>
                    <w14:schemeClr w14:val="tx1"/>
                  </w14:solidFill>
                </w14:textFill>
              </w:rPr>
              <w:t>5727-20</w:t>
            </w:r>
            <w:r>
              <w:rPr>
                <w:rFonts w:hint="default"/>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bCs/>
                <w:color w:val="000000" w:themeColor="text1"/>
                <w:szCs w:val="21"/>
                <w14:textFill>
                  <w14:solidFill>
                    <w14:schemeClr w14:val="tx1"/>
                  </w14:solidFill>
                </w14:textFill>
              </w:rPr>
              <w:t>3.19.</w:t>
            </w:r>
            <w:r>
              <w:rPr>
                <w:rFonts w:hint="eastAsia"/>
                <w:bCs/>
                <w:color w:val="000000" w:themeColor="text1"/>
                <w:szCs w:val="21"/>
                <w:lang w:val="en-US" w:eastAsia="zh-CN"/>
                <w14:textFill>
                  <w14:solidFill>
                    <w14:schemeClr w14:val="tx1"/>
                  </w14:solidFill>
                </w14:textFill>
              </w:rPr>
              <w:t>6</w:t>
            </w:r>
            <w:r>
              <w:rPr>
                <w:rFonts w:hint="default"/>
                <w:bCs/>
                <w:color w:val="000000" w:themeColor="text1"/>
                <w:szCs w:val="21"/>
                <w14:textFill>
                  <w14:solidFill>
                    <w14:schemeClr w14:val="tx1"/>
                  </w14:solidFill>
                </w14:textFill>
              </w:rPr>
              <w:t>.</w:t>
            </w:r>
            <w:r>
              <w:rPr>
                <w:rFonts w:hint="eastAsia"/>
                <w:bCs/>
                <w:color w:val="000000" w:themeColor="text1"/>
                <w:szCs w:val="21"/>
                <w:lang w:val="en-US" w:eastAsia="zh-CN"/>
                <w14:textFill>
                  <w14:solidFill>
                    <w14:schemeClr w14:val="tx1"/>
                  </w14:solidFill>
                </w14:textFill>
              </w:rPr>
              <w:t>3</w:t>
            </w:r>
          </w:p>
        </w:tc>
        <w:tc>
          <w:tcPr>
            <w:tcW w:w="253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s="Times New Roman"/>
                <w:color w:val="000000" w:themeColor="text1"/>
                <w:sz w:val="21"/>
                <w:szCs w:val="21"/>
                <w:lang w:eastAsia="zh-CN"/>
                <w14:textFill>
                  <w14:solidFill>
                    <w14:schemeClr w14:val="tx1"/>
                  </w14:solidFill>
                </w14:textFill>
              </w:rPr>
              <w:t>符合要求。</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所有保护零线(PE线)都应可靠接地，不应将值班房金属构架做接地连接体。</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SY</w:t>
            </w:r>
            <w:r>
              <w:rPr>
                <w:rFonts w:hint="default"/>
                <w:bCs/>
                <w:color w:val="000000" w:themeColor="text1"/>
                <w:szCs w:val="21"/>
                <w:lang w:val="en-US" w:eastAsia="zh-CN"/>
                <w14:textFill>
                  <w14:solidFill>
                    <w14:schemeClr w14:val="tx1"/>
                  </w14:solidFill>
                </w14:textFill>
              </w:rPr>
              <w:t>/T</w:t>
            </w:r>
            <w:r>
              <w:rPr>
                <w:rFonts w:hint="default"/>
                <w:bCs/>
                <w:color w:val="000000" w:themeColor="text1"/>
                <w:szCs w:val="21"/>
                <w14:textFill>
                  <w14:solidFill>
                    <w14:schemeClr w14:val="tx1"/>
                  </w14:solidFill>
                </w14:textFill>
              </w:rPr>
              <w:t>5727-20</w:t>
            </w:r>
            <w:r>
              <w:rPr>
                <w:rFonts w:hint="default"/>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bCs/>
                <w:color w:val="000000" w:themeColor="text1"/>
                <w:szCs w:val="21"/>
                <w14:textFill>
                  <w14:solidFill>
                    <w14:schemeClr w14:val="tx1"/>
                  </w14:solidFill>
                </w14:textFill>
              </w:rPr>
              <w:t>3.19.</w:t>
            </w:r>
            <w:r>
              <w:rPr>
                <w:rFonts w:hint="eastAsia"/>
                <w:bCs/>
                <w:color w:val="000000" w:themeColor="text1"/>
                <w:szCs w:val="21"/>
                <w:lang w:val="en-US" w:eastAsia="zh-CN"/>
                <w14:textFill>
                  <w14:solidFill>
                    <w14:schemeClr w14:val="tx1"/>
                  </w14:solidFill>
                </w14:textFill>
              </w:rPr>
              <w:t>8</w:t>
            </w:r>
            <w:r>
              <w:rPr>
                <w:rFonts w:hint="default"/>
                <w:bCs/>
                <w:color w:val="000000" w:themeColor="text1"/>
                <w:szCs w:val="21"/>
                <w14:textFill>
                  <w14:solidFill>
                    <w14:schemeClr w14:val="tx1"/>
                  </w14:solidFill>
                </w14:textFill>
              </w:rPr>
              <w:t>.</w:t>
            </w:r>
            <w:r>
              <w:rPr>
                <w:rFonts w:hint="eastAsia"/>
                <w:bCs/>
                <w:color w:val="000000" w:themeColor="text1"/>
                <w:szCs w:val="21"/>
                <w:lang w:val="en-US" w:eastAsia="zh-CN"/>
                <w14:textFill>
                  <w14:solidFill>
                    <w14:schemeClr w14:val="tx1"/>
                  </w14:solidFill>
                </w14:textFill>
              </w:rPr>
              <w:t>2</w:t>
            </w:r>
          </w:p>
        </w:tc>
        <w:tc>
          <w:tcPr>
            <w:tcW w:w="253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保护零线(PE线)都可靠接地</w:t>
            </w:r>
            <w:r>
              <w:rPr>
                <w:rFonts w:hint="eastAsia"/>
                <w:color w:val="000000" w:themeColor="text1"/>
                <w:szCs w:val="21"/>
                <w:lang w:eastAsia="zh-CN"/>
                <w14:textFill>
                  <w14:solidFill>
                    <w14:schemeClr w14:val="tx1"/>
                  </w14:solidFill>
                </w14:textFill>
              </w:rPr>
              <w:t>。</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eastAsia="宋体"/>
                <w:vertAlign w:val="baseline"/>
                <w:lang w:val="en-US" w:eastAsia="zh-CN"/>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垂直接地体应采用角钢、钢管或圆钢，不应用铝导体做接地体或地下接地线。</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SY</w:t>
            </w:r>
            <w:r>
              <w:rPr>
                <w:rFonts w:hint="default"/>
                <w:bCs/>
                <w:color w:val="000000" w:themeColor="text1"/>
                <w:szCs w:val="21"/>
                <w:lang w:val="en-US" w:eastAsia="zh-CN"/>
                <w14:textFill>
                  <w14:solidFill>
                    <w14:schemeClr w14:val="tx1"/>
                  </w14:solidFill>
                </w14:textFill>
              </w:rPr>
              <w:t>/T</w:t>
            </w:r>
            <w:r>
              <w:rPr>
                <w:rFonts w:hint="default"/>
                <w:bCs/>
                <w:color w:val="000000" w:themeColor="text1"/>
                <w:szCs w:val="21"/>
                <w14:textFill>
                  <w14:solidFill>
                    <w14:schemeClr w14:val="tx1"/>
                  </w14:solidFill>
                </w14:textFill>
              </w:rPr>
              <w:t>5727-20</w:t>
            </w:r>
            <w:r>
              <w:rPr>
                <w:rFonts w:hint="default"/>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bCs/>
                <w:color w:val="000000" w:themeColor="text1"/>
                <w:szCs w:val="21"/>
                <w14:textFill>
                  <w14:solidFill>
                    <w14:schemeClr w14:val="tx1"/>
                  </w14:solidFill>
                </w14:textFill>
              </w:rPr>
              <w:t>3.19.</w:t>
            </w:r>
            <w:r>
              <w:rPr>
                <w:rFonts w:hint="eastAsia"/>
                <w:bCs/>
                <w:color w:val="000000" w:themeColor="text1"/>
                <w:szCs w:val="21"/>
                <w:lang w:val="en-US" w:eastAsia="zh-CN"/>
                <w14:textFill>
                  <w14:solidFill>
                    <w14:schemeClr w14:val="tx1"/>
                  </w14:solidFill>
                </w14:textFill>
              </w:rPr>
              <w:t>8</w:t>
            </w:r>
            <w:r>
              <w:rPr>
                <w:rFonts w:hint="default"/>
                <w:bCs/>
                <w:color w:val="000000" w:themeColor="text1"/>
                <w:szCs w:val="21"/>
                <w14:textFill>
                  <w14:solidFill>
                    <w14:schemeClr w14:val="tx1"/>
                  </w14:solidFill>
                </w14:textFill>
              </w:rPr>
              <w:t>.</w:t>
            </w:r>
            <w:r>
              <w:rPr>
                <w:rFonts w:hint="eastAsia"/>
                <w:bCs/>
                <w:color w:val="000000" w:themeColor="text1"/>
                <w:szCs w:val="21"/>
                <w:lang w:val="en-US" w:eastAsia="zh-CN"/>
                <w14:textFill>
                  <w14:solidFill>
                    <w14:schemeClr w14:val="tx1"/>
                  </w14:solidFill>
                </w14:textFill>
              </w:rPr>
              <w:t>3</w:t>
            </w:r>
          </w:p>
        </w:tc>
        <w:tc>
          <w:tcPr>
            <w:tcW w:w="253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s="Times New Roman"/>
                <w:color w:val="000000" w:themeColor="text1"/>
                <w:sz w:val="21"/>
                <w:szCs w:val="21"/>
                <w:lang w:eastAsia="zh-CN"/>
                <w14:textFill>
                  <w14:solidFill>
                    <w14:schemeClr w14:val="tx1"/>
                  </w14:solidFill>
                </w14:textFill>
              </w:rPr>
              <w:t>采用</w:t>
            </w:r>
            <w:r>
              <w:rPr>
                <w:rFonts w:hint="default" w:ascii="Times New Roman" w:hAnsi="Times New Roman" w:eastAsia="宋体" w:cs="Times New Roman"/>
                <w:color w:val="000000" w:themeColor="text1"/>
                <w:sz w:val="21"/>
                <w:szCs w:val="21"/>
                <w14:textFill>
                  <w14:solidFill>
                    <w14:schemeClr w14:val="tx1"/>
                  </w14:solidFill>
                </w14:textFill>
              </w:rPr>
              <w:t>圆钢</w:t>
            </w:r>
            <w:r>
              <w:rPr>
                <w:rFonts w:hint="eastAsia" w:ascii="Times New Roman" w:hAnsi="Times New Roman" w:cs="Times New Roman"/>
                <w:color w:val="000000" w:themeColor="text1"/>
                <w:sz w:val="21"/>
                <w:szCs w:val="21"/>
                <w:lang w:eastAsia="zh-CN"/>
                <w14:textFill>
                  <w14:solidFill>
                    <w14:schemeClr w14:val="tx1"/>
                  </w14:solidFill>
                </w14:textFill>
              </w:rPr>
              <w:t>或</w:t>
            </w:r>
            <w:r>
              <w:rPr>
                <w:rFonts w:hint="default" w:ascii="Times New Roman" w:hAnsi="Times New Roman" w:eastAsia="宋体" w:cs="Times New Roman"/>
                <w:color w:val="000000" w:themeColor="text1"/>
                <w:sz w:val="21"/>
                <w:szCs w:val="21"/>
                <w14:textFill>
                  <w14:solidFill>
                    <w14:schemeClr w14:val="tx1"/>
                  </w14:solidFill>
                </w14:textFill>
              </w:rPr>
              <w:t>角钢</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textAlignment w:val="auto"/>
              <w:rPr>
                <w:rFonts w:hint="default"/>
                <w:vertAlign w:val="baseli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施工中进出井场的车辆排气管应安装阻火器。施工井场地面裸露的油、气管线及电缆，应采取防止车辆碾压的保护措施。 </w:t>
            </w:r>
          </w:p>
        </w:tc>
        <w:tc>
          <w:tcPr>
            <w:tcW w:w="1691" w:type="dxa"/>
            <w:tcBorders>
              <w:tl2br w:val="nil"/>
              <w:tr2bl w:val="nil"/>
            </w:tcBorders>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SY</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/T</w:t>
            </w:r>
            <w:r>
              <w:rPr>
                <w:rFonts w:hint="default" w:ascii="Times New Roman" w:hAnsi="Times New Roman" w:eastAsia="宋体" w:cs="Times New Roman"/>
                <w:bCs/>
                <w:color w:val="000000" w:themeColor="text1"/>
                <w:sz w:val="21"/>
                <w:szCs w:val="21"/>
                <w14:textFill>
                  <w14:solidFill>
                    <w14:schemeClr w14:val="tx1"/>
                  </w14:solidFill>
                </w14:textFill>
              </w:rPr>
              <w:t>5225-201</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9</w:t>
            </w:r>
          </w:p>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bCs/>
                <w:color w:val="000000" w:themeColor="text1"/>
                <w:sz w:val="21"/>
                <w:szCs w:val="21"/>
                <w14:textFill>
                  <w14:solidFill>
                    <w14:schemeClr w14:val="tx1"/>
                  </w14:solidFill>
                </w14:textFill>
              </w:rPr>
              <w:t>.1.</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4</w:t>
            </w:r>
          </w:p>
        </w:tc>
        <w:tc>
          <w:tcPr>
            <w:tcW w:w="253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ascii="宋体" w:hAnsi="宋体" w:cs="宋体"/>
                <w:color w:val="000000" w:themeColor="text1"/>
                <w:sz w:val="21"/>
                <w:szCs w:val="21"/>
                <w:lang w:val="en-US" w:eastAsia="zh-CN"/>
                <w14:textFill>
                  <w14:solidFill>
                    <w14:schemeClr w14:val="tx1"/>
                  </w14:solidFill>
                </w14:textFill>
              </w:rPr>
              <w:t>地面裸露管线已采取防碾压措施。</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tcPr>
          <w:p>
            <w:pPr>
              <w:keepNext w:val="0"/>
              <w:keepLines w:val="0"/>
              <w:numPr>
                <w:ilvl w:val="0"/>
                <w:numId w:val="0"/>
              </w:numPr>
              <w:suppressLineNumbers w:val="0"/>
              <w:spacing w:before="0" w:beforeAutospacing="0" w:after="0" w:afterAutospacing="0"/>
              <w:ind w:left="0" w:leftChars="0" w:right="0" w:rightChars="0"/>
              <w:jc w:val="left"/>
              <w:rPr>
                <w:rFonts w:hint="eastAsia" w:eastAsiaTheme="minorEastAsia"/>
                <w:b/>
                <w:bCs/>
                <w:vertAlign w:val="baseline"/>
                <w:lang w:val="en-US" w:eastAsia="zh-CN"/>
              </w:rPr>
            </w:pPr>
            <w:r>
              <w:rPr>
                <w:rFonts w:hint="eastAsia"/>
                <w:b/>
                <w:bCs/>
                <w:vertAlign w:val="baseline"/>
                <w:lang w:val="en-US" w:eastAsia="zh-CN"/>
              </w:rPr>
              <w:t>六</w:t>
            </w:r>
          </w:p>
        </w:tc>
        <w:tc>
          <w:tcPr>
            <w:tcW w:w="7904" w:type="dxa"/>
            <w:gridSpan w:val="4"/>
            <w:tcBorders>
              <w:tl2br w:val="nil"/>
              <w:tr2bl w:val="nil"/>
            </w:tcBorders>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rPr>
            </w:pPr>
            <w:r>
              <w:rPr>
                <w:rFonts w:hint="default" w:ascii="Times New Roman" w:hAnsi="Times New Roman" w:eastAsia="宋体" w:cs="Times New Roman"/>
                <w:b/>
                <w:bCs/>
                <w:lang w:eastAsia="zh-CN"/>
              </w:rPr>
              <w:t>检验检测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ascii="Times New Roman" w:hAnsi="Times New Roman" w:eastAsia="宋体" w:cs="Times New Roman"/>
                <w:kern w:val="0"/>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1691" w:type="dxa"/>
            <w:tcBorders>
              <w:tl2br w:val="nil"/>
              <w:tr2bl w:val="nil"/>
            </w:tcBorders>
            <w:vAlign w:val="center"/>
          </w:tcPr>
          <w:p>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vertAlign w:val="baseline"/>
              </w:rPr>
            </w:pPr>
            <w:r>
              <w:rPr>
                <w:rFonts w:hint="default" w:ascii="Times New Roman" w:hAnsi="Times New Roman" w:eastAsia="宋体" w:cs="Times New Roman"/>
                <w:kern w:val="0"/>
                <w:sz w:val="21"/>
                <w:szCs w:val="21"/>
              </w:rPr>
              <w:t>《中华人民共和国特种设备安全法》第十三条</w:t>
            </w:r>
          </w:p>
        </w:tc>
        <w:tc>
          <w:tcPr>
            <w:tcW w:w="253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s="Times New Roman"/>
                <w:color w:val="000000" w:themeColor="text1"/>
                <w:sz w:val="21"/>
                <w:szCs w:val="21"/>
                <w:highlight w:val="none"/>
                <w:lang w:eastAsia="zh-CN"/>
                <w14:textFill>
                  <w14:solidFill>
                    <w14:schemeClr w14:val="tx1"/>
                  </w14:solidFill>
                </w14:textFill>
              </w:rPr>
              <w:t>压力容器已办理</w:t>
            </w:r>
            <w:r>
              <w:rPr>
                <w:rFonts w:hint="default" w:ascii="Times New Roman" w:hAnsi="Times New Roman" w:eastAsia="宋体" w:cs="Times New Roman"/>
                <w:kern w:val="0"/>
                <w:sz w:val="21"/>
                <w:szCs w:val="21"/>
                <w:highlight w:val="none"/>
              </w:rPr>
              <w:t>使用登记</w:t>
            </w:r>
            <w:r>
              <w:rPr>
                <w:rFonts w:hint="eastAsia" w:ascii="Times New Roman" w:hAnsi="Times New Roman" w:cs="Times New Roman"/>
                <w:kern w:val="0"/>
                <w:sz w:val="21"/>
                <w:szCs w:val="21"/>
                <w:highlight w:val="none"/>
                <w:lang w:eastAsia="zh-CN"/>
              </w:rPr>
              <w:t>，</w:t>
            </w:r>
            <w:r>
              <w:rPr>
                <w:rFonts w:hint="default" w:ascii="Times New Roman" w:hAnsi="Times New Roman" w:eastAsia="宋体" w:cs="Times New Roman"/>
                <w:kern w:val="0"/>
                <w:sz w:val="21"/>
                <w:szCs w:val="21"/>
                <w:highlight w:val="none"/>
              </w:rPr>
              <w:t>取得使用登记证书。</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widowControl w:val="0"/>
              <w:suppressLineNumbers w:val="0"/>
              <w:overflowPunct w:val="0"/>
              <w:adjustRightInd w:val="0"/>
              <w:snapToGrid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特种设备使用单位应当按照安全技术规范的要求，在检验合格有效期届满前一个月向特种设备检验机构提出定期检验要求。</w:t>
            </w:r>
          </w:p>
          <w:p>
            <w:pPr>
              <w:keepNext w:val="0"/>
              <w:keepLines w:val="0"/>
              <w:widowControl w:val="0"/>
              <w:suppressLineNumbers w:val="0"/>
              <w:overflowPunct w:val="0"/>
              <w:adjustRightInd w:val="0"/>
              <w:snapToGrid w:val="0"/>
              <w:spacing w:before="0" w:beforeAutospacing="0" w:after="0" w:afterAutospacing="0"/>
              <w:ind w:left="0" w:right="0"/>
              <w:jc w:val="left"/>
              <w:rPr>
                <w:rFonts w:hint="eastAsia" w:ascii="Times New Roman" w:hAnsi="Times New Roman" w:cs="Times New Roman"/>
                <w:kern w:val="0"/>
                <w:szCs w:val="21"/>
              </w:rPr>
            </w:pPr>
            <w:r>
              <w:rPr>
                <w:rFonts w:hint="eastAsia" w:ascii="Times New Roman" w:hAnsi="Times New Roman" w:cs="Times New Roman"/>
                <w:kern w:val="0"/>
                <w:szCs w:val="21"/>
              </w:rPr>
              <w:t>特种设备检验机构接到定期检验要求后，应当按照安全技术规范的要求及时进行安全性能检验。特种设备使用单位应当将定期检验标志置于该特种设备的显著位置。</w:t>
            </w:r>
          </w:p>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default"/>
                <w:vertAlign w:val="baseline"/>
              </w:rPr>
            </w:pPr>
            <w:r>
              <w:rPr>
                <w:rFonts w:hint="eastAsia" w:ascii="Times New Roman" w:hAnsi="Times New Roman" w:cs="Times New Roman"/>
                <w:kern w:val="0"/>
                <w:szCs w:val="21"/>
              </w:rPr>
              <w:t>未经定期检验或者检验不合格的特种设备，不得继续使用。</w:t>
            </w:r>
          </w:p>
        </w:tc>
        <w:tc>
          <w:tcPr>
            <w:tcW w:w="1691" w:type="dxa"/>
            <w:tcBorders>
              <w:tl2br w:val="nil"/>
              <w:tr2bl w:val="nil"/>
            </w:tcBorders>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default"/>
                <w:vertAlign w:val="baseline"/>
              </w:rPr>
            </w:pPr>
            <w:r>
              <w:rPr>
                <w:rFonts w:hint="eastAsia" w:ascii="Times New Roman" w:hAnsi="Times New Roman" w:cs="Times New Roman"/>
                <w:kern w:val="0"/>
                <w:szCs w:val="21"/>
              </w:rPr>
              <w:t>《中华人民共和国特种设备安全法》第四十条</w:t>
            </w:r>
          </w:p>
        </w:tc>
        <w:tc>
          <w:tcPr>
            <w:tcW w:w="2538" w:type="dxa"/>
            <w:tcBorders>
              <w:tl2br w:val="nil"/>
              <w:tr2bl w:val="nil"/>
            </w:tcBorders>
            <w:vAlign w:val="center"/>
          </w:tcPr>
          <w:p>
            <w:pPr>
              <w:keepNext w:val="0"/>
              <w:keepLines w:val="0"/>
              <w:suppressLineNumbers w:val="0"/>
              <w:adjustRightInd w:val="0"/>
              <w:snapToGrid w:val="0"/>
              <w:spacing w:before="20" w:beforeAutospacing="0" w:after="20" w:afterAutospacing="0"/>
              <w:ind w:left="0" w:leftChars="0" w:right="0" w:rightChars="0"/>
              <w:jc w:val="left"/>
              <w:rPr>
                <w:rFonts w:hint="default"/>
                <w:vertAlign w:val="baseline"/>
              </w:rPr>
            </w:pPr>
            <w:r>
              <w:rPr>
                <w:rFonts w:hint="eastAsia" w:ascii="宋体" w:hAnsi="宋体" w:cs="宋体"/>
                <w:color w:val="000000" w:themeColor="text1"/>
                <w:sz w:val="21"/>
                <w:szCs w:val="21"/>
                <w:lang w:val="en-US" w:eastAsia="zh-CN"/>
                <w14:textFill>
                  <w14:solidFill>
                    <w14:schemeClr w14:val="tx1"/>
                  </w14:solidFill>
                </w14:textFill>
              </w:rPr>
              <w:t>特种设备已定期检测。</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default"/>
                <w:vertAlign w:val="baseline"/>
              </w:rPr>
            </w:pPr>
            <w:r>
              <w:rPr>
                <w:rFonts w:hint="eastAsia" w:ascii="Times New Roman" w:hAnsi="Times New Roman" w:cs="Times New Roman"/>
                <w:kern w:val="0"/>
                <w:szCs w:val="21"/>
              </w:rPr>
              <w:t>正压式空气呼吸器应每年检验一次；气瓶应每三年检验一次，其安全使用年限不得超过1</w:t>
            </w:r>
            <w:r>
              <w:rPr>
                <w:rFonts w:hint="default" w:ascii="Times New Roman" w:hAnsi="Times New Roman" w:cs="Times New Roman"/>
                <w:kern w:val="0"/>
                <w:szCs w:val="21"/>
              </w:rPr>
              <w:t>5</w:t>
            </w:r>
            <w:r>
              <w:rPr>
                <w:rFonts w:hint="eastAsia" w:ascii="Times New Roman" w:hAnsi="Times New Roman" w:cs="Times New Roman"/>
                <w:kern w:val="0"/>
                <w:szCs w:val="21"/>
              </w:rPr>
              <w:t>年。</w:t>
            </w:r>
          </w:p>
        </w:tc>
        <w:tc>
          <w:tcPr>
            <w:tcW w:w="1691" w:type="dxa"/>
            <w:tcBorders>
              <w:tl2br w:val="nil"/>
              <w:tr2bl w:val="nil"/>
            </w:tcBorders>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SY</w:t>
            </w:r>
            <w:r>
              <w:rPr>
                <w:rFonts w:hint="eastAsia" w:cs="Times New Roman"/>
                <w:kern w:val="0"/>
                <w:szCs w:val="21"/>
                <w:lang w:val="en-US" w:eastAsia="zh-CN"/>
              </w:rPr>
              <w:t>/</w:t>
            </w:r>
            <w:r>
              <w:rPr>
                <w:rFonts w:hint="eastAsia" w:ascii="Times New Roman" w:hAnsi="Times New Roman" w:cs="Times New Roman"/>
                <w:kern w:val="0"/>
                <w:szCs w:val="21"/>
              </w:rPr>
              <w:t>T 6277-2017</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vertAlign w:val="baseline"/>
              </w:rPr>
            </w:pPr>
            <w:r>
              <w:rPr>
                <w:rFonts w:hint="eastAsia" w:ascii="Times New Roman" w:hAnsi="Times New Roman" w:cs="Times New Roman"/>
                <w:kern w:val="0"/>
                <w:szCs w:val="21"/>
              </w:rPr>
              <w:t>5</w:t>
            </w:r>
            <w:r>
              <w:rPr>
                <w:rFonts w:hint="default" w:ascii="Times New Roman" w:hAnsi="Times New Roman" w:cs="Times New Roman"/>
                <w:kern w:val="0"/>
                <w:szCs w:val="21"/>
              </w:rPr>
              <w:t>.1.6.1</w:t>
            </w:r>
          </w:p>
        </w:tc>
        <w:tc>
          <w:tcPr>
            <w:tcW w:w="253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s="Times New Roman"/>
                <w:color w:val="000000" w:themeColor="text1"/>
                <w:sz w:val="21"/>
                <w:szCs w:val="21"/>
                <w:lang w:eastAsia="zh-CN"/>
                <w14:textFill>
                  <w14:solidFill>
                    <w14:schemeClr w14:val="tx1"/>
                  </w14:solidFill>
                </w14:textFill>
              </w:rPr>
              <w:t>均在检验有效期内。</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default"/>
                <w:vertAlign w:val="baseline"/>
              </w:rPr>
            </w:pPr>
            <w:r>
              <w:rPr>
                <w:rFonts w:hint="eastAsia" w:ascii="Times New Roman" w:hAnsi="Times New Roman" w:cs="Times New Roman"/>
                <w:kern w:val="0"/>
                <w:szCs w:val="21"/>
              </w:rPr>
              <w:t>便携式硫化氢检测仪每年至少检验一次。</w:t>
            </w:r>
          </w:p>
        </w:tc>
        <w:tc>
          <w:tcPr>
            <w:tcW w:w="1691" w:type="dxa"/>
            <w:tcBorders>
              <w:tl2br w:val="nil"/>
              <w:tr2bl w:val="nil"/>
            </w:tcBorders>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kern w:val="0"/>
                <w:szCs w:val="21"/>
              </w:rPr>
            </w:pPr>
            <w:r>
              <w:rPr>
                <w:rFonts w:hint="eastAsia" w:ascii="Times New Roman" w:hAnsi="Times New Roman" w:cs="Times New Roman"/>
                <w:kern w:val="0"/>
                <w:szCs w:val="21"/>
              </w:rPr>
              <w:t>SY</w:t>
            </w:r>
            <w:r>
              <w:rPr>
                <w:rFonts w:hint="eastAsia" w:cs="Times New Roman"/>
                <w:kern w:val="0"/>
                <w:szCs w:val="21"/>
                <w:lang w:val="en-US" w:eastAsia="zh-CN"/>
              </w:rPr>
              <w:t>/</w:t>
            </w:r>
            <w:r>
              <w:rPr>
                <w:rFonts w:hint="eastAsia" w:ascii="Times New Roman" w:hAnsi="Times New Roman" w:cs="Times New Roman"/>
                <w:kern w:val="0"/>
                <w:szCs w:val="21"/>
              </w:rPr>
              <w:t>T 6277-2017</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vertAlign w:val="baseline"/>
              </w:rPr>
            </w:pPr>
            <w:r>
              <w:rPr>
                <w:rFonts w:hint="default" w:ascii="Times New Roman" w:hAnsi="Times New Roman" w:cs="Times New Roman"/>
                <w:kern w:val="0"/>
                <w:szCs w:val="21"/>
              </w:rPr>
              <w:t>5.2.6</w:t>
            </w:r>
          </w:p>
        </w:tc>
        <w:tc>
          <w:tcPr>
            <w:tcW w:w="253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s="Times New Roman"/>
                <w:color w:val="000000" w:themeColor="text1"/>
                <w:sz w:val="21"/>
                <w:szCs w:val="21"/>
                <w:lang w:eastAsia="zh-CN"/>
                <w14:textFill>
                  <w14:solidFill>
                    <w14:schemeClr w14:val="tx1"/>
                  </w14:solidFill>
                </w14:textFill>
              </w:rPr>
              <w:t>均在检验有效期内。</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suppressLineNumbers w:val="0"/>
              <w:bidi w:val="0"/>
              <w:spacing w:before="0" w:beforeAutospacing="0" w:after="0" w:afterAutospacing="0"/>
              <w:ind w:left="0" w:leftChars="0" w:right="0" w:rightChars="0"/>
              <w:rPr>
                <w:rFonts w:hint="eastAsia" w:ascii="Times New Roman" w:hAnsi="Times New Roman" w:cs="Times New Roman"/>
                <w:kern w:val="0"/>
                <w:szCs w:val="21"/>
              </w:rPr>
            </w:pPr>
            <w:r>
              <w:rPr>
                <w:rFonts w:hint="default" w:ascii="Times New Roman" w:hAnsi="Times New Roman" w:eastAsia="宋体" w:cs="Times New Roman"/>
                <w:sz w:val="21"/>
                <w:szCs w:val="21"/>
              </w:rPr>
              <w:t>绝缘手套、绝缘靴（鞋）每半年进行一次工频耐压试验。</w:t>
            </w:r>
          </w:p>
        </w:tc>
        <w:tc>
          <w:tcPr>
            <w:tcW w:w="1691"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DL/T 1476-2015</w:t>
            </w:r>
          </w:p>
          <w:p>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kern w:val="0"/>
                <w:szCs w:val="21"/>
              </w:rPr>
            </w:pPr>
            <w:r>
              <w:rPr>
                <w:rFonts w:hint="default" w:ascii="Times New Roman" w:hAnsi="Times New Roman" w:eastAsia="宋体" w:cs="Times New Roman"/>
                <w:sz w:val="21"/>
                <w:szCs w:val="21"/>
              </w:rPr>
              <w:t>6.3.1.2、6.3.1.3</w:t>
            </w:r>
          </w:p>
        </w:tc>
        <w:tc>
          <w:tcPr>
            <w:tcW w:w="2538" w:type="dxa"/>
            <w:tcBorders>
              <w:tl2br w:val="nil"/>
              <w:tr2bl w:val="nil"/>
            </w:tcBorders>
            <w:vAlign w:val="center"/>
          </w:tcPr>
          <w:p>
            <w:pPr>
              <w:keepNext w:val="0"/>
              <w:keepLines w:val="0"/>
              <w:suppressLineNumbers w:val="0"/>
              <w:bidi w:val="0"/>
              <w:spacing w:before="0" w:beforeAutospacing="0" w:after="0" w:afterAutospacing="0"/>
              <w:ind w:left="0" w:leftChars="0" w:right="0" w:rightChars="0"/>
              <w:rPr>
                <w:rFonts w:hint="eastAsia"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z w:val="21"/>
                <w:szCs w:val="21"/>
                <w:lang w:eastAsia="zh-CN"/>
              </w:rPr>
              <w:t>均在检验有效期内。</w:t>
            </w:r>
          </w:p>
        </w:tc>
        <w:tc>
          <w:tcPr>
            <w:tcW w:w="850" w:type="dxa"/>
            <w:tcBorders>
              <w:tl2br w:val="nil"/>
              <w:tr2bl w:val="nil"/>
            </w:tcBorders>
            <w:vAlign w:val="center"/>
          </w:tcPr>
          <w:p>
            <w:pPr>
              <w:keepNext w:val="0"/>
              <w:keepLines w:val="0"/>
              <w:suppressLineNumbers w:val="0"/>
              <w:bidi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tcPr>
          <w:p>
            <w:pPr>
              <w:keepNext w:val="0"/>
              <w:keepLines w:val="0"/>
              <w:numPr>
                <w:ilvl w:val="0"/>
                <w:numId w:val="0"/>
              </w:numPr>
              <w:suppressLineNumbers w:val="0"/>
              <w:spacing w:before="0" w:beforeAutospacing="0" w:after="0" w:afterAutospacing="0"/>
              <w:ind w:left="0" w:leftChars="0" w:right="0" w:rightChars="0"/>
              <w:jc w:val="left"/>
              <w:rPr>
                <w:rFonts w:hint="eastAsia" w:eastAsiaTheme="minorEastAsia"/>
                <w:b/>
                <w:bCs/>
                <w:vertAlign w:val="baseline"/>
                <w:lang w:val="en-US" w:eastAsia="zh-CN"/>
              </w:rPr>
            </w:pPr>
            <w:r>
              <w:rPr>
                <w:rFonts w:hint="eastAsia"/>
                <w:b/>
                <w:bCs/>
                <w:vertAlign w:val="baseline"/>
                <w:lang w:val="en-US" w:eastAsia="zh-CN"/>
              </w:rPr>
              <w:t>七</w:t>
            </w:r>
          </w:p>
        </w:tc>
        <w:tc>
          <w:tcPr>
            <w:tcW w:w="7904" w:type="dxa"/>
            <w:gridSpan w:val="4"/>
            <w:tcBorders>
              <w:tl2br w:val="nil"/>
              <w:tr2bl w:val="nil"/>
            </w:tcBorders>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rPr>
            </w:pPr>
            <w:r>
              <w:rPr>
                <w:rFonts w:hint="default" w:ascii="Times New Roman" w:hAnsi="Times New Roman" w:eastAsia="宋体" w:cs="Times New Roman"/>
                <w:b/>
                <w:bCs/>
                <w:lang w:eastAsia="zh-CN"/>
              </w:rPr>
              <w:t>施工现场安全管理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施工作业人员应经相应的岗位技能培训，培训合格方可上岗。</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SY</w:t>
            </w:r>
            <w:r>
              <w:rPr>
                <w:rFonts w:hint="default"/>
                <w:bCs/>
                <w:color w:val="000000" w:themeColor="text1"/>
                <w:szCs w:val="21"/>
                <w:lang w:val="en-US" w:eastAsia="zh-CN"/>
                <w14:textFill>
                  <w14:solidFill>
                    <w14:schemeClr w14:val="tx1"/>
                  </w14:solidFill>
                </w14:textFill>
              </w:rPr>
              <w:t>/T</w:t>
            </w:r>
            <w:r>
              <w:rPr>
                <w:rFonts w:hint="default"/>
                <w:bCs/>
                <w:color w:val="000000" w:themeColor="text1"/>
                <w:szCs w:val="21"/>
                <w14:textFill>
                  <w14:solidFill>
                    <w14:schemeClr w14:val="tx1"/>
                  </w14:solidFill>
                </w14:textFill>
              </w:rPr>
              <w:t>5727-20</w:t>
            </w:r>
            <w:r>
              <w:rPr>
                <w:rFonts w:hint="default"/>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eastAsia"/>
                <w:bCs/>
                <w:color w:val="000000" w:themeColor="text1"/>
                <w:szCs w:val="21"/>
                <w:lang w:val="en-US" w:eastAsia="zh-CN"/>
                <w14:textFill>
                  <w14:solidFill>
                    <w14:schemeClr w14:val="tx1"/>
                  </w14:solidFill>
                </w14:textFill>
              </w:rPr>
              <w:t>4.1.1</w:t>
            </w:r>
          </w:p>
        </w:tc>
        <w:tc>
          <w:tcPr>
            <w:tcW w:w="253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ascii="宋体" w:hAnsi="宋体" w:cs="宋体"/>
                <w:color w:val="000000" w:themeColor="text1"/>
                <w:sz w:val="21"/>
                <w:szCs w:val="21"/>
                <w:lang w:val="en-US" w:eastAsia="zh-CN"/>
                <w14:textFill>
                  <w14:solidFill>
                    <w14:schemeClr w14:val="tx1"/>
                  </w14:solidFill>
                </w14:textFill>
              </w:rPr>
              <w:t>持证上岗。</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进入现场人员应正确穿戴和使用劳动防护用品及其他防护用具，并做好安全防护设施的维护。</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SY</w:t>
            </w:r>
            <w:r>
              <w:rPr>
                <w:rFonts w:hint="default"/>
                <w:bCs/>
                <w:color w:val="000000" w:themeColor="text1"/>
                <w:szCs w:val="21"/>
                <w:lang w:val="en-US" w:eastAsia="zh-CN"/>
                <w14:textFill>
                  <w14:solidFill>
                    <w14:schemeClr w14:val="tx1"/>
                  </w14:solidFill>
                </w14:textFill>
              </w:rPr>
              <w:t>/T</w:t>
            </w:r>
            <w:r>
              <w:rPr>
                <w:rFonts w:hint="default"/>
                <w:bCs/>
                <w:color w:val="000000" w:themeColor="text1"/>
                <w:szCs w:val="21"/>
                <w14:textFill>
                  <w14:solidFill>
                    <w14:schemeClr w14:val="tx1"/>
                  </w14:solidFill>
                </w14:textFill>
              </w:rPr>
              <w:t>5727-20</w:t>
            </w:r>
            <w:r>
              <w:rPr>
                <w:rFonts w:hint="default"/>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eastAsia"/>
                <w:bCs/>
                <w:color w:val="000000" w:themeColor="text1"/>
                <w:szCs w:val="21"/>
                <w:lang w:val="en-US" w:eastAsia="zh-CN"/>
                <w14:textFill>
                  <w14:solidFill>
                    <w14:schemeClr w14:val="tx1"/>
                  </w14:solidFill>
                </w14:textFill>
              </w:rPr>
              <w:t>4.1.2</w:t>
            </w:r>
          </w:p>
        </w:tc>
        <w:tc>
          <w:tcPr>
            <w:tcW w:w="253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ascii="宋体" w:hAnsi="宋体" w:cs="宋体"/>
                <w:color w:val="000000" w:themeColor="text1"/>
                <w:sz w:val="21"/>
                <w:szCs w:val="21"/>
                <w:lang w:val="en-US" w:eastAsia="zh-CN"/>
                <w14:textFill>
                  <w14:solidFill>
                    <w14:schemeClr w14:val="tx1"/>
                  </w14:solidFill>
                </w14:textFill>
              </w:rPr>
              <w:t>劳保佩戴齐全。</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vertAlign w:val="baseline"/>
                <w:lang w:val="en-US"/>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14:textFill>
                  <w14:solidFill>
                    <w14:schemeClr w14:val="tx1"/>
                  </w14:solidFill>
                </w14:textFill>
              </w:rPr>
              <w:t>施工前进行技术、安全交底，每班坚持安全讲话和班后评价。</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SY</w:t>
            </w:r>
            <w:r>
              <w:rPr>
                <w:rFonts w:hint="default"/>
                <w:bCs/>
                <w:color w:val="000000" w:themeColor="text1"/>
                <w:szCs w:val="21"/>
                <w:lang w:val="en-US" w:eastAsia="zh-CN"/>
                <w14:textFill>
                  <w14:solidFill>
                    <w14:schemeClr w14:val="tx1"/>
                  </w14:solidFill>
                </w14:textFill>
              </w:rPr>
              <w:t>/T</w:t>
            </w:r>
            <w:r>
              <w:rPr>
                <w:rFonts w:hint="default"/>
                <w:bCs/>
                <w:color w:val="000000" w:themeColor="text1"/>
                <w:szCs w:val="21"/>
                <w14:textFill>
                  <w14:solidFill>
                    <w14:schemeClr w14:val="tx1"/>
                  </w14:solidFill>
                </w14:textFill>
              </w:rPr>
              <w:t>5727-20</w:t>
            </w:r>
            <w:r>
              <w:rPr>
                <w:rFonts w:hint="default"/>
                <w:bCs/>
                <w:color w:val="000000" w:themeColor="text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eastAsia"/>
                <w:bCs/>
                <w:color w:val="000000" w:themeColor="text1"/>
                <w:szCs w:val="21"/>
                <w:lang w:val="en-US" w:eastAsia="zh-CN"/>
                <w14:textFill>
                  <w14:solidFill>
                    <w14:schemeClr w14:val="tx1"/>
                  </w14:solidFill>
                </w14:textFill>
              </w:rPr>
              <w:t>4.1.8</w:t>
            </w:r>
          </w:p>
        </w:tc>
        <w:tc>
          <w:tcPr>
            <w:tcW w:w="2538" w:type="dxa"/>
            <w:tcBorders>
              <w:tl2br w:val="nil"/>
              <w:tr2bl w:val="nil"/>
            </w:tcBorders>
            <w:vAlign w:val="center"/>
          </w:tcPr>
          <w:p>
            <w:pPr>
              <w:keepNext w:val="0"/>
              <w:keepLines w:val="0"/>
              <w:suppressLineNumbers w:val="0"/>
              <w:adjustRightInd w:val="0"/>
              <w:snapToGrid w:val="0"/>
              <w:spacing w:before="20" w:beforeAutospacing="0" w:after="20" w:afterAutospacing="0"/>
              <w:ind w:left="0" w:leftChars="0" w:right="0" w:rightChars="0"/>
              <w:jc w:val="left"/>
              <w:rPr>
                <w:rFonts w:hint="default"/>
                <w:vertAlign w:val="baseline"/>
              </w:rPr>
            </w:pPr>
            <w:r>
              <w:rPr>
                <w:rFonts w:hint="eastAsia"/>
                <w:color w:val="000000" w:themeColor="text1"/>
                <w:lang w:val="en-US" w:eastAsia="zh-CN"/>
                <w14:textFill>
                  <w14:solidFill>
                    <w14:schemeClr w14:val="tx1"/>
                  </w14:solidFill>
                </w14:textFill>
              </w:rPr>
              <w:t>有安全技术交底记录。</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468" w:type="dxa"/>
            <w:tcBorders>
              <w:tl2br w:val="nil"/>
              <w:tr2bl w:val="nil"/>
            </w:tcBorders>
            <w:vAlign w:val="center"/>
          </w:tcPr>
          <w:p>
            <w:pPr>
              <w:keepNext w:val="0"/>
              <w:keepLines w:val="0"/>
              <w:numPr>
                <w:ilvl w:val="0"/>
                <w:numId w:val="16"/>
              </w:numPr>
              <w:suppressLineNumbers w:val="0"/>
              <w:spacing w:before="0" w:beforeAutospacing="0" w:after="0" w:afterAutospacing="0"/>
              <w:ind w:left="425" w:leftChars="0" w:right="0" w:hanging="425" w:firstLineChars="0"/>
              <w:jc w:val="center"/>
              <w:rPr>
                <w:rFonts w:hint="default" w:eastAsia="宋体"/>
                <w:vertAlign w:val="baseline"/>
                <w:lang w:val="en-US" w:eastAsia="zh-CN"/>
              </w:rPr>
            </w:pPr>
          </w:p>
        </w:tc>
        <w:tc>
          <w:tcPr>
            <w:tcW w:w="28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default"/>
                <w:color w:val="000000" w:themeColor="text1"/>
                <w:szCs w:val="21"/>
                <w:lang w:val="en-US" w:eastAsia="zh-CN"/>
                <w14:textFill>
                  <w14:solidFill>
                    <w14:schemeClr w14:val="tx1"/>
                  </w14:solidFill>
                </w14:textFill>
              </w:rPr>
              <w:t>应建立员工个人防护用品、防护用具的管理和使用制度。根据作业现场职业危害情况为员工配发个人防护用品以及提供防护用具，员工应按规定正确穿戴及使用个人防护用品和防护用具。</w:t>
            </w:r>
          </w:p>
        </w:tc>
        <w:tc>
          <w:tcPr>
            <w:tcW w:w="169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AQ2012-2007</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vertAlign w:val="baseline"/>
              </w:rPr>
            </w:pPr>
            <w:r>
              <w:rPr>
                <w:rFonts w:hint="eastAsia"/>
                <w:color w:val="000000" w:themeColor="text1"/>
                <w:szCs w:val="21"/>
                <w:lang w:val="en-US" w:eastAsia="zh-CN"/>
                <w14:textFill>
                  <w14:solidFill>
                    <w14:schemeClr w14:val="tx1"/>
                  </w14:solidFill>
                </w14:textFill>
              </w:rPr>
              <w:t>4.2.4</w:t>
            </w:r>
          </w:p>
        </w:tc>
        <w:tc>
          <w:tcPr>
            <w:tcW w:w="253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vertAlign w:val="baseline"/>
              </w:rPr>
            </w:pPr>
            <w:r>
              <w:rPr>
                <w:rFonts w:hint="eastAsia" w:cs="Times New Roman"/>
                <w:color w:val="000000" w:themeColor="text1"/>
                <w:sz w:val="21"/>
                <w:szCs w:val="21"/>
                <w:lang w:eastAsia="zh-CN"/>
                <w14:textFill>
                  <w14:solidFill>
                    <w14:schemeClr w14:val="tx1"/>
                  </w14:solidFill>
                </w14:textFill>
              </w:rPr>
              <w:t>正确穿戴劳保用品。</w:t>
            </w:r>
          </w:p>
        </w:tc>
        <w:tc>
          <w:tcPr>
            <w:tcW w:w="850" w:type="dxa"/>
            <w:tcBorders>
              <w:tl2br w:val="nil"/>
              <w:tr2bl w:val="nil"/>
            </w:tcBorders>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auto"/>
          <w:sz w:val="28"/>
          <w:szCs w:val="28"/>
        </w:rPr>
      </w:pPr>
      <w:r>
        <w:rPr>
          <w:rFonts w:hint="eastAsia"/>
          <w:color w:val="auto"/>
          <w:sz w:val="28"/>
          <w:szCs w:val="28"/>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szCs w:val="28"/>
        </w:rPr>
      </w:pPr>
      <w:r>
        <w:rPr>
          <w:rFonts w:hint="eastAsia"/>
          <w:color w:val="auto"/>
          <w:sz w:val="28"/>
          <w:szCs w:val="28"/>
        </w:rPr>
        <w:t>安全检查表共设</w:t>
      </w:r>
      <w:r>
        <w:rPr>
          <w:rFonts w:hint="eastAsia"/>
          <w:color w:val="auto"/>
          <w:sz w:val="28"/>
          <w:szCs w:val="28"/>
          <w:lang w:val="en-US" w:eastAsia="zh-CN"/>
        </w:rPr>
        <w:t>37</w:t>
      </w:r>
      <w:r>
        <w:rPr>
          <w:rFonts w:hint="eastAsia"/>
          <w:color w:val="auto"/>
          <w:sz w:val="28"/>
          <w:szCs w:val="28"/>
        </w:rPr>
        <w:t>项检查内容，</w:t>
      </w:r>
      <w:r>
        <w:rPr>
          <w:rFonts w:hint="eastAsia"/>
          <w:color w:val="auto"/>
          <w:sz w:val="28"/>
          <w:szCs w:val="28"/>
          <w:lang w:val="en-US" w:eastAsia="zh-CN"/>
        </w:rPr>
        <w:t>33</w:t>
      </w:r>
      <w:r>
        <w:rPr>
          <w:rFonts w:hint="eastAsia"/>
          <w:color w:val="auto"/>
          <w:sz w:val="28"/>
          <w:szCs w:val="28"/>
        </w:rPr>
        <w:t>项符合要求，</w:t>
      </w:r>
      <w:r>
        <w:rPr>
          <w:rFonts w:hint="eastAsia"/>
          <w:color w:val="auto"/>
          <w:sz w:val="28"/>
          <w:szCs w:val="28"/>
          <w:lang w:val="en-US" w:eastAsia="zh-CN"/>
        </w:rPr>
        <w:t>4</w:t>
      </w:r>
      <w:r>
        <w:rPr>
          <w:rFonts w:hint="eastAsia"/>
          <w:color w:val="auto"/>
          <w:sz w:val="28"/>
          <w:szCs w:val="28"/>
        </w:rPr>
        <w:t>项不符合：</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lang w:val="en-US" w:eastAsia="zh-CN"/>
        </w:rPr>
      </w:pPr>
      <w:r>
        <w:rPr>
          <w:rFonts w:hint="eastAsia"/>
          <w:color w:val="auto"/>
          <w:sz w:val="28"/>
          <w:szCs w:val="28"/>
        </w:rPr>
        <w:t>1</w:t>
      </w:r>
      <w:r>
        <w:rPr>
          <w:color w:val="auto"/>
          <w:sz w:val="28"/>
          <w:szCs w:val="28"/>
        </w:rPr>
        <w:t>.</w:t>
      </w:r>
      <w:r>
        <w:rPr>
          <w:rFonts w:hint="eastAsia"/>
          <w:color w:val="auto"/>
          <w:sz w:val="28"/>
          <w:szCs w:val="28"/>
          <w:lang w:val="en-US" w:eastAsia="zh-CN"/>
        </w:rPr>
        <w:t xml:space="preserve"> 作业井场值班室、复合发生器控制室距离井口的安全防火间距小于30m。</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黑体"/>
          <w:lang w:val="en-US" w:eastAsia="zh-CN"/>
        </w:rPr>
      </w:pPr>
      <w:r>
        <w:rPr>
          <w:rFonts w:hint="eastAsia"/>
          <w:color w:val="auto"/>
          <w:sz w:val="28"/>
          <w:szCs w:val="28"/>
          <w:lang w:val="en-US" w:eastAsia="zh-CN"/>
        </w:rPr>
        <w:t>2. 排液池距井口距离小于25m。</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3. 井场内设有逃生路线、紧急集合点，但两块紧急集合点放置在同一位置。</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4. 配电箱</w:t>
      </w:r>
      <w:r>
        <w:rPr>
          <w:rFonts w:hint="eastAsia"/>
          <w:color w:val="000000" w:themeColor="text1"/>
          <w:sz w:val="28"/>
          <w:szCs w:val="28"/>
          <w:lang w:eastAsia="zh-CN"/>
          <w14:textFill>
            <w14:solidFill>
              <w14:schemeClr w14:val="tx1"/>
            </w14:solidFill>
          </w14:textFill>
        </w:rPr>
        <w:t>未</w:t>
      </w:r>
      <w:r>
        <w:rPr>
          <w:rFonts w:hint="eastAsia"/>
          <w:color w:val="000000" w:themeColor="text1"/>
          <w:sz w:val="28"/>
          <w:szCs w:val="28"/>
          <w:lang w:val="en-US" w:eastAsia="zh-CN"/>
          <w14:textFill>
            <w14:solidFill>
              <w14:schemeClr w14:val="tx1"/>
            </w14:solidFill>
          </w14:textFill>
        </w:rPr>
        <w:t>由持证人员定期进行检查和维护。</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b w:val="0"/>
          <w:bCs w:val="0"/>
          <w:lang w:val="en-US" w:eastAsia="zh-CN"/>
        </w:rPr>
      </w:pPr>
      <w:r>
        <w:rPr>
          <w:rFonts w:hint="default" w:ascii="Times New Roman" w:hAnsi="Times New Roman" w:eastAsia="黑体" w:cs="Times New Roman"/>
          <w:b w:val="0"/>
          <w:bCs w:val="0"/>
          <w:sz w:val="28"/>
          <w:szCs w:val="28"/>
          <w:lang w:val="en-US" w:eastAsia="zh-CN"/>
        </w:rPr>
        <w:t>5.1.2</w:t>
      </w:r>
      <w:r>
        <w:rPr>
          <w:rFonts w:hint="eastAsia" w:ascii="Times New Roman" w:hAnsi="Times New Roman" w:eastAsia="黑体" w:cs="Times New Roman"/>
          <w:b w:val="0"/>
          <w:bCs w:val="0"/>
          <w:sz w:val="28"/>
          <w:szCs w:val="28"/>
          <w:lang w:val="en-US" w:eastAsia="zh-CN"/>
        </w:rPr>
        <w:t xml:space="preserve"> </w:t>
      </w:r>
      <w:r>
        <w:rPr>
          <w:rFonts w:hint="default" w:ascii="Times New Roman" w:hAnsi="Times New Roman" w:eastAsia="黑体" w:cs="Times New Roman"/>
          <w:b w:val="0"/>
          <w:bCs w:val="0"/>
          <w:sz w:val="28"/>
          <w:szCs w:val="28"/>
          <w:lang w:val="en-US" w:eastAsia="zh-CN"/>
        </w:rPr>
        <w:t>注</w:t>
      </w:r>
      <w:r>
        <w:rPr>
          <w:rFonts w:hint="eastAsia" w:eastAsia="黑体" w:cs="Times New Roman"/>
          <w:b w:val="0"/>
          <w:bCs w:val="0"/>
          <w:sz w:val="28"/>
          <w:szCs w:val="28"/>
          <w:lang w:val="en-US" w:eastAsia="zh-CN"/>
        </w:rPr>
        <w:t>汽作业</w:t>
      </w:r>
      <w:r>
        <w:rPr>
          <w:rFonts w:hint="default" w:ascii="Times New Roman" w:hAnsi="Times New Roman" w:eastAsia="黑体" w:cs="Times New Roman"/>
          <w:b w:val="0"/>
          <w:bCs w:val="0"/>
          <w:sz w:val="28"/>
          <w:szCs w:val="28"/>
          <w:lang w:val="en-US" w:eastAsia="zh-CN"/>
        </w:rPr>
        <w:t>安全检查表评价</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8"/>
          <w:lang w:val="en-US" w:eastAsia="zh-CN" w:bidi="ar-SA"/>
        </w:rPr>
      </w:pPr>
      <w:r>
        <w:rPr>
          <w:rFonts w:hint="default" w:ascii="Times New Roman" w:hAnsi="Times New Roman" w:cs="Times New Roman"/>
          <w:b w:val="0"/>
          <w:bCs w:val="0"/>
          <w:sz w:val="28"/>
          <w:szCs w:val="28"/>
          <w:lang w:val="en-US" w:eastAsia="zh-CN"/>
        </w:rPr>
        <w:t>（4）</w:t>
      </w:r>
      <w:r>
        <w:rPr>
          <w:rFonts w:hint="eastAsia" w:ascii="Times New Roman" w:hAnsi="Times New Roman" w:eastAsia="宋体" w:cs="Times New Roman"/>
          <w:color w:val="auto"/>
          <w:kern w:val="2"/>
          <w:sz w:val="28"/>
          <w:szCs w:val="28"/>
          <w:lang w:val="en-US" w:eastAsia="zh-CN" w:bidi="ar-SA"/>
        </w:rPr>
        <w:t>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bCs w:val="0"/>
          <w:color w:val="000000" w:themeColor="text1"/>
          <w:sz w:val="24"/>
          <w:szCs w:val="28"/>
          <w14:textFill>
            <w14:solidFill>
              <w14:schemeClr w14:val="tx1"/>
            </w14:solidFill>
          </w14:textFill>
        </w:rPr>
      </w:pPr>
      <w:r>
        <w:rPr>
          <w:rFonts w:hint="default" w:ascii="Times New Roman" w:hAnsi="Times New Roman" w:eastAsia="宋体" w:cs="Times New Roman"/>
          <w:sz w:val="28"/>
          <w:szCs w:val="28"/>
          <w:lang w:val="en-US" w:eastAsia="zh-CN"/>
        </w:rPr>
        <w:t>本节根据《稠油注汽系统设计规范》（SY/T 0027-2014）、《井下作业安全规程》（SY/T5727-2020）、《石油天然气钻井、开发、储运防火防爆安全生产技术规程》（SY/T5225-2019）等标准规范，对本项目生产单元进行安全评价，具体评价过程见表5-6。</w:t>
      </w:r>
    </w:p>
    <w:p>
      <w:pPr>
        <w:pStyle w:val="217"/>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center"/>
        <w:textAlignment w:val="auto"/>
        <w:rPr>
          <w:rFonts w:hint="default"/>
          <w:b/>
          <w:bCs w:val="0"/>
          <w:color w:val="auto"/>
          <w:sz w:val="28"/>
          <w:szCs w:val="28"/>
          <w:lang w:val="en-US" w:eastAsia="zh-CN"/>
        </w:rPr>
      </w:pPr>
      <w:r>
        <w:rPr>
          <w:rFonts w:hint="eastAsia"/>
          <w:b/>
          <w:bCs w:val="0"/>
          <w:color w:val="000000" w:themeColor="text1"/>
          <w:sz w:val="24"/>
          <w:szCs w:val="28"/>
          <w14:textFill>
            <w14:solidFill>
              <w14:schemeClr w14:val="tx1"/>
            </w14:solidFill>
          </w14:textFill>
        </w:rPr>
        <w:t>表5-</w:t>
      </w:r>
      <w:r>
        <w:rPr>
          <w:rFonts w:hint="eastAsia"/>
          <w:b/>
          <w:bCs w:val="0"/>
          <w:color w:val="000000" w:themeColor="text1"/>
          <w:sz w:val="24"/>
          <w:szCs w:val="28"/>
          <w:lang w:val="en-US" w:eastAsia="zh-CN"/>
          <w14:textFill>
            <w14:solidFill>
              <w14:schemeClr w14:val="tx1"/>
            </w14:solidFill>
          </w14:textFill>
        </w:rPr>
        <w:t xml:space="preserve">6 </w:t>
      </w:r>
      <w:r>
        <w:rPr>
          <w:rFonts w:hint="eastAsia"/>
          <w:b/>
          <w:bCs w:val="0"/>
          <w:color w:val="000000" w:themeColor="text1"/>
          <w:sz w:val="24"/>
          <w:szCs w:val="28"/>
          <w14:textFill>
            <w14:solidFill>
              <w14:schemeClr w14:val="tx1"/>
            </w14:solidFill>
          </w14:textFill>
        </w:rPr>
        <w:t>生产单元安全检查表</w:t>
      </w:r>
    </w:p>
    <w:tbl>
      <w:tblPr>
        <w:tblStyle w:val="52"/>
        <w:tblW w:w="82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05"/>
        <w:gridCol w:w="3845"/>
        <w:gridCol w:w="1705"/>
        <w:gridCol w:w="1566"/>
        <w:gridCol w:w="6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505" w:type="dxa"/>
            <w:vAlign w:val="center"/>
          </w:tcPr>
          <w:p>
            <w:pPr>
              <w:keepNext w:val="0"/>
              <w:keepLines w:val="0"/>
              <w:numPr>
                <w:ilvl w:val="0"/>
                <w:numId w:val="0"/>
              </w:numPr>
              <w:suppressLineNumbers w:val="0"/>
              <w:bidi w:val="0"/>
              <w:spacing w:before="0" w:beforeAutospacing="0" w:after="0" w:afterAutospacing="0"/>
              <w:ind w:left="0" w:leftChars="0" w:right="0" w:rightChars="0"/>
              <w:jc w:val="both"/>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384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检查项目</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检查依据</w:t>
            </w:r>
          </w:p>
        </w:tc>
        <w:tc>
          <w:tcPr>
            <w:tcW w:w="1566"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实际情况</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检查结果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0"/>
              </w:numPr>
              <w:suppressLineNumbers w:val="0"/>
              <w:bidi w:val="0"/>
              <w:spacing w:before="0" w:beforeAutospacing="0" w:after="0" w:afterAutospacing="0"/>
              <w:ind w:left="0" w:leftChars="0" w:right="0" w:rightChars="0"/>
              <w:jc w:val="left"/>
              <w:rPr>
                <w:rFonts w:hint="eastAsia" w:ascii="Times New Roman" w:hAnsi="Times New Roman" w:eastAsia="宋体" w:cs="Times New Roman"/>
                <w:b/>
                <w:bCs/>
                <w:sz w:val="21"/>
                <w:szCs w:val="21"/>
                <w:lang w:val="en-US" w:eastAsia="zh-CN"/>
              </w:rPr>
            </w:pPr>
            <w:r>
              <w:rPr>
                <w:rFonts w:hint="eastAsia" w:cs="Times New Roman"/>
                <w:b/>
                <w:bCs/>
                <w:sz w:val="21"/>
                <w:szCs w:val="21"/>
                <w:lang w:val="en-US" w:eastAsia="zh-CN"/>
              </w:rPr>
              <w:t>一</w:t>
            </w:r>
          </w:p>
        </w:tc>
        <w:tc>
          <w:tcPr>
            <w:tcW w:w="7116" w:type="dxa"/>
            <w:gridSpan w:val="3"/>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井场平面布置</w:t>
            </w:r>
          </w:p>
        </w:tc>
        <w:tc>
          <w:tcPr>
            <w:tcW w:w="653" w:type="dxa"/>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加热炉、锅炉房距离油气井井口的安全防火间距不应小于20m。</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GB50183-2004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5.2.3</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符合要求。</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0"/>
              </w:numPr>
              <w:suppressLineNumbers w:val="0"/>
              <w:bidi w:val="0"/>
              <w:spacing w:before="0" w:beforeAutospacing="0" w:after="0" w:afterAutospacing="0"/>
              <w:ind w:left="0" w:leftChars="0" w:right="0" w:rightChars="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二</w:t>
            </w:r>
          </w:p>
        </w:tc>
        <w:tc>
          <w:tcPr>
            <w:tcW w:w="7116" w:type="dxa"/>
            <w:gridSpan w:val="3"/>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eastAsia="zh-CN"/>
              </w:rPr>
              <w:t>设备、设施</w:t>
            </w:r>
          </w:p>
        </w:tc>
        <w:tc>
          <w:tcPr>
            <w:tcW w:w="653" w:type="dxa"/>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安全设备的设计、制造、安装、使用、检测、维修、改造和报废，应当符合国家标准或者行业标准。</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生产经营单位必须对安全设备进行经常性维护、保养，并定期检测，保证正常运转。维护、保养、检测应当作好记录，并由有关人员签字。</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生产经营单位不得关闭、破坏直接关系生产安全的监控、报警、防护、救生设备、设施，或者篡改、隐瞒、销毁其相关数据、信息。</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《安全生产法》</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第三十六条</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安全设备定期检测。</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井口装置及其他设备应不漏油、不漏气、不漏电。当发生漏油、漏电时，应采取如下措施：</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 xml:space="preserve">——井口装置一旦泄漏油、气、水时，应先放压，后整改；若不能放压或不能完全放压需要卸掉井口整改时，应无压井，后整改。 </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 xml:space="preserve">一一地面设备发生泄漏动力油时，应采取措施予以整改；严重漏油时，应停机整改。 </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 xml:space="preserve">——地面油气管线、流程装置发生泄漏油、气时，应关闭泄漏流程的上、下游闸门，对泄漏部位整改。 </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——发现地面设备漏电，应断开电源开关。</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5225-201</w:t>
            </w:r>
            <w:r>
              <w:rPr>
                <w:rFonts w:hint="default" w:ascii="Times New Roman" w:hAnsi="Times New Roman" w:eastAsia="宋体" w:cs="Times New Roman"/>
                <w:sz w:val="21"/>
                <w:szCs w:val="21"/>
                <w:lang w:val="en-US" w:eastAsia="zh-CN"/>
              </w:rPr>
              <w:t>9</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3.2</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井口装置及其他设备不漏油、不漏气、不漏电。</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eastAsia" w:ascii="宋体" w:hAnsi="宋体" w:eastAsia="宋体" w:cs="宋体"/>
                <w:sz w:val="21"/>
                <w:szCs w:val="21"/>
              </w:rPr>
            </w:pPr>
            <w:r>
              <w:rPr>
                <w:rFonts w:hint="eastAsia" w:ascii="宋体" w:hAnsi="宋体" w:cs="宋体"/>
                <w:sz w:val="21"/>
                <w:szCs w:val="21"/>
                <w:lang w:val="en-US" w:eastAsia="zh-CN"/>
              </w:rPr>
              <w:t>a）</w:t>
            </w:r>
            <w:r>
              <w:rPr>
                <w:rFonts w:hint="eastAsia" w:ascii="宋体" w:hAnsi="宋体" w:eastAsia="宋体" w:cs="宋体"/>
                <w:sz w:val="21"/>
                <w:szCs w:val="21"/>
              </w:rPr>
              <w:t>地面注汽管线严禁车辆碾压和行人在上面行走。</w:t>
            </w:r>
          </w:p>
          <w:p>
            <w:pPr>
              <w:keepNext w:val="0"/>
              <w:keepLines w:val="0"/>
              <w:suppressLineNumbers w:val="0"/>
              <w:bidi w:val="0"/>
              <w:spacing w:before="0" w:beforeAutospacing="0" w:after="0" w:afterAutospacing="0"/>
              <w:ind w:left="0" w:right="0"/>
              <w:rPr>
                <w:rFonts w:hint="eastAsia" w:ascii="Times New Roman" w:hAnsi="Times New Roman" w:eastAsia="宋体" w:cs="Times New Roman"/>
                <w:sz w:val="21"/>
                <w:szCs w:val="21"/>
                <w:lang w:val="en-US" w:eastAsia="zh-CN"/>
              </w:rPr>
            </w:pPr>
            <w:r>
              <w:rPr>
                <w:rFonts w:hint="eastAsia" w:ascii="宋体" w:hAnsi="宋体" w:eastAsia="宋体" w:cs="宋体"/>
                <w:sz w:val="21"/>
                <w:szCs w:val="21"/>
              </w:rPr>
              <w:t>b)地面注汽管线在注汽使用时应设立高温、高压警示</w:t>
            </w:r>
            <w:r>
              <w:rPr>
                <w:rFonts w:hint="eastAsia" w:ascii="宋体" w:hAnsi="宋体" w:cs="宋体"/>
                <w:sz w:val="21"/>
                <w:szCs w:val="21"/>
                <w:lang w:val="en-US" w:eastAsia="zh-CN"/>
              </w:rPr>
              <w:t>标志。</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SY/T6354-2016</w:t>
            </w:r>
          </w:p>
          <w:p>
            <w:pPr>
              <w:keepNext w:val="0"/>
              <w:keepLines w:val="0"/>
              <w:suppressLineNumbers w:val="0"/>
              <w:bidi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w:t>
            </w:r>
            <w:r>
              <w:rPr>
                <w:rFonts w:hint="eastAsia" w:cs="Times New Roman"/>
                <w:sz w:val="21"/>
                <w:szCs w:val="21"/>
                <w:lang w:val="en-US" w:eastAsia="zh-CN"/>
              </w:rPr>
              <w:t>7</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eastAsia" w:cs="Times New Roman"/>
                <w:sz w:val="21"/>
                <w:szCs w:val="21"/>
                <w:lang w:val="en-US" w:eastAsia="zh-CN"/>
              </w:rPr>
              <w:t>已设立高温、高压警示标志</w:t>
            </w:r>
            <w:r>
              <w:rPr>
                <w:rFonts w:hint="default" w:ascii="Times New Roman" w:hAnsi="Times New Roman" w:eastAsia="宋体" w:cs="Times New Roman"/>
                <w:sz w:val="21"/>
                <w:szCs w:val="21"/>
                <w:lang w:eastAsia="zh-CN"/>
              </w:rPr>
              <w:t>。</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58" w:hRule="atLeas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注汽管道、阀门的维修应在注汽管网断汽、断水及卸压状态下进行，不应带压和高温作业。</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SY/T6354-2016</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w:t>
            </w:r>
            <w:r>
              <w:rPr>
                <w:rFonts w:hint="eastAsia" w:cs="Times New Roman"/>
                <w:sz w:val="21"/>
                <w:szCs w:val="21"/>
                <w:lang w:val="en-US" w:eastAsia="zh-CN"/>
              </w:rPr>
              <w:t>14</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eastAsia" w:cs="Times New Roman"/>
                <w:sz w:val="21"/>
                <w:szCs w:val="21"/>
                <w:lang w:val="en-US" w:eastAsia="zh-CN"/>
              </w:rPr>
              <w:t>维修时断汽、断水及卸压。</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应按设计文件要求装设安全阀，每台锅炉应至少装设两个安全阀</w:t>
            </w:r>
            <w:r>
              <w:rPr>
                <w:rFonts w:hint="eastAsia" w:cs="Times New Roman"/>
                <w:sz w:val="21"/>
                <w:szCs w:val="21"/>
                <w:lang w:eastAsia="zh-CN"/>
              </w:rPr>
              <w:t>。</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SY/T0441-2018</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6.1.1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eastAsia="zh-CN"/>
              </w:rPr>
            </w:pPr>
            <w:r>
              <w:rPr>
                <w:rFonts w:hint="eastAsia" w:cs="Times New Roman"/>
                <w:sz w:val="21"/>
                <w:szCs w:val="21"/>
                <w:lang w:val="en-US" w:eastAsia="zh-CN"/>
              </w:rPr>
              <w:t>设有两个安全阀</w:t>
            </w:r>
            <w:r>
              <w:rPr>
                <w:rFonts w:hint="default" w:ascii="Times New Roman" w:hAnsi="Times New Roman" w:eastAsia="宋体" w:cs="Times New Roman"/>
                <w:sz w:val="21"/>
                <w:szCs w:val="21"/>
                <w:lang w:eastAsia="zh-CN"/>
              </w:rPr>
              <w:t>。</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设备布置应紧凑。并保证设备安装、维修和运行监视方便。</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SY/T0027-2014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4.4.1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设备布置紧凑。</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注汽锅炉半露天布置时，应符合下列要求：</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 注汽锅炉应适合半露天布置，室外布置的测量控制仪表和管道阀门附件应有防雨、防风、防冻和防腐等措施。</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 注汽锅炉压力、温度等测量控制仪表应集中设置在操作室内。</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SY/T0027-2014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4.4.5</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锅炉露天布置，仪表集中在操作室。</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管道阀门的布置应方便检查和操作。</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SY/T0027-2014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4.4.6</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管道阀门布置合理。</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燃油、燃气注汽锅炉的烟道和烟囱应采用钢制或钢筋混凝土结构。</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SY/T0027-2014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7.1.4</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w:t>
            </w:r>
            <w:r>
              <w:rPr>
                <w:rFonts w:hint="eastAsia" w:ascii="Times New Roman" w:hAnsi="Times New Roman" w:eastAsia="宋体" w:cs="Times New Roman"/>
                <w:sz w:val="21"/>
                <w:szCs w:val="21"/>
                <w:lang w:val="en-US" w:eastAsia="zh-CN"/>
              </w:rPr>
              <w:t>汽</w:t>
            </w:r>
            <w:r>
              <w:rPr>
                <w:rFonts w:hint="default" w:ascii="Times New Roman" w:hAnsi="Times New Roman" w:eastAsia="宋体" w:cs="Times New Roman"/>
                <w:sz w:val="21"/>
                <w:szCs w:val="21"/>
                <w:lang w:val="en-US" w:eastAsia="zh-CN"/>
              </w:rPr>
              <w:t>锅炉烟道采用钢制</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注汽锅炉应设置启、停排放装置，排放水宜回收和利用。</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SY/T0027-2014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8.3.1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设有启停排放装置。</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启、停排放装置应安全可靠。排出的蒸汽和液体不得危及人员和设施。</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SY/T0027-2014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8.3.2</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启停排放装置安全可靠。</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注汽系统设备、管道及其附属钢结构外表面应涂防腐涂料。</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SY/T0027-2014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10.2.1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已涂抹防腐涂料。</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注汽锅炉应设置以下过程参数进行监测：</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1蒸汽压力就地显示、集中显示、低限报瞥和高限报警。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2蒸汽温度就地显示、 集中显示和高限报警。3对双流程管壁温度集中显示和高限报警。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4排烟温度集中显示和高限报警。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5燃烧器前燃油压力低限报警。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6燃烧器前燃油温度集中显示和低限报警。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7燃烧器前燃气压力就地显示、集中显示、低限报警和高限报警。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8雾化蒸汽或雾化空气压力低限报警。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9仪表风压力就地显示和低限报警。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10过热注汽锅炉过热器出口蒸汽压力和蒸汽温度就地显示、集中显示、高限报警。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11燃烧器鼓风机压力低限报警。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12燃烧器运行状态集中显示和熄火报警。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13燃烧器门位置异常报警。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14燃料流量集中显示、积算和记录。</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15给水流量集中显示、积算、记录和低限报警。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16燃煤注汽锅炉炉膛温度就地显示、集中显示。</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17燃煤注汽锅炉炉膛负压就地显示、集中显示。</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18注汽锅炉应采用计算机监控系统， 并预留通信接口与上位机和其他橇装设备控制系统进行数据通信。</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SY/T0027-2014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11.1.1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设有蒸汽压力就地显示、集中显示、低限报瞥和高限报警。</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辅助设施应设置以下检测和监测：</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注汽锅炉给水泵润滑油压力低限报警。</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注汽锅炉给水泵出口压力就地显示；注汽锅炉给水泵入口压力就地显示和低限报警。</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SY/T0027-2014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11.1.2</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注汽锅炉给水泵入口设有压力表。</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注汽锅炉、水处理装置、除氧器、水罐等工艺装置应设防闪电感应接地。接地点不应少于2处，接地点应沿装置均匀或对称布置。</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SY/T0027-2014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13.2.3</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设有</w:t>
            </w:r>
            <w:r>
              <w:rPr>
                <w:rFonts w:hint="default" w:ascii="Times New Roman" w:hAnsi="Times New Roman" w:eastAsia="宋体" w:cs="Times New Roman"/>
                <w:sz w:val="21"/>
                <w:szCs w:val="21"/>
                <w:lang w:val="en-US" w:eastAsia="zh-CN"/>
              </w:rPr>
              <w:t>2处接地点。</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eastAsia" w:cs="Times New Roman"/>
                <w:sz w:val="21"/>
                <w:szCs w:val="21"/>
                <w:lang w:val="en-US" w:eastAsia="zh-CN"/>
              </w:rPr>
              <w:t>所有阀门不堵不漏，打开、关闭应灵活。</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 6086-2019</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3.6.6</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eastAsia="zh-CN"/>
              </w:rPr>
            </w:pPr>
            <w:r>
              <w:rPr>
                <w:rFonts w:hint="eastAsia" w:cs="Times New Roman"/>
                <w:sz w:val="21"/>
                <w:szCs w:val="21"/>
                <w:lang w:val="en-US" w:eastAsia="zh-CN"/>
              </w:rPr>
              <w:t>阀门不堵不漏，打开、关闭灵活。</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9" w:hRule="atLeas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cs="Times New Roman"/>
                <w:sz w:val="21"/>
                <w:szCs w:val="21"/>
                <w:lang w:val="en-US" w:eastAsia="zh-CN"/>
              </w:rPr>
            </w:pPr>
            <w:r>
              <w:rPr>
                <w:rFonts w:hint="eastAsia" w:cs="Times New Roman"/>
                <w:sz w:val="21"/>
                <w:szCs w:val="21"/>
                <w:lang w:val="en-US" w:eastAsia="zh-CN"/>
              </w:rPr>
              <w:t>锅炉所有高温管线及阀体的保温层应完好。</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 6086-2019</w:t>
            </w:r>
          </w:p>
          <w:p>
            <w:pPr>
              <w:keepNext w:val="0"/>
              <w:keepLines w:val="0"/>
              <w:suppressLineNumbers w:val="0"/>
              <w:bidi w:val="0"/>
              <w:spacing w:before="0" w:beforeAutospacing="0" w:after="0" w:afterAutospacing="0"/>
              <w:ind w:left="0" w:right="0"/>
              <w:jc w:val="center"/>
              <w:rPr>
                <w:rFonts w:hint="default" w:cs="Times New Roman"/>
                <w:sz w:val="21"/>
                <w:szCs w:val="21"/>
                <w:lang w:val="en-US" w:eastAsia="zh-CN"/>
              </w:rPr>
            </w:pPr>
            <w:r>
              <w:rPr>
                <w:rFonts w:hint="eastAsia" w:cs="Times New Roman"/>
                <w:sz w:val="21"/>
                <w:szCs w:val="21"/>
                <w:lang w:val="en-US" w:eastAsia="zh-CN"/>
              </w:rPr>
              <w:t>3.6.7</w:t>
            </w:r>
          </w:p>
        </w:tc>
        <w:tc>
          <w:tcPr>
            <w:tcW w:w="1566" w:type="dxa"/>
            <w:vAlign w:val="center"/>
          </w:tcPr>
          <w:p>
            <w:pPr>
              <w:keepNext w:val="0"/>
              <w:keepLines w:val="0"/>
              <w:suppressLineNumbers w:val="0"/>
              <w:bidi w:val="0"/>
              <w:spacing w:before="0" w:beforeAutospacing="0" w:after="0" w:afterAutospacing="0"/>
              <w:ind w:left="0" w:right="0"/>
              <w:rPr>
                <w:rFonts w:hint="default" w:cs="Times New Roman"/>
                <w:sz w:val="21"/>
                <w:szCs w:val="21"/>
                <w:lang w:val="en-US" w:eastAsia="zh-CN"/>
              </w:rPr>
            </w:pPr>
            <w:r>
              <w:rPr>
                <w:rFonts w:hint="eastAsia" w:cs="Times New Roman"/>
                <w:sz w:val="21"/>
                <w:szCs w:val="21"/>
                <w:lang w:val="en-US" w:eastAsia="zh-CN"/>
              </w:rPr>
              <w:t>保温层完好。</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cs="Times New Roman"/>
                <w:sz w:val="21"/>
                <w:szCs w:val="21"/>
                <w:lang w:val="en-US" w:eastAsia="zh-CN"/>
              </w:rPr>
            </w:pPr>
            <w:r>
              <w:rPr>
                <w:rFonts w:hint="eastAsia" w:cs="Times New Roman"/>
                <w:sz w:val="21"/>
                <w:szCs w:val="21"/>
                <w:lang w:val="en-US" w:eastAsia="zh-CN"/>
              </w:rPr>
              <w:t>除氧系统应有良好的防腐措施、控制元件、仪表器工作正常。</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 6086-2019</w:t>
            </w:r>
          </w:p>
          <w:p>
            <w:pPr>
              <w:keepNext w:val="0"/>
              <w:keepLines w:val="0"/>
              <w:suppressLineNumbers w:val="0"/>
              <w:bidi w:val="0"/>
              <w:spacing w:before="0" w:beforeAutospacing="0" w:after="0" w:afterAutospacing="0"/>
              <w:ind w:left="0" w:right="0"/>
              <w:jc w:val="center"/>
              <w:rPr>
                <w:rFonts w:hint="default" w:cs="Times New Roman"/>
                <w:sz w:val="21"/>
                <w:szCs w:val="21"/>
                <w:lang w:val="en-US" w:eastAsia="zh-CN"/>
              </w:rPr>
            </w:pPr>
            <w:r>
              <w:rPr>
                <w:rFonts w:hint="eastAsia" w:cs="Times New Roman"/>
                <w:sz w:val="21"/>
                <w:szCs w:val="21"/>
                <w:lang w:val="en-US" w:eastAsia="zh-CN"/>
              </w:rPr>
              <w:t>5.4.5、5.4.6</w:t>
            </w:r>
          </w:p>
        </w:tc>
        <w:tc>
          <w:tcPr>
            <w:tcW w:w="1566" w:type="dxa"/>
            <w:vAlign w:val="center"/>
          </w:tcPr>
          <w:p>
            <w:pPr>
              <w:keepNext w:val="0"/>
              <w:keepLines w:val="0"/>
              <w:suppressLineNumbers w:val="0"/>
              <w:bidi w:val="0"/>
              <w:spacing w:before="0" w:beforeAutospacing="0" w:after="0" w:afterAutospacing="0"/>
              <w:ind w:left="0" w:right="0"/>
              <w:rPr>
                <w:rFonts w:hint="default" w:cs="Times New Roman"/>
                <w:sz w:val="21"/>
                <w:szCs w:val="21"/>
                <w:lang w:val="en-US" w:eastAsia="zh-CN"/>
              </w:rPr>
            </w:pPr>
            <w:r>
              <w:rPr>
                <w:rFonts w:hint="eastAsia" w:cs="Times New Roman"/>
                <w:sz w:val="21"/>
                <w:szCs w:val="21"/>
                <w:lang w:val="en-US" w:eastAsia="zh-CN"/>
              </w:rPr>
              <w:t>除氧系统工作完好。</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每台锅炉至少应当装设两个安全阀(包括锅筒和过热器安全阀)。符合下列规定之一的，可以只装设一个安全阀：</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额定蒸发量小于或者等于0.5t/h的蒸汽锅炉；</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额定蒸发量小于4t/h并且装设有可靠的超压联锁保护装置的蒸汽锅炉；</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额定热功率小于或者等于2.8MW的热水锅炉。</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TSG11-2020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5.1.2.1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设有</w:t>
            </w:r>
            <w:r>
              <w:rPr>
                <w:rFonts w:hint="default" w:ascii="Times New Roman" w:hAnsi="Times New Roman" w:eastAsia="宋体" w:cs="Times New Roman"/>
                <w:sz w:val="21"/>
                <w:szCs w:val="21"/>
                <w:lang w:val="en-US" w:eastAsia="zh-CN"/>
              </w:rPr>
              <w:t>2个安全阀。</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锅炉的以下部位应当装设压力表：</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蒸汽锅炉锅筒(壳)的蒸汽空间；</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给水调节阀前；</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省煤器出口；</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过热器出口和主汽阀之间；</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再热器出口、进口；</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直流蒸汽锅炉的启动(汽水)分离器或其出口管道上；</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直流蒸汽锅炉省煤器进口、储水箱和循环泵出口；</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直流蒸汽锅炉蒸发受热面出口截止阀前(如果装有截止阀)；</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热水锅炉的锅筒(壳)上；</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热水锅炉的进水阀出口和出水阀进口；</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热水锅炉循环水泵的出口、进口；</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燃油锅炉、燃煤锅炉的点火油系统的油泵进口(回油)及出口；</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燃气锅炉、燃煤锅炉的点火气系统的气源进口及燃气阀组稳压阀(调压阀)后。</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TSG11-2020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5.2.1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按照需要设有</w:t>
            </w:r>
            <w:r>
              <w:rPr>
                <w:rFonts w:hint="default" w:ascii="Times New Roman" w:hAnsi="Times New Roman" w:eastAsia="宋体" w:cs="Times New Roman"/>
                <w:sz w:val="21"/>
                <w:szCs w:val="21"/>
                <w:lang w:val="en-US" w:eastAsia="zh-CN"/>
              </w:rPr>
              <w:t>压力表。</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每台蒸汽锅炉锅筒(壳)应当装设至少2个彼此独立的直读式水位表，符合下列条件之一的锅炉可以只装设 1个直读式水位表：</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额定蒸发量小于或者等于0.5t/h的锅炉；</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额定蒸发量小于或者等于2t/h，并且装有一套可靠的水位示控装置的锅炉；</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装设两套各自独立的远程水位测量装置的锅炉；电加热锅炉；有可靠壁温联锁保护装置的贯流式工业锅炉。</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TSG11-2020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5.3.1.1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装设有直读式水位表。</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0"/>
              </w:numPr>
              <w:suppressLineNumbers w:val="0"/>
              <w:bidi w:val="0"/>
              <w:spacing w:before="0" w:beforeAutospacing="0" w:after="0" w:afterAutospacing="0"/>
              <w:ind w:left="0" w:leftChars="0" w:right="0" w:rightChars="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三</w:t>
            </w:r>
          </w:p>
        </w:tc>
        <w:tc>
          <w:tcPr>
            <w:tcW w:w="7769" w:type="dxa"/>
            <w:gridSpan w:val="4"/>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安全警示标志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油气井作业施工区域内严禁烟火，工区内所有人员禁止吸烟。在井场进行动火施工作业按相关动火作业安全规定执行。</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5225-201</w:t>
            </w:r>
            <w:r>
              <w:rPr>
                <w:rFonts w:hint="default" w:ascii="Times New Roman" w:hAnsi="Times New Roman" w:eastAsia="宋体" w:cs="Times New Roman"/>
                <w:sz w:val="21"/>
                <w:szCs w:val="21"/>
                <w:lang w:val="en-US" w:eastAsia="zh-CN"/>
              </w:rPr>
              <w:t>9</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2</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设有</w:t>
            </w:r>
            <w:r>
              <w:rPr>
                <w:rFonts w:hint="default" w:ascii="Times New Roman" w:hAnsi="Times New Roman" w:eastAsia="宋体" w:cs="Times New Roman"/>
                <w:sz w:val="21"/>
                <w:szCs w:val="21"/>
                <w:lang w:val="en-US" w:eastAsia="zh-CN"/>
              </w:rPr>
              <w:t>严禁烟火安全警示标志。</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井场应设置危险区域图、逃生路线图、紧急集合点及两个以上的逃生出口，并有明显标识。</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5225-201</w:t>
            </w:r>
            <w:r>
              <w:rPr>
                <w:rFonts w:hint="default" w:ascii="Times New Roman" w:hAnsi="Times New Roman" w:eastAsia="宋体" w:cs="Times New Roman"/>
                <w:sz w:val="21"/>
                <w:szCs w:val="21"/>
                <w:lang w:val="en-US" w:eastAsia="zh-CN"/>
              </w:rPr>
              <w:t>9</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6</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井场内设有逃生路线图、紧急集合点。</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3" w:hRule="atLeas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油、气井场内应设置明显的防火防爆标志及风向标。</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5225-201</w:t>
            </w:r>
            <w:r>
              <w:rPr>
                <w:rFonts w:hint="default" w:ascii="Times New Roman" w:hAnsi="Times New Roman" w:eastAsia="宋体" w:cs="Times New Roman"/>
                <w:sz w:val="21"/>
                <w:szCs w:val="21"/>
                <w:lang w:val="en-US" w:eastAsia="zh-CN"/>
              </w:rPr>
              <w:t>9</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10</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井场内设有风向标。</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3" w:hRule="atLeas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adjustRightInd w:val="0"/>
              <w:snapToGrid w:val="0"/>
              <w:spacing w:before="0" w:beforeAutospacing="0" w:after="0" w:afterAutospacing="0"/>
              <w:ind w:left="0" w:right="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现场应根据施工情况设置以下（包括但不限于）醒目的安全警示标志，并放在相应的位置，安全标志应符合 GB 2894-2008 中第4章的规定：</w:t>
            </w:r>
          </w:p>
          <w:p>
            <w:pPr>
              <w:keepNext w:val="0"/>
              <w:keepLines w:val="0"/>
              <w:suppressLineNumbers w:val="0"/>
              <w:adjustRightInd w:val="0"/>
              <w:snapToGrid w:val="0"/>
              <w:spacing w:before="0" w:beforeAutospacing="0" w:after="0" w:afterAutospacing="0"/>
              <w:ind w:left="0" w:right="0" w:firstLine="437"/>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a) “必须带安全帽”。</w:t>
            </w:r>
          </w:p>
          <w:p>
            <w:pPr>
              <w:keepNext w:val="0"/>
              <w:keepLines w:val="0"/>
              <w:suppressLineNumbers w:val="0"/>
              <w:adjustRightInd w:val="0"/>
              <w:snapToGrid w:val="0"/>
              <w:spacing w:before="0" w:beforeAutospacing="0" w:after="0" w:afterAutospacing="0"/>
              <w:ind w:left="0" w:right="0" w:firstLine="437"/>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b) “禁止烟火”。</w:t>
            </w:r>
          </w:p>
          <w:p>
            <w:pPr>
              <w:keepNext w:val="0"/>
              <w:keepLines w:val="0"/>
              <w:suppressLineNumbers w:val="0"/>
              <w:adjustRightInd w:val="0"/>
              <w:snapToGrid w:val="0"/>
              <w:spacing w:before="0" w:beforeAutospacing="0" w:after="0" w:afterAutospacing="0"/>
              <w:ind w:left="0" w:right="0" w:firstLine="437"/>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 “必须系安全带”。</w:t>
            </w:r>
          </w:p>
          <w:p>
            <w:pPr>
              <w:keepNext w:val="0"/>
              <w:keepLines w:val="0"/>
              <w:suppressLineNumbers w:val="0"/>
              <w:adjustRightInd w:val="0"/>
              <w:snapToGrid w:val="0"/>
              <w:spacing w:before="0" w:beforeAutospacing="0" w:after="0" w:afterAutospacing="0"/>
              <w:ind w:left="0" w:right="0" w:firstLine="437"/>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 “当心触电”。</w:t>
            </w:r>
          </w:p>
          <w:p>
            <w:pPr>
              <w:keepNext w:val="0"/>
              <w:keepLines w:val="0"/>
              <w:suppressLineNumbers w:val="0"/>
              <w:adjustRightInd w:val="0"/>
              <w:snapToGrid w:val="0"/>
              <w:spacing w:before="0" w:beforeAutospacing="0" w:after="0" w:afterAutospacing="0"/>
              <w:ind w:left="0" w:right="0" w:firstLine="437"/>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e）“当心机械伤人”。</w:t>
            </w:r>
          </w:p>
          <w:p>
            <w:pPr>
              <w:keepNext w:val="0"/>
              <w:keepLines w:val="0"/>
              <w:suppressLineNumbers w:val="0"/>
              <w:adjustRightInd w:val="0"/>
              <w:snapToGrid w:val="0"/>
              <w:spacing w:before="0" w:beforeAutospacing="0" w:after="0" w:afterAutospacing="0"/>
              <w:ind w:left="0" w:right="0" w:firstLine="437"/>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f) “当心坠落”。</w:t>
            </w:r>
          </w:p>
          <w:p>
            <w:pPr>
              <w:keepNext w:val="0"/>
              <w:keepLines w:val="0"/>
              <w:suppressLineNumbers w:val="0"/>
              <w:adjustRightInd w:val="0"/>
              <w:snapToGrid w:val="0"/>
              <w:spacing w:before="0" w:beforeAutospacing="0" w:after="0" w:afterAutospacing="0"/>
              <w:ind w:left="0" w:right="0" w:firstLine="437"/>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g) “当心落物”。</w:t>
            </w:r>
          </w:p>
          <w:p>
            <w:pPr>
              <w:keepNext w:val="0"/>
              <w:keepLines w:val="0"/>
              <w:suppressLineNumbers w:val="0"/>
              <w:adjustRightInd w:val="0"/>
              <w:snapToGrid w:val="0"/>
              <w:spacing w:before="0" w:beforeAutospacing="0" w:after="0" w:afterAutospacing="0"/>
              <w:ind w:left="0" w:right="0" w:firstLine="437"/>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 “当心井喷”。</w:t>
            </w:r>
          </w:p>
          <w:p>
            <w:pPr>
              <w:keepNext w:val="0"/>
              <w:keepLines w:val="0"/>
              <w:suppressLineNumbers w:val="0"/>
              <w:adjustRightInd w:val="0"/>
              <w:snapToGrid w:val="0"/>
              <w:spacing w:before="0" w:beforeAutospacing="0" w:after="0" w:afterAutospacing="0"/>
              <w:ind w:left="0" w:right="0" w:firstLine="437"/>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i) “当心中毒”。</w:t>
            </w:r>
          </w:p>
          <w:p>
            <w:pPr>
              <w:keepNext w:val="0"/>
              <w:keepLines w:val="0"/>
              <w:suppressLineNumbers w:val="0"/>
              <w:adjustRightInd w:val="0"/>
              <w:snapToGrid w:val="0"/>
              <w:spacing w:before="0" w:beforeAutospacing="0" w:after="0" w:afterAutospacing="0"/>
              <w:ind w:left="0" w:right="0" w:firstLine="437"/>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j) “高压工作区”（需要高压施工时）。</w:t>
            </w:r>
          </w:p>
          <w:p>
            <w:pPr>
              <w:keepNext w:val="0"/>
              <w:keepLines w:val="0"/>
              <w:suppressLineNumbers w:val="0"/>
              <w:adjustRightInd w:val="0"/>
              <w:snapToGrid w:val="0"/>
              <w:spacing w:before="0" w:beforeAutospacing="0" w:after="0" w:afterAutospacing="0"/>
              <w:ind w:left="0" w:right="0" w:firstLine="437" w:firstLineChars="0"/>
              <w:rPr>
                <w:rFonts w:hint="default" w:ascii="Times New Roman" w:hAnsi="Times New Roman" w:eastAsia="宋体" w:cs="Times New Roman"/>
                <w:sz w:val="21"/>
                <w:szCs w:val="21"/>
                <w:lang w:val="en-US" w:eastAsia="zh-CN"/>
              </w:rPr>
            </w:pPr>
            <w:r>
              <w:rPr>
                <w:rFonts w:hint="eastAsia"/>
                <w:color w:val="000000" w:themeColor="text1"/>
                <w:szCs w:val="21"/>
                <w14:textFill>
                  <w14:solidFill>
                    <w14:schemeClr w14:val="tx1"/>
                  </w14:solidFill>
                </w14:textFill>
              </w:rPr>
              <w:t>k）对使用380V以上电压的抽油机，还应在配电箱处挂“高压危险”警示牌。</w:t>
            </w:r>
          </w:p>
        </w:tc>
        <w:tc>
          <w:tcPr>
            <w:tcW w:w="1705" w:type="dxa"/>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2</w:t>
            </w:r>
            <w:r>
              <w:rPr>
                <w:rFonts w:hint="default"/>
                <w:color w:val="000000" w:themeColor="text1"/>
                <w:szCs w:val="21"/>
                <w14:textFill>
                  <w14:solidFill>
                    <w14:schemeClr w14:val="tx1"/>
                  </w14:solidFill>
                </w14:textFill>
              </w:rPr>
              <w:t>.1</w:t>
            </w:r>
          </w:p>
        </w:tc>
        <w:tc>
          <w:tcPr>
            <w:tcW w:w="1566" w:type="dxa"/>
            <w:vAlign w:val="center"/>
          </w:tcPr>
          <w:p>
            <w:pPr>
              <w:pStyle w:val="81"/>
              <w:keepNext w:val="0"/>
              <w:keepLines w:val="0"/>
              <w:suppressLineNumbers w:val="0"/>
              <w:spacing w:beforeLines="50" w:beforeAutospacing="0" w:afterLines="50" w:afterAutospacing="0"/>
              <w:ind w:left="0" w:right="0"/>
              <w:jc w:val="left"/>
              <w:rPr>
                <w:rFonts w:hint="default" w:ascii="Times New Roman" w:hAnsi="Times New Roman" w:eastAsia="宋体" w:cs="Times New Roman"/>
                <w:sz w:val="21"/>
                <w:szCs w:val="21"/>
                <w:lang w:val="en-US" w:eastAsia="zh-CN"/>
              </w:rPr>
            </w:pPr>
            <w:r>
              <w:rPr>
                <w:rFonts w:hint="eastAsia"/>
                <w:color w:val="000000" w:themeColor="text1"/>
                <w14:textFill>
                  <w14:solidFill>
                    <w14:schemeClr w14:val="tx1"/>
                  </w14:solidFill>
                </w14:textFill>
              </w:rPr>
              <w:t>井场内缺少“当心中毒”安全警示标志。</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2" w:hRule="atLeast"/>
          <w:jc w:val="center"/>
        </w:trPr>
        <w:tc>
          <w:tcPr>
            <w:tcW w:w="505" w:type="dxa"/>
            <w:vAlign w:val="center"/>
          </w:tcPr>
          <w:p>
            <w:pPr>
              <w:keepNext w:val="0"/>
              <w:keepLines w:val="0"/>
              <w:numPr>
                <w:ilvl w:val="0"/>
                <w:numId w:val="0"/>
              </w:numPr>
              <w:suppressLineNumbers w:val="0"/>
              <w:bidi w:val="0"/>
              <w:spacing w:before="0" w:beforeAutospacing="0" w:after="0" w:afterAutospacing="0"/>
              <w:ind w:left="0" w:leftChars="0" w:right="0" w:rightChars="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四</w:t>
            </w:r>
          </w:p>
        </w:tc>
        <w:tc>
          <w:tcPr>
            <w:tcW w:w="7769" w:type="dxa"/>
            <w:gridSpan w:val="4"/>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安全防护及消防设施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eastAsia" w:cs="Times New Roman"/>
                <w:sz w:val="21"/>
                <w:szCs w:val="21"/>
                <w:lang w:val="en-US" w:eastAsia="zh-CN"/>
              </w:rPr>
              <w:t>预测含有硫化氢的场所或探井井场应至少按以下要求配备空气呼吸器：陆上按在岗人员数100%配备</w:t>
            </w:r>
            <w:r>
              <w:rPr>
                <w:rFonts w:hint="default" w:ascii="Times New Roman" w:hAnsi="Times New Roman" w:eastAsia="宋体" w:cs="Times New Roman"/>
                <w:sz w:val="21"/>
                <w:szCs w:val="21"/>
              </w:rPr>
              <w:t>。</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eastAsia" w:cs="Times New Roman"/>
                <w:sz w:val="21"/>
                <w:szCs w:val="21"/>
                <w:lang w:val="en-US" w:eastAsia="zh-CN"/>
              </w:rPr>
              <w:t>6277</w:t>
            </w:r>
            <w:r>
              <w:rPr>
                <w:rFonts w:hint="default" w:ascii="Times New Roman" w:hAnsi="Times New Roman" w:eastAsia="宋体" w:cs="Times New Roman"/>
                <w:sz w:val="21"/>
                <w:szCs w:val="21"/>
              </w:rPr>
              <w:t>-20</w:t>
            </w:r>
            <w:r>
              <w:rPr>
                <w:rFonts w:hint="eastAsia" w:cs="Times New Roman"/>
                <w:sz w:val="21"/>
                <w:szCs w:val="21"/>
                <w:lang w:val="en-US" w:eastAsia="zh-CN"/>
              </w:rPr>
              <w:t>17</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5.1.2.2</w:t>
            </w:r>
          </w:p>
        </w:tc>
        <w:tc>
          <w:tcPr>
            <w:tcW w:w="1566" w:type="dxa"/>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sz w:val="21"/>
                <w:szCs w:val="21"/>
                <w:lang w:val="en-US" w:eastAsia="zh-CN"/>
              </w:rPr>
            </w:pPr>
            <w:r>
              <w:rPr>
                <w:rFonts w:hint="eastAsia" w:cs="Times New Roman"/>
                <w:sz w:val="21"/>
                <w:szCs w:val="21"/>
                <w:lang w:val="en-US" w:eastAsia="zh-CN"/>
              </w:rPr>
              <w:t>在岗人员100%配备</w:t>
            </w:r>
            <w:r>
              <w:rPr>
                <w:rFonts w:hint="default" w:ascii="Times New Roman" w:hAnsi="Times New Roman" w:eastAsia="宋体" w:cs="Times New Roman"/>
                <w:sz w:val="21"/>
                <w:szCs w:val="21"/>
                <w:lang w:val="en-US" w:eastAsia="zh-CN"/>
              </w:rPr>
              <w:t>自给开路式压缩空气呼吸器。</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r>
              <w:rPr>
                <w:rFonts w:hint="eastAsia" w:cs="Times New Roman"/>
                <w:sz w:val="21"/>
                <w:szCs w:val="21"/>
                <w:lang w:val="en-US" w:eastAsia="zh-CN"/>
              </w:rPr>
              <w:t xml:space="preserve">   </w:t>
            </w: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注汽时应采集相关采油井的产液量、含砂、温度、压力等数据，及时发现压力、温度急剧变化现象，并采取措施，防止井筒及地层窜流造成井喷。</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SY/T6354-2016</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4.4.3</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地质设计记录了油井各项资料。</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注汽锅炉、水处理装置、除氧器、水罐等工艺装置应设防闪电感应接地。接地点不应少于2处，接地点应沿装置均匀或对称布置。</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SY/T0027-2014</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13.2.3</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设有两处接地点。</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2" w:hRule="atLeast"/>
          <w:jc w:val="center"/>
        </w:trPr>
        <w:tc>
          <w:tcPr>
            <w:tcW w:w="505" w:type="dxa"/>
            <w:vAlign w:val="center"/>
          </w:tcPr>
          <w:p>
            <w:pPr>
              <w:keepNext w:val="0"/>
              <w:keepLines w:val="0"/>
              <w:numPr>
                <w:ilvl w:val="0"/>
                <w:numId w:val="0"/>
              </w:numPr>
              <w:suppressLineNumbers w:val="0"/>
              <w:bidi w:val="0"/>
              <w:spacing w:before="0" w:beforeAutospacing="0" w:after="0" w:afterAutospacing="0"/>
              <w:ind w:left="0" w:leftChars="0" w:right="0" w:rightChars="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五</w:t>
            </w:r>
          </w:p>
        </w:tc>
        <w:tc>
          <w:tcPr>
            <w:tcW w:w="7769" w:type="dxa"/>
            <w:gridSpan w:val="4"/>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供配电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2" w:hRule="atLeas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值班房配线应采用绝缘导线，进户线过墙应穿绝缘管保护，并设防雨弯。</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5727-20</w:t>
            </w:r>
            <w:r>
              <w:rPr>
                <w:rFonts w:hint="default" w:ascii="Times New Roman" w:hAnsi="Times New Roman" w:eastAsia="宋体" w:cs="Times New Roman"/>
                <w:sz w:val="21"/>
                <w:szCs w:val="21"/>
                <w:lang w:val="en-US" w:eastAsia="zh-CN"/>
              </w:rPr>
              <w:t>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19.2.1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班房配线采用绝缘导线</w:t>
            </w:r>
            <w:r>
              <w:rPr>
                <w:rFonts w:hint="default" w:ascii="Times New Roman" w:hAnsi="Times New Roman" w:eastAsia="宋体" w:cs="Times New Roman"/>
                <w:sz w:val="21"/>
                <w:szCs w:val="21"/>
                <w:lang w:eastAsia="zh-CN"/>
              </w:rPr>
              <w:t>。</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配电箱应防雨通风、保持干燥。</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5727-20</w:t>
            </w:r>
            <w:r>
              <w:rPr>
                <w:rFonts w:hint="default" w:ascii="Times New Roman" w:hAnsi="Times New Roman" w:eastAsia="宋体" w:cs="Times New Roman"/>
                <w:sz w:val="21"/>
                <w:szCs w:val="21"/>
                <w:lang w:val="en-US" w:eastAsia="zh-CN"/>
              </w:rPr>
              <w:t>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3.19.4.1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有防雨措施。</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配电箱应安装端正、牢固。配电箱前地面有绝缘保护，并有足够的工作空间和通道。</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5727-20</w:t>
            </w:r>
            <w:r>
              <w:rPr>
                <w:rFonts w:hint="default" w:ascii="Times New Roman" w:hAnsi="Times New Roman" w:eastAsia="宋体" w:cs="Times New Roman"/>
                <w:sz w:val="21"/>
                <w:szCs w:val="21"/>
                <w:lang w:val="en-US" w:eastAsia="zh-CN"/>
              </w:rPr>
              <w:t>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3.19.4.</w:t>
            </w:r>
            <w:r>
              <w:rPr>
                <w:rFonts w:hint="default" w:ascii="Times New Roman" w:hAnsi="Times New Roman" w:eastAsia="宋体" w:cs="Times New Roman"/>
                <w:sz w:val="21"/>
                <w:szCs w:val="21"/>
                <w:lang w:val="en-US" w:eastAsia="zh-CN"/>
              </w:rPr>
              <w:t>2</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配电箱前地面有绝缘保护</w:t>
            </w:r>
            <w:r>
              <w:rPr>
                <w:rFonts w:hint="default" w:ascii="Times New Roman" w:hAnsi="Times New Roman" w:eastAsia="宋体" w:cs="Times New Roman"/>
                <w:sz w:val="21"/>
                <w:szCs w:val="21"/>
                <w:lang w:eastAsia="zh-CN"/>
              </w:rPr>
              <w:t>。</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配电箱内的开关、电器应安装牢固。连接线应采用绝缘导线，接头不应裸露和松动。</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5727-20</w:t>
            </w:r>
            <w:r>
              <w:rPr>
                <w:rFonts w:hint="default" w:ascii="Times New Roman" w:hAnsi="Times New Roman" w:eastAsia="宋体" w:cs="Times New Roman"/>
                <w:sz w:val="21"/>
                <w:szCs w:val="21"/>
                <w:lang w:val="en-US" w:eastAsia="zh-CN"/>
              </w:rPr>
              <w:t>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3.19.4.</w:t>
            </w:r>
            <w:r>
              <w:rPr>
                <w:rFonts w:hint="default" w:ascii="Times New Roman" w:hAnsi="Times New Roman" w:eastAsia="宋体" w:cs="Times New Roman"/>
                <w:sz w:val="21"/>
                <w:szCs w:val="21"/>
                <w:lang w:val="en-US" w:eastAsia="zh-CN"/>
              </w:rPr>
              <w:t>4</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已</w:t>
            </w:r>
            <w:r>
              <w:rPr>
                <w:rFonts w:hint="default" w:ascii="Times New Roman" w:hAnsi="Times New Roman" w:eastAsia="宋体" w:cs="Times New Roman"/>
                <w:sz w:val="21"/>
                <w:szCs w:val="21"/>
              </w:rPr>
              <w:t>作电气</w:t>
            </w:r>
            <w:r>
              <w:rPr>
                <w:rFonts w:hint="default" w:ascii="Times New Roman" w:hAnsi="Times New Roman" w:eastAsia="宋体" w:cs="Times New Roman"/>
                <w:sz w:val="21"/>
                <w:szCs w:val="21"/>
                <w:lang w:eastAsia="zh-CN"/>
              </w:rPr>
              <w:t>连接。</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505" w:type="dxa"/>
            <w:vMerge w:val="restart"/>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配电箱门应由专人管理。</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5727-20</w:t>
            </w:r>
            <w:r>
              <w:rPr>
                <w:rFonts w:hint="default" w:ascii="Times New Roman" w:hAnsi="Times New Roman" w:eastAsia="宋体" w:cs="Times New Roman"/>
                <w:sz w:val="21"/>
                <w:szCs w:val="21"/>
                <w:lang w:val="en-US" w:eastAsia="zh-CN"/>
              </w:rPr>
              <w:t>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3.19.</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w:t>
            </w:r>
          </w:p>
        </w:tc>
        <w:tc>
          <w:tcPr>
            <w:tcW w:w="1566" w:type="dxa"/>
            <w:vMerge w:val="restart"/>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配电箱</w:t>
            </w:r>
            <w:r>
              <w:rPr>
                <w:rFonts w:hint="default" w:ascii="Times New Roman" w:hAnsi="Times New Roman" w:eastAsia="宋体" w:cs="Times New Roman"/>
                <w:sz w:val="21"/>
                <w:szCs w:val="21"/>
                <w:lang w:eastAsia="zh-CN"/>
              </w:rPr>
              <w:t>未</w:t>
            </w:r>
            <w:r>
              <w:rPr>
                <w:rFonts w:hint="default" w:ascii="Times New Roman" w:hAnsi="Times New Roman" w:eastAsia="宋体" w:cs="Times New Roman"/>
                <w:sz w:val="21"/>
                <w:szCs w:val="21"/>
                <w:lang w:val="en-US" w:eastAsia="zh-CN"/>
              </w:rPr>
              <w:t>由</w:t>
            </w:r>
            <w:r>
              <w:rPr>
                <w:rFonts w:hint="default" w:ascii="Times New Roman" w:hAnsi="Times New Roman" w:eastAsia="宋体" w:cs="Times New Roman"/>
                <w:sz w:val="21"/>
                <w:szCs w:val="21"/>
              </w:rPr>
              <w:t>持证</w:t>
            </w:r>
            <w:r>
              <w:rPr>
                <w:rFonts w:hint="eastAsia" w:cs="Times New Roman"/>
                <w:sz w:val="21"/>
                <w:szCs w:val="21"/>
                <w:lang w:val="en-US" w:eastAsia="zh-CN"/>
              </w:rPr>
              <w:t>人员</w:t>
            </w:r>
            <w:r>
              <w:rPr>
                <w:rFonts w:hint="default" w:ascii="Times New Roman" w:hAnsi="Times New Roman" w:eastAsia="宋体" w:cs="Times New Roman"/>
                <w:sz w:val="21"/>
                <w:szCs w:val="21"/>
              </w:rPr>
              <w:t>定期检查和</w:t>
            </w:r>
            <w:r>
              <w:rPr>
                <w:rFonts w:hint="eastAsia" w:cs="Times New Roman"/>
                <w:sz w:val="21"/>
                <w:szCs w:val="21"/>
                <w:lang w:val="en-US" w:eastAsia="zh-CN"/>
              </w:rPr>
              <w:t>维护</w:t>
            </w:r>
            <w:r>
              <w:rPr>
                <w:rFonts w:hint="default" w:ascii="Times New Roman" w:hAnsi="Times New Roman" w:eastAsia="宋体" w:cs="Times New Roman"/>
                <w:sz w:val="21"/>
                <w:szCs w:val="21"/>
                <w:lang w:eastAsia="zh-CN"/>
              </w:rPr>
              <w:t>。</w:t>
            </w:r>
          </w:p>
        </w:tc>
        <w:tc>
          <w:tcPr>
            <w:tcW w:w="653" w:type="dxa"/>
            <w:vMerge w:val="restart"/>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0" w:hRule="atLeast"/>
          <w:jc w:val="center"/>
        </w:trPr>
        <w:tc>
          <w:tcPr>
            <w:tcW w:w="505" w:type="dxa"/>
            <w:vMerge w:val="continue"/>
            <w:vAlign w:val="center"/>
          </w:tcPr>
          <w:p>
            <w:pPr>
              <w:keepNext w:val="0"/>
              <w:keepLines w:val="0"/>
              <w:suppressLineNumbers w:val="0"/>
              <w:bidi w:val="0"/>
              <w:spacing w:before="0" w:beforeAutospacing="0" w:after="0" w:afterAutospacing="0"/>
              <w:ind w:left="0" w:right="0"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配电箱应由持证电工定期进行检查和维修。</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5727-20</w:t>
            </w:r>
            <w:r>
              <w:rPr>
                <w:rFonts w:hint="default" w:ascii="Times New Roman" w:hAnsi="Times New Roman" w:eastAsia="宋体" w:cs="Times New Roman"/>
                <w:sz w:val="21"/>
                <w:szCs w:val="21"/>
                <w:lang w:val="en-US" w:eastAsia="zh-CN"/>
              </w:rPr>
              <w:t>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3.19.</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3</w:t>
            </w:r>
          </w:p>
        </w:tc>
        <w:tc>
          <w:tcPr>
            <w:tcW w:w="1566" w:type="dxa"/>
            <w:vMerge w:val="continue"/>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eastAsia="zh-CN"/>
              </w:rPr>
            </w:pPr>
          </w:p>
        </w:tc>
        <w:tc>
          <w:tcPr>
            <w:tcW w:w="653" w:type="dxa"/>
            <w:vMerge w:val="continue"/>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配电箱的进出线不应承受外力，不应与金属断口和腐蚀介质接触。</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5727-20</w:t>
            </w:r>
            <w:r>
              <w:rPr>
                <w:rFonts w:hint="default" w:ascii="Times New Roman" w:hAnsi="Times New Roman" w:eastAsia="宋体" w:cs="Times New Roman"/>
                <w:sz w:val="21"/>
                <w:szCs w:val="21"/>
                <w:lang w:val="en-US" w:eastAsia="zh-CN"/>
              </w:rPr>
              <w:t>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3.19.</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6</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进出线不承受外力</w:t>
            </w:r>
            <w:r>
              <w:rPr>
                <w:rFonts w:hint="default" w:ascii="Times New Roman" w:hAnsi="Times New Roman" w:eastAsia="宋体" w:cs="Times New Roman"/>
                <w:sz w:val="21"/>
                <w:szCs w:val="21"/>
                <w:lang w:eastAsia="zh-CN"/>
              </w:rPr>
              <w:t>。</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所有保护零线(PE线)都应可靠接地，不应将值班房金属构架做接地连接体。</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5727-20</w:t>
            </w:r>
            <w:r>
              <w:rPr>
                <w:rFonts w:hint="default" w:ascii="Times New Roman" w:hAnsi="Times New Roman" w:eastAsia="宋体" w:cs="Times New Roman"/>
                <w:sz w:val="21"/>
                <w:szCs w:val="21"/>
                <w:lang w:val="en-US" w:eastAsia="zh-CN"/>
              </w:rPr>
              <w:t>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3.19.</w:t>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单独</w:t>
            </w:r>
            <w:r>
              <w:rPr>
                <w:rFonts w:hint="default" w:ascii="Times New Roman" w:hAnsi="Times New Roman" w:eastAsia="宋体" w:cs="Times New Roman"/>
                <w:sz w:val="21"/>
                <w:szCs w:val="21"/>
              </w:rPr>
              <w:t>接地</w:t>
            </w:r>
            <w:r>
              <w:rPr>
                <w:rFonts w:hint="default" w:ascii="Times New Roman" w:hAnsi="Times New Roman" w:eastAsia="宋体" w:cs="Times New Roman"/>
                <w:sz w:val="21"/>
                <w:szCs w:val="21"/>
                <w:lang w:eastAsia="zh-CN"/>
              </w:rPr>
              <w:t>。</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74" w:hRule="atLeast"/>
          <w:jc w:val="center"/>
        </w:trPr>
        <w:tc>
          <w:tcPr>
            <w:tcW w:w="505" w:type="dxa"/>
            <w:vAlign w:val="center"/>
          </w:tcPr>
          <w:p>
            <w:pPr>
              <w:keepNext w:val="0"/>
              <w:keepLines w:val="0"/>
              <w:numPr>
                <w:ilvl w:val="0"/>
                <w:numId w:val="0"/>
              </w:numPr>
              <w:suppressLineNumbers w:val="0"/>
              <w:bidi w:val="0"/>
              <w:spacing w:before="0" w:beforeAutospacing="0" w:after="0" w:afterAutospacing="0"/>
              <w:ind w:left="0" w:leftChars="0" w:right="0" w:rightChars="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六</w:t>
            </w:r>
          </w:p>
        </w:tc>
        <w:tc>
          <w:tcPr>
            <w:tcW w:w="7769" w:type="dxa"/>
            <w:gridSpan w:val="4"/>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检验检测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《中华人民共和国特种设备安全法》第十三条</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锅炉已办理</w:t>
            </w:r>
            <w:r>
              <w:rPr>
                <w:rFonts w:hint="default" w:ascii="Times New Roman" w:hAnsi="Times New Roman" w:eastAsia="宋体" w:cs="Times New Roman"/>
                <w:sz w:val="21"/>
                <w:szCs w:val="21"/>
              </w:rPr>
              <w:t>使用登记</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取得使用登记证书。</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特种设备使用单位应当按照安全技术规范的要求，在检验合格有效期届满前一个月向特种设备检验机构提出定期检验要求。</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特种设备检验机构接到定期检验要求后，应当按照安全技术规范的要求及时进行安全性能检验。特种设备使用单位应当将定期检验标志置于该特种设备的显著位置。</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未经定期检验或者检验不合格的特种设备，不得继续使用。</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《中华人民共和国特种设备安全法》第四十条</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定期检测。</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正压式空气呼吸器应每年检验一次；气瓶应每三年检验一次，其安全使用年限不得超过15年。</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T 6277-2017</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5.1.6.1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均在检验有效期内。</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便携式硫化氢检测仪每年至少检验一次。</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T 6277-2017</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5.2.6</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均在检验有效期内。</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绝缘手套、绝缘靴（鞋）每半年进行一次工频耐压试验。</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DL/T 1476-2015</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6.3.1.2、6.3.1.3</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均在检验有效期内。</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在用锅炉的安全阀每年至少校验1次，校验一般在锅炉运行状态下进行</w:t>
            </w:r>
            <w:r>
              <w:rPr>
                <w:rFonts w:hint="default" w:ascii="Times New Roman" w:hAnsi="Times New Roman" w:eastAsia="宋体" w:cs="Times New Roman"/>
                <w:sz w:val="21"/>
                <w:szCs w:val="21"/>
                <w:lang w:eastAsia="zh-CN"/>
              </w:rPr>
              <w:t>。</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TSG11-2020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5.1.14</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均在检验有效期内。</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压力表应当定期进行校验，刻度盘上应当划出指示工作压力的红线，并且注明下次校验日期。压力表校验后应当加铅封。</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TSG11-2020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5.2.3</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压力表定期校验</w:t>
            </w:r>
            <w:r>
              <w:rPr>
                <w:rFonts w:hint="default" w:ascii="Times New Roman" w:hAnsi="Times New Roman" w:eastAsia="宋体" w:cs="Times New Roman"/>
                <w:sz w:val="21"/>
                <w:szCs w:val="21"/>
                <w:lang w:eastAsia="zh-CN"/>
              </w:rPr>
              <w:t>。</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外部检验，每年进行1次</w:t>
            </w:r>
            <w:r>
              <w:rPr>
                <w:rFonts w:hint="default" w:ascii="Times New Roman" w:hAnsi="Times New Roman" w:eastAsia="宋体" w:cs="Times New Roman"/>
                <w:sz w:val="21"/>
                <w:szCs w:val="21"/>
                <w:lang w:eastAsia="zh-CN"/>
              </w:rPr>
              <w:t>；</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内部检验，一般每2年进行1次，成套装置中的锅炉结合成套装置的大修周期进行，A级高压以上电站锅炉结合锅炉检修同期进行，一般每3年~6年进行1次；首次内部检验在锅炉投入运行后1年进行，成套装置中的锅炉和A级高压以上电站锅炉可以结合第一次检修进行；</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水(耐)压试验，检验人员或者使用单位对设备安全状况有怀疑时，应当进行水(耐)压试验；因结构原因无法进行内部检验时，应当每3年进行1次水(耐)压试验。</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TSG11-2020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9.5.1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锅炉</w:t>
            </w:r>
            <w:r>
              <w:rPr>
                <w:rFonts w:hint="default" w:ascii="Times New Roman" w:hAnsi="Times New Roman" w:eastAsia="宋体" w:cs="Times New Roman"/>
                <w:sz w:val="21"/>
                <w:szCs w:val="21"/>
                <w:lang w:eastAsia="zh-CN"/>
              </w:rPr>
              <w:t>在检验有效期内。</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37" w:hRule="atLeas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锅炉各系统调压阀、安全阀、报警开关、检测仪表应安全可靠，灵活自如。安全阀、报警开关、检测仪表每年至少校验一次，并做好校验资料记录和存档。蒸汽干度取样排污阀应每天排放不少于一次。</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SY/T6086-2019</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3.1.16</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安全阀</w:t>
            </w:r>
            <w:r>
              <w:rPr>
                <w:rFonts w:hint="default" w:ascii="Times New Roman" w:hAnsi="Times New Roman" w:eastAsia="宋体" w:cs="Times New Roman"/>
                <w:sz w:val="21"/>
                <w:szCs w:val="21"/>
                <w:lang w:eastAsia="zh-CN"/>
              </w:rPr>
              <w:t>均在检验有效期内。</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0"/>
              </w:numPr>
              <w:suppressLineNumbers w:val="0"/>
              <w:bidi w:val="0"/>
              <w:spacing w:before="0" w:beforeAutospacing="0" w:after="0" w:afterAutospacing="0"/>
              <w:ind w:left="0" w:leftChars="0" w:right="0" w:rightChars="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七</w:t>
            </w:r>
          </w:p>
        </w:tc>
        <w:tc>
          <w:tcPr>
            <w:tcW w:w="7769" w:type="dxa"/>
            <w:gridSpan w:val="4"/>
            <w:vAlign w:val="center"/>
          </w:tcPr>
          <w:p>
            <w:pPr>
              <w:keepNext w:val="0"/>
              <w:keepLines w:val="0"/>
              <w:suppressLineNumbers w:val="0"/>
              <w:bidi w:val="0"/>
              <w:spacing w:before="0" w:beforeAutospacing="0" w:after="0" w:afterAutospacing="0"/>
              <w:ind w:left="0" w:right="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施工现场安全管理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eastAsia" w:cs="Times New Roman"/>
                <w:sz w:val="21"/>
                <w:szCs w:val="21"/>
                <w:lang w:val="en-US" w:eastAsia="zh-CN"/>
              </w:rPr>
              <w:t>发生器操作人员应经专业培训考试，取得当地特种设备管理部门颁发的操作证后，方可上岗操作</w:t>
            </w:r>
            <w:r>
              <w:rPr>
                <w:rFonts w:hint="default" w:ascii="Times New Roman" w:hAnsi="Times New Roman" w:eastAsia="宋体" w:cs="Times New Roman"/>
                <w:sz w:val="21"/>
                <w:szCs w:val="21"/>
              </w:rPr>
              <w:t>。</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SY/T 5854-2019</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4.</w:t>
            </w:r>
            <w:r>
              <w:rPr>
                <w:rFonts w:hint="default" w:ascii="Times New Roman" w:hAnsi="Times New Roman" w:eastAsia="宋体" w:cs="Times New Roman"/>
                <w:sz w:val="21"/>
                <w:szCs w:val="21"/>
                <w:lang w:val="en-US" w:eastAsia="zh-CN"/>
              </w:rPr>
              <w:t>1</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eastAsia" w:cs="Times New Roman"/>
                <w:sz w:val="21"/>
                <w:szCs w:val="21"/>
                <w:lang w:val="en-US" w:eastAsia="zh-CN"/>
              </w:rPr>
              <w:t>操作人员</w:t>
            </w:r>
            <w:r>
              <w:rPr>
                <w:rFonts w:hint="default" w:ascii="Times New Roman" w:hAnsi="Times New Roman" w:eastAsia="宋体" w:cs="Times New Roman"/>
                <w:sz w:val="21"/>
                <w:szCs w:val="21"/>
                <w:lang w:val="en-US" w:eastAsia="zh-CN"/>
              </w:rPr>
              <w:t>均</w:t>
            </w:r>
            <w:r>
              <w:rPr>
                <w:rFonts w:hint="default" w:ascii="Times New Roman" w:hAnsi="Times New Roman" w:eastAsia="宋体" w:cs="Times New Roman"/>
                <w:sz w:val="21"/>
                <w:szCs w:val="21"/>
                <w:lang w:eastAsia="zh-CN"/>
              </w:rPr>
              <w:t>持证上岗。</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505" w:type="dxa"/>
            <w:vAlign w:val="center"/>
          </w:tcPr>
          <w:p>
            <w:pPr>
              <w:keepNext w:val="0"/>
              <w:keepLines w:val="0"/>
              <w:numPr>
                <w:ilvl w:val="0"/>
                <w:numId w:val="17"/>
              </w:numPr>
              <w:suppressLineNumbers w:val="0"/>
              <w:bidi w:val="0"/>
              <w:spacing w:before="0" w:beforeAutospacing="0" w:after="0" w:afterAutospacing="0"/>
              <w:ind w:left="425" w:leftChars="0" w:right="0" w:hanging="425" w:firstLineChars="0"/>
              <w:rPr>
                <w:rFonts w:hint="default" w:ascii="Times New Roman" w:hAnsi="Times New Roman" w:eastAsia="宋体" w:cs="Times New Roman"/>
                <w:sz w:val="21"/>
                <w:szCs w:val="21"/>
                <w:lang w:val="en-US" w:eastAsia="zh-CN"/>
              </w:rPr>
            </w:pPr>
          </w:p>
        </w:tc>
        <w:tc>
          <w:tcPr>
            <w:tcW w:w="3845"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进入现场人员应正确穿戴和使用劳动防护用品及其他防护用具，并做好安全防护设施的维护。高处作业者应系安全带，并将随身携带的工具系上防掉绳，作业前将安全带在井架上系牢。</w:t>
            </w:r>
          </w:p>
        </w:tc>
        <w:tc>
          <w:tcPr>
            <w:tcW w:w="1705"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SY</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5727-20</w:t>
            </w:r>
            <w:r>
              <w:rPr>
                <w:rFonts w:hint="default" w:ascii="Times New Roman" w:hAnsi="Times New Roman" w:eastAsia="宋体" w:cs="Times New Roman"/>
                <w:sz w:val="21"/>
                <w:szCs w:val="21"/>
                <w:lang w:val="en-US" w:eastAsia="zh-CN"/>
              </w:rPr>
              <w:t>20</w:t>
            </w:r>
          </w:p>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4.1.2</w:t>
            </w:r>
          </w:p>
        </w:tc>
        <w:tc>
          <w:tcPr>
            <w:tcW w:w="1566" w:type="dxa"/>
            <w:vAlign w:val="center"/>
          </w:tcPr>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穿防静电服、安全鞋，戴安全帽。</w:t>
            </w:r>
          </w:p>
        </w:tc>
        <w:tc>
          <w:tcPr>
            <w:tcW w:w="653" w:type="dxa"/>
            <w:vAlign w:val="center"/>
          </w:tcPr>
          <w:p>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auto"/>
          <w:sz w:val="28"/>
          <w:szCs w:val="28"/>
        </w:rPr>
      </w:pPr>
      <w:r>
        <w:rPr>
          <w:rFonts w:hint="eastAsia"/>
          <w:color w:val="auto"/>
          <w:sz w:val="28"/>
          <w:szCs w:val="28"/>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olor w:val="auto"/>
          <w:sz w:val="28"/>
          <w:szCs w:val="28"/>
          <w:lang w:val="en-US"/>
        </w:rPr>
      </w:pPr>
      <w:r>
        <w:rPr>
          <w:rFonts w:hint="eastAsia"/>
          <w:color w:val="auto"/>
          <w:sz w:val="28"/>
          <w:szCs w:val="28"/>
        </w:rPr>
        <w:t>安全检查表共设</w:t>
      </w:r>
      <w:r>
        <w:rPr>
          <w:rFonts w:hint="eastAsia"/>
          <w:color w:val="auto"/>
          <w:sz w:val="28"/>
          <w:szCs w:val="28"/>
          <w:lang w:val="en-US" w:eastAsia="zh-CN"/>
        </w:rPr>
        <w:t>47</w:t>
      </w:r>
      <w:r>
        <w:rPr>
          <w:rFonts w:hint="eastAsia"/>
          <w:color w:val="auto"/>
          <w:sz w:val="28"/>
          <w:szCs w:val="28"/>
        </w:rPr>
        <w:t>项检查内容，</w:t>
      </w:r>
      <w:r>
        <w:rPr>
          <w:rFonts w:hint="eastAsia"/>
          <w:color w:val="auto"/>
          <w:sz w:val="28"/>
          <w:szCs w:val="28"/>
          <w:lang w:val="en-US" w:eastAsia="zh-CN"/>
        </w:rPr>
        <w:t>45</w:t>
      </w:r>
      <w:r>
        <w:rPr>
          <w:rFonts w:hint="eastAsia"/>
          <w:color w:val="auto"/>
          <w:sz w:val="28"/>
          <w:szCs w:val="28"/>
        </w:rPr>
        <w:t>项符合要求，</w:t>
      </w:r>
      <w:r>
        <w:rPr>
          <w:rFonts w:hint="eastAsia"/>
          <w:color w:val="auto"/>
          <w:sz w:val="28"/>
          <w:szCs w:val="28"/>
          <w:lang w:val="en-US" w:eastAsia="zh-CN"/>
        </w:rPr>
        <w:t>2</w:t>
      </w:r>
      <w:r>
        <w:rPr>
          <w:rFonts w:hint="eastAsia"/>
          <w:color w:val="auto"/>
          <w:sz w:val="28"/>
          <w:szCs w:val="28"/>
        </w:rPr>
        <w:t>项不符合：</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lang w:val="en-US" w:eastAsia="zh-CN"/>
        </w:rPr>
        <w:t>1</w:t>
      </w:r>
      <w:r>
        <w:rPr>
          <w:color w:val="auto"/>
          <w:sz w:val="28"/>
          <w:szCs w:val="28"/>
        </w:rPr>
        <w:t>.</w:t>
      </w:r>
      <w:r>
        <w:rPr>
          <w:rFonts w:hint="eastAsia"/>
          <w:color w:val="auto"/>
          <w:sz w:val="28"/>
          <w:szCs w:val="28"/>
        </w:rPr>
        <w:t xml:space="preserve"> </w:t>
      </w:r>
      <w:r>
        <w:rPr>
          <w:rFonts w:hint="eastAsia"/>
          <w:color w:val="auto"/>
          <w:sz w:val="28"/>
          <w:szCs w:val="28"/>
          <w:lang w:val="en-US" w:eastAsia="zh-CN"/>
        </w:rPr>
        <w:t>作业井场缺少“防止中毒”的安全警示标志</w:t>
      </w:r>
      <w:r>
        <w:rPr>
          <w:rFonts w:hint="eastAsia"/>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b/>
          <w:bCs/>
          <w:sz w:val="28"/>
          <w:szCs w:val="28"/>
          <w:lang w:val="en-US" w:eastAsia="zh-CN"/>
        </w:rPr>
      </w:pPr>
      <w:r>
        <w:rPr>
          <w:rFonts w:hint="eastAsia"/>
          <w:color w:val="000000" w:themeColor="text1"/>
          <w:sz w:val="28"/>
          <w:szCs w:val="28"/>
          <w:lang w:val="en-US" w:eastAsia="zh-CN"/>
          <w14:textFill>
            <w14:solidFill>
              <w14:schemeClr w14:val="tx1"/>
            </w14:solidFill>
          </w14:textFill>
        </w:rPr>
        <w:t>2. 配电箱未由持证人员定期进行检查和维护。</w:t>
      </w:r>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黑体" w:cs="Times New Roman"/>
          <w:b w:val="0"/>
          <w:bCs/>
        </w:rPr>
      </w:pPr>
      <w:bookmarkStart w:id="116" w:name="_Toc13135"/>
      <w:bookmarkStart w:id="117" w:name="_Hlk535847503"/>
      <w:r>
        <w:rPr>
          <w:rFonts w:hint="default" w:ascii="Times New Roman" w:hAnsi="Times New Roman" w:eastAsia="黑体" w:cs="Times New Roman"/>
          <w:b w:val="0"/>
          <w:bCs/>
        </w:rPr>
        <w:t>5.</w:t>
      </w:r>
      <w:r>
        <w:rPr>
          <w:rFonts w:hint="default" w:ascii="Times New Roman" w:hAnsi="Times New Roman" w:eastAsia="黑体" w:cs="Times New Roman"/>
          <w:b w:val="0"/>
          <w:bCs/>
          <w:lang w:val="en-US" w:eastAsia="zh-CN"/>
        </w:rPr>
        <w:t>2</w:t>
      </w:r>
      <w:r>
        <w:rPr>
          <w:rFonts w:hint="default" w:ascii="Times New Roman" w:hAnsi="Times New Roman" w:eastAsia="黑体" w:cs="Times New Roman"/>
          <w:b w:val="0"/>
          <w:bCs/>
        </w:rPr>
        <w:t xml:space="preserve"> 作业条件危险性评价</w:t>
      </w:r>
      <w:bookmarkEnd w:id="116"/>
    </w:p>
    <w:p>
      <w:pPr>
        <w:adjustRightInd w:val="0"/>
        <w:snapToGrid w:val="0"/>
        <w:spacing w:line="360" w:lineRule="auto"/>
        <w:ind w:firstLine="560" w:firstLineChars="200"/>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根据作业条件危险性评价法的规定，对该项目生产单元运行过程中事故或危险事件发生的可能性（L）、暴露于危险环境的频率（E）及危险严重程度（C）进行取值、计算，得出运行中主要危害的危险程度，详见表5-</w:t>
      </w:r>
      <w:r>
        <w:rPr>
          <w:rFonts w:hint="default" w:ascii="Times New Roman" w:hAnsi="Times New Roman" w:cs="Times New Roman"/>
          <w:snapToGrid w:val="0"/>
          <w:color w:val="000000" w:themeColor="text1"/>
          <w:kern w:val="0"/>
          <w:sz w:val="28"/>
          <w:szCs w:val="28"/>
          <w:lang w:val="en-US" w:eastAsia="zh-CN"/>
          <w14:textFill>
            <w14:solidFill>
              <w14:schemeClr w14:val="tx1"/>
            </w14:solidFill>
          </w14:textFill>
        </w:rPr>
        <w:t>7</w:t>
      </w:r>
      <w:r>
        <w:rPr>
          <w:rFonts w:hint="default" w:ascii="Times New Roman" w:hAnsi="Times New Roman" w:cs="Times New Roman"/>
          <w:snapToGrid w:val="0"/>
          <w:color w:val="000000" w:themeColor="text1"/>
          <w:kern w:val="0"/>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imes New Roman" w:hAnsi="Times New Roman" w:eastAsia="宋体" w:cs="Times New Roman"/>
          <w:color w:val="000000" w:themeColor="text1"/>
          <w:kern w:val="2"/>
          <w:szCs w:val="24"/>
          <w:lang w:val="en-US" w:eastAsia="zh-CN" w:bidi="ar-SA"/>
          <w14:textFill>
            <w14:solidFill>
              <w14:schemeClr w14:val="tx1"/>
            </w14:solidFill>
          </w14:textFill>
        </w:rPr>
      </w:pPr>
      <w:r>
        <w:rPr>
          <w:rFonts w:hint="default" w:ascii="Times New Roman" w:hAnsi="Times New Roman" w:eastAsia="宋体" w:cs="Times New Roman"/>
          <w:b/>
          <w:bCs/>
          <w:sz w:val="24"/>
          <w:szCs w:val="24"/>
          <w:lang w:val="en-US" w:eastAsia="zh-CN"/>
        </w:rPr>
        <w:t>表5-7</w:t>
      </w:r>
      <w:r>
        <w:rPr>
          <w:rFonts w:hint="default" w:ascii="Times New Roman" w:hAnsi="Times New Roman" w:eastAsia="宋体" w:cs="Times New Roman"/>
          <w:b/>
          <w:bCs/>
          <w:sz w:val="24"/>
          <w:szCs w:val="24"/>
        </w:rPr>
        <w:t xml:space="preserve"> 井下作业施工过程作业条件危险性评价表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2060"/>
        <w:gridCol w:w="1368"/>
        <w:gridCol w:w="705"/>
        <w:gridCol w:w="539"/>
        <w:gridCol w:w="539"/>
        <w:gridCol w:w="822"/>
        <w:gridCol w:w="13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66" w:type="pct"/>
            <w:vMerge w:val="restart"/>
            <w:tcBorders>
              <w:tl2br w:val="nil"/>
              <w:tr2bl w:val="nil"/>
            </w:tcBorders>
            <w:tcMar>
              <w:top w:w="85" w:type="dxa"/>
              <w:left w:w="85" w:type="dxa"/>
              <w:bottom w:w="85" w:type="dxa"/>
              <w:right w:w="85" w:type="dxa"/>
            </w:tcMar>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评价对象</w:t>
            </w:r>
          </w:p>
        </w:tc>
        <w:tc>
          <w:tcPr>
            <w:tcW w:w="1215" w:type="pct"/>
            <w:vMerge w:val="restart"/>
            <w:tcBorders>
              <w:tl2br w:val="nil"/>
              <w:tr2bl w:val="nil"/>
            </w:tcBorders>
            <w:tcMar>
              <w:top w:w="85" w:type="dxa"/>
              <w:left w:w="85" w:type="dxa"/>
              <w:bottom w:w="85" w:type="dxa"/>
              <w:right w:w="85" w:type="dxa"/>
            </w:tcMar>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危险源</w:t>
            </w:r>
          </w:p>
        </w:tc>
        <w:tc>
          <w:tcPr>
            <w:tcW w:w="807" w:type="pct"/>
            <w:vMerge w:val="restart"/>
            <w:tcBorders>
              <w:tl2br w:val="nil"/>
              <w:tr2bl w:val="nil"/>
            </w:tcBorders>
            <w:tcMar>
              <w:top w:w="85" w:type="dxa"/>
              <w:left w:w="85" w:type="dxa"/>
              <w:bottom w:w="85" w:type="dxa"/>
              <w:right w:w="85" w:type="dxa"/>
            </w:tcMar>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主要潜在风险</w:t>
            </w:r>
          </w:p>
        </w:tc>
        <w:tc>
          <w:tcPr>
            <w:tcW w:w="1537" w:type="pct"/>
            <w:gridSpan w:val="4"/>
            <w:tcBorders>
              <w:tl2br w:val="nil"/>
              <w:tr2bl w:val="nil"/>
            </w:tcBorders>
            <w:tcMar>
              <w:top w:w="85" w:type="dxa"/>
              <w:left w:w="85" w:type="dxa"/>
              <w:bottom w:w="85" w:type="dxa"/>
              <w:right w:w="85" w:type="dxa"/>
            </w:tcMar>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风险值D=L×E×C</w:t>
            </w:r>
          </w:p>
        </w:tc>
        <w:tc>
          <w:tcPr>
            <w:tcW w:w="773" w:type="pct"/>
            <w:vMerge w:val="restart"/>
            <w:tcBorders>
              <w:tl2br w:val="nil"/>
              <w:tr2bl w:val="nil"/>
            </w:tcBorders>
            <w:tcMar>
              <w:top w:w="85" w:type="dxa"/>
              <w:left w:w="85" w:type="dxa"/>
              <w:bottom w:w="85" w:type="dxa"/>
              <w:right w:w="85" w:type="dxa"/>
            </w:tcMar>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p>
        </w:tc>
        <w:tc>
          <w:tcPr>
            <w:tcW w:w="1215"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p>
        </w:tc>
        <w:tc>
          <w:tcPr>
            <w:tcW w:w="807"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r>
              <w:rPr>
                <w:rFonts w:hint="default" w:ascii="Times New Roman" w:hAnsi="Times New Roman" w:eastAsia="黑体" w:cs="Times New Roman"/>
                <w:snapToGrid w:val="0"/>
                <w:color w:val="000000" w:themeColor="text1"/>
                <w:kern w:val="0"/>
                <w:sz w:val="21"/>
                <w:szCs w:val="21"/>
                <w14:textFill>
                  <w14:solidFill>
                    <w14:schemeClr w14:val="tx1"/>
                  </w14:solidFill>
                </w14:textFill>
              </w:rPr>
              <w:t>L</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r>
              <w:rPr>
                <w:rFonts w:hint="default" w:ascii="Times New Roman" w:hAnsi="Times New Roman" w:eastAsia="黑体" w:cs="Times New Roman"/>
                <w:snapToGrid w:val="0"/>
                <w:color w:val="000000" w:themeColor="text1"/>
                <w:kern w:val="0"/>
                <w:sz w:val="21"/>
                <w:szCs w:val="21"/>
                <w14:textFill>
                  <w14:solidFill>
                    <w14:schemeClr w14:val="tx1"/>
                  </w14:solidFill>
                </w14:textFill>
              </w:rPr>
              <w:t>E</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r>
              <w:rPr>
                <w:rFonts w:hint="default" w:ascii="Times New Roman" w:hAnsi="Times New Roman" w:eastAsia="黑体" w:cs="Times New Roman"/>
                <w:snapToGrid w:val="0"/>
                <w:color w:val="000000" w:themeColor="text1"/>
                <w:kern w:val="0"/>
                <w:sz w:val="21"/>
                <w:szCs w:val="21"/>
                <w14:textFill>
                  <w14:solidFill>
                    <w14:schemeClr w14:val="tx1"/>
                  </w14:solidFill>
                </w14:textFill>
              </w:rPr>
              <w:t>C</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r>
              <w:rPr>
                <w:rFonts w:hint="default" w:ascii="Times New Roman" w:hAnsi="Times New Roman" w:eastAsia="黑体" w:cs="Times New Roman"/>
                <w:snapToGrid w:val="0"/>
                <w:color w:val="000000" w:themeColor="text1"/>
                <w:kern w:val="0"/>
                <w:sz w:val="21"/>
                <w:szCs w:val="21"/>
                <w14:textFill>
                  <w14:solidFill>
                    <w14:schemeClr w14:val="tx1"/>
                  </w14:solidFill>
                </w14:textFill>
              </w:rPr>
              <w:t>D</w:t>
            </w:r>
          </w:p>
        </w:tc>
        <w:tc>
          <w:tcPr>
            <w:tcW w:w="773"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restar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设备设施</w:t>
            </w: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的拆卸、吊装</w:t>
            </w: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及搬迁</w:t>
            </w: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过程</w:t>
            </w:r>
          </w:p>
        </w:tc>
        <w:tc>
          <w:tcPr>
            <w:tcW w:w="1215" w:type="pct"/>
            <w:vMerge w:val="restar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搬迁</w:t>
            </w: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过程中的</w:t>
            </w:r>
            <w:r>
              <w:rPr>
                <w:rFonts w:hint="default" w:ascii="Times New Roman" w:hAnsi="Times New Roman" w:cs="Times New Roman"/>
                <w:snapToGrid w:val="0"/>
                <w:color w:val="000000" w:themeColor="text1"/>
                <w:kern w:val="0"/>
                <w:sz w:val="21"/>
                <w:szCs w:val="21"/>
                <w14:textFill>
                  <w14:solidFill>
                    <w14:schemeClr w14:val="tx1"/>
                  </w14:solidFill>
                </w14:textFill>
              </w:rPr>
              <w:t>运输车辆</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车辆伤害</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9</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物体打击</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9</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vMerge w:val="restar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注汽锅炉</w:t>
            </w:r>
            <w:r>
              <w:rPr>
                <w:rFonts w:hint="default" w:ascii="Times New Roman" w:hAnsi="Times New Roman" w:cs="Times New Roman"/>
                <w:snapToGrid w:val="0"/>
                <w:color w:val="000000" w:themeColor="text1"/>
                <w:kern w:val="0"/>
                <w:sz w:val="21"/>
                <w:szCs w:val="21"/>
                <w14:textFill>
                  <w14:solidFill>
                    <w14:schemeClr w14:val="tx1"/>
                  </w14:solidFill>
                </w14:textFill>
              </w:rPr>
              <w:t>、</w:t>
            </w: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柴油罐</w:t>
            </w:r>
            <w:r>
              <w:rPr>
                <w:rFonts w:hint="default" w:ascii="Times New Roman" w:hAnsi="Times New Roman" w:cs="Times New Roman"/>
                <w:snapToGrid w:val="0"/>
                <w:color w:val="000000" w:themeColor="text1"/>
                <w:kern w:val="0"/>
                <w:sz w:val="21"/>
                <w:szCs w:val="21"/>
                <w14:textFill>
                  <w14:solidFill>
                    <w14:schemeClr w14:val="tx1"/>
                  </w14:solidFill>
                </w14:textFill>
              </w:rPr>
              <w:t>等作业设备设施</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起重伤害</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2</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18</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物体打击</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9</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电气设备</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触电</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6</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18</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接拆高压管线</w:t>
            </w:r>
          </w:p>
        </w:tc>
        <w:tc>
          <w:tcPr>
            <w:tcW w:w="121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高压管线、注汽管线</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物体打击</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27</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restar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注汽</w:t>
            </w:r>
            <w:r>
              <w:rPr>
                <w:rFonts w:hint="default" w:ascii="Times New Roman" w:hAnsi="Times New Roman" w:cs="Times New Roman"/>
                <w:snapToGrid w:val="0"/>
                <w:color w:val="000000" w:themeColor="text1"/>
                <w:kern w:val="0"/>
                <w:sz w:val="21"/>
                <w:szCs w:val="21"/>
                <w14:textFill>
                  <w14:solidFill>
                    <w14:schemeClr w14:val="tx1"/>
                  </w14:solidFill>
                </w14:textFill>
              </w:rPr>
              <w:t>施工过程</w:t>
            </w:r>
          </w:p>
        </w:tc>
        <w:tc>
          <w:tcPr>
            <w:tcW w:w="121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机泵等设备设施</w:t>
            </w:r>
            <w:r>
              <w:rPr>
                <w:rFonts w:hint="default" w:ascii="Times New Roman" w:hAnsi="Times New Roman" w:cs="Times New Roman"/>
                <w:snapToGrid w:val="0"/>
                <w:color w:val="000000" w:themeColor="text1"/>
                <w:kern w:val="0"/>
                <w:sz w:val="21"/>
                <w:szCs w:val="21"/>
                <w14:textFill>
                  <w14:solidFill>
                    <w14:schemeClr w14:val="tx1"/>
                  </w14:solidFill>
                </w14:textFill>
              </w:rPr>
              <w:t>旋转部位</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机械伤害</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9</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硫化氢气体</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中毒和窒息</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40</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40</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高压</w:t>
            </w: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管线</w:t>
            </w:r>
            <w:r>
              <w:rPr>
                <w:rFonts w:hint="default" w:ascii="Times New Roman" w:hAnsi="Times New Roman" w:cs="Times New Roman"/>
                <w:snapToGrid w:val="0"/>
                <w:color w:val="000000" w:themeColor="text1"/>
                <w:kern w:val="0"/>
                <w:sz w:val="21"/>
                <w:szCs w:val="21"/>
                <w14:textFill>
                  <w14:solidFill>
                    <w14:schemeClr w14:val="tx1"/>
                  </w14:solidFill>
                </w14:textFill>
              </w:rPr>
              <w:t>刺漏</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物体打击</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27</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配电间</w:t>
            </w:r>
            <w:r>
              <w:rPr>
                <w:rFonts w:hint="default" w:ascii="Times New Roman" w:hAnsi="Times New Roman" w:cs="Times New Roman"/>
                <w:snapToGrid w:val="0"/>
                <w:color w:val="000000" w:themeColor="text1"/>
                <w:kern w:val="0"/>
                <w:sz w:val="21"/>
                <w:szCs w:val="21"/>
                <w:lang w:eastAsia="zh-CN"/>
                <w14:textFill>
                  <w14:solidFill>
                    <w14:schemeClr w14:val="tx1"/>
                  </w14:solidFill>
                </w14:textFill>
              </w:rPr>
              <w:t>、</w:t>
            </w:r>
            <w:r>
              <w:rPr>
                <w:rFonts w:hint="default" w:ascii="Times New Roman" w:hAnsi="Times New Roman" w:cs="Times New Roman"/>
                <w:snapToGrid w:val="0"/>
                <w:color w:val="000000" w:themeColor="text1"/>
                <w:kern w:val="0"/>
                <w:sz w:val="21"/>
                <w:szCs w:val="21"/>
                <w14:textFill>
                  <w14:solidFill>
                    <w14:schemeClr w14:val="tx1"/>
                  </w14:solidFill>
                </w14:textFill>
              </w:rPr>
              <w:t>电力线路</w:t>
            </w: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及电气设备</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触电</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9</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vMerge w:val="restar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井口</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火灾爆炸</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6</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7</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42</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井喷及井喷失控</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6</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7</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42</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vMerge w:val="restar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注汽锅炉、复合发生器</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灼烫</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6</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1</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18</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火灾爆炸</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6</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7</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42</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注汽锅炉</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锅炉爆炸</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40</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40</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空压机</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容器爆炸</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6</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7</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42</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水处理设备</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淹溺</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6</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1</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18</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注汽锅炉检维修过程中</w:t>
            </w:r>
          </w:p>
        </w:tc>
        <w:tc>
          <w:tcPr>
            <w:tcW w:w="121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注汽锅炉等受限空间</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t>中毒和窒息</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40</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40</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cs="Times New Roman"/>
                <w:snapToGrid w:val="0"/>
                <w:color w:val="000000" w:themeColor="text1"/>
                <w:kern w:val="0"/>
                <w:sz w:val="21"/>
                <w:szCs w:val="21"/>
                <w:lang w:val="en-US" w:eastAsia="zh-CN"/>
                <w14:textFill>
                  <w14:solidFill>
                    <w14:schemeClr w14:val="tx1"/>
                  </w14:solidFill>
                </w14:textFill>
              </w:rPr>
              <w:t>柴油罐巡检、维护</w:t>
            </w:r>
          </w:p>
        </w:tc>
        <w:tc>
          <w:tcPr>
            <w:tcW w:w="121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cs="Times New Roman"/>
                <w:snapToGrid w:val="0"/>
                <w:color w:val="000000" w:themeColor="text1"/>
                <w:kern w:val="0"/>
                <w:sz w:val="21"/>
                <w:szCs w:val="21"/>
                <w:lang w:val="en-US" w:eastAsia="zh-CN"/>
                <w14:textFill>
                  <w14:solidFill>
                    <w14:schemeClr w14:val="tx1"/>
                  </w14:solidFill>
                </w14:textFill>
              </w:rPr>
              <w:t>柴油罐</w:t>
            </w:r>
          </w:p>
        </w:tc>
        <w:tc>
          <w:tcPr>
            <w:tcW w:w="807"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cs="Times New Roman"/>
                <w:snapToGrid w:val="0"/>
                <w:color w:val="000000" w:themeColor="text1"/>
                <w:kern w:val="0"/>
                <w:sz w:val="21"/>
                <w:szCs w:val="21"/>
                <w:lang w:val="en-US" w:eastAsia="zh-CN"/>
                <w14:textFill>
                  <w14:solidFill>
                    <w14:schemeClr w14:val="tx1"/>
                  </w14:solidFill>
                </w14:textFill>
              </w:rPr>
              <w:t>高处坠落</w:t>
            </w:r>
          </w:p>
        </w:tc>
        <w:tc>
          <w:tcPr>
            <w:tcW w:w="416"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cs="Times New Roman"/>
                <w:snapToGrid w:val="0"/>
                <w:color w:val="000000" w:themeColor="text1"/>
                <w:kern w:val="0"/>
                <w:sz w:val="21"/>
                <w:szCs w:val="21"/>
                <w:lang w:val="en-US" w:eastAsia="zh-CN"/>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cs="Times New Roman"/>
                <w:snapToGrid w:val="0"/>
                <w:color w:val="000000" w:themeColor="text1"/>
                <w:kern w:val="0"/>
                <w:sz w:val="21"/>
                <w:szCs w:val="21"/>
                <w:lang w:val="en-US" w:eastAsia="zh-CN"/>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cs="Times New Roman"/>
                <w:snapToGrid w:val="0"/>
                <w:color w:val="000000" w:themeColor="text1"/>
                <w:kern w:val="0"/>
                <w:sz w:val="21"/>
                <w:szCs w:val="21"/>
                <w:lang w:val="en-US" w:eastAsia="zh-CN"/>
                <w14:textFill>
                  <w14:solidFill>
                    <w14:schemeClr w14:val="tx1"/>
                  </w14:solidFill>
                </w14:textFill>
              </w:rPr>
              <w:t>1</w:t>
            </w:r>
          </w:p>
        </w:tc>
        <w:tc>
          <w:tcPr>
            <w:tcW w:w="485"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cs="Times New Roman"/>
                <w:snapToGrid w:val="0"/>
                <w:color w:val="000000" w:themeColor="text1"/>
                <w:kern w:val="0"/>
                <w:sz w:val="21"/>
                <w:szCs w:val="21"/>
                <w:lang w:val="en-US" w:eastAsia="zh-CN"/>
                <w14:textFill>
                  <w14:solidFill>
                    <w14:schemeClr w14:val="tx1"/>
                  </w14:solidFill>
                </w14:textFill>
              </w:rPr>
              <w:t>9</w:t>
            </w:r>
          </w:p>
        </w:tc>
        <w:tc>
          <w:tcPr>
            <w:tcW w:w="773" w:type="pct"/>
            <w:tcBorders>
              <w:tl2br w:val="nil"/>
              <w:tr2bl w:val="nil"/>
            </w:tcBorders>
            <w:tcMar>
              <w:top w:w="85" w:type="dxa"/>
              <w:left w:w="85" w:type="dxa"/>
              <w:bottom w:w="85" w:type="dxa"/>
              <w:right w:w="85"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bl>
    <w:p>
      <w:pPr>
        <w:keepNext w:val="0"/>
        <w:keepLines w:val="0"/>
        <w:pageBreakBefore w:val="0"/>
        <w:widowControl w:val="0"/>
        <w:kinsoku/>
        <w:wordWrap/>
        <w:overflowPunct/>
        <w:topLinePunct w:val="0"/>
        <w:autoSpaceDE/>
        <w:autoSpaceDN/>
        <w:bidi w:val="0"/>
        <w:adjustRightInd w:val="0"/>
        <w:snapToGrid w:val="0"/>
        <w:spacing w:before="159" w:beforeLines="50" w:line="360" w:lineRule="auto"/>
        <w:ind w:firstLine="560" w:firstLineChars="200"/>
        <w:textAlignment w:val="auto"/>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经计算得知：该项目现场施工的</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硫化氢中毒和窒息、物体打击、</w:t>
      </w:r>
      <w:r>
        <w:rPr>
          <w:rFonts w:hint="eastAsia" w:ascii="宋体" w:hAnsi="宋体" w:eastAsia="宋体" w:cs="宋体"/>
          <w:snapToGrid w:val="0"/>
          <w:color w:val="000000" w:themeColor="text1"/>
          <w:kern w:val="0"/>
          <w:sz w:val="28"/>
          <w:szCs w:val="28"/>
          <w14:textFill>
            <w14:solidFill>
              <w14:schemeClr w14:val="tx1"/>
            </w14:solidFill>
          </w14:textFill>
        </w:rPr>
        <w:t>火灾爆炸、井喷及井喷失控、锅炉爆炸</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容器爆炸</w:t>
      </w:r>
      <w:r>
        <w:rPr>
          <w:rFonts w:hint="eastAsia" w:ascii="宋体" w:hAnsi="宋体" w:eastAsia="宋体" w:cs="宋体"/>
          <w:snapToGrid w:val="0"/>
          <w:color w:val="000000" w:themeColor="text1"/>
          <w:kern w:val="0"/>
          <w:sz w:val="28"/>
          <w:szCs w:val="28"/>
          <w14:textFill>
            <w14:solidFill>
              <w14:schemeClr w14:val="tx1"/>
            </w14:solidFill>
          </w14:textFill>
        </w:rPr>
        <w:t>的危险程度为“可能危险”</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在接拆高温高压管线时，由于操作人员的疏忽大意或未按章作业，因管线引发的物体打击</w:t>
      </w:r>
      <w:r>
        <w:rPr>
          <w:rFonts w:hint="eastAsia" w:ascii="宋体" w:hAnsi="宋体" w:eastAsia="宋体" w:cs="宋体"/>
          <w:snapToGrid w:val="0"/>
          <w:color w:val="000000" w:themeColor="text1"/>
          <w:kern w:val="0"/>
          <w:sz w:val="28"/>
          <w:szCs w:val="28"/>
          <w14:textFill>
            <w14:solidFill>
              <w14:schemeClr w14:val="tx1"/>
            </w14:solidFill>
          </w14:textFill>
        </w:rPr>
        <w:t>危险程度为“可能危险”</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在注汽锅炉检维修过程中，由于受限空间而引起的中毒和窒息危险程度为“可能危险”；以上潜在危险</w:t>
      </w:r>
      <w:r>
        <w:rPr>
          <w:rFonts w:hint="eastAsia" w:ascii="宋体" w:hAnsi="宋体" w:eastAsia="宋体" w:cs="宋体"/>
          <w:snapToGrid w:val="0"/>
          <w:color w:val="000000" w:themeColor="text1"/>
          <w:kern w:val="0"/>
          <w:sz w:val="28"/>
          <w:szCs w:val="28"/>
          <w14:textFill>
            <w14:solidFill>
              <w14:schemeClr w14:val="tx1"/>
            </w14:solidFill>
          </w14:textFill>
        </w:rPr>
        <w:t>均应作为本</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项目</w:t>
      </w:r>
      <w:r>
        <w:rPr>
          <w:rFonts w:hint="eastAsia" w:ascii="宋体" w:hAnsi="宋体" w:eastAsia="宋体" w:cs="宋体"/>
          <w:snapToGrid w:val="0"/>
          <w:color w:val="000000" w:themeColor="text1"/>
          <w:kern w:val="0"/>
          <w:sz w:val="28"/>
          <w:szCs w:val="28"/>
          <w14:textFill>
            <w14:solidFill>
              <w14:schemeClr w14:val="tx1"/>
            </w14:solidFill>
          </w14:textFill>
        </w:rPr>
        <w:t>安全防范的重点。</w:t>
      </w:r>
    </w:p>
    <w:p>
      <w:pPr>
        <w:pStyle w:val="22"/>
        <w:keepNext w:val="0"/>
        <w:keepLines w:val="0"/>
        <w:pageBreakBefore w:val="0"/>
        <w:widowControl w:val="0"/>
        <w:kinsoku/>
        <w:wordWrap/>
        <w:overflowPunct/>
        <w:topLinePunct w:val="0"/>
        <w:autoSpaceDE/>
        <w:autoSpaceDN/>
        <w:bidi w:val="0"/>
        <w:adjustRightInd w:val="0"/>
        <w:snapToGrid w:val="0"/>
        <w:spacing w:after="0" w:line="360" w:lineRule="auto"/>
        <w:ind w:right="0" w:firstLine="560" w:firstLineChars="200"/>
        <w:jc w:val="both"/>
        <w:textAlignment w:val="auto"/>
        <w:rPr>
          <w:rFonts w:hint="eastAsia" w:ascii="Times New Roman" w:hAnsi="Times New Roman"/>
          <w:b w:val="0"/>
          <w:bCs/>
          <w:color w:val="auto"/>
          <w:szCs w:val="32"/>
        </w:rPr>
      </w:pPr>
      <w:r>
        <w:rPr>
          <w:rFonts w:hint="eastAsia" w:ascii="宋体" w:hAnsi="宋体" w:eastAsia="宋体" w:cs="宋体"/>
          <w:snapToGrid w:val="0"/>
          <w:color w:val="000000" w:themeColor="text1"/>
          <w:kern w:val="0"/>
          <w:sz w:val="28"/>
          <w:szCs w:val="28"/>
          <w14:textFill>
            <w14:solidFill>
              <w14:schemeClr w14:val="tx1"/>
            </w14:solidFill>
          </w14:textFill>
        </w:rPr>
        <w:t>设备设施</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拆卸、吊装及</w:t>
      </w:r>
      <w:r>
        <w:rPr>
          <w:rFonts w:hint="eastAsia" w:ascii="宋体" w:hAnsi="宋体" w:eastAsia="宋体" w:cs="宋体"/>
          <w:snapToGrid w:val="0"/>
          <w:color w:val="000000" w:themeColor="text1"/>
          <w:kern w:val="0"/>
          <w:sz w:val="28"/>
          <w:szCs w:val="28"/>
          <w14:textFill>
            <w14:solidFill>
              <w14:schemeClr w14:val="tx1"/>
            </w14:solidFill>
          </w14:textFill>
        </w:rPr>
        <w:t>搬迁引起的车辆伤害、物体打击</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起重伤害</w:t>
      </w:r>
      <w:r>
        <w:rPr>
          <w:rFonts w:hint="eastAsia" w:ascii="宋体" w:hAnsi="宋体" w:eastAsia="宋体" w:cs="宋体"/>
          <w:snapToGrid w:val="0"/>
          <w:color w:val="000000" w:themeColor="text1"/>
          <w:kern w:val="0"/>
          <w:sz w:val="28"/>
          <w:szCs w:val="28"/>
          <w14:textFill>
            <w14:solidFill>
              <w14:schemeClr w14:val="tx1"/>
            </w14:solidFill>
          </w14:textFill>
        </w:rPr>
        <w:t>；施工</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过程中</w:t>
      </w:r>
      <w:r>
        <w:rPr>
          <w:rFonts w:hint="eastAsia" w:ascii="宋体" w:hAnsi="宋体" w:eastAsia="宋体" w:cs="宋体"/>
          <w:snapToGrid w:val="0"/>
          <w:color w:val="000000" w:themeColor="text1"/>
          <w:kern w:val="0"/>
          <w:sz w:val="28"/>
          <w:szCs w:val="28"/>
          <w14:textFill>
            <w14:solidFill>
              <w14:schemeClr w14:val="tx1"/>
            </w14:solidFill>
          </w14:textFill>
        </w:rPr>
        <w:t>的机械伤害、</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触电、灼烫、淹溺；柴油罐巡检维护过程中的高处坠落</w:t>
      </w:r>
      <w:r>
        <w:rPr>
          <w:rFonts w:hint="eastAsia" w:ascii="宋体" w:hAnsi="宋体" w:eastAsia="宋体" w:cs="宋体"/>
          <w:snapToGrid w:val="0"/>
          <w:color w:val="000000" w:themeColor="text1"/>
          <w:kern w:val="0"/>
          <w:sz w:val="28"/>
          <w:szCs w:val="28"/>
          <w14:textFill>
            <w14:solidFill>
              <w14:schemeClr w14:val="tx1"/>
            </w14:solidFill>
          </w14:textFill>
        </w:rPr>
        <w:t>等事故危险程度均为“稍有危险”，也应引起注</w:t>
      </w:r>
      <w:r>
        <w:rPr>
          <w:rFonts w:hint="default" w:ascii="Times New Roman" w:hAnsi="Times New Roman" w:cs="Times New Roman"/>
          <w:snapToGrid w:val="0"/>
          <w:color w:val="000000" w:themeColor="text1"/>
          <w:kern w:val="0"/>
          <w:sz w:val="28"/>
          <w:szCs w:val="28"/>
          <w14:textFill>
            <w14:solidFill>
              <w14:schemeClr w14:val="tx1"/>
            </w14:solidFill>
          </w14:textFill>
        </w:rPr>
        <w:t>意。</w:t>
      </w:r>
      <w:bookmarkEnd w:id="117"/>
      <w:bookmarkStart w:id="118" w:name="_Toc281310750"/>
      <w:bookmarkStart w:id="119" w:name="_Toc446488251"/>
    </w:p>
    <w:p>
      <w:pPr>
        <w:pStyle w:val="4"/>
        <w:adjustRightInd w:val="0"/>
        <w:snapToGrid w:val="0"/>
        <w:spacing w:before="0" w:after="0" w:line="360" w:lineRule="auto"/>
        <w:rPr>
          <w:rFonts w:ascii="Times New Roman" w:hAnsi="Times New Roman" w:eastAsia="楷体_GB2312"/>
          <w:color w:val="auto"/>
          <w:sz w:val="28"/>
          <w:szCs w:val="28"/>
        </w:rPr>
      </w:pPr>
      <w:bookmarkStart w:id="120" w:name="_Toc2967"/>
      <w:r>
        <w:rPr>
          <w:rFonts w:hint="eastAsia" w:ascii="Times New Roman" w:hAnsi="Times New Roman"/>
          <w:b w:val="0"/>
          <w:bCs/>
          <w:color w:val="auto"/>
          <w:szCs w:val="32"/>
        </w:rPr>
        <w:t>5.</w:t>
      </w:r>
      <w:r>
        <w:rPr>
          <w:rFonts w:hint="eastAsia" w:ascii="Times New Roman" w:hAnsi="Times New Roman"/>
          <w:b w:val="0"/>
          <w:bCs/>
          <w:color w:val="auto"/>
          <w:szCs w:val="32"/>
          <w:lang w:val="en-US" w:eastAsia="zh-CN"/>
        </w:rPr>
        <w:t>3</w:t>
      </w:r>
      <w:r>
        <w:rPr>
          <w:rFonts w:hint="eastAsia" w:ascii="Times New Roman" w:hAnsi="Times New Roman"/>
          <w:b w:val="0"/>
          <w:bCs/>
          <w:color w:val="auto"/>
          <w:szCs w:val="32"/>
        </w:rPr>
        <w:t xml:space="preserve"> 管理单元安全检查表</w:t>
      </w:r>
      <w:bookmarkEnd w:id="118"/>
      <w:bookmarkEnd w:id="119"/>
      <w:bookmarkEnd w:id="120"/>
    </w:p>
    <w:p>
      <w:pPr>
        <w:adjustRightInd w:val="0"/>
        <w:snapToGrid w:val="0"/>
        <w:spacing w:line="360" w:lineRule="auto"/>
        <w:ind w:firstLine="560" w:firstLineChars="200"/>
        <w:rPr>
          <w:color w:val="auto"/>
          <w:sz w:val="28"/>
        </w:rPr>
      </w:pPr>
      <w:r>
        <w:rPr>
          <w:rFonts w:hint="default" w:ascii="Times New Roman" w:hAnsi="Times New Roman" w:cs="Times New Roman"/>
          <w:color w:val="000000" w:themeColor="text1"/>
          <w:sz w:val="28"/>
          <w14:textFill>
            <w14:solidFill>
              <w14:schemeClr w14:val="tx1"/>
            </w14:solidFill>
          </w14:textFill>
        </w:rPr>
        <w:t>本节根据《中华人民共和国安全生产法》（中华人民共和国主席令[2014]第13号</w:t>
      </w:r>
      <w:r>
        <w:rPr>
          <w:rFonts w:hint="default"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[20</w:t>
      </w:r>
      <w:r>
        <w:rPr>
          <w:rFonts w:hint="default" w:ascii="Times New Roman" w:hAnsi="Times New Roman" w:cs="Times New Roman"/>
          <w:color w:val="000000" w:themeColor="text1"/>
          <w:sz w:val="28"/>
          <w:lang w:val="en-US" w:eastAsia="zh-CN"/>
          <w14:textFill>
            <w14:solidFill>
              <w14:schemeClr w14:val="tx1"/>
            </w14:solidFill>
          </w14:textFill>
        </w:rPr>
        <w:t>21</w:t>
      </w:r>
      <w:r>
        <w:rPr>
          <w:rFonts w:hint="default" w:ascii="Times New Roman" w:hAnsi="Times New Roman" w:cs="Times New Roman"/>
          <w:color w:val="000000" w:themeColor="text1"/>
          <w:sz w:val="28"/>
          <w14:textFill>
            <w14:solidFill>
              <w14:schemeClr w14:val="tx1"/>
            </w14:solidFill>
          </w14:textFill>
        </w:rPr>
        <w:t>]第</w:t>
      </w:r>
      <w:r>
        <w:rPr>
          <w:rFonts w:hint="default" w:ascii="Times New Roman" w:hAnsi="Times New Roman" w:cs="Times New Roman"/>
          <w:color w:val="000000" w:themeColor="text1"/>
          <w:sz w:val="28"/>
          <w:lang w:val="en-US" w:eastAsia="zh-CN"/>
          <w14:textFill>
            <w14:solidFill>
              <w14:schemeClr w14:val="tx1"/>
            </w14:solidFill>
          </w14:textFill>
        </w:rPr>
        <w:t>88号令修订</w:t>
      </w:r>
      <w:r>
        <w:rPr>
          <w:rFonts w:hint="default" w:ascii="Times New Roman" w:hAnsi="Times New Roman" w:cs="Times New Roman"/>
          <w:color w:val="000000" w:themeColor="text1"/>
          <w:sz w:val="28"/>
          <w14:textFill>
            <w14:solidFill>
              <w14:schemeClr w14:val="tx1"/>
            </w14:solidFill>
          </w14:textFill>
        </w:rPr>
        <w:t>）、《石油天然气安全规程》（AQ2012-2007）、《生产安全事故应急预案管理办法》（国家安全生产监督管理总局令[2016]第88号，应急管理部令</w:t>
      </w:r>
      <w:r>
        <w:rPr>
          <w:rFonts w:hint="default"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2019</w:t>
      </w:r>
      <w:r>
        <w:rPr>
          <w:rFonts w:hint="default"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第2号修改）等法律法规，对本项目安全管理单元进行安全评价，具体评价过程见表5-</w:t>
      </w:r>
      <w:r>
        <w:rPr>
          <w:rFonts w:hint="eastAsia" w:cs="Times New Roman"/>
          <w:color w:val="000000" w:themeColor="text1"/>
          <w:sz w:val="28"/>
          <w:lang w:val="en-US" w:eastAsia="zh-CN"/>
          <w14:textFill>
            <w14:solidFill>
              <w14:schemeClr w14:val="tx1"/>
            </w14:solidFill>
          </w14:textFill>
        </w:rPr>
        <w:t>8</w:t>
      </w:r>
      <w:r>
        <w:rPr>
          <w:rFonts w:hint="default" w:ascii="Times New Roman" w:hAnsi="Times New Roman" w:cs="Times New Roman"/>
          <w:color w:val="000000" w:themeColor="text1"/>
          <w:sz w:val="28"/>
          <w14:textFill>
            <w14:solidFill>
              <w14:schemeClr w14:val="tx1"/>
            </w14:solidFill>
          </w14:textFill>
        </w:rPr>
        <w:t>。</w:t>
      </w:r>
    </w:p>
    <w:p>
      <w:pPr>
        <w:adjustRightInd w:val="0"/>
        <w:snapToGrid w:val="0"/>
        <w:spacing w:line="360" w:lineRule="auto"/>
        <w:ind w:firstLine="480" w:firstLineChars="200"/>
        <w:jc w:val="left"/>
        <w:rPr>
          <w:rFonts w:hint="eastAsia"/>
          <w:b/>
          <w:color w:val="auto"/>
          <w:sz w:val="24"/>
        </w:rPr>
      </w:pPr>
      <w:r>
        <w:rPr>
          <w:rFonts w:hint="eastAsia"/>
          <w:b/>
          <w:color w:val="auto"/>
          <w:sz w:val="24"/>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left="279" w:leftChars="133" w:firstLine="280" w:firstLineChars="100"/>
        <w:textAlignment w:val="auto"/>
        <w:rPr>
          <w:rFonts w:hint="eastAsia" w:cs="Times New Roman"/>
          <w:color w:val="auto"/>
          <w:sz w:val="28"/>
          <w:szCs w:val="28"/>
          <w:lang w:val="en-US" w:eastAsia="zh-CN"/>
        </w:rPr>
      </w:pPr>
      <w:r>
        <w:rPr>
          <w:rFonts w:hint="default" w:ascii="Times New Roman" w:hAnsi="Times New Roman" w:eastAsia="宋体" w:cs="Times New Roman"/>
          <w:color w:val="auto"/>
          <w:sz w:val="28"/>
        </w:rPr>
        <w:t>安全检查表共列出</w:t>
      </w:r>
      <w:r>
        <w:rPr>
          <w:rFonts w:hint="eastAsia" w:ascii="Times New Roman" w:hAnsi="Times New Roman" w:eastAsia="宋体" w:cs="Times New Roman"/>
          <w:color w:val="auto"/>
          <w:sz w:val="28"/>
          <w:lang w:val="en-US" w:eastAsia="zh-CN"/>
        </w:rPr>
        <w:t>3</w:t>
      </w:r>
      <w:r>
        <w:rPr>
          <w:rFonts w:hint="eastAsia" w:cs="Times New Roman"/>
          <w:color w:val="auto"/>
          <w:sz w:val="28"/>
          <w:lang w:val="en-US" w:eastAsia="zh-CN"/>
        </w:rPr>
        <w:t>8</w:t>
      </w:r>
      <w:r>
        <w:rPr>
          <w:rFonts w:hint="default" w:ascii="Times New Roman" w:hAnsi="Times New Roman" w:eastAsia="宋体" w:cs="Times New Roman"/>
          <w:color w:val="auto"/>
          <w:sz w:val="28"/>
        </w:rPr>
        <w:t>项检查内容</w:t>
      </w:r>
      <w:r>
        <w:rPr>
          <w:rFonts w:hint="eastAsia" w:ascii="Times New Roman" w:hAnsi="Times New Roman" w:eastAsia="宋体" w:cs="Times New Roman"/>
          <w:color w:val="auto"/>
          <w:sz w:val="28"/>
          <w:szCs w:val="28"/>
          <w:lang w:eastAsia="zh-CN"/>
        </w:rPr>
        <w:t>，</w:t>
      </w:r>
      <w:r>
        <w:rPr>
          <w:rFonts w:hint="eastAsia" w:cs="Times New Roman"/>
          <w:color w:val="auto"/>
          <w:sz w:val="28"/>
          <w:szCs w:val="28"/>
          <w:lang w:val="en-US" w:eastAsia="zh-CN"/>
        </w:rPr>
        <w:t>其中36项符合，2项不符合：</w:t>
      </w:r>
    </w:p>
    <w:p>
      <w:pPr>
        <w:keepNext w:val="0"/>
        <w:keepLines w:val="0"/>
        <w:pageBreakBefore w:val="0"/>
        <w:widowControl w:val="0"/>
        <w:kinsoku/>
        <w:wordWrap/>
        <w:overflowPunct/>
        <w:topLinePunct w:val="0"/>
        <w:autoSpaceDE/>
        <w:autoSpaceDN/>
        <w:bidi w:val="0"/>
        <w:adjustRightInd w:val="0"/>
        <w:snapToGrid w:val="0"/>
        <w:spacing w:line="360" w:lineRule="auto"/>
        <w:ind w:left="279" w:leftChars="133" w:firstLine="280" w:firstLineChars="100"/>
        <w:textAlignment w:val="auto"/>
        <w:rPr>
          <w:rFonts w:hint="eastAsia" w:cs="Times New Roman"/>
          <w:color w:val="auto"/>
          <w:sz w:val="28"/>
          <w:szCs w:val="28"/>
          <w:lang w:val="en-US" w:eastAsia="zh-CN"/>
        </w:rPr>
      </w:pPr>
      <w:r>
        <w:rPr>
          <w:rFonts w:hint="eastAsia" w:cs="Times New Roman"/>
          <w:color w:val="auto"/>
          <w:sz w:val="28"/>
          <w:szCs w:val="28"/>
          <w:lang w:val="en-US" w:eastAsia="zh-CN"/>
        </w:rPr>
        <w:t>1、该公司针对从业人员制定了2022年安全教育培训计划，但培训学时和培训内容不满足《生产经营单位安全培训规定》（国家安全监督管理总局令[2006]第3号，2015修订版）的要求。</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rPr>
      </w:pPr>
      <w:r>
        <w:rPr>
          <w:rFonts w:hint="default" w:ascii="Times New Roman" w:hAnsi="Times New Roman" w:eastAsia="宋体" w:cs="Times New Roman"/>
          <w:sz w:val="28"/>
          <w:szCs w:val="28"/>
          <w:lang w:val="en-US" w:eastAsia="zh-CN"/>
        </w:rPr>
        <w:t>2、该公司2022年生产安全事故应急演练计划中的演练频次不满足《山东省生产安全事故应急办法》的要求。</w:t>
      </w:r>
    </w:p>
    <w:p>
      <w:pPr>
        <w:widowControl/>
        <w:jc w:val="left"/>
        <w:rPr>
          <w:color w:val="0070C0"/>
          <w:sz w:val="28"/>
          <w:szCs w:val="28"/>
        </w:rPr>
      </w:pPr>
      <w:r>
        <w:rPr>
          <w:color w:val="0070C0"/>
          <w:sz w:val="28"/>
          <w:szCs w:val="28"/>
        </w:rPr>
        <w:br w:type="page"/>
      </w:r>
    </w:p>
    <w:p>
      <w:pPr>
        <w:pStyle w:val="3"/>
        <w:adjustRightInd w:val="0"/>
        <w:snapToGrid w:val="0"/>
        <w:spacing w:line="360" w:lineRule="auto"/>
        <w:rPr>
          <w:rFonts w:eastAsia="楷体_GB2312"/>
          <w:b/>
          <w:color w:val="auto"/>
          <w:sz w:val="36"/>
          <w:szCs w:val="36"/>
        </w:rPr>
      </w:pPr>
      <w:bookmarkStart w:id="121" w:name="_Toc9027"/>
      <w:bookmarkStart w:id="122" w:name="_Toc281310753"/>
      <w:r>
        <w:rPr>
          <w:rFonts w:eastAsia="楷体_GB2312"/>
          <w:b/>
          <w:color w:val="auto"/>
          <w:sz w:val="36"/>
          <w:szCs w:val="36"/>
        </w:rPr>
        <w:t>6</w:t>
      </w:r>
      <w:r>
        <w:rPr>
          <w:rFonts w:hint="eastAsia" w:eastAsia="楷体_GB2312"/>
          <w:b/>
          <w:color w:val="auto"/>
          <w:sz w:val="36"/>
          <w:szCs w:val="36"/>
        </w:rPr>
        <w:t xml:space="preserve"> </w:t>
      </w:r>
      <w:r>
        <w:rPr>
          <w:rFonts w:hint="eastAsia" w:ascii="宋体" w:hAnsi="宋体" w:eastAsia="宋体" w:cs="宋体"/>
          <w:b/>
          <w:color w:val="auto"/>
          <w:sz w:val="36"/>
          <w:szCs w:val="36"/>
        </w:rPr>
        <w:t>安全对策措施与管理建议</w:t>
      </w:r>
      <w:bookmarkEnd w:id="121"/>
      <w:bookmarkEnd w:id="122"/>
    </w:p>
    <w:p>
      <w:pPr>
        <w:pStyle w:val="4"/>
        <w:adjustRightInd w:val="0"/>
        <w:snapToGrid w:val="0"/>
        <w:spacing w:before="0" w:after="0" w:line="360" w:lineRule="auto"/>
        <w:rPr>
          <w:rFonts w:ascii="Times New Roman" w:hAnsi="Times New Roman" w:eastAsia="楷体_GB2312"/>
          <w:color w:val="auto"/>
          <w:sz w:val="28"/>
          <w:szCs w:val="28"/>
        </w:rPr>
      </w:pPr>
      <w:bookmarkStart w:id="123" w:name="_Toc18088"/>
      <w:bookmarkStart w:id="124" w:name="_Toc281310754"/>
      <w:bookmarkStart w:id="125" w:name="_Toc281310755"/>
      <w:r>
        <w:rPr>
          <w:rFonts w:ascii="Times New Roman" w:hAnsi="Times New Roman"/>
          <w:b w:val="0"/>
          <w:bCs/>
          <w:color w:val="auto"/>
          <w:szCs w:val="32"/>
        </w:rPr>
        <w:t>6</w:t>
      </w:r>
      <w:r>
        <w:rPr>
          <w:rFonts w:hint="eastAsia" w:ascii="Times New Roman" w:hAnsi="Times New Roman"/>
          <w:b w:val="0"/>
          <w:bCs/>
          <w:color w:val="auto"/>
          <w:szCs w:val="32"/>
        </w:rPr>
        <w:t xml:space="preserve">.1 </w:t>
      </w:r>
      <w:r>
        <w:rPr>
          <w:rFonts w:hint="eastAsia" w:ascii="Times New Roman" w:hAnsi="Times New Roman"/>
          <w:b w:val="0"/>
          <w:bCs/>
          <w:color w:val="auto"/>
          <w:szCs w:val="32"/>
          <w:highlight w:val="none"/>
        </w:rPr>
        <w:t>安全对策措施</w:t>
      </w:r>
      <w:bookmarkEnd w:id="123"/>
      <w:bookmarkEnd w:id="124"/>
    </w:p>
    <w:p>
      <w:pPr>
        <w:keepNext w:val="0"/>
        <w:keepLines w:val="0"/>
        <w:pageBreakBefore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rPr>
        <w:t>本次评价中发现的尚未完善或不符合要求的内容需整改如下：</w:t>
      </w:r>
    </w:p>
    <w:p>
      <w:pPr>
        <w:keepNext w:val="0"/>
        <w:keepLines w:val="0"/>
        <w:pageBreakBefore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1、复合气二队作业井场值班室、复合发生器控制室距离井口的安全防火间距小于30m。</w:t>
      </w:r>
    </w:p>
    <w:p>
      <w:pPr>
        <w:keepNext w:val="0"/>
        <w:keepLines w:val="0"/>
        <w:pageBreakBefore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lang w:val="en-US" w:eastAsia="zh-CN"/>
        </w:rPr>
        <w:t>2、排液池距井口距离小于25m。</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 xml:space="preserve">3. </w:t>
      </w:r>
      <w:r>
        <w:rPr>
          <w:rFonts w:hint="eastAsia"/>
          <w:color w:val="auto"/>
          <w:sz w:val="28"/>
          <w:szCs w:val="28"/>
          <w:lang w:val="en-US" w:eastAsia="zh-CN"/>
        </w:rPr>
        <w:t>复合气二队</w:t>
      </w:r>
      <w:r>
        <w:rPr>
          <w:rFonts w:hint="eastAsia"/>
          <w:color w:val="000000" w:themeColor="text1"/>
          <w:sz w:val="28"/>
          <w:szCs w:val="28"/>
          <w:lang w:val="en-US" w:eastAsia="zh-CN"/>
          <w14:textFill>
            <w14:solidFill>
              <w14:schemeClr w14:val="tx1"/>
            </w14:solidFill>
          </w14:textFill>
        </w:rPr>
        <w:t>井场内两个紧急集合点放在同一个地方。</w:t>
      </w:r>
    </w:p>
    <w:p>
      <w:pPr>
        <w:adjustRightInd w:val="0"/>
        <w:snapToGrid w:val="0"/>
        <w:spacing w:line="360" w:lineRule="auto"/>
        <w:ind w:firstLine="560" w:firstLineChars="200"/>
        <w:rPr>
          <w:rFonts w:hint="default"/>
          <w:color w:val="auto"/>
          <w:sz w:val="28"/>
          <w:szCs w:val="28"/>
          <w:lang w:val="en-US" w:eastAsia="zh-CN"/>
        </w:rPr>
      </w:pPr>
      <w:r>
        <w:rPr>
          <w:rFonts w:hint="eastAsia"/>
          <w:color w:val="000000" w:themeColor="text1"/>
          <w:sz w:val="28"/>
          <w:szCs w:val="28"/>
          <w:lang w:val="en-US" w:eastAsia="zh-CN"/>
          <w14:textFill>
            <w14:solidFill>
              <w14:schemeClr w14:val="tx1"/>
            </w14:solidFill>
          </w14:textFill>
        </w:rPr>
        <w:t xml:space="preserve">4. </w:t>
      </w:r>
      <w:r>
        <w:rPr>
          <w:rFonts w:hint="eastAsia"/>
          <w:color w:val="auto"/>
          <w:sz w:val="28"/>
          <w:szCs w:val="28"/>
          <w:lang w:val="en-US" w:eastAsia="zh-CN"/>
        </w:rPr>
        <w:t>复合气二队作业现场的2022年应急演练计划未按照公司最新版应急预案制定。</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lang w:val="en-US" w:eastAsia="zh-CN"/>
        </w:rPr>
        <w:t>5</w:t>
      </w:r>
      <w:r>
        <w:rPr>
          <w:color w:val="auto"/>
          <w:sz w:val="28"/>
          <w:szCs w:val="28"/>
        </w:rPr>
        <w:t>.</w:t>
      </w:r>
      <w:r>
        <w:rPr>
          <w:rFonts w:hint="eastAsia"/>
          <w:color w:val="auto"/>
          <w:sz w:val="28"/>
          <w:szCs w:val="28"/>
        </w:rPr>
        <w:t xml:space="preserve"> </w:t>
      </w:r>
      <w:r>
        <w:rPr>
          <w:rFonts w:hint="eastAsia"/>
          <w:color w:val="auto"/>
          <w:sz w:val="28"/>
          <w:szCs w:val="28"/>
          <w:lang w:val="en-US" w:eastAsia="zh-CN"/>
        </w:rPr>
        <w:t>华曦注汽一队作业井场缺少“防止中毒”的安全警示标志</w:t>
      </w:r>
      <w:r>
        <w:rPr>
          <w:rFonts w:hint="eastAsia"/>
          <w:color w:val="auto"/>
          <w:sz w:val="28"/>
          <w:szCs w:val="28"/>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 xml:space="preserve">6. </w:t>
      </w:r>
      <w:r>
        <w:rPr>
          <w:rFonts w:hint="eastAsia"/>
          <w:color w:val="auto"/>
          <w:sz w:val="28"/>
          <w:szCs w:val="28"/>
          <w:lang w:val="en-US" w:eastAsia="zh-CN"/>
        </w:rPr>
        <w:t>华曦注汽一队、复合气二队</w:t>
      </w:r>
      <w:r>
        <w:rPr>
          <w:rFonts w:hint="eastAsia"/>
          <w:color w:val="000000" w:themeColor="text1"/>
          <w:sz w:val="28"/>
          <w:szCs w:val="28"/>
          <w:lang w:val="en-US" w:eastAsia="zh-CN"/>
          <w14:textFill>
            <w14:solidFill>
              <w14:schemeClr w14:val="tx1"/>
            </w14:solidFill>
          </w14:textFill>
        </w:rPr>
        <w:t>配电箱</w:t>
      </w:r>
      <w:r>
        <w:rPr>
          <w:rFonts w:hint="eastAsia"/>
          <w:color w:val="000000" w:themeColor="text1"/>
          <w:sz w:val="28"/>
          <w:szCs w:val="28"/>
          <w:lang w:eastAsia="zh-CN"/>
          <w14:textFill>
            <w14:solidFill>
              <w14:schemeClr w14:val="tx1"/>
            </w14:solidFill>
          </w14:textFill>
        </w:rPr>
        <w:t>未</w:t>
      </w:r>
      <w:r>
        <w:rPr>
          <w:rFonts w:hint="eastAsia"/>
          <w:color w:val="000000" w:themeColor="text1"/>
          <w:sz w:val="28"/>
          <w:szCs w:val="28"/>
          <w:lang w:val="en-US" w:eastAsia="zh-CN"/>
          <w14:textFill>
            <w14:solidFill>
              <w14:schemeClr w14:val="tx1"/>
            </w14:solidFill>
          </w14:textFill>
        </w:rPr>
        <w:t>由持证人员定期检查和维修。</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lang w:val="en-US" w:eastAsia="zh-CN"/>
        </w:rPr>
      </w:pPr>
      <w:r>
        <w:rPr>
          <w:rFonts w:hint="eastAsia"/>
          <w:color w:val="000000" w:themeColor="text1"/>
          <w:sz w:val="28"/>
          <w:szCs w:val="28"/>
          <w:lang w:val="en-US" w:eastAsia="zh-CN"/>
          <w14:textFill>
            <w14:solidFill>
              <w14:schemeClr w14:val="tx1"/>
            </w14:solidFill>
          </w14:textFill>
        </w:rPr>
        <w:t xml:space="preserve">7. </w:t>
      </w:r>
      <w:r>
        <w:rPr>
          <w:rFonts w:hint="eastAsia"/>
          <w:color w:val="auto"/>
          <w:sz w:val="28"/>
          <w:szCs w:val="28"/>
          <w:lang w:val="en-US" w:eastAsia="zh-CN"/>
        </w:rPr>
        <w:t>该公司针对从业人员制定了2022年安全教育培训计划，但培训学时和培训内容不满足《生产经营单位安全培训规定》（国家安全监督管理总局令[2006]第3号，2015修订版）的要求。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 xml:space="preserve">8. </w:t>
      </w:r>
      <w:r>
        <w:rPr>
          <w:rFonts w:hint="default" w:ascii="Times New Roman" w:hAnsi="Times New Roman" w:eastAsia="宋体" w:cs="Times New Roman"/>
          <w:sz w:val="28"/>
          <w:szCs w:val="28"/>
          <w:lang w:val="en-US" w:eastAsia="zh-CN"/>
        </w:rPr>
        <w:t>该公司2022年生产安全事故应急演练计划中的演练频次不满足《山东省生产安全事故应急办法》（山东省人民政府令[2021]第341号）的要求。</w:t>
      </w:r>
    </w:p>
    <w:p>
      <w:pPr>
        <w:adjustRightInd w:val="0"/>
        <w:snapToGrid w:val="0"/>
        <w:spacing w:line="360" w:lineRule="auto"/>
        <w:ind w:firstLine="560" w:firstLineChars="200"/>
        <w:rPr>
          <w:color w:val="0070C0"/>
          <w:sz w:val="28"/>
          <w:szCs w:val="28"/>
        </w:rPr>
      </w:pPr>
      <w:r>
        <w:rPr>
          <w:rFonts w:hint="eastAsia"/>
          <w:color w:val="auto"/>
          <w:sz w:val="28"/>
          <w:szCs w:val="28"/>
        </w:rPr>
        <w:t>企业整改情况见第</w:t>
      </w:r>
      <w:r>
        <w:rPr>
          <w:rFonts w:hint="eastAsia"/>
          <w:color w:val="auto"/>
          <w:sz w:val="28"/>
          <w:szCs w:val="28"/>
          <w:lang w:val="en-US" w:eastAsia="zh-CN"/>
        </w:rPr>
        <w:t>7</w:t>
      </w:r>
      <w:r>
        <w:rPr>
          <w:rFonts w:hint="eastAsia"/>
          <w:color w:val="auto"/>
          <w:sz w:val="28"/>
          <w:szCs w:val="28"/>
        </w:rPr>
        <w:t>章隐患整改复查情况。</w:t>
      </w:r>
    </w:p>
    <w:p>
      <w:pPr>
        <w:pStyle w:val="4"/>
        <w:adjustRightInd w:val="0"/>
        <w:snapToGrid w:val="0"/>
        <w:spacing w:before="0" w:after="0" w:line="360" w:lineRule="auto"/>
        <w:rPr>
          <w:rFonts w:ascii="Times New Roman" w:hAnsi="Times New Roman"/>
          <w:b w:val="0"/>
          <w:bCs/>
          <w:color w:val="auto"/>
          <w:szCs w:val="32"/>
        </w:rPr>
      </w:pPr>
      <w:bookmarkStart w:id="126" w:name="_Toc31085"/>
      <w:r>
        <w:rPr>
          <w:rFonts w:ascii="Times New Roman" w:hAnsi="Times New Roman"/>
          <w:b w:val="0"/>
          <w:bCs/>
          <w:color w:val="auto"/>
          <w:szCs w:val="32"/>
        </w:rPr>
        <w:t>6</w:t>
      </w:r>
      <w:r>
        <w:rPr>
          <w:rFonts w:hint="eastAsia" w:ascii="Times New Roman" w:hAnsi="Times New Roman"/>
          <w:b w:val="0"/>
          <w:bCs/>
          <w:color w:val="auto"/>
          <w:szCs w:val="32"/>
        </w:rPr>
        <w:t>.2 安全管理建议</w:t>
      </w:r>
      <w:bookmarkEnd w:id="125"/>
      <w:bookmarkEnd w:id="126"/>
    </w:p>
    <w:p>
      <w:pPr>
        <w:adjustRightInd w:val="0"/>
        <w:snapToGrid w:val="0"/>
        <w:spacing w:line="360" w:lineRule="auto"/>
        <w:ind w:firstLine="560" w:firstLineChars="200"/>
        <w:rPr>
          <w:color w:val="auto"/>
          <w:sz w:val="28"/>
          <w:szCs w:val="28"/>
        </w:rPr>
      </w:pPr>
      <w:r>
        <w:rPr>
          <w:rFonts w:hint="eastAsia"/>
          <w:color w:val="auto"/>
          <w:sz w:val="28"/>
          <w:szCs w:val="28"/>
        </w:rPr>
        <w:t>针对本次评价中发现的问题，提出以下建议措施：</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1</w:t>
      </w:r>
      <w:r>
        <w:rPr>
          <w:rFonts w:hint="eastAsia"/>
          <w:color w:val="auto"/>
          <w:sz w:val="28"/>
          <w:szCs w:val="28"/>
        </w:rPr>
        <w:t>.进一步落实各种安全管理制度和操作规程的执行情况，做好相应记录并存档。</w:t>
      </w:r>
    </w:p>
    <w:p>
      <w:pPr>
        <w:adjustRightInd w:val="0"/>
        <w:snapToGrid w:val="0"/>
        <w:spacing w:line="360" w:lineRule="auto"/>
        <w:ind w:firstLine="560" w:firstLineChars="200"/>
        <w:rPr>
          <w:rFonts w:hint="eastAsia"/>
          <w:color w:val="auto"/>
          <w:sz w:val="28"/>
          <w:szCs w:val="28"/>
        </w:rPr>
      </w:pPr>
      <w:r>
        <w:rPr>
          <w:rFonts w:hint="eastAsia"/>
          <w:color w:val="auto"/>
          <w:sz w:val="28"/>
          <w:szCs w:val="28"/>
          <w:lang w:val="en-US" w:eastAsia="zh-CN"/>
        </w:rPr>
        <w:t>2</w:t>
      </w:r>
      <w:r>
        <w:rPr>
          <w:rFonts w:hint="eastAsia"/>
          <w:color w:val="auto"/>
          <w:sz w:val="28"/>
          <w:szCs w:val="28"/>
        </w:rPr>
        <w:t>.公司</w:t>
      </w:r>
      <w:r>
        <w:rPr>
          <w:rFonts w:hint="eastAsia"/>
          <w:color w:val="auto"/>
          <w:sz w:val="28"/>
          <w:szCs w:val="28"/>
          <w:lang w:val="en-US" w:eastAsia="zh-CN"/>
        </w:rPr>
        <w:t>要</w:t>
      </w:r>
      <w:r>
        <w:rPr>
          <w:rFonts w:hint="eastAsia"/>
          <w:color w:val="auto"/>
          <w:sz w:val="28"/>
          <w:szCs w:val="28"/>
        </w:rPr>
        <w:t>加强对承包商的管理，</w:t>
      </w:r>
      <w:r>
        <w:rPr>
          <w:rFonts w:hint="eastAsia"/>
          <w:color w:val="auto"/>
          <w:sz w:val="28"/>
          <w:szCs w:val="28"/>
          <w:lang w:val="en-US" w:eastAsia="zh-CN"/>
        </w:rPr>
        <w:t>定期</w:t>
      </w:r>
      <w:r>
        <w:rPr>
          <w:rFonts w:hint="eastAsia"/>
          <w:color w:val="auto"/>
          <w:sz w:val="28"/>
          <w:szCs w:val="28"/>
        </w:rPr>
        <w:t>组织开展承包商培训学习，加强现场作业时的监督检查，承包商进入现场作业人员需要取得井控培训合格证、硫化氢防护技术培训证书及HSE培训证书。</w:t>
      </w:r>
    </w:p>
    <w:p>
      <w:pPr>
        <w:adjustRightInd w:val="0"/>
        <w:snapToGrid w:val="0"/>
        <w:spacing w:line="360" w:lineRule="auto"/>
        <w:ind w:firstLine="560" w:firstLineChars="200"/>
        <w:rPr>
          <w:rFonts w:hint="eastAsia"/>
          <w:color w:val="auto"/>
          <w:sz w:val="28"/>
          <w:szCs w:val="28"/>
        </w:rPr>
      </w:pPr>
      <w:r>
        <w:rPr>
          <w:rFonts w:hint="eastAsia"/>
          <w:color w:val="auto"/>
          <w:sz w:val="28"/>
          <w:szCs w:val="28"/>
          <w:lang w:val="en-US" w:eastAsia="zh-CN"/>
        </w:rPr>
        <w:t>3</w:t>
      </w:r>
      <w:r>
        <w:rPr>
          <w:rFonts w:hint="eastAsia"/>
          <w:color w:val="auto"/>
          <w:sz w:val="28"/>
          <w:szCs w:val="28"/>
        </w:rPr>
        <w:t>.应加强对作业人员的培训取证工作，定期组织教育、练兵、应急演练等活动，以提高员工的安全意识和岗位操作技能。此外应掌握新入职员工与证书即将到期的员工的情况，及时进行相应岗位的培训并在取得相应资格证书后再安排进入井场作业。</w:t>
      </w: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lang w:val="en-US" w:eastAsia="zh-CN"/>
        </w:rPr>
      </w:pPr>
      <w:r>
        <w:rPr>
          <w:rFonts w:hint="eastAsia"/>
          <w:color w:val="auto"/>
          <w:sz w:val="28"/>
          <w:szCs w:val="28"/>
          <w:lang w:val="en-US" w:eastAsia="zh-CN"/>
        </w:rPr>
        <w:t>4.按照相关标准规范，及时修订符合公司实际的安全教育培训计划，按照计划进行培训，并做好培训资料的收集和保存工作。</w:t>
      </w:r>
    </w:p>
    <w:p>
      <w:pPr>
        <w:pStyle w:val="2"/>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5.及时按照新版应急预案修订应急演练计划，并按照计划进行演练，规范应急演练相关资料的填写，同时做好相关资料的保存工作。</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6</w:t>
      </w:r>
      <w:r>
        <w:rPr>
          <w:rFonts w:hint="eastAsia"/>
          <w:color w:val="auto"/>
          <w:sz w:val="28"/>
          <w:szCs w:val="28"/>
        </w:rPr>
        <w:t>.进一步完善公司的应急救援预案，及时更新应急救援小组的联系方式及小组成员的职责。</w:t>
      </w:r>
    </w:p>
    <w:p>
      <w:pPr>
        <w:adjustRightInd w:val="0"/>
        <w:snapToGrid w:val="0"/>
        <w:spacing w:line="360" w:lineRule="auto"/>
        <w:ind w:firstLine="560" w:firstLineChars="200"/>
        <w:rPr>
          <w:rFonts w:hint="eastAsia"/>
          <w:color w:val="auto"/>
          <w:sz w:val="28"/>
          <w:szCs w:val="28"/>
        </w:rPr>
      </w:pPr>
      <w:r>
        <w:rPr>
          <w:rFonts w:hint="eastAsia"/>
          <w:color w:val="auto"/>
          <w:sz w:val="28"/>
          <w:szCs w:val="28"/>
          <w:lang w:val="en-US" w:eastAsia="zh-CN"/>
        </w:rPr>
        <w:t>7</w:t>
      </w:r>
      <w:r>
        <w:rPr>
          <w:rFonts w:hint="eastAsia"/>
          <w:color w:val="auto"/>
          <w:sz w:val="28"/>
          <w:szCs w:val="28"/>
        </w:rPr>
        <w:t>.做好应急救援预案的演练记录，</w:t>
      </w:r>
      <w:r>
        <w:rPr>
          <w:rFonts w:hint="eastAsia"/>
          <w:color w:val="auto"/>
          <w:sz w:val="28"/>
          <w:szCs w:val="28"/>
          <w:lang w:val="en-US" w:eastAsia="zh-CN"/>
        </w:rPr>
        <w:t>演练前，要进行相关的培训，</w:t>
      </w:r>
      <w:r>
        <w:rPr>
          <w:rFonts w:hint="eastAsia"/>
          <w:color w:val="auto"/>
          <w:sz w:val="28"/>
          <w:szCs w:val="28"/>
        </w:rPr>
        <w:t>演练后，</w:t>
      </w:r>
      <w:r>
        <w:rPr>
          <w:rFonts w:hint="eastAsia"/>
          <w:color w:val="auto"/>
          <w:sz w:val="28"/>
          <w:szCs w:val="28"/>
          <w:lang w:val="en-US" w:eastAsia="zh-CN"/>
        </w:rPr>
        <w:t>要</w:t>
      </w:r>
      <w:r>
        <w:rPr>
          <w:rFonts w:hint="eastAsia"/>
          <w:color w:val="auto"/>
          <w:sz w:val="28"/>
          <w:szCs w:val="28"/>
        </w:rPr>
        <w:t>对预案进行评估，找出存在不足和缺陷并进行修改。</w:t>
      </w:r>
    </w:p>
    <w:p>
      <w:pPr>
        <w:adjustRightInd w:val="0"/>
        <w:snapToGrid w:val="0"/>
        <w:spacing w:line="360" w:lineRule="auto"/>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8.</w:t>
      </w:r>
      <w:r>
        <w:rPr>
          <w:rFonts w:hint="eastAsia"/>
          <w:color w:val="000000" w:themeColor="text1"/>
          <w:sz w:val="28"/>
          <w:szCs w:val="28"/>
          <w14:textFill>
            <w14:solidFill>
              <w14:schemeClr w14:val="tx1"/>
            </w14:solidFill>
          </w14:textFill>
        </w:rPr>
        <w:t>所有作业人员必须参加“晨会”，并由本人在会议记录上签名。“晨会”主要内容、员工签到等资料应齐全并存档备查。</w:t>
      </w:r>
    </w:p>
    <w:p>
      <w:pPr>
        <w:adjustRightInd w:val="0"/>
        <w:snapToGrid w:val="0"/>
        <w:spacing w:line="360" w:lineRule="auto"/>
        <w:ind w:firstLine="560" w:firstLineChars="200"/>
      </w:pPr>
      <w:r>
        <w:rPr>
          <w:rFonts w:hint="eastAsia"/>
          <w:color w:val="000000" w:themeColor="text1"/>
          <w:sz w:val="28"/>
          <w:szCs w:val="28"/>
          <w:lang w:val="en-US" w:eastAsia="zh-CN"/>
          <w14:textFill>
            <w14:solidFill>
              <w14:schemeClr w14:val="tx1"/>
            </w14:solidFill>
          </w14:textFill>
        </w:rPr>
        <w:t>9.按照《企业安全生产费用提取和使用管理办法》（财资[2022]136号）的要求，编制年度企业安全生产费用提取和使用计划，按计划提取和使用安全生产费用</w:t>
      </w:r>
      <w:r>
        <w:rPr>
          <w:rFonts w:hint="eastAsia"/>
          <w:color w:val="000000" w:themeColor="text1"/>
          <w:sz w:val="28"/>
          <w:szCs w:val="28"/>
          <w14:textFill>
            <w14:solidFill>
              <w14:schemeClr w14:val="tx1"/>
            </w14:solidFill>
          </w14:textFill>
        </w:rPr>
        <w:t>。</w:t>
      </w:r>
    </w:p>
    <w:p>
      <w:pPr>
        <w:adjustRightInd w:val="0"/>
        <w:snapToGrid w:val="0"/>
        <w:spacing w:line="360" w:lineRule="auto"/>
        <w:ind w:firstLine="560" w:firstLineChars="200"/>
        <w:rPr>
          <w:rFonts w:hint="eastAsia"/>
          <w:color w:val="auto"/>
          <w:sz w:val="28"/>
          <w:szCs w:val="28"/>
          <w:lang w:val="en-US" w:eastAsia="zh-CN"/>
        </w:rPr>
      </w:pPr>
      <w:r>
        <w:rPr>
          <w:rFonts w:hint="eastAsia"/>
          <w:color w:val="auto"/>
          <w:sz w:val="28"/>
          <w:szCs w:val="28"/>
          <w:lang w:val="en-US" w:eastAsia="zh-CN"/>
        </w:rPr>
        <w:t>10.加强作业井场内的安全管理，设备设施摆放时要注意安全距离，同时要合理摆放井场内告知牌、安全警示牌等标志牌。</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11.复合气作业队要加强柴油罐的安全管理，柴油罐应设有有效的液位计和高低液位报警装置。</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12</w:t>
      </w:r>
      <w:r>
        <w:rPr>
          <w:rFonts w:hint="eastAsia"/>
          <w:color w:val="auto"/>
          <w:sz w:val="28"/>
          <w:szCs w:val="28"/>
        </w:rPr>
        <w:t>.</w:t>
      </w:r>
      <w:r>
        <w:rPr>
          <w:rFonts w:hint="eastAsia"/>
          <w:color w:val="auto"/>
          <w:sz w:val="28"/>
          <w:szCs w:val="28"/>
          <w:lang w:val="en-US" w:eastAsia="zh-CN"/>
        </w:rPr>
        <w:t>加强作业井场内供配电系统的管理，配电箱要由持证人员定期检查、维护并保持记录</w:t>
      </w:r>
      <w:r>
        <w:rPr>
          <w:rFonts w:hint="eastAsia"/>
          <w:color w:val="auto"/>
          <w:sz w:val="28"/>
          <w:szCs w:val="28"/>
        </w:rPr>
        <w:t>。</w:t>
      </w:r>
    </w:p>
    <w:p>
      <w:pPr>
        <w:adjustRightInd w:val="0"/>
        <w:snapToGrid w:val="0"/>
        <w:spacing w:line="360" w:lineRule="auto"/>
        <w:ind w:firstLine="560" w:firstLineChars="200"/>
        <w:rPr>
          <w:color w:val="auto"/>
          <w:sz w:val="28"/>
          <w:szCs w:val="28"/>
        </w:rPr>
      </w:pPr>
      <w:r>
        <w:rPr>
          <w:rFonts w:hint="eastAsia"/>
          <w:color w:val="auto"/>
          <w:sz w:val="28"/>
          <w:szCs w:val="28"/>
          <w:lang w:val="en-US" w:eastAsia="zh-CN"/>
        </w:rPr>
        <w:t>13</w:t>
      </w:r>
      <w:r>
        <w:rPr>
          <w:rFonts w:hint="eastAsia"/>
          <w:color w:val="auto"/>
          <w:sz w:val="28"/>
          <w:szCs w:val="28"/>
        </w:rPr>
        <w:t>.作业时要严格按照操作规程和安全管理规定的内容进行，确保人员安全，防止污染环境；佩戴好劳保用品，防止对人员伤害及环境污染。</w:t>
      </w:r>
    </w:p>
    <w:p>
      <w:pPr>
        <w:adjustRightInd w:val="0"/>
        <w:snapToGrid w:val="0"/>
        <w:spacing w:line="360" w:lineRule="auto"/>
        <w:ind w:firstLine="560" w:firstLineChars="200"/>
        <w:rPr>
          <w:rFonts w:hint="eastAsia"/>
          <w:color w:val="auto"/>
          <w:sz w:val="28"/>
          <w:szCs w:val="28"/>
        </w:rPr>
      </w:pPr>
      <w:r>
        <w:rPr>
          <w:rFonts w:hint="eastAsia"/>
          <w:color w:val="auto"/>
          <w:sz w:val="28"/>
          <w:szCs w:val="28"/>
        </w:rPr>
        <w:t>1</w:t>
      </w:r>
      <w:r>
        <w:rPr>
          <w:rFonts w:hint="eastAsia"/>
          <w:color w:val="auto"/>
          <w:sz w:val="28"/>
          <w:szCs w:val="28"/>
          <w:lang w:val="en-US" w:eastAsia="zh-CN"/>
        </w:rPr>
        <w:t>4</w:t>
      </w:r>
      <w:r>
        <w:rPr>
          <w:rFonts w:hint="eastAsia"/>
          <w:color w:val="auto"/>
          <w:sz w:val="28"/>
          <w:szCs w:val="28"/>
        </w:rPr>
        <w:t>.对施工作业设备设施进行进行定期检测及更新，对气体检测仪和自给开路式压缩空气呼吸器等防护设施定期校验，保证设备设施和防护仪器完好可靠。</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lang w:val="en-US" w:eastAsia="zh-CN"/>
        </w:rPr>
      </w:pPr>
      <w:r>
        <w:rPr>
          <w:rFonts w:hint="eastAsia"/>
          <w:color w:val="auto"/>
          <w:sz w:val="28"/>
          <w:szCs w:val="28"/>
          <w:lang w:val="en-US" w:eastAsia="zh-CN"/>
        </w:rPr>
        <w:t>15.企业应按照《中华人民共和国安全生产法》、《企业安全生产标准化建设定级办法》（应急〔2021〕83号）、《石油行业安全生产标准化 井下作业实施规范》（AQ2041-2012）等文件和标准要求，有序开展安全生产标准化建设和定级工作，不断提升企业安全管理水平。</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 w:val="0"/>
          <w:bCs w:val="0"/>
          <w:sz w:val="28"/>
          <w:szCs w:val="28"/>
          <w:lang w:val="en-US" w:eastAsia="zh-CN"/>
        </w:rPr>
      </w:pPr>
      <w:r>
        <w:rPr>
          <w:rFonts w:hint="eastAsia"/>
          <w:color w:val="auto"/>
          <w:sz w:val="28"/>
          <w:szCs w:val="28"/>
          <w:lang w:val="en-US" w:eastAsia="zh-CN"/>
        </w:rPr>
        <w:t>16.</w:t>
      </w:r>
      <w:r>
        <w:rPr>
          <w:rFonts w:hint="default" w:ascii="Times New Roman" w:hAnsi="Times New Roman" w:cs="Times New Roman"/>
          <w:b w:val="0"/>
          <w:bCs w:val="0"/>
          <w:sz w:val="28"/>
          <w:szCs w:val="28"/>
          <w:lang w:val="en-US" w:eastAsia="zh-CN"/>
        </w:rPr>
        <w:t>企业在安全生产管理过程中</w:t>
      </w:r>
      <w:r>
        <w:rPr>
          <w:rFonts w:hint="eastAsia" w:cs="Times New Roman"/>
          <w:b w:val="0"/>
          <w:bCs w:val="0"/>
          <w:sz w:val="28"/>
          <w:szCs w:val="28"/>
          <w:lang w:val="en-US" w:eastAsia="zh-CN"/>
        </w:rPr>
        <w:t>应</w:t>
      </w:r>
      <w:r>
        <w:rPr>
          <w:rFonts w:hint="default" w:ascii="Times New Roman" w:hAnsi="Times New Roman" w:cs="Times New Roman"/>
          <w:b w:val="0"/>
          <w:bCs w:val="0"/>
          <w:sz w:val="28"/>
          <w:szCs w:val="28"/>
          <w:lang w:val="en-US" w:eastAsia="zh-CN"/>
        </w:rPr>
        <w:t>严格执行《变更管理制度》，并保存相关变更记录和资料。</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 w:val="0"/>
          <w:bCs w:val="0"/>
          <w:sz w:val="28"/>
          <w:szCs w:val="28"/>
          <w:lang w:val="en-US" w:eastAsia="zh-CN"/>
        </w:rPr>
      </w:pPr>
      <w:r>
        <w:rPr>
          <w:rFonts w:hint="eastAsia"/>
          <w:color w:val="auto"/>
          <w:sz w:val="28"/>
          <w:szCs w:val="28"/>
          <w:lang w:val="en-US" w:eastAsia="zh-CN"/>
        </w:rPr>
        <w:t>17.</w:t>
      </w:r>
      <w:r>
        <w:rPr>
          <w:rFonts w:hint="default" w:ascii="Times New Roman" w:hAnsi="Times New Roman" w:cs="Times New Roman"/>
          <w:b w:val="0"/>
          <w:bCs w:val="0"/>
          <w:sz w:val="28"/>
          <w:szCs w:val="28"/>
          <w:lang w:val="en-US" w:eastAsia="zh-CN"/>
        </w:rPr>
        <w:t>企业</w:t>
      </w:r>
      <w:r>
        <w:rPr>
          <w:rFonts w:hint="eastAsia" w:cs="Times New Roman"/>
          <w:b w:val="0"/>
          <w:bCs w:val="0"/>
          <w:sz w:val="28"/>
          <w:szCs w:val="28"/>
          <w:lang w:val="en-US" w:eastAsia="zh-CN"/>
        </w:rPr>
        <w:t>应与相关单位签订能覆盖所有作业区域的应急救援协议</w:t>
      </w:r>
      <w:r>
        <w:rPr>
          <w:rFonts w:hint="default" w:ascii="Times New Roman" w:hAnsi="Times New Roman" w:cs="Times New Roman"/>
          <w:b w:val="0"/>
          <w:bCs w:val="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 w:val="0"/>
          <w:bCs w:val="0"/>
          <w:sz w:val="28"/>
          <w:szCs w:val="28"/>
          <w:lang w:val="en-US" w:eastAsia="zh-CN"/>
        </w:rPr>
      </w:pPr>
    </w:p>
    <w:p>
      <w:pPr>
        <w:pStyle w:val="2"/>
        <w:rPr>
          <w:rFonts w:hint="default"/>
          <w:lang w:val="en-US" w:eastAsia="zh-CN"/>
        </w:rPr>
      </w:pPr>
    </w:p>
    <w:p>
      <w:pPr>
        <w:pStyle w:val="61"/>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rPr>
      </w:pPr>
    </w:p>
    <w:p>
      <w:pPr>
        <w:adjustRightInd w:val="0"/>
        <w:snapToGrid w:val="0"/>
        <w:spacing w:line="360" w:lineRule="auto"/>
        <w:ind w:firstLine="560" w:firstLineChars="200"/>
        <w:rPr>
          <w:color w:val="0070C0"/>
          <w:sz w:val="28"/>
          <w:szCs w:val="28"/>
        </w:rPr>
      </w:pPr>
    </w:p>
    <w:p>
      <w:pPr>
        <w:adjustRightInd w:val="0"/>
        <w:snapToGrid w:val="0"/>
        <w:spacing w:line="360" w:lineRule="auto"/>
        <w:ind w:firstLine="560" w:firstLineChars="200"/>
        <w:rPr>
          <w:color w:val="0070C0"/>
          <w:sz w:val="28"/>
          <w:szCs w:val="28"/>
        </w:rPr>
        <w:sectPr>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adjustRightInd w:val="0"/>
        <w:snapToGrid w:val="0"/>
        <w:spacing w:line="360" w:lineRule="auto"/>
        <w:rPr>
          <w:rFonts w:eastAsia="楷体_GB2312"/>
          <w:b/>
          <w:color w:val="auto"/>
          <w:sz w:val="36"/>
          <w:szCs w:val="36"/>
        </w:rPr>
      </w:pPr>
      <w:bookmarkStart w:id="127" w:name="_Toc299030734"/>
      <w:bookmarkStart w:id="128" w:name="_Toc13746"/>
      <w:bookmarkStart w:id="129" w:name="_Toc297764496"/>
      <w:bookmarkStart w:id="130" w:name="_Toc281310756"/>
      <w:r>
        <w:rPr>
          <w:rFonts w:hint="eastAsia" w:eastAsia="楷体_GB2312"/>
          <w:b/>
          <w:color w:val="auto"/>
          <w:sz w:val="36"/>
          <w:szCs w:val="36"/>
          <w:lang w:val="en-US" w:eastAsia="zh-CN"/>
        </w:rPr>
        <w:t>7</w:t>
      </w:r>
      <w:r>
        <w:rPr>
          <w:rFonts w:hint="eastAsia" w:eastAsia="楷体_GB2312"/>
          <w:b/>
          <w:color w:val="auto"/>
          <w:sz w:val="36"/>
          <w:szCs w:val="36"/>
        </w:rPr>
        <w:t xml:space="preserve"> </w:t>
      </w:r>
      <w:r>
        <w:rPr>
          <w:rFonts w:hint="eastAsia" w:ascii="宋体" w:hAnsi="宋体" w:eastAsia="宋体" w:cs="宋体"/>
          <w:b/>
          <w:color w:val="auto"/>
          <w:sz w:val="36"/>
          <w:szCs w:val="36"/>
        </w:rPr>
        <w:t>隐患整改复查情况</w:t>
      </w:r>
      <w:bookmarkEnd w:id="127"/>
      <w:bookmarkEnd w:id="128"/>
      <w:bookmarkEnd w:id="129"/>
    </w:p>
    <w:p>
      <w:pPr>
        <w:adjustRightInd w:val="0"/>
        <w:snapToGrid w:val="0"/>
        <w:spacing w:line="360" w:lineRule="auto"/>
        <w:ind w:firstLine="560" w:firstLineChars="200"/>
        <w:rPr>
          <w:rFonts w:hint="eastAsia"/>
          <w:color w:val="auto"/>
          <w:sz w:val="28"/>
          <w:szCs w:val="28"/>
        </w:rPr>
      </w:pPr>
      <w:r>
        <w:rPr>
          <w:color w:val="auto"/>
          <w:sz w:val="28"/>
          <w:szCs w:val="28"/>
        </w:rPr>
        <w:t>企业接受了本评价组提出的整改建议，对存在的问题进行了整改，本评价组对企业整改情况进行了现场复查，整改复查情况见</w:t>
      </w:r>
      <w:r>
        <w:rPr>
          <w:rFonts w:hint="eastAsia"/>
          <w:color w:val="auto"/>
          <w:sz w:val="28"/>
          <w:szCs w:val="28"/>
          <w:lang w:val="en-US" w:eastAsia="zh-CN"/>
        </w:rPr>
        <w:t>下</w:t>
      </w:r>
      <w:r>
        <w:rPr>
          <w:color w:val="auto"/>
          <w:sz w:val="28"/>
          <w:szCs w:val="28"/>
        </w:rPr>
        <w:t>表</w:t>
      </w:r>
      <w:r>
        <w:rPr>
          <w:rFonts w:hint="eastAsia"/>
          <w:color w:val="auto"/>
          <w:sz w:val="28"/>
          <w:szCs w:val="28"/>
        </w:rPr>
        <w:t>：</w:t>
      </w:r>
    </w:p>
    <w:p>
      <w:pPr>
        <w:pStyle w:val="61"/>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default" w:eastAsia="宋体"/>
          <w:b/>
          <w:bCs/>
          <w:lang w:val="en-US" w:eastAsia="zh-CN"/>
        </w:rPr>
      </w:pPr>
      <w:r>
        <w:rPr>
          <w:rFonts w:hint="default" w:ascii="Times New Roman" w:hAnsi="Times New Roman" w:eastAsia="宋体" w:cs="Times New Roman"/>
          <w:b/>
          <w:bCs/>
          <w:color w:val="auto"/>
          <w:sz w:val="24"/>
          <w:szCs w:val="24"/>
          <w:lang w:val="en-US" w:eastAsia="zh-CN"/>
        </w:rPr>
        <w:t>表7-1隐患整改情况复查表</w:t>
      </w:r>
    </w:p>
    <w:tbl>
      <w:tblPr>
        <w:tblStyle w:val="52"/>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19"/>
        <w:gridCol w:w="2606"/>
        <w:gridCol w:w="4611"/>
        <w:gridCol w:w="78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04" w:type="pct"/>
            <w:vAlign w:val="center"/>
          </w:tcPr>
          <w:p>
            <w:pPr>
              <w:keepNext w:val="0"/>
              <w:keepLines w:val="0"/>
              <w:numPr>
                <w:ilvl w:val="0"/>
                <w:numId w:val="0"/>
              </w:numPr>
              <w:suppressLineNumbers w:val="0"/>
              <w:adjustRightInd w:val="0"/>
              <w:snapToGrid w:val="0"/>
              <w:spacing w:before="0" w:beforeAutospacing="0" w:after="0" w:afterAutospacing="0"/>
              <w:ind w:left="0" w:leftChars="0" w:right="0" w:rightChars="0"/>
              <w:jc w:val="center"/>
              <w:rPr>
                <w:rFonts w:hint="default"/>
                <w:b/>
                <w:bCs/>
                <w:color w:val="auto"/>
                <w:szCs w:val="21"/>
              </w:rPr>
            </w:pPr>
            <w:r>
              <w:rPr>
                <w:rFonts w:hint="default"/>
                <w:b/>
                <w:bCs/>
                <w:color w:val="auto"/>
                <w:szCs w:val="21"/>
              </w:rPr>
              <w:t>序号</w:t>
            </w:r>
          </w:p>
        </w:tc>
        <w:tc>
          <w:tcPr>
            <w:tcW w:w="1529" w:type="pct"/>
            <w:vAlign w:val="center"/>
          </w:tcPr>
          <w:p>
            <w:pPr>
              <w:keepNext w:val="0"/>
              <w:keepLines w:val="0"/>
              <w:suppressLineNumbers w:val="0"/>
              <w:adjustRightInd w:val="0"/>
              <w:snapToGrid w:val="0"/>
              <w:spacing w:before="0" w:beforeAutospacing="0" w:after="0" w:afterAutospacing="0"/>
              <w:ind w:left="0" w:right="0"/>
              <w:jc w:val="center"/>
              <w:rPr>
                <w:rFonts w:hint="default"/>
                <w:b/>
                <w:bCs/>
                <w:color w:val="auto"/>
                <w:szCs w:val="21"/>
              </w:rPr>
            </w:pPr>
            <w:r>
              <w:rPr>
                <w:rFonts w:hint="default"/>
                <w:b/>
                <w:bCs/>
                <w:color w:val="auto"/>
                <w:szCs w:val="21"/>
              </w:rPr>
              <w:t>存在问题</w:t>
            </w:r>
          </w:p>
        </w:tc>
        <w:tc>
          <w:tcPr>
            <w:tcW w:w="2706" w:type="pct"/>
            <w:vAlign w:val="center"/>
          </w:tcPr>
          <w:p>
            <w:pPr>
              <w:keepNext w:val="0"/>
              <w:keepLines w:val="0"/>
              <w:suppressLineNumbers w:val="0"/>
              <w:adjustRightInd w:val="0"/>
              <w:snapToGrid w:val="0"/>
              <w:spacing w:before="0" w:beforeAutospacing="0" w:after="0" w:afterAutospacing="0"/>
              <w:ind w:left="0" w:right="0"/>
              <w:jc w:val="center"/>
              <w:rPr>
                <w:rFonts w:hint="default"/>
                <w:b/>
                <w:bCs/>
                <w:color w:val="auto"/>
                <w:szCs w:val="21"/>
              </w:rPr>
            </w:pPr>
            <w:r>
              <w:rPr>
                <w:rFonts w:hint="default"/>
                <w:b/>
                <w:bCs/>
                <w:color w:val="auto"/>
                <w:szCs w:val="21"/>
              </w:rPr>
              <w:t>整改</w:t>
            </w:r>
            <w:r>
              <w:rPr>
                <w:rFonts w:hint="eastAsia"/>
                <w:b/>
                <w:bCs/>
                <w:color w:val="auto"/>
                <w:szCs w:val="21"/>
              </w:rPr>
              <w:t>情况</w:t>
            </w:r>
          </w:p>
        </w:tc>
        <w:tc>
          <w:tcPr>
            <w:tcW w:w="459" w:type="pct"/>
            <w:vAlign w:val="center"/>
          </w:tcPr>
          <w:p>
            <w:pPr>
              <w:keepNext w:val="0"/>
              <w:keepLines w:val="0"/>
              <w:suppressLineNumbers w:val="0"/>
              <w:adjustRightInd w:val="0"/>
              <w:snapToGrid w:val="0"/>
              <w:spacing w:before="0" w:beforeAutospacing="0" w:after="0" w:afterAutospacing="0"/>
              <w:ind w:left="0" w:right="0"/>
              <w:jc w:val="center"/>
              <w:rPr>
                <w:rFonts w:hint="default"/>
                <w:b/>
                <w:bCs/>
                <w:color w:val="auto"/>
                <w:szCs w:val="21"/>
              </w:rPr>
            </w:pPr>
            <w:r>
              <w:rPr>
                <w:rFonts w:hint="eastAsia"/>
                <w:b/>
                <w:bCs/>
                <w:color w:val="auto"/>
                <w:szCs w:val="21"/>
              </w:rPr>
              <w:t>整改</w:t>
            </w:r>
            <w:r>
              <w:rPr>
                <w:rFonts w:hint="default"/>
                <w:b/>
                <w:bCs/>
                <w:color w:val="auto"/>
                <w:szCs w:val="21"/>
              </w:rPr>
              <w:t>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04" w:type="pct"/>
            <w:vAlign w:val="center"/>
          </w:tcPr>
          <w:p>
            <w:pPr>
              <w:keepNext w:val="0"/>
              <w:keepLines w:val="0"/>
              <w:numPr>
                <w:ilvl w:val="0"/>
                <w:numId w:val="18"/>
              </w:numPr>
              <w:suppressLineNumbers w:val="0"/>
              <w:adjustRightInd w:val="0"/>
              <w:snapToGrid w:val="0"/>
              <w:spacing w:before="0" w:beforeAutospacing="0" w:after="0" w:afterAutospacing="0"/>
              <w:ind w:left="425" w:leftChars="0" w:right="0" w:hanging="425" w:firstLineChars="0"/>
              <w:jc w:val="center"/>
              <w:rPr>
                <w:rFonts w:hint="default"/>
                <w:b w:val="0"/>
                <w:bCs w:val="0"/>
                <w:color w:val="auto"/>
                <w:szCs w:val="21"/>
              </w:rPr>
            </w:pPr>
          </w:p>
        </w:tc>
        <w:tc>
          <w:tcPr>
            <w:tcW w:w="1529" w:type="pct"/>
            <w:vAlign w:val="center"/>
          </w:tcPr>
          <w:p>
            <w:pPr>
              <w:keepNext w:val="0"/>
              <w:keepLines w:val="0"/>
              <w:suppressLineNumbers w:val="0"/>
              <w:adjustRightInd w:val="0"/>
              <w:snapToGrid w:val="0"/>
              <w:spacing w:before="0" w:beforeAutospacing="0" w:after="0" w:afterAutospacing="0"/>
              <w:ind w:left="0" w:right="0"/>
              <w:jc w:val="left"/>
              <w:rPr>
                <w:rFonts w:hint="eastAsia" w:eastAsia="宋体"/>
                <w:b/>
                <w:bCs/>
                <w:color w:val="auto"/>
                <w:szCs w:val="21"/>
                <w:lang w:eastAsia="zh-CN"/>
              </w:rPr>
            </w:pPr>
            <w:r>
              <w:rPr>
                <w:rFonts w:hint="default"/>
                <w:b w:val="0"/>
                <w:bCs w:val="0"/>
                <w:color w:val="auto"/>
                <w:szCs w:val="21"/>
              </w:rPr>
              <w:t>复合气二队作业井场值班室、复合发生器控制室距离井口的安全防火间距小于30m</w:t>
            </w:r>
            <w:r>
              <w:rPr>
                <w:rFonts w:hint="eastAsia"/>
                <w:b w:val="0"/>
                <w:bCs w:val="0"/>
                <w:color w:val="auto"/>
                <w:szCs w:val="21"/>
                <w:lang w:eastAsia="zh-CN"/>
              </w:rPr>
              <w:t>。</w:t>
            </w:r>
          </w:p>
        </w:tc>
        <w:tc>
          <w:tcPr>
            <w:tcW w:w="2706" w:type="pct"/>
            <w:vMerge w:val="restart"/>
            <w:vAlign w:val="center"/>
          </w:tcPr>
          <w:p>
            <w:pPr>
              <w:keepNext w:val="0"/>
              <w:keepLines w:val="0"/>
              <w:suppressLineNumbers w:val="0"/>
              <w:adjustRightInd w:val="0"/>
              <w:snapToGrid w:val="0"/>
              <w:spacing w:before="0" w:beforeAutospacing="0" w:after="0" w:afterAutospacing="0"/>
              <w:ind w:left="0" w:right="0"/>
              <w:jc w:val="left"/>
              <w:rPr>
                <w:rFonts w:hint="default"/>
                <w:b/>
                <w:bCs/>
                <w:color w:val="auto"/>
                <w:szCs w:val="21"/>
                <w:lang w:val="en-US"/>
              </w:rPr>
            </w:pPr>
            <w:r>
              <w:rPr>
                <w:rFonts w:hint="default"/>
                <w:b w:val="0"/>
                <w:bCs w:val="0"/>
              </w:rPr>
              <w:drawing>
                <wp:anchor distT="0" distB="0" distL="114300" distR="114300" simplePos="0" relativeHeight="251681792" behindDoc="0" locked="0" layoutInCell="1" allowOverlap="1">
                  <wp:simplePos x="0" y="0"/>
                  <wp:positionH relativeFrom="column">
                    <wp:posOffset>31115</wp:posOffset>
                  </wp:positionH>
                  <wp:positionV relativeFrom="paragraph">
                    <wp:posOffset>196850</wp:posOffset>
                  </wp:positionV>
                  <wp:extent cx="2719070" cy="3344545"/>
                  <wp:effectExtent l="0" t="0" r="8890" b="8255"/>
                  <wp:wrapSquare wrapText="bothSides"/>
                  <wp:docPr id="1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
                          <pic:cNvPicPr>
                            <a:picLocks noChangeAspect="1"/>
                          </pic:cNvPicPr>
                        </pic:nvPicPr>
                        <pic:blipFill>
                          <a:blip r:embed="rId16">
                            <a:lum bright="12000"/>
                          </a:blip>
                          <a:srcRect t="2477" r="2527" b="2272"/>
                          <a:stretch>
                            <a:fillRect/>
                          </a:stretch>
                        </pic:blipFill>
                        <pic:spPr>
                          <a:xfrm>
                            <a:off x="0" y="0"/>
                            <a:ext cx="2719070" cy="3344545"/>
                          </a:xfrm>
                          <a:prstGeom prst="rect">
                            <a:avLst/>
                          </a:prstGeom>
                          <a:noFill/>
                          <a:ln>
                            <a:noFill/>
                          </a:ln>
                        </pic:spPr>
                      </pic:pic>
                    </a:graphicData>
                  </a:graphic>
                </wp:anchor>
              </w:drawing>
            </w:r>
            <w:r>
              <w:rPr>
                <w:rFonts w:hint="eastAsia"/>
                <w:b w:val="0"/>
                <w:bCs w:val="0"/>
                <w:color w:val="auto"/>
                <w:szCs w:val="21"/>
                <w:lang w:val="en-US" w:eastAsia="zh-CN"/>
              </w:rPr>
              <w:t>已制定安全距离不足的应急预案。</w:t>
            </w:r>
          </w:p>
        </w:tc>
        <w:tc>
          <w:tcPr>
            <w:tcW w:w="459" w:type="pct"/>
            <w:vAlign w:val="center"/>
          </w:tcPr>
          <w:p>
            <w:pPr>
              <w:keepNext w:val="0"/>
              <w:keepLines w:val="0"/>
              <w:suppressLineNumbers w:val="0"/>
              <w:adjustRightInd w:val="0"/>
              <w:snapToGrid w:val="0"/>
              <w:spacing w:before="0" w:beforeAutospacing="0" w:after="0" w:afterAutospacing="0"/>
              <w:ind w:left="0" w:right="0"/>
              <w:jc w:val="center"/>
              <w:rPr>
                <w:rFonts w:hint="eastAsia"/>
                <w:b/>
                <w:bCs/>
                <w:color w:val="auto"/>
                <w:szCs w:val="21"/>
              </w:rPr>
            </w:pPr>
            <w:r>
              <w:rPr>
                <w:rFonts w:hint="eastAsia"/>
                <w:color w:val="auto"/>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04" w:type="pct"/>
            <w:vAlign w:val="center"/>
          </w:tcPr>
          <w:p>
            <w:pPr>
              <w:keepNext w:val="0"/>
              <w:keepLines w:val="0"/>
              <w:numPr>
                <w:ilvl w:val="0"/>
                <w:numId w:val="18"/>
              </w:numPr>
              <w:suppressLineNumbers w:val="0"/>
              <w:adjustRightInd w:val="0"/>
              <w:snapToGrid w:val="0"/>
              <w:spacing w:before="0" w:beforeAutospacing="0" w:after="0" w:afterAutospacing="0"/>
              <w:ind w:left="425" w:leftChars="0" w:right="0" w:hanging="425" w:firstLineChars="0"/>
              <w:jc w:val="center"/>
              <w:rPr>
                <w:rFonts w:hint="default"/>
                <w:b w:val="0"/>
                <w:bCs w:val="0"/>
                <w:color w:val="auto"/>
                <w:szCs w:val="21"/>
              </w:rPr>
            </w:pPr>
          </w:p>
        </w:tc>
        <w:tc>
          <w:tcPr>
            <w:tcW w:w="1529" w:type="pct"/>
            <w:vAlign w:val="center"/>
          </w:tcPr>
          <w:p>
            <w:pPr>
              <w:keepNext w:val="0"/>
              <w:keepLines w:val="0"/>
              <w:suppressLineNumbers w:val="0"/>
              <w:adjustRightInd w:val="0"/>
              <w:snapToGrid w:val="0"/>
              <w:spacing w:before="0" w:beforeAutospacing="0" w:after="0" w:afterAutospacing="0"/>
              <w:ind w:left="0" w:right="0"/>
              <w:jc w:val="left"/>
              <w:rPr>
                <w:rFonts w:hint="default"/>
                <w:b w:val="0"/>
                <w:bCs w:val="0"/>
                <w:color w:val="auto"/>
                <w:szCs w:val="21"/>
              </w:rPr>
            </w:pPr>
            <w:r>
              <w:rPr>
                <w:rFonts w:hint="default"/>
                <w:b w:val="0"/>
                <w:bCs w:val="0"/>
                <w:color w:val="auto"/>
                <w:szCs w:val="21"/>
              </w:rPr>
              <w:t>复合气二队排液池距井口距离小于25m。</w:t>
            </w:r>
          </w:p>
        </w:tc>
        <w:tc>
          <w:tcPr>
            <w:tcW w:w="2706"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rPr>
            </w:pPr>
          </w:p>
        </w:tc>
        <w:tc>
          <w:tcPr>
            <w:tcW w:w="459" w:type="pct"/>
            <w:vAlign w:val="center"/>
          </w:tcPr>
          <w:p>
            <w:pPr>
              <w:keepNext w:val="0"/>
              <w:keepLines w:val="0"/>
              <w:suppressLineNumbers w:val="0"/>
              <w:adjustRightInd w:val="0"/>
              <w:snapToGrid w:val="0"/>
              <w:spacing w:before="0" w:beforeAutospacing="0" w:after="0" w:afterAutospacing="0"/>
              <w:ind w:left="0" w:right="0"/>
              <w:jc w:val="center"/>
              <w:rPr>
                <w:rFonts w:hint="eastAsia"/>
                <w:color w:val="auto"/>
                <w:szCs w:val="21"/>
              </w:rPr>
            </w:pPr>
            <w:r>
              <w:rPr>
                <w:rFonts w:hint="eastAsia"/>
                <w:color w:val="auto"/>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79" w:hRule="atLeast"/>
          <w:jc w:val="center"/>
        </w:trPr>
        <w:tc>
          <w:tcPr>
            <w:tcW w:w="304" w:type="pct"/>
            <w:vAlign w:val="center"/>
          </w:tcPr>
          <w:p>
            <w:pPr>
              <w:keepNext w:val="0"/>
              <w:keepLines w:val="0"/>
              <w:numPr>
                <w:ilvl w:val="0"/>
                <w:numId w:val="18"/>
              </w:numPr>
              <w:suppressLineNumbers w:val="0"/>
              <w:adjustRightInd w:val="0"/>
              <w:snapToGrid w:val="0"/>
              <w:spacing w:before="0" w:beforeAutospacing="0" w:after="0" w:afterAutospacing="0"/>
              <w:ind w:left="425" w:leftChars="0" w:right="0" w:hanging="425" w:firstLineChars="0"/>
              <w:jc w:val="center"/>
              <w:rPr>
                <w:rFonts w:hint="eastAsia" w:eastAsia="宋体"/>
                <w:b w:val="0"/>
                <w:bCs w:val="0"/>
                <w:color w:val="auto"/>
                <w:szCs w:val="21"/>
                <w:lang w:val="en-US" w:eastAsia="zh-CN"/>
              </w:rPr>
            </w:pPr>
          </w:p>
        </w:tc>
        <w:tc>
          <w:tcPr>
            <w:tcW w:w="1529" w:type="pct"/>
            <w:vAlign w:val="center"/>
          </w:tcPr>
          <w:p>
            <w:pPr>
              <w:keepNext w:val="0"/>
              <w:keepLines w:val="0"/>
              <w:suppressLineNumbers w:val="0"/>
              <w:adjustRightInd w:val="0"/>
              <w:snapToGrid w:val="0"/>
              <w:spacing w:before="0" w:beforeAutospacing="0" w:after="0" w:afterAutospacing="0"/>
              <w:ind w:left="0" w:right="0"/>
              <w:jc w:val="left"/>
              <w:rPr>
                <w:rFonts w:hint="eastAsia" w:eastAsia="宋体"/>
                <w:b w:val="0"/>
                <w:bCs w:val="0"/>
                <w:color w:val="auto"/>
                <w:szCs w:val="21"/>
                <w:lang w:eastAsia="zh-CN"/>
              </w:rPr>
            </w:pPr>
            <w:r>
              <w:rPr>
                <w:rFonts w:hint="default"/>
                <w:b w:val="0"/>
                <w:bCs w:val="0"/>
                <w:color w:val="auto"/>
                <w:szCs w:val="21"/>
              </w:rPr>
              <w:t>复合气二队井场内两个紧急集合点放在同一个地方</w:t>
            </w:r>
            <w:r>
              <w:rPr>
                <w:rFonts w:hint="eastAsia"/>
                <w:b w:val="0"/>
                <w:bCs w:val="0"/>
                <w:color w:val="auto"/>
                <w:szCs w:val="21"/>
                <w:lang w:eastAsia="zh-CN"/>
              </w:rPr>
              <w:t>。</w:t>
            </w:r>
          </w:p>
        </w:tc>
        <w:tc>
          <w:tcPr>
            <w:tcW w:w="2706" w:type="pct"/>
            <w:vAlign w:val="center"/>
          </w:tcPr>
          <w:p>
            <w:pPr>
              <w:keepNext w:val="0"/>
              <w:keepLines w:val="0"/>
              <w:suppressLineNumbers w:val="0"/>
              <w:adjustRightInd w:val="0"/>
              <w:snapToGrid w:val="0"/>
              <w:spacing w:before="0" w:beforeAutospacing="0" w:after="0" w:afterAutospacing="0"/>
              <w:ind w:left="0" w:right="0"/>
              <w:jc w:val="left"/>
              <w:rPr>
                <w:rFonts w:hint="default"/>
                <w:b w:val="0"/>
                <w:bCs w:val="0"/>
                <w:color w:val="auto"/>
                <w:szCs w:val="21"/>
                <w:lang w:val="en-US" w:eastAsia="zh-CN"/>
              </w:rPr>
            </w:pPr>
            <w:r>
              <w:rPr>
                <w:rFonts w:hint="default"/>
                <w:b w:val="0"/>
                <w:bCs w:val="0"/>
                <w:color w:val="auto"/>
                <w:szCs w:val="21"/>
                <w:lang w:val="en-US" w:eastAsia="zh-CN"/>
              </w:rPr>
              <w:drawing>
                <wp:anchor distT="0" distB="0" distL="114300" distR="114300" simplePos="0" relativeHeight="251680768" behindDoc="0" locked="0" layoutInCell="1" allowOverlap="1">
                  <wp:simplePos x="0" y="0"/>
                  <wp:positionH relativeFrom="column">
                    <wp:posOffset>0</wp:posOffset>
                  </wp:positionH>
                  <wp:positionV relativeFrom="paragraph">
                    <wp:posOffset>2329815</wp:posOffset>
                  </wp:positionV>
                  <wp:extent cx="2789555" cy="2160905"/>
                  <wp:effectExtent l="0" t="0" r="14605" b="3175"/>
                  <wp:wrapSquare wrapText="bothSides"/>
                  <wp:docPr id="188" name="图片 188" descr="lQDPJxbRJcXWtlTNBqrNBQCwa3mpKEam6ZMDV7vQkQBAAA_1280_1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lQDPJxbRJcXWtlTNBqrNBQCwa3mpKEam6ZMDV7vQkQBAAA_1280_1706"/>
                          <pic:cNvPicPr>
                            <a:picLocks noChangeAspect="1"/>
                          </pic:cNvPicPr>
                        </pic:nvPicPr>
                        <pic:blipFill>
                          <a:blip r:embed="rId17"/>
                          <a:srcRect t="13766" b="28113"/>
                          <a:stretch>
                            <a:fillRect/>
                          </a:stretch>
                        </pic:blipFill>
                        <pic:spPr>
                          <a:xfrm>
                            <a:off x="0" y="0"/>
                            <a:ext cx="2789555" cy="2160905"/>
                          </a:xfrm>
                          <a:prstGeom prst="rect">
                            <a:avLst/>
                          </a:prstGeom>
                        </pic:spPr>
                      </pic:pic>
                    </a:graphicData>
                  </a:graphic>
                </wp:anchor>
              </w:drawing>
            </w:r>
            <w:r>
              <w:rPr>
                <w:rFonts w:hint="eastAsia"/>
                <w:b w:val="0"/>
                <w:bCs w:val="0"/>
                <w:color w:val="auto"/>
                <w:szCs w:val="21"/>
                <w:lang w:val="en-US" w:eastAsia="zh-CN"/>
              </w:rPr>
              <w:t>已分开放置在适当的位置。</w:t>
            </w:r>
            <w:r>
              <w:rPr>
                <w:rFonts w:hint="default"/>
                <w:b w:val="0"/>
                <w:bCs w:val="0"/>
                <w:color w:val="auto"/>
                <w:szCs w:val="21"/>
                <w:lang w:val="en-US" w:eastAsia="zh-CN"/>
              </w:rPr>
              <w:drawing>
                <wp:inline distT="0" distB="0" distL="114300" distR="114300">
                  <wp:extent cx="2781935" cy="2087245"/>
                  <wp:effectExtent l="0" t="0" r="6985" b="635"/>
                  <wp:docPr id="162" name="图片 16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4"/>
                          <pic:cNvPicPr>
                            <a:picLocks noChangeAspect="1"/>
                          </pic:cNvPicPr>
                        </pic:nvPicPr>
                        <pic:blipFill>
                          <a:blip r:embed="rId18"/>
                          <a:stretch>
                            <a:fillRect/>
                          </a:stretch>
                        </pic:blipFill>
                        <pic:spPr>
                          <a:xfrm>
                            <a:off x="0" y="0"/>
                            <a:ext cx="2781935" cy="2087245"/>
                          </a:xfrm>
                          <a:prstGeom prst="rect">
                            <a:avLst/>
                          </a:prstGeom>
                        </pic:spPr>
                      </pic:pic>
                    </a:graphicData>
                  </a:graphic>
                </wp:inline>
              </w:drawing>
            </w:r>
          </w:p>
        </w:tc>
        <w:tc>
          <w:tcPr>
            <w:tcW w:w="459" w:type="pct"/>
            <w:vAlign w:val="center"/>
          </w:tcPr>
          <w:p>
            <w:pPr>
              <w:keepNext w:val="0"/>
              <w:keepLines w:val="0"/>
              <w:suppressLineNumbers w:val="0"/>
              <w:adjustRightInd w:val="0"/>
              <w:snapToGrid w:val="0"/>
              <w:spacing w:before="0" w:beforeAutospacing="0" w:after="0" w:afterAutospacing="0"/>
              <w:ind w:left="0" w:right="0"/>
              <w:jc w:val="center"/>
              <w:rPr>
                <w:rFonts w:hint="eastAsia"/>
                <w:color w:val="auto"/>
                <w:szCs w:val="21"/>
              </w:rPr>
            </w:pPr>
            <w:r>
              <w:rPr>
                <w:rFonts w:hint="eastAsia"/>
                <w:color w:val="auto"/>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04" w:type="pct"/>
            <w:vAlign w:val="center"/>
          </w:tcPr>
          <w:p>
            <w:pPr>
              <w:keepNext w:val="0"/>
              <w:keepLines w:val="0"/>
              <w:numPr>
                <w:ilvl w:val="0"/>
                <w:numId w:val="18"/>
              </w:numPr>
              <w:suppressLineNumbers w:val="0"/>
              <w:adjustRightInd w:val="0"/>
              <w:snapToGrid w:val="0"/>
              <w:spacing w:before="0" w:beforeAutospacing="0" w:after="0" w:afterAutospacing="0"/>
              <w:ind w:left="425" w:leftChars="0" w:right="0" w:hanging="425" w:firstLineChars="0"/>
              <w:jc w:val="center"/>
              <w:rPr>
                <w:rFonts w:hint="eastAsia" w:eastAsia="宋体"/>
                <w:b w:val="0"/>
                <w:bCs w:val="0"/>
                <w:color w:val="auto"/>
                <w:szCs w:val="21"/>
                <w:lang w:val="en-US" w:eastAsia="zh-CN"/>
              </w:rPr>
            </w:pPr>
          </w:p>
        </w:tc>
        <w:tc>
          <w:tcPr>
            <w:tcW w:w="1529" w:type="pct"/>
            <w:vAlign w:val="center"/>
          </w:tcPr>
          <w:p>
            <w:pPr>
              <w:keepNext w:val="0"/>
              <w:keepLines w:val="0"/>
              <w:suppressLineNumbers w:val="0"/>
              <w:adjustRightInd w:val="0"/>
              <w:snapToGrid w:val="0"/>
              <w:spacing w:before="0" w:beforeAutospacing="0" w:after="0" w:afterAutospacing="0"/>
              <w:ind w:left="0" w:right="0"/>
              <w:jc w:val="left"/>
              <w:rPr>
                <w:rFonts w:hint="default"/>
                <w:b w:val="0"/>
                <w:bCs w:val="0"/>
                <w:color w:val="auto"/>
                <w:szCs w:val="21"/>
              </w:rPr>
            </w:pPr>
            <w:r>
              <w:rPr>
                <w:rFonts w:hint="default"/>
                <w:b w:val="0"/>
                <w:bCs w:val="0"/>
                <w:color w:val="auto"/>
                <w:szCs w:val="21"/>
              </w:rPr>
              <w:t>复合气二队作业现场的2022年应急演练计划未按照公司最新版应急预案制定。</w:t>
            </w:r>
          </w:p>
        </w:tc>
        <w:tc>
          <w:tcPr>
            <w:tcW w:w="2706" w:type="pct"/>
            <w:vAlign w:val="center"/>
          </w:tcPr>
          <w:p>
            <w:pPr>
              <w:keepNext w:val="0"/>
              <w:keepLines w:val="0"/>
              <w:suppressLineNumbers w:val="0"/>
              <w:adjustRightInd w:val="0"/>
              <w:snapToGrid w:val="0"/>
              <w:spacing w:before="0" w:beforeAutospacing="0" w:after="0" w:afterAutospacing="0"/>
              <w:ind w:left="0" w:right="0"/>
              <w:jc w:val="left"/>
              <w:rPr>
                <w:rFonts w:hint="default"/>
                <w:b w:val="0"/>
                <w:bCs w:val="0"/>
                <w:color w:val="auto"/>
                <w:szCs w:val="21"/>
                <w:lang w:val="en-US" w:eastAsia="zh-CN"/>
              </w:rPr>
            </w:pPr>
            <w:r>
              <w:rPr>
                <w:rFonts w:hint="eastAsia"/>
                <w:b w:val="0"/>
                <w:bCs w:val="0"/>
                <w:color w:val="auto"/>
                <w:szCs w:val="21"/>
                <w:lang w:val="en-US" w:eastAsia="zh-CN"/>
              </w:rPr>
              <w:t>已按照公司最新版应急预案制定应急演练计划并进行演练。</w:t>
            </w:r>
            <w:r>
              <w:rPr>
                <w:rFonts w:hint="default"/>
                <w:szCs w:val="21"/>
              </w:rPr>
              <w:drawing>
                <wp:inline distT="0" distB="0" distL="114300" distR="114300">
                  <wp:extent cx="2783840" cy="3285490"/>
                  <wp:effectExtent l="0" t="0" r="5080" b="6350"/>
                  <wp:docPr id="359" name="图片 35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图片 359" descr="10"/>
                          <pic:cNvPicPr>
                            <a:picLocks noChangeAspect="1"/>
                          </pic:cNvPicPr>
                        </pic:nvPicPr>
                        <pic:blipFill>
                          <a:blip r:embed="rId19" cstate="print"/>
                          <a:stretch>
                            <a:fillRect/>
                          </a:stretch>
                        </pic:blipFill>
                        <pic:spPr>
                          <a:xfrm>
                            <a:off x="0" y="0"/>
                            <a:ext cx="2783840" cy="3285490"/>
                          </a:xfrm>
                          <a:prstGeom prst="rect">
                            <a:avLst/>
                          </a:prstGeom>
                        </pic:spPr>
                      </pic:pic>
                    </a:graphicData>
                  </a:graphic>
                </wp:inline>
              </w:drawing>
            </w:r>
          </w:p>
        </w:tc>
        <w:tc>
          <w:tcPr>
            <w:tcW w:w="459" w:type="pct"/>
            <w:vAlign w:val="center"/>
          </w:tcPr>
          <w:p>
            <w:pPr>
              <w:keepNext w:val="0"/>
              <w:keepLines w:val="0"/>
              <w:suppressLineNumbers w:val="0"/>
              <w:adjustRightInd w:val="0"/>
              <w:snapToGrid w:val="0"/>
              <w:spacing w:before="0" w:beforeAutospacing="0" w:after="0" w:afterAutospacing="0"/>
              <w:ind w:left="0" w:right="0"/>
              <w:jc w:val="center"/>
              <w:rPr>
                <w:rFonts w:hint="eastAsia"/>
                <w:color w:val="auto"/>
                <w:szCs w:val="21"/>
              </w:rPr>
            </w:pPr>
            <w:r>
              <w:rPr>
                <w:rFonts w:hint="eastAsia"/>
                <w:color w:val="auto"/>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04" w:type="pct"/>
            <w:vAlign w:val="center"/>
          </w:tcPr>
          <w:p>
            <w:pPr>
              <w:keepNext w:val="0"/>
              <w:keepLines w:val="0"/>
              <w:numPr>
                <w:ilvl w:val="0"/>
                <w:numId w:val="18"/>
              </w:numPr>
              <w:suppressLineNumbers w:val="0"/>
              <w:adjustRightInd w:val="0"/>
              <w:snapToGrid w:val="0"/>
              <w:spacing w:before="62" w:beforeLines="20" w:beforeAutospacing="0" w:after="62" w:afterLines="20" w:afterAutospacing="0"/>
              <w:ind w:left="425" w:leftChars="0" w:right="0" w:hanging="425" w:firstLineChars="0"/>
              <w:jc w:val="center"/>
              <w:rPr>
                <w:rFonts w:hint="eastAsia" w:eastAsia="宋体"/>
                <w:b w:val="0"/>
                <w:bCs w:val="0"/>
                <w:color w:val="auto"/>
                <w:szCs w:val="21"/>
                <w:lang w:eastAsia="zh-CN"/>
              </w:rPr>
            </w:pPr>
          </w:p>
        </w:tc>
        <w:tc>
          <w:tcPr>
            <w:tcW w:w="1529" w:type="pc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color w:val="auto"/>
                <w:szCs w:val="21"/>
              </w:rPr>
            </w:pPr>
            <w:r>
              <w:rPr>
                <w:rFonts w:hint="eastAsia"/>
                <w:color w:val="auto"/>
                <w:szCs w:val="21"/>
                <w:lang w:val="en-US" w:eastAsia="zh-CN"/>
              </w:rPr>
              <w:t>华曦注汽一队郑411-P95井</w:t>
            </w:r>
            <w:r>
              <w:rPr>
                <w:rFonts w:hint="eastAsia"/>
                <w:color w:val="auto"/>
                <w:szCs w:val="21"/>
              </w:rPr>
              <w:t>作业现场缺少“</w:t>
            </w:r>
            <w:r>
              <w:rPr>
                <w:rFonts w:hint="eastAsia"/>
                <w:color w:val="auto"/>
                <w:szCs w:val="21"/>
                <w:lang w:val="en-US" w:eastAsia="zh-CN"/>
              </w:rPr>
              <w:t>防止中毒</w:t>
            </w:r>
            <w:r>
              <w:rPr>
                <w:rFonts w:hint="eastAsia"/>
                <w:color w:val="auto"/>
                <w:szCs w:val="21"/>
              </w:rPr>
              <w:t>”的安全</w:t>
            </w:r>
            <w:r>
              <w:rPr>
                <w:rFonts w:hint="eastAsia"/>
                <w:color w:val="auto"/>
                <w:szCs w:val="21"/>
                <w:lang w:val="en-US" w:eastAsia="zh-CN"/>
              </w:rPr>
              <w:t>警示标志</w:t>
            </w:r>
            <w:r>
              <w:rPr>
                <w:rFonts w:hint="eastAsia"/>
                <w:color w:val="auto"/>
                <w:szCs w:val="21"/>
              </w:rPr>
              <w:t>。</w:t>
            </w:r>
          </w:p>
        </w:tc>
        <w:tc>
          <w:tcPr>
            <w:tcW w:w="2706" w:type="pct"/>
            <w:vAlign w:val="center"/>
          </w:tcPr>
          <w:p>
            <w:pPr>
              <w:keepNext w:val="0"/>
              <w:keepLines w:val="0"/>
              <w:suppressLineNumbers w:val="0"/>
              <w:adjustRightInd w:val="0"/>
              <w:snapToGrid w:val="0"/>
              <w:spacing w:before="62" w:beforeLines="20" w:beforeAutospacing="0" w:after="62" w:afterLines="20" w:afterAutospacing="0"/>
              <w:ind w:left="0" w:right="0"/>
              <w:rPr>
                <w:rFonts w:hint="default" w:eastAsia="宋体"/>
                <w:color w:val="auto"/>
                <w:lang w:val="en-US" w:eastAsia="zh-CN"/>
              </w:rPr>
            </w:pPr>
            <w:r>
              <w:rPr>
                <w:rFonts w:hint="default" w:eastAsia="宋体"/>
                <w:color w:val="auto"/>
                <w:lang w:val="en-US" w:eastAsia="zh-CN"/>
              </w:rPr>
              <w:drawing>
                <wp:anchor distT="0" distB="0" distL="114300" distR="114300" simplePos="0" relativeHeight="251679744" behindDoc="0" locked="0" layoutInCell="1" allowOverlap="1">
                  <wp:simplePos x="0" y="0"/>
                  <wp:positionH relativeFrom="column">
                    <wp:posOffset>156210</wp:posOffset>
                  </wp:positionH>
                  <wp:positionV relativeFrom="paragraph">
                    <wp:posOffset>269875</wp:posOffset>
                  </wp:positionV>
                  <wp:extent cx="2357755" cy="1946910"/>
                  <wp:effectExtent l="0" t="0" r="4445" b="3810"/>
                  <wp:wrapTopAndBottom/>
                  <wp:docPr id="109" name="图片 109" descr="81821880cb4c880ef5ac4bbbcf8a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81821880cb4c880ef5ac4bbbcf8a585"/>
                          <pic:cNvPicPr>
                            <a:picLocks noChangeAspect="1"/>
                          </pic:cNvPicPr>
                        </pic:nvPicPr>
                        <pic:blipFill>
                          <a:blip r:embed="rId20">
                            <a:lum bright="12000"/>
                          </a:blip>
                          <a:srcRect l="2827" t="7005" r="15792" b="3503"/>
                          <a:stretch>
                            <a:fillRect/>
                          </a:stretch>
                        </pic:blipFill>
                        <pic:spPr>
                          <a:xfrm>
                            <a:off x="0" y="0"/>
                            <a:ext cx="2357755" cy="1946910"/>
                          </a:xfrm>
                          <a:prstGeom prst="rect">
                            <a:avLst/>
                          </a:prstGeom>
                        </pic:spPr>
                      </pic:pic>
                    </a:graphicData>
                  </a:graphic>
                </wp:anchor>
              </w:drawing>
            </w:r>
            <w:r>
              <w:rPr>
                <w:rFonts w:hint="eastAsia"/>
                <w:color w:val="auto"/>
                <w:lang w:val="en-US" w:eastAsia="zh-CN"/>
              </w:rPr>
              <w:t>已增加。</w:t>
            </w:r>
          </w:p>
        </w:tc>
        <w:tc>
          <w:tcPr>
            <w:tcW w:w="459" w:type="pc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olor w:val="auto"/>
                <w:szCs w:val="21"/>
              </w:rPr>
            </w:pPr>
            <w:r>
              <w:rPr>
                <w:rFonts w:hint="eastAsia"/>
                <w:color w:val="auto"/>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118" w:hRule="atLeast"/>
          <w:jc w:val="center"/>
        </w:trPr>
        <w:tc>
          <w:tcPr>
            <w:tcW w:w="304" w:type="pct"/>
            <w:vAlign w:val="center"/>
          </w:tcPr>
          <w:p>
            <w:pPr>
              <w:keepNext w:val="0"/>
              <w:keepLines w:val="0"/>
              <w:numPr>
                <w:ilvl w:val="0"/>
                <w:numId w:val="18"/>
              </w:numPr>
              <w:suppressLineNumbers w:val="0"/>
              <w:adjustRightInd w:val="0"/>
              <w:snapToGrid w:val="0"/>
              <w:spacing w:before="62" w:beforeLines="20" w:beforeAutospacing="0" w:after="62" w:afterLines="20" w:afterAutospacing="0"/>
              <w:ind w:left="425" w:leftChars="0" w:right="0" w:hanging="425" w:firstLineChars="0"/>
              <w:jc w:val="center"/>
              <w:rPr>
                <w:rFonts w:hint="eastAsia" w:eastAsia="宋体"/>
                <w:b w:val="0"/>
                <w:bCs w:val="0"/>
                <w:color w:val="auto"/>
                <w:szCs w:val="21"/>
                <w:lang w:eastAsia="zh-CN"/>
              </w:rPr>
            </w:pPr>
          </w:p>
        </w:tc>
        <w:tc>
          <w:tcPr>
            <w:tcW w:w="1529" w:type="pct"/>
            <w:vAlign w:val="center"/>
          </w:tcPr>
          <w:p>
            <w:pPr>
              <w:keepNext w:val="0"/>
              <w:keepLines w:val="0"/>
              <w:suppressLineNumbers w:val="0"/>
              <w:adjustRightInd w:val="0"/>
              <w:snapToGrid w:val="0"/>
              <w:spacing w:before="62" w:beforeLines="20" w:beforeAutospacing="0" w:after="62" w:afterLines="20" w:afterAutospacing="0"/>
              <w:ind w:left="0" w:right="0"/>
              <w:rPr>
                <w:rFonts w:hint="eastAsia"/>
                <w:color w:val="auto"/>
                <w:szCs w:val="21"/>
                <w:lang w:val="en-US" w:eastAsia="zh-CN"/>
              </w:rPr>
            </w:pPr>
            <w:r>
              <w:rPr>
                <w:rFonts w:hint="eastAsia"/>
                <w:color w:val="auto"/>
                <w:szCs w:val="21"/>
                <w:lang w:val="en-US" w:eastAsia="zh-CN"/>
              </w:rPr>
              <w:t>华曦注汽一队、复合气二队配电箱未由持证人员定期检查和维修。</w:t>
            </w:r>
          </w:p>
        </w:tc>
        <w:tc>
          <w:tcPr>
            <w:tcW w:w="2706" w:type="pct"/>
            <w:vAlign w:val="center"/>
          </w:tcPr>
          <w:p>
            <w:pPr>
              <w:keepNext w:val="0"/>
              <w:keepLines w:val="0"/>
              <w:suppressLineNumbers w:val="0"/>
              <w:adjustRightInd w:val="0"/>
              <w:snapToGrid w:val="0"/>
              <w:spacing w:before="62" w:beforeLines="20" w:beforeAutospacing="0" w:after="62" w:afterLines="20" w:afterAutospacing="0"/>
              <w:ind w:left="0" w:right="0"/>
              <w:rPr>
                <w:rFonts w:hint="default" w:eastAsia="宋体"/>
                <w:color w:val="auto"/>
                <w:lang w:val="en-US" w:eastAsia="zh-CN"/>
              </w:rPr>
            </w:pPr>
            <w:r>
              <w:rPr>
                <w:rFonts w:hint="eastAsia"/>
                <w:color w:val="auto"/>
                <w:lang w:val="en-US" w:eastAsia="zh-CN"/>
              </w:rPr>
              <w:t>已配置专人进行管理、检查和维修。</w:t>
            </w:r>
            <w:r>
              <w:rPr>
                <w:rFonts w:hint="default" w:eastAsia="宋体"/>
                <w:color w:val="auto"/>
                <w:lang w:val="en-US" w:eastAsia="zh-CN"/>
              </w:rPr>
              <w:drawing>
                <wp:inline distT="0" distB="0" distL="114300" distR="114300">
                  <wp:extent cx="2789555" cy="2194560"/>
                  <wp:effectExtent l="0" t="0" r="14605" b="0"/>
                  <wp:docPr id="299" name="图片 299" descr="lQDPJwtal8CIzUjNBqrNBQCw2idluzjwzocDo7uZksAyAA_1280_1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299" descr="lQDPJwtal8CIzUjNBqrNBQCw2idluzjwzocDo7uZksAyAA_1280_1706"/>
                          <pic:cNvPicPr>
                            <a:picLocks noChangeAspect="1"/>
                          </pic:cNvPicPr>
                        </pic:nvPicPr>
                        <pic:blipFill>
                          <a:blip r:embed="rId21"/>
                          <a:srcRect t="8008" b="10598"/>
                          <a:stretch>
                            <a:fillRect/>
                          </a:stretch>
                        </pic:blipFill>
                        <pic:spPr>
                          <a:xfrm>
                            <a:off x="0" y="0"/>
                            <a:ext cx="2789555" cy="2194560"/>
                          </a:xfrm>
                          <a:prstGeom prst="rect">
                            <a:avLst/>
                          </a:prstGeom>
                        </pic:spPr>
                      </pic:pic>
                    </a:graphicData>
                  </a:graphic>
                </wp:inline>
              </w:drawing>
            </w:r>
            <w:r>
              <w:rPr>
                <w:rFonts w:hint="default" w:eastAsia="宋体"/>
                <w:color w:val="auto"/>
                <w:lang w:val="en-US" w:eastAsia="zh-CN"/>
              </w:rPr>
              <w:drawing>
                <wp:inline distT="0" distB="0" distL="114300" distR="114300">
                  <wp:extent cx="2788920" cy="3449320"/>
                  <wp:effectExtent l="0" t="0" r="0" b="10160"/>
                  <wp:docPr id="296" name="图片 296" descr="lQDPJx4SuJJ5YrTNCSLNBnWwMYDjW5rkSvoDpLB9LIBgAA_1653_2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296" descr="lQDPJx4SuJJ5YrTNCSLNBnWwMYDjW5rkSvoDpLB9LIBgAA_1653_2338"/>
                          <pic:cNvPicPr>
                            <a:picLocks noChangeAspect="1"/>
                          </pic:cNvPicPr>
                        </pic:nvPicPr>
                        <pic:blipFill>
                          <a:blip r:embed="rId22"/>
                          <a:srcRect b="12556"/>
                          <a:stretch>
                            <a:fillRect/>
                          </a:stretch>
                        </pic:blipFill>
                        <pic:spPr>
                          <a:xfrm>
                            <a:off x="0" y="0"/>
                            <a:ext cx="2788920" cy="3449320"/>
                          </a:xfrm>
                          <a:prstGeom prst="rect">
                            <a:avLst/>
                          </a:prstGeom>
                        </pic:spPr>
                      </pic:pic>
                    </a:graphicData>
                  </a:graphic>
                </wp:inline>
              </w:drawing>
            </w:r>
          </w:p>
        </w:tc>
        <w:tc>
          <w:tcPr>
            <w:tcW w:w="459" w:type="pc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color w:val="auto"/>
                <w:szCs w:val="21"/>
              </w:rPr>
            </w:pPr>
            <w:r>
              <w:rPr>
                <w:rFonts w:hint="eastAsia"/>
                <w:color w:val="auto"/>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04" w:type="pct"/>
            <w:vAlign w:val="center"/>
          </w:tcPr>
          <w:p>
            <w:pPr>
              <w:keepNext w:val="0"/>
              <w:keepLines w:val="0"/>
              <w:numPr>
                <w:ilvl w:val="0"/>
                <w:numId w:val="18"/>
              </w:numPr>
              <w:suppressLineNumbers w:val="0"/>
              <w:adjustRightInd w:val="0"/>
              <w:snapToGrid w:val="0"/>
              <w:spacing w:before="62" w:beforeLines="20" w:beforeAutospacing="0" w:after="62" w:afterLines="20" w:afterAutospacing="0"/>
              <w:ind w:left="425" w:leftChars="0" w:right="0" w:hanging="425" w:firstLineChars="0"/>
              <w:jc w:val="center"/>
              <w:rPr>
                <w:rFonts w:hint="eastAsia" w:eastAsia="宋体"/>
                <w:b w:val="0"/>
                <w:bCs w:val="0"/>
                <w:color w:val="auto"/>
                <w:szCs w:val="21"/>
                <w:lang w:eastAsia="zh-CN"/>
              </w:rPr>
            </w:pPr>
          </w:p>
        </w:tc>
        <w:tc>
          <w:tcPr>
            <w:tcW w:w="1529" w:type="pct"/>
            <w:vAlign w:val="center"/>
          </w:tcPr>
          <w:p>
            <w:pPr>
              <w:keepNext w:val="0"/>
              <w:keepLines w:val="0"/>
              <w:suppressLineNumbers w:val="0"/>
              <w:adjustRightInd w:val="0"/>
              <w:snapToGrid w:val="0"/>
              <w:spacing w:before="62" w:beforeLines="20" w:beforeAutospacing="0" w:after="62" w:afterLines="20" w:afterAutospacing="0"/>
              <w:ind w:left="0" w:right="0"/>
              <w:rPr>
                <w:rFonts w:hint="eastAsia"/>
                <w:color w:val="auto"/>
                <w:szCs w:val="21"/>
                <w:lang w:val="en-US" w:eastAsia="zh-CN"/>
              </w:rPr>
            </w:pPr>
            <w:r>
              <w:rPr>
                <w:rFonts w:hint="eastAsia"/>
                <w:color w:val="auto"/>
                <w:szCs w:val="21"/>
                <w:lang w:val="en-US" w:eastAsia="zh-CN"/>
              </w:rPr>
              <w:t>该公司针对从业人员制定了2022年安全教育培训计划，但培训学时和培训内容不满足《生产经营单位安全培训规定》（国家安全监督管理总局令[2006]第3号，2015修订版）的要求。</w:t>
            </w:r>
          </w:p>
        </w:tc>
        <w:tc>
          <w:tcPr>
            <w:tcW w:w="2706" w:type="pct"/>
            <w:vAlign w:val="center"/>
          </w:tcPr>
          <w:p>
            <w:pPr>
              <w:keepNext w:val="0"/>
              <w:keepLines w:val="0"/>
              <w:suppressLineNumbers w:val="0"/>
              <w:adjustRightInd w:val="0"/>
              <w:snapToGrid w:val="0"/>
              <w:spacing w:before="62" w:beforeLines="20" w:beforeAutospacing="0" w:after="62" w:afterLines="20" w:afterAutospacing="0"/>
              <w:ind w:left="0" w:right="0"/>
              <w:rPr>
                <w:rFonts w:hint="default" w:eastAsia="宋体"/>
                <w:color w:val="auto"/>
                <w:lang w:val="en-US" w:eastAsia="zh-CN"/>
              </w:rPr>
            </w:pPr>
            <w:r>
              <w:rPr>
                <w:rFonts w:hint="default"/>
                <w:lang w:val="en-US" w:eastAsia="zh-CN"/>
              </w:rPr>
              <w:drawing>
                <wp:anchor distT="0" distB="0" distL="114300" distR="114300" simplePos="0" relativeHeight="251682816" behindDoc="0" locked="0" layoutInCell="1" allowOverlap="1">
                  <wp:simplePos x="0" y="0"/>
                  <wp:positionH relativeFrom="column">
                    <wp:posOffset>506730</wp:posOffset>
                  </wp:positionH>
                  <wp:positionV relativeFrom="paragraph">
                    <wp:posOffset>148590</wp:posOffset>
                  </wp:positionV>
                  <wp:extent cx="1786255" cy="2806065"/>
                  <wp:effectExtent l="0" t="0" r="13335" b="12065"/>
                  <wp:wrapSquare wrapText="bothSides"/>
                  <wp:docPr id="203" name="图片 203" descr="2022下半年教育培训计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descr="2022下半年教育培训计划"/>
                          <pic:cNvPicPr>
                            <a:picLocks noChangeAspect="1"/>
                          </pic:cNvPicPr>
                        </pic:nvPicPr>
                        <pic:blipFill>
                          <a:blip r:embed="rId23"/>
                          <a:srcRect l="13042" t="9634" r="19563" b="8837"/>
                          <a:stretch>
                            <a:fillRect/>
                          </a:stretch>
                        </pic:blipFill>
                        <pic:spPr>
                          <a:xfrm rot="5400000">
                            <a:off x="0" y="0"/>
                            <a:ext cx="1786255" cy="2806065"/>
                          </a:xfrm>
                          <a:prstGeom prst="rect">
                            <a:avLst/>
                          </a:prstGeom>
                        </pic:spPr>
                      </pic:pic>
                    </a:graphicData>
                  </a:graphic>
                </wp:anchor>
              </w:drawing>
            </w:r>
            <w:r>
              <w:rPr>
                <w:rFonts w:hint="eastAsia"/>
                <w:color w:val="auto"/>
                <w:lang w:val="en-US" w:eastAsia="zh-CN"/>
              </w:rPr>
              <w:t>在7月份评价过程中，采纳评价组意见后，重新修订了2022年下半年安全教育培训计划，并按计划进行培训。</w:t>
            </w:r>
          </w:p>
        </w:tc>
        <w:tc>
          <w:tcPr>
            <w:tcW w:w="459" w:type="pc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color w:val="auto"/>
                <w:szCs w:val="21"/>
              </w:rPr>
            </w:pPr>
            <w:r>
              <w:rPr>
                <w:rFonts w:hint="eastAsia"/>
                <w:color w:val="auto"/>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04" w:type="pct"/>
            <w:vAlign w:val="center"/>
          </w:tcPr>
          <w:p>
            <w:pPr>
              <w:keepNext w:val="0"/>
              <w:keepLines w:val="0"/>
              <w:numPr>
                <w:ilvl w:val="0"/>
                <w:numId w:val="18"/>
              </w:numPr>
              <w:suppressLineNumbers w:val="0"/>
              <w:adjustRightInd w:val="0"/>
              <w:snapToGrid w:val="0"/>
              <w:spacing w:before="62" w:beforeLines="20" w:beforeAutospacing="0" w:after="62" w:afterLines="20" w:afterAutospacing="0"/>
              <w:ind w:left="425" w:leftChars="0" w:right="0" w:hanging="425" w:firstLineChars="0"/>
              <w:jc w:val="center"/>
              <w:rPr>
                <w:rFonts w:hint="eastAsia" w:eastAsia="宋体"/>
                <w:b w:val="0"/>
                <w:bCs w:val="0"/>
                <w:color w:val="auto"/>
                <w:szCs w:val="21"/>
                <w:lang w:eastAsia="zh-CN"/>
              </w:rPr>
            </w:pPr>
          </w:p>
        </w:tc>
        <w:tc>
          <w:tcPr>
            <w:tcW w:w="1529" w:type="pct"/>
            <w:vAlign w:val="center"/>
          </w:tcPr>
          <w:p>
            <w:pPr>
              <w:keepNext w:val="0"/>
              <w:keepLines w:val="0"/>
              <w:suppressLineNumbers w:val="0"/>
              <w:adjustRightInd w:val="0"/>
              <w:snapToGrid w:val="0"/>
              <w:spacing w:before="62" w:beforeLines="20" w:beforeAutospacing="0" w:after="62" w:afterLines="20" w:afterAutospacing="0"/>
              <w:ind w:left="0" w:right="0"/>
              <w:rPr>
                <w:rFonts w:hint="eastAsia"/>
                <w:color w:val="auto"/>
                <w:szCs w:val="21"/>
                <w:lang w:val="en-US" w:eastAsia="zh-CN"/>
              </w:rPr>
            </w:pPr>
            <w:r>
              <w:rPr>
                <w:rFonts w:hint="eastAsia"/>
                <w:color w:val="auto"/>
                <w:szCs w:val="21"/>
                <w:lang w:val="en-US" w:eastAsia="zh-CN"/>
              </w:rPr>
              <w:t>该公司2022年生产安全事故应急演练计划中的演练频次不满足《山东省生产安全事故应急办法》（山东省人民政府令[2021]第341号）的要求。</w:t>
            </w:r>
          </w:p>
        </w:tc>
        <w:tc>
          <w:tcPr>
            <w:tcW w:w="2706" w:type="pct"/>
            <w:vAlign w:val="center"/>
          </w:tcPr>
          <w:p>
            <w:pPr>
              <w:keepNext w:val="0"/>
              <w:keepLines w:val="0"/>
              <w:suppressLineNumbers w:val="0"/>
              <w:adjustRightInd w:val="0"/>
              <w:snapToGrid w:val="0"/>
              <w:spacing w:before="62" w:beforeLines="20" w:beforeAutospacing="0" w:after="62" w:afterLines="20" w:afterAutospacing="0"/>
              <w:ind w:left="0" w:right="0"/>
              <w:rPr>
                <w:rFonts w:hint="default"/>
                <w:lang w:val="en-US" w:eastAsia="zh-CN"/>
              </w:rPr>
            </w:pPr>
            <w:r>
              <w:rPr>
                <w:rFonts w:hint="default"/>
                <w:lang w:val="en-US" w:eastAsia="zh-CN"/>
              </w:rPr>
              <w:drawing>
                <wp:anchor distT="0" distB="0" distL="114300" distR="114300" simplePos="0" relativeHeight="251683840" behindDoc="0" locked="0" layoutInCell="1" allowOverlap="1">
                  <wp:simplePos x="0" y="0"/>
                  <wp:positionH relativeFrom="column">
                    <wp:posOffset>624205</wp:posOffset>
                  </wp:positionH>
                  <wp:positionV relativeFrom="paragraph">
                    <wp:posOffset>-10795</wp:posOffset>
                  </wp:positionV>
                  <wp:extent cx="1544955" cy="2781300"/>
                  <wp:effectExtent l="0" t="0" r="7620" b="9525"/>
                  <wp:wrapSquare wrapText="bothSides"/>
                  <wp:docPr id="210" name="图片 210" descr="2022下半年应急计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10" descr="2022下半年应急计划"/>
                          <pic:cNvPicPr>
                            <a:picLocks noChangeAspect="1"/>
                          </pic:cNvPicPr>
                        </pic:nvPicPr>
                        <pic:blipFill>
                          <a:blip r:embed="rId24"/>
                          <a:srcRect l="13695" t="5289" r="24798" b="4009"/>
                          <a:stretch>
                            <a:fillRect/>
                          </a:stretch>
                        </pic:blipFill>
                        <pic:spPr>
                          <a:xfrm rot="5400000">
                            <a:off x="0" y="0"/>
                            <a:ext cx="1544955" cy="2781300"/>
                          </a:xfrm>
                          <a:prstGeom prst="rect">
                            <a:avLst/>
                          </a:prstGeom>
                        </pic:spPr>
                      </pic:pic>
                    </a:graphicData>
                  </a:graphic>
                </wp:anchor>
              </w:drawing>
            </w:r>
            <w:r>
              <w:rPr>
                <w:rFonts w:hint="eastAsia"/>
                <w:color w:val="auto"/>
                <w:lang w:val="en-US" w:eastAsia="zh-CN"/>
              </w:rPr>
              <w:t>在7月份评价过程中，采纳评价组意见后，重新修订了2022年下半年</w:t>
            </w:r>
            <w:r>
              <w:rPr>
                <w:rFonts w:hint="eastAsia"/>
                <w:color w:val="auto"/>
                <w:szCs w:val="21"/>
                <w:lang w:val="en-US" w:eastAsia="zh-CN"/>
              </w:rPr>
              <w:t>生产安全事故应急演练计划</w:t>
            </w:r>
            <w:r>
              <w:rPr>
                <w:rFonts w:hint="eastAsia"/>
                <w:color w:val="auto"/>
                <w:lang w:val="en-US" w:eastAsia="zh-CN"/>
              </w:rPr>
              <w:t>，并按计划进行演练。</w:t>
            </w:r>
          </w:p>
        </w:tc>
        <w:tc>
          <w:tcPr>
            <w:tcW w:w="459" w:type="pc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color w:val="auto"/>
                <w:szCs w:val="21"/>
              </w:rPr>
            </w:pPr>
            <w:r>
              <w:rPr>
                <w:rFonts w:hint="eastAsia"/>
                <w:color w:val="auto"/>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63" w:hRule="atLeast"/>
          <w:jc w:val="center"/>
        </w:trPr>
        <w:tc>
          <w:tcPr>
            <w:tcW w:w="5000" w:type="pct"/>
            <w:gridSpan w:val="4"/>
            <w:vAlign w:val="center"/>
          </w:tcPr>
          <w:p>
            <w:pPr>
              <w:keepNext w:val="0"/>
              <w:keepLines w:val="0"/>
              <w:numPr>
                <w:ilvl w:val="0"/>
                <w:numId w:val="0"/>
              </w:numPr>
              <w:suppressLineNumbers w:val="0"/>
              <w:adjustRightInd w:val="0"/>
              <w:snapToGrid w:val="0"/>
              <w:spacing w:before="0" w:beforeAutospacing="0" w:after="0" w:afterAutospacing="0"/>
              <w:ind w:left="0" w:leftChars="0" w:right="0" w:rightChars="0"/>
              <w:jc w:val="both"/>
              <w:rPr>
                <w:rFonts w:hint="default"/>
                <w:b w:val="0"/>
                <w:bCs w:val="0"/>
                <w:color w:val="auto"/>
                <w:szCs w:val="21"/>
              </w:rPr>
            </w:pPr>
            <w:r>
              <w:rPr>
                <w:rFonts w:hint="eastAsia"/>
                <w:b w:val="0"/>
                <w:bCs w:val="0"/>
                <w:color w:val="auto"/>
                <w:szCs w:val="21"/>
              </w:rPr>
              <w:t>评价单位检查人员（签字）：</w:t>
            </w:r>
          </w:p>
          <w:p>
            <w:pPr>
              <w:keepNext w:val="0"/>
              <w:keepLines w:val="0"/>
              <w:numPr>
                <w:ilvl w:val="0"/>
                <w:numId w:val="0"/>
              </w:numPr>
              <w:suppressLineNumbers w:val="0"/>
              <w:adjustRightInd w:val="0"/>
              <w:snapToGrid w:val="0"/>
              <w:spacing w:before="0" w:beforeAutospacing="0" w:after="0" w:afterAutospacing="0"/>
              <w:ind w:left="0" w:leftChars="0" w:right="420" w:rightChars="0"/>
              <w:jc w:val="right"/>
              <w:rPr>
                <w:rFonts w:hint="eastAsia"/>
                <w:b w:val="0"/>
                <w:bCs w:val="0"/>
                <w:color w:val="auto"/>
                <w:szCs w:val="21"/>
              </w:rPr>
            </w:pPr>
          </w:p>
          <w:p>
            <w:pPr>
              <w:keepNext w:val="0"/>
              <w:keepLines w:val="0"/>
              <w:numPr>
                <w:ilvl w:val="0"/>
                <w:numId w:val="0"/>
              </w:numPr>
              <w:suppressLineNumbers w:val="0"/>
              <w:adjustRightInd w:val="0"/>
              <w:snapToGrid w:val="0"/>
              <w:spacing w:before="0" w:beforeAutospacing="0" w:after="0" w:afterAutospacing="0"/>
              <w:ind w:left="0" w:leftChars="0" w:right="420" w:rightChars="0"/>
              <w:jc w:val="right"/>
              <w:rPr>
                <w:rFonts w:hint="default"/>
                <w:b w:val="0"/>
                <w:bCs w:val="0"/>
                <w:color w:val="auto"/>
                <w:szCs w:val="21"/>
              </w:rPr>
            </w:pPr>
            <w:r>
              <w:rPr>
                <w:rFonts w:hint="eastAsia"/>
                <w:b w:val="0"/>
                <w:bCs w:val="0"/>
                <w:color w:val="auto"/>
                <w:szCs w:val="21"/>
              </w:rPr>
              <w:t>20</w:t>
            </w:r>
            <w:r>
              <w:rPr>
                <w:rFonts w:hint="eastAsia"/>
                <w:b w:val="0"/>
                <w:bCs w:val="0"/>
                <w:color w:val="auto"/>
                <w:szCs w:val="21"/>
                <w:lang w:val="en-US" w:eastAsia="zh-CN"/>
              </w:rPr>
              <w:t>22</w:t>
            </w:r>
            <w:r>
              <w:rPr>
                <w:rFonts w:hint="eastAsia"/>
                <w:b w:val="0"/>
                <w:bCs w:val="0"/>
                <w:color w:val="auto"/>
                <w:szCs w:val="21"/>
              </w:rPr>
              <w:t>年</w:t>
            </w:r>
            <w:r>
              <w:rPr>
                <w:rFonts w:hint="eastAsia"/>
                <w:b w:val="0"/>
                <w:bCs w:val="0"/>
                <w:color w:val="auto"/>
                <w:szCs w:val="21"/>
                <w:lang w:val="en-US" w:eastAsia="zh-CN"/>
              </w:rPr>
              <w:t>12</w:t>
            </w:r>
            <w:r>
              <w:rPr>
                <w:rFonts w:hint="eastAsia"/>
                <w:b w:val="0"/>
                <w:bCs w:val="0"/>
                <w:color w:val="auto"/>
                <w:szCs w:val="21"/>
              </w:rPr>
              <w:t>月</w:t>
            </w:r>
            <w:r>
              <w:rPr>
                <w:rFonts w:hint="default"/>
                <w:b w:val="0"/>
                <w:bCs w:val="0"/>
                <w:color w:val="auto"/>
                <w:szCs w:val="21"/>
              </w:rPr>
              <w:t>28</w:t>
            </w:r>
            <w:r>
              <w:rPr>
                <w:rFonts w:hint="eastAsia"/>
                <w:b w:val="0"/>
                <w:bCs w:val="0"/>
                <w:color w:val="auto"/>
                <w:szCs w:val="21"/>
              </w:rPr>
              <w:t>日</w:t>
            </w:r>
          </w:p>
          <w:p>
            <w:pPr>
              <w:keepNext w:val="0"/>
              <w:keepLines w:val="0"/>
              <w:numPr>
                <w:ilvl w:val="0"/>
                <w:numId w:val="0"/>
              </w:numPr>
              <w:suppressLineNumbers w:val="0"/>
              <w:adjustRightInd w:val="0"/>
              <w:snapToGrid w:val="0"/>
              <w:spacing w:before="0" w:beforeAutospacing="0" w:after="0" w:afterAutospacing="0"/>
              <w:ind w:left="0" w:leftChars="0" w:right="420" w:rightChars="0"/>
              <w:jc w:val="right"/>
              <w:rPr>
                <w:rFonts w:hint="default"/>
                <w:b w:val="0"/>
                <w:bCs w:val="0"/>
                <w:color w:val="0070C0"/>
                <w:szCs w:val="21"/>
              </w:rPr>
            </w:pPr>
            <w:r>
              <w:rPr>
                <w:rFonts w:hint="eastAsia"/>
                <w:b w:val="0"/>
                <w:bCs w:val="0"/>
                <w:color w:val="auto"/>
                <w:szCs w:val="21"/>
              </w:rPr>
              <w:t>（单位盖章）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23" w:hRule="atLeast"/>
          <w:jc w:val="center"/>
        </w:trPr>
        <w:tc>
          <w:tcPr>
            <w:tcW w:w="5000" w:type="pct"/>
            <w:gridSpan w:val="4"/>
            <w:vAlign w:val="center"/>
          </w:tcPr>
          <w:p>
            <w:pPr>
              <w:keepNext w:val="0"/>
              <w:keepLines w:val="0"/>
              <w:numPr>
                <w:ilvl w:val="0"/>
                <w:numId w:val="0"/>
              </w:numPr>
              <w:suppressLineNumbers w:val="0"/>
              <w:adjustRightInd w:val="0"/>
              <w:snapToGrid w:val="0"/>
              <w:spacing w:before="0" w:beforeAutospacing="0" w:after="0" w:afterAutospacing="0"/>
              <w:ind w:left="0" w:leftChars="0" w:right="0" w:rightChars="0"/>
              <w:jc w:val="both"/>
              <w:rPr>
                <w:rFonts w:hint="default"/>
                <w:b w:val="0"/>
                <w:bCs w:val="0"/>
                <w:color w:val="auto"/>
                <w:szCs w:val="21"/>
              </w:rPr>
            </w:pPr>
            <w:r>
              <w:rPr>
                <w:rFonts w:hint="eastAsia"/>
                <w:b w:val="0"/>
                <w:bCs w:val="0"/>
                <w:color w:val="auto"/>
                <w:szCs w:val="21"/>
              </w:rPr>
              <w:t>被评价单位主要负责人确认（签字）：</w:t>
            </w:r>
          </w:p>
          <w:p>
            <w:pPr>
              <w:keepNext w:val="0"/>
              <w:keepLines w:val="0"/>
              <w:suppressLineNumbers w:val="0"/>
              <w:adjustRightInd w:val="0"/>
              <w:snapToGrid w:val="0"/>
              <w:spacing w:before="0" w:beforeAutospacing="0" w:after="0" w:afterAutospacing="0"/>
              <w:ind w:left="0" w:right="420" w:firstLineChars="0"/>
              <w:jc w:val="center"/>
              <w:rPr>
                <w:rFonts w:hint="default"/>
                <w:b w:val="0"/>
                <w:bCs w:val="0"/>
                <w:color w:val="auto"/>
                <w:szCs w:val="21"/>
              </w:rPr>
            </w:pPr>
          </w:p>
          <w:p>
            <w:pPr>
              <w:keepNext w:val="0"/>
              <w:keepLines w:val="0"/>
              <w:numPr>
                <w:ilvl w:val="0"/>
                <w:numId w:val="0"/>
              </w:numPr>
              <w:suppressLineNumbers w:val="0"/>
              <w:adjustRightInd w:val="0"/>
              <w:snapToGrid w:val="0"/>
              <w:spacing w:before="0" w:beforeAutospacing="0" w:after="0" w:afterAutospacing="0"/>
              <w:ind w:left="0" w:leftChars="0" w:right="420" w:rightChars="0"/>
              <w:jc w:val="right"/>
              <w:rPr>
                <w:rFonts w:hint="default"/>
                <w:b w:val="0"/>
                <w:bCs w:val="0"/>
                <w:color w:val="auto"/>
                <w:szCs w:val="21"/>
              </w:rPr>
            </w:pPr>
            <w:r>
              <w:rPr>
                <w:rFonts w:hint="eastAsia"/>
                <w:b w:val="0"/>
                <w:bCs w:val="0"/>
                <w:color w:val="auto"/>
                <w:szCs w:val="21"/>
              </w:rPr>
              <w:t>20</w:t>
            </w:r>
            <w:r>
              <w:rPr>
                <w:rFonts w:hint="eastAsia"/>
                <w:b w:val="0"/>
                <w:bCs w:val="0"/>
                <w:color w:val="auto"/>
                <w:szCs w:val="21"/>
                <w:lang w:val="en-US" w:eastAsia="zh-CN"/>
              </w:rPr>
              <w:t>22</w:t>
            </w:r>
            <w:r>
              <w:rPr>
                <w:rFonts w:hint="eastAsia"/>
                <w:b w:val="0"/>
                <w:bCs w:val="0"/>
                <w:color w:val="auto"/>
                <w:szCs w:val="21"/>
              </w:rPr>
              <w:t>年</w:t>
            </w:r>
            <w:r>
              <w:rPr>
                <w:rFonts w:hint="eastAsia"/>
                <w:b w:val="0"/>
                <w:bCs w:val="0"/>
                <w:color w:val="auto"/>
                <w:szCs w:val="21"/>
                <w:lang w:val="en-US" w:eastAsia="zh-CN"/>
              </w:rPr>
              <w:t>12</w:t>
            </w:r>
            <w:r>
              <w:rPr>
                <w:rFonts w:hint="eastAsia"/>
                <w:b w:val="0"/>
                <w:bCs w:val="0"/>
                <w:color w:val="auto"/>
                <w:szCs w:val="21"/>
              </w:rPr>
              <w:t>月</w:t>
            </w:r>
            <w:r>
              <w:rPr>
                <w:rFonts w:hint="default"/>
                <w:b w:val="0"/>
                <w:bCs w:val="0"/>
                <w:color w:val="auto"/>
                <w:szCs w:val="21"/>
              </w:rPr>
              <w:t>28</w:t>
            </w:r>
            <w:r>
              <w:rPr>
                <w:rFonts w:hint="eastAsia"/>
                <w:b w:val="0"/>
                <w:bCs w:val="0"/>
                <w:color w:val="auto"/>
                <w:szCs w:val="21"/>
              </w:rPr>
              <w:t>日</w:t>
            </w:r>
          </w:p>
          <w:p>
            <w:pPr>
              <w:keepNext w:val="0"/>
              <w:keepLines w:val="0"/>
              <w:numPr>
                <w:ilvl w:val="0"/>
                <w:numId w:val="0"/>
              </w:numPr>
              <w:suppressLineNumbers w:val="0"/>
              <w:adjustRightInd w:val="0"/>
              <w:snapToGrid w:val="0"/>
              <w:spacing w:before="0" w:beforeAutospacing="0" w:after="0" w:afterAutospacing="0"/>
              <w:ind w:left="0" w:leftChars="0" w:right="420" w:rightChars="0"/>
              <w:jc w:val="right"/>
              <w:rPr>
                <w:rFonts w:hint="default"/>
                <w:b w:val="0"/>
                <w:bCs w:val="0"/>
                <w:color w:val="0070C0"/>
                <w:szCs w:val="21"/>
              </w:rPr>
            </w:pPr>
            <w:r>
              <w:rPr>
                <w:rFonts w:hint="eastAsia"/>
                <w:b w:val="0"/>
                <w:bCs w:val="0"/>
                <w:color w:val="auto"/>
                <w:szCs w:val="21"/>
              </w:rPr>
              <w:t>（单位盖章）</w:t>
            </w:r>
          </w:p>
          <w:p>
            <w:pPr>
              <w:keepNext w:val="0"/>
              <w:keepLines w:val="0"/>
              <w:suppressLineNumbers w:val="0"/>
              <w:adjustRightInd w:val="0"/>
              <w:snapToGrid w:val="0"/>
              <w:spacing w:before="0" w:beforeAutospacing="0" w:after="0" w:afterAutospacing="0"/>
              <w:ind w:left="0" w:right="0" w:firstLineChars="0"/>
              <w:jc w:val="center"/>
              <w:rPr>
                <w:rFonts w:hint="default"/>
                <w:b w:val="0"/>
                <w:bCs w:val="0"/>
                <w:color w:val="0070C0"/>
                <w:szCs w:val="21"/>
              </w:rPr>
            </w:pPr>
          </w:p>
        </w:tc>
      </w:tr>
    </w:tbl>
    <w:p>
      <w:pPr>
        <w:adjustRightInd w:val="0"/>
        <w:snapToGrid w:val="0"/>
        <w:spacing w:line="360" w:lineRule="auto"/>
        <w:ind w:firstLine="560" w:firstLineChars="200"/>
        <w:rPr>
          <w:color w:val="0070C0"/>
          <w:sz w:val="28"/>
        </w:rPr>
      </w:pPr>
    </w:p>
    <w:p>
      <w:pPr>
        <w:rPr>
          <w:rFonts w:hint="eastAsia" w:eastAsia="楷体_GB2312"/>
          <w:b/>
          <w:color w:val="0070C0"/>
          <w:sz w:val="36"/>
          <w:szCs w:val="36"/>
          <w:lang w:val="en-US" w:eastAsia="zh-CN"/>
        </w:rPr>
      </w:pPr>
      <w:r>
        <w:rPr>
          <w:rFonts w:hint="eastAsia" w:eastAsia="楷体_GB2312"/>
          <w:b/>
          <w:color w:val="0070C0"/>
          <w:sz w:val="36"/>
          <w:szCs w:val="36"/>
          <w:lang w:val="en-US" w:eastAsia="zh-CN"/>
        </w:rPr>
        <w:br w:type="page"/>
      </w:r>
    </w:p>
    <w:p>
      <w:pPr>
        <w:pStyle w:val="3"/>
        <w:adjustRightInd w:val="0"/>
        <w:snapToGrid w:val="0"/>
        <w:spacing w:line="360" w:lineRule="auto"/>
        <w:rPr>
          <w:rFonts w:hint="default" w:eastAsia="楷体_GB2312"/>
          <w:b/>
          <w:color w:val="auto"/>
          <w:sz w:val="36"/>
          <w:szCs w:val="36"/>
          <w:lang w:val="en-US" w:eastAsia="zh-CN"/>
        </w:rPr>
      </w:pPr>
      <w:bookmarkStart w:id="131" w:name="_Toc22214"/>
      <w:bookmarkStart w:id="132" w:name="_Toc281310752"/>
      <w:bookmarkStart w:id="133" w:name="_Toc16600"/>
      <w:bookmarkStart w:id="134" w:name="_Toc321810989"/>
      <w:r>
        <w:rPr>
          <w:rFonts w:hint="eastAsia" w:eastAsia="楷体_GB2312"/>
          <w:b/>
          <w:color w:val="auto"/>
          <w:sz w:val="36"/>
          <w:szCs w:val="36"/>
          <w:lang w:val="en-US" w:eastAsia="zh-CN"/>
        </w:rPr>
        <w:t>8</w:t>
      </w:r>
      <w:r>
        <w:rPr>
          <w:rFonts w:hint="default" w:eastAsia="楷体_GB2312"/>
          <w:b/>
          <w:color w:val="auto"/>
          <w:sz w:val="36"/>
          <w:szCs w:val="36"/>
          <w:lang w:val="en-US" w:eastAsia="zh-CN"/>
        </w:rPr>
        <w:t xml:space="preserve"> </w:t>
      </w:r>
      <w:r>
        <w:rPr>
          <w:rFonts w:hint="eastAsia" w:ascii="宋体" w:hAnsi="宋体" w:eastAsia="宋体" w:cs="宋体"/>
          <w:b/>
          <w:color w:val="auto"/>
          <w:sz w:val="36"/>
          <w:szCs w:val="36"/>
          <w:lang w:val="en-US" w:eastAsia="zh-CN"/>
        </w:rPr>
        <w:t>安全生产条件分析评价</w:t>
      </w:r>
      <w:bookmarkEnd w:id="131"/>
      <w:bookmarkEnd w:id="132"/>
      <w:bookmarkEnd w:id="133"/>
      <w:bookmarkEnd w:id="134"/>
    </w:p>
    <w:p>
      <w:pPr>
        <w:pStyle w:val="4"/>
        <w:keepNext w:val="0"/>
        <w:keepLines w:val="0"/>
        <w:pageBreakBefore w:val="0"/>
        <w:widowControl w:val="0"/>
        <w:wordWrap/>
        <w:bidi w:val="0"/>
        <w:adjustRightInd w:val="0"/>
        <w:snapToGrid w:val="0"/>
        <w:spacing w:before="0" w:after="0" w:line="360" w:lineRule="auto"/>
        <w:rPr>
          <w:rFonts w:hint="default" w:ascii="Times New Roman" w:hAnsi="Times New Roman" w:eastAsia="黑体" w:cs="Times New Roman"/>
          <w:color w:val="000000" w:themeColor="text1"/>
          <w:sz w:val="28"/>
          <w:szCs w:val="28"/>
          <w:lang w:eastAsia="zh-CN"/>
          <w14:textFill>
            <w14:solidFill>
              <w14:schemeClr w14:val="tx1"/>
            </w14:solidFill>
          </w14:textFill>
        </w:rPr>
      </w:pPr>
      <w:bookmarkStart w:id="135" w:name="_Toc27692"/>
      <w:bookmarkStart w:id="136" w:name="_Toc26232"/>
      <w:bookmarkStart w:id="137" w:name="_Toc25168"/>
      <w:r>
        <w:rPr>
          <w:rFonts w:hint="default" w:ascii="Times New Roman" w:hAnsi="Times New Roman" w:cs="Times New Roman"/>
          <w:b w:val="0"/>
          <w:bCs/>
          <w:color w:val="000000" w:themeColor="text1"/>
          <w:szCs w:val="32"/>
          <w:lang w:val="en-US" w:eastAsia="zh-CN"/>
          <w14:textFill>
            <w14:solidFill>
              <w14:schemeClr w14:val="tx1"/>
            </w14:solidFill>
          </w14:textFill>
        </w:rPr>
        <w:t>8</w:t>
      </w:r>
      <w:r>
        <w:rPr>
          <w:rFonts w:hint="default" w:ascii="Times New Roman" w:hAnsi="Times New Roman" w:cs="Times New Roman"/>
          <w:b w:val="0"/>
          <w:bCs/>
          <w:color w:val="000000" w:themeColor="text1"/>
          <w:szCs w:val="32"/>
          <w14:textFill>
            <w14:solidFill>
              <w14:schemeClr w14:val="tx1"/>
            </w14:solidFill>
          </w14:textFill>
        </w:rPr>
        <w:t xml:space="preserve">.1 </w:t>
      </w:r>
      <w:r>
        <w:rPr>
          <w:rFonts w:hint="default" w:ascii="Times New Roman" w:hAnsi="Times New Roman" w:cs="Times New Roman"/>
          <w:b w:val="0"/>
          <w:bCs/>
          <w:color w:val="000000" w:themeColor="text1"/>
          <w:szCs w:val="32"/>
          <w:lang w:eastAsia="zh-CN"/>
          <w14:textFill>
            <w14:solidFill>
              <w14:schemeClr w14:val="tx1"/>
            </w14:solidFill>
          </w14:textFill>
        </w:rPr>
        <w:t>安全生产条件分析</w:t>
      </w:r>
      <w:bookmarkEnd w:id="135"/>
      <w:bookmarkEnd w:id="136"/>
      <w:bookmarkEnd w:id="137"/>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根据</w:t>
      </w:r>
      <w:r>
        <w:rPr>
          <w:rFonts w:hint="default" w:ascii="Times New Roman" w:hAnsi="Times New Roman" w:cs="Times New Roman"/>
          <w:sz w:val="28"/>
        </w:rPr>
        <w:t>《非煤矿矿山企业安全生产许可证实施办法》</w:t>
      </w:r>
      <w:r>
        <w:rPr>
          <w:rFonts w:hint="default" w:ascii="Times New Roman" w:hAnsi="Times New Roman" w:cs="Times New Roman"/>
          <w:sz w:val="28"/>
          <w:lang w:eastAsia="zh-CN"/>
        </w:rPr>
        <w:t>（</w:t>
      </w:r>
      <w:r>
        <w:rPr>
          <w:rFonts w:hint="default" w:ascii="Times New Roman" w:hAnsi="Times New Roman" w:cs="Times New Roman"/>
          <w:sz w:val="28"/>
        </w:rPr>
        <w:t>国家安全生产监督管理总局令[2009]第20号，2015修订版</w:t>
      </w:r>
      <w:r>
        <w:rPr>
          <w:rFonts w:hint="default" w:ascii="Times New Roman" w:hAnsi="Times New Roman" w:cs="Times New Roman"/>
          <w:sz w:val="28"/>
          <w:lang w:eastAsia="zh-CN"/>
        </w:rPr>
        <w:t>）</w:t>
      </w:r>
      <w:r>
        <w:rPr>
          <w:rFonts w:hint="default"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《山东省非煤矿矿山企业安全生产许可证实施方案》（鲁安监发[2009]133号）和本报告第5</w:t>
      </w:r>
      <w:r>
        <w:rPr>
          <w:rFonts w:hint="default" w:ascii="Times New Roman" w:hAnsi="Times New Roman" w:cs="Times New Roman"/>
          <w:color w:val="000000"/>
          <w:sz w:val="28"/>
          <w:szCs w:val="28"/>
          <w:lang w:val="en-US" w:eastAsia="zh-CN"/>
        </w:rPr>
        <w:t>、6、7章</w:t>
      </w:r>
      <w:r>
        <w:rPr>
          <w:rFonts w:hint="default" w:ascii="Times New Roman" w:hAnsi="Times New Roman" w:cs="Times New Roman"/>
          <w:color w:val="000000"/>
          <w:sz w:val="28"/>
          <w:szCs w:val="28"/>
        </w:rPr>
        <w:t>的安全检查表的详细检查情况</w:t>
      </w:r>
      <w:r>
        <w:rPr>
          <w:rFonts w:hint="default" w:ascii="Times New Roman" w:hAnsi="Times New Roman" w:cs="Times New Roman"/>
          <w:color w:val="000000"/>
          <w:sz w:val="28"/>
          <w:szCs w:val="28"/>
          <w:lang w:eastAsia="zh-CN"/>
        </w:rPr>
        <w:t>、安全对策措施</w:t>
      </w:r>
      <w:r>
        <w:rPr>
          <w:rFonts w:hint="default" w:ascii="Times New Roman" w:hAnsi="Times New Roman" w:cs="Times New Roman"/>
          <w:color w:val="000000"/>
          <w:sz w:val="28"/>
          <w:szCs w:val="28"/>
          <w:lang w:val="en-US" w:eastAsia="zh-CN"/>
        </w:rPr>
        <w:t>和隐患整改复查情况</w:t>
      </w:r>
      <w:r>
        <w:rPr>
          <w:rFonts w:hint="default" w:ascii="Times New Roman" w:hAnsi="Times New Roman" w:cs="Times New Roman"/>
          <w:color w:val="000000"/>
          <w:sz w:val="28"/>
          <w:szCs w:val="28"/>
        </w:rPr>
        <w:t>，对</w:t>
      </w:r>
      <w:r>
        <w:rPr>
          <w:rFonts w:hint="eastAsia" w:cs="Times New Roman"/>
          <w:color w:val="auto"/>
          <w:sz w:val="28"/>
          <w:szCs w:val="28"/>
          <w:lang w:val="en-US" w:eastAsia="zh-CN"/>
        </w:rPr>
        <w:t>山东华曦石油技术服务有限公司</w:t>
      </w:r>
      <w:r>
        <w:rPr>
          <w:rFonts w:hint="eastAsia"/>
          <w:color w:val="000000" w:themeColor="text1"/>
          <w:sz w:val="28"/>
          <w:szCs w:val="28"/>
          <w:lang w:val="en-US" w:eastAsia="zh-CN"/>
          <w14:textFill>
            <w14:solidFill>
              <w14:schemeClr w14:val="tx1"/>
            </w14:solidFill>
          </w14:textFill>
        </w:rPr>
        <w:t>井下</w:t>
      </w:r>
      <w:r>
        <w:rPr>
          <w:rFonts w:hint="default"/>
          <w:color w:val="000000" w:themeColor="text1"/>
          <w:sz w:val="28"/>
          <w:szCs w:val="28"/>
          <w:lang w:val="en-US" w:eastAsia="zh-CN"/>
          <w14:textFill>
            <w14:solidFill>
              <w14:schemeClr w14:val="tx1"/>
            </w14:solidFill>
          </w14:textFill>
        </w:rPr>
        <w:t>作业</w:t>
      </w:r>
      <w:r>
        <w:rPr>
          <w:rFonts w:hint="eastAsia"/>
          <w:color w:val="000000" w:themeColor="text1"/>
          <w:sz w:val="28"/>
          <w:szCs w:val="28"/>
          <w:lang w:val="en-US" w:eastAsia="zh-CN"/>
          <w14:textFill>
            <w14:solidFill>
              <w14:schemeClr w14:val="tx1"/>
            </w14:solidFill>
          </w14:textFill>
        </w:rPr>
        <w:t>-注气（蒸汽）</w:t>
      </w:r>
      <w:r>
        <w:rPr>
          <w:rFonts w:hint="default" w:ascii="Times New Roman" w:hAnsi="Times New Roman" w:cs="Times New Roman"/>
          <w:color w:val="auto"/>
          <w:sz w:val="28"/>
          <w:szCs w:val="28"/>
          <w:lang w:val="en-US" w:eastAsia="zh-CN"/>
        </w:rPr>
        <w:t>项目</w:t>
      </w:r>
      <w:r>
        <w:rPr>
          <w:rFonts w:hint="default" w:ascii="Times New Roman" w:hAnsi="Times New Roman" w:cs="Times New Roman"/>
          <w:color w:val="auto"/>
          <w:sz w:val="28"/>
          <w:szCs w:val="28"/>
        </w:rPr>
        <w:t>是</w:t>
      </w:r>
      <w:r>
        <w:rPr>
          <w:rFonts w:hint="default" w:ascii="Times New Roman" w:hAnsi="Times New Roman" w:cs="Times New Roman"/>
          <w:color w:val="000000"/>
          <w:sz w:val="28"/>
          <w:szCs w:val="28"/>
        </w:rPr>
        <w:t>否具备非煤矿矿山企业的安全生产条件进行</w:t>
      </w:r>
      <w:r>
        <w:rPr>
          <w:rFonts w:hint="default" w:ascii="Times New Roman" w:hAnsi="Times New Roman" w:cs="Times New Roman"/>
          <w:color w:val="000000"/>
          <w:sz w:val="28"/>
          <w:szCs w:val="28"/>
          <w:lang w:val="en-US" w:eastAsia="zh-CN"/>
        </w:rPr>
        <w:t>评价</w:t>
      </w:r>
      <w:r>
        <w:rPr>
          <w:rFonts w:hint="default" w:ascii="Times New Roman" w:hAnsi="Times New Roman" w:cs="Times New Roman"/>
          <w:color w:val="000000"/>
          <w:sz w:val="28"/>
          <w:szCs w:val="28"/>
        </w:rPr>
        <w:t>，</w:t>
      </w:r>
      <w:r>
        <w:rPr>
          <w:rFonts w:hint="default" w:ascii="Times New Roman" w:hAnsi="Times New Roman" w:cs="Times New Roman"/>
          <w:color w:val="000000"/>
          <w:sz w:val="28"/>
          <w:szCs w:val="28"/>
          <w:lang w:val="en-US" w:eastAsia="zh-CN"/>
        </w:rPr>
        <w:t>评价</w:t>
      </w:r>
      <w:r>
        <w:rPr>
          <w:rFonts w:hint="default" w:ascii="Times New Roman" w:hAnsi="Times New Roman" w:cs="Times New Roman"/>
          <w:color w:val="000000"/>
          <w:sz w:val="28"/>
          <w:szCs w:val="28"/>
        </w:rPr>
        <w:t>结果汇总如下，见下表。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default" w:ascii="Times New Roman" w:hAnsi="Times New Roman" w:cs="Times New Roman"/>
          <w:b/>
          <w:sz w:val="24"/>
          <w:szCs w:val="28"/>
        </w:rPr>
      </w:pPr>
      <w:r>
        <w:rPr>
          <w:rFonts w:hint="default" w:ascii="Times New Roman" w:hAnsi="Times New Roman" w:cs="Times New Roman"/>
          <w:b/>
          <w:sz w:val="24"/>
          <w:szCs w:val="28"/>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color w:val="000000"/>
          <w:sz w:val="28"/>
          <w:szCs w:val="28"/>
          <w:lang w:val="en-US" w:eastAsia="zh-CN"/>
        </w:rPr>
      </w:pPr>
      <w:r>
        <w:rPr>
          <w:rFonts w:hint="default" w:ascii="Times New Roman" w:hAnsi="Times New Roman" w:cs="Times New Roman"/>
          <w:color w:val="000000"/>
          <w:sz w:val="28"/>
          <w:szCs w:val="28"/>
          <w:lang w:val="en-US" w:eastAsia="zh-CN"/>
        </w:rPr>
        <w:t>评价小结：</w:t>
      </w:r>
    </w:p>
    <w:p>
      <w:pPr>
        <w:pStyle w:val="22"/>
        <w:keepNext w:val="0"/>
        <w:keepLines w:val="0"/>
        <w:pageBreakBefore w:val="0"/>
        <w:widowControl w:val="0"/>
        <w:kinsoku/>
        <w:wordWrap/>
        <w:overflowPunct/>
        <w:topLinePunct w:val="0"/>
        <w:autoSpaceDE/>
        <w:autoSpaceDN/>
        <w:bidi w:val="0"/>
        <w:adjustRightInd w:val="0"/>
        <w:snapToGrid w:val="0"/>
        <w:spacing w:after="0" w:line="360" w:lineRule="auto"/>
        <w:ind w:firstLine="560" w:firstLineChars="200"/>
        <w:jc w:val="left"/>
        <w:textAlignment w:val="auto"/>
        <w:rPr>
          <w:rFonts w:hint="default" w:ascii="Times New Roman" w:hAnsi="Times New Roman" w:eastAsia="宋体" w:cs="Times New Roman"/>
          <w:color w:val="0070C0"/>
          <w:sz w:val="24"/>
          <w:szCs w:val="24"/>
        </w:rPr>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default" w:ascii="Times New Roman" w:hAnsi="Times New Roman" w:cs="Times New Roman"/>
          <w:color w:val="000000"/>
          <w:sz w:val="28"/>
          <w:szCs w:val="28"/>
          <w:lang w:val="en-US" w:eastAsia="zh-CN"/>
        </w:rPr>
        <w:t>经过现场检查和评价，该企业涉及的</w:t>
      </w:r>
      <w:r>
        <w:rPr>
          <w:rFonts w:hint="eastAsia"/>
          <w:color w:val="000000" w:themeColor="text1"/>
          <w:sz w:val="28"/>
          <w:szCs w:val="28"/>
          <w:lang w:val="en-US" w:eastAsia="zh-CN"/>
          <w14:textFill>
            <w14:solidFill>
              <w14:schemeClr w14:val="tx1"/>
            </w14:solidFill>
          </w14:textFill>
        </w:rPr>
        <w:t>井下</w:t>
      </w:r>
      <w:r>
        <w:rPr>
          <w:rFonts w:hint="default"/>
          <w:color w:val="000000" w:themeColor="text1"/>
          <w:sz w:val="28"/>
          <w:szCs w:val="28"/>
          <w:lang w:val="en-US" w:eastAsia="zh-CN"/>
          <w14:textFill>
            <w14:solidFill>
              <w14:schemeClr w14:val="tx1"/>
            </w14:solidFill>
          </w14:textFill>
        </w:rPr>
        <w:t>作业</w:t>
      </w:r>
      <w:r>
        <w:rPr>
          <w:rFonts w:hint="eastAsia"/>
          <w:color w:val="000000" w:themeColor="text1"/>
          <w:sz w:val="28"/>
          <w:szCs w:val="28"/>
          <w:lang w:eastAsia="zh-CN"/>
          <w14:textFill>
            <w14:solidFill>
              <w14:schemeClr w14:val="tx1"/>
            </w14:solidFill>
          </w14:textFill>
        </w:rPr>
        <w:t>-注气（蒸汽）</w:t>
      </w:r>
      <w:r>
        <w:rPr>
          <w:rFonts w:hint="default" w:ascii="Times New Roman" w:hAnsi="Times New Roman" w:cs="Times New Roman"/>
          <w:color w:val="000000"/>
          <w:sz w:val="28"/>
          <w:szCs w:val="28"/>
          <w:lang w:val="en-US" w:eastAsia="zh-CN"/>
        </w:rPr>
        <w:t>项目取证安全生产条件有11项检查项为符合，无不符合项，1项检查项为不涉及，因此</w:t>
      </w:r>
      <w:r>
        <w:rPr>
          <w:rFonts w:hint="eastAsia" w:cs="Times New Roman"/>
          <w:color w:val="auto"/>
          <w:sz w:val="28"/>
          <w:szCs w:val="28"/>
          <w:lang w:val="en-US" w:eastAsia="zh-CN"/>
        </w:rPr>
        <w:t>山东华曦石油技术服务有限公司</w:t>
      </w:r>
      <w:r>
        <w:rPr>
          <w:rFonts w:hint="default" w:ascii="Times New Roman" w:hAnsi="Times New Roman" w:cs="Times New Roman"/>
          <w:b w:val="0"/>
          <w:bCs/>
          <w:smallCaps w:val="0"/>
          <w:sz w:val="28"/>
          <w:lang w:val="en-US" w:eastAsia="zh-CN"/>
        </w:rPr>
        <w:t>具备</w:t>
      </w:r>
      <w:r>
        <w:rPr>
          <w:rFonts w:hint="eastAsia"/>
          <w:color w:val="000000" w:themeColor="text1"/>
          <w:sz w:val="28"/>
          <w:szCs w:val="28"/>
          <w:lang w:val="en-US" w:eastAsia="zh-CN"/>
          <w14:textFill>
            <w14:solidFill>
              <w14:schemeClr w14:val="tx1"/>
            </w14:solidFill>
          </w14:textFill>
        </w:rPr>
        <w:t>井下</w:t>
      </w:r>
      <w:r>
        <w:rPr>
          <w:rFonts w:hint="default"/>
          <w:color w:val="000000" w:themeColor="text1"/>
          <w:sz w:val="28"/>
          <w:szCs w:val="28"/>
          <w:lang w:val="en-US" w:eastAsia="zh-CN"/>
          <w14:textFill>
            <w14:solidFill>
              <w14:schemeClr w14:val="tx1"/>
            </w14:solidFill>
          </w14:textFill>
        </w:rPr>
        <w:t>作业</w:t>
      </w:r>
      <w:r>
        <w:rPr>
          <w:rFonts w:hint="eastAsia"/>
          <w:color w:val="000000" w:themeColor="text1"/>
          <w:sz w:val="28"/>
          <w:szCs w:val="28"/>
          <w:lang w:val="en-US" w:eastAsia="zh-CN"/>
          <w14:textFill>
            <w14:solidFill>
              <w14:schemeClr w14:val="tx1"/>
            </w14:solidFill>
          </w14:textFill>
        </w:rPr>
        <w:t>-注气（蒸汽）</w:t>
      </w:r>
      <w:r>
        <w:rPr>
          <w:rFonts w:hint="default" w:ascii="Times New Roman" w:hAnsi="Times New Roman" w:cs="Times New Roman"/>
          <w:b w:val="0"/>
          <w:bCs/>
          <w:smallCaps w:val="0"/>
          <w:sz w:val="28"/>
          <w:lang w:val="en-US" w:eastAsia="zh-CN"/>
        </w:rPr>
        <w:t>项目的安全生产条件</w:t>
      </w:r>
      <w:r>
        <w:rPr>
          <w:rFonts w:hint="default" w:ascii="Times New Roman" w:hAnsi="Times New Roman" w:cs="Times New Roman"/>
          <w:color w:val="000000"/>
          <w:sz w:val="28"/>
          <w:szCs w:val="28"/>
          <w:lang w:eastAsia="zh-CN"/>
        </w:rPr>
        <w:t>。</w:t>
      </w:r>
    </w:p>
    <w:p>
      <w:pPr>
        <w:adjustRightInd w:val="0"/>
        <w:snapToGrid w:val="0"/>
        <w:spacing w:line="360" w:lineRule="auto"/>
        <w:ind w:firstLine="480" w:firstLineChars="200"/>
        <w:jc w:val="center"/>
        <w:rPr>
          <w:rFonts w:hint="default"/>
          <w:b/>
          <w:color w:val="auto"/>
          <w:sz w:val="24"/>
          <w:szCs w:val="28"/>
          <w:lang w:val="en-US" w:eastAsia="zh-CN"/>
        </w:rPr>
      </w:pPr>
      <w:r>
        <w:rPr>
          <w:rFonts w:hint="default"/>
          <w:b/>
          <w:color w:val="auto"/>
          <w:sz w:val="24"/>
          <w:szCs w:val="28"/>
        </w:rPr>
        <w:t>表</w:t>
      </w:r>
      <w:r>
        <w:rPr>
          <w:rFonts w:hint="eastAsia"/>
          <w:b/>
          <w:color w:val="auto"/>
          <w:sz w:val="24"/>
          <w:szCs w:val="28"/>
          <w:lang w:val="en-US" w:eastAsia="zh-CN"/>
        </w:rPr>
        <w:t>8</w:t>
      </w:r>
      <w:r>
        <w:rPr>
          <w:rFonts w:hint="default"/>
          <w:b/>
          <w:color w:val="auto"/>
          <w:sz w:val="24"/>
          <w:szCs w:val="28"/>
        </w:rPr>
        <w:t>-</w:t>
      </w:r>
      <w:r>
        <w:rPr>
          <w:rFonts w:hint="eastAsia"/>
          <w:b/>
          <w:color w:val="auto"/>
          <w:sz w:val="24"/>
          <w:szCs w:val="28"/>
          <w:lang w:val="en-US" w:eastAsia="zh-CN"/>
        </w:rPr>
        <w:t>2</w:t>
      </w:r>
      <w:r>
        <w:rPr>
          <w:rFonts w:hint="default"/>
          <w:b/>
          <w:color w:val="auto"/>
          <w:sz w:val="24"/>
          <w:szCs w:val="28"/>
        </w:rPr>
        <w:t xml:space="preserve"> 非煤矿矿山企业安全生产许可证审查</w:t>
      </w:r>
      <w:r>
        <w:rPr>
          <w:rFonts w:hint="eastAsia"/>
          <w:b/>
          <w:color w:val="auto"/>
          <w:sz w:val="24"/>
          <w:szCs w:val="28"/>
          <w:lang w:val="en-US" w:eastAsia="zh-CN"/>
        </w:rPr>
        <w:t>内容评价表</w:t>
      </w:r>
    </w:p>
    <w:p>
      <w:pPr>
        <w:adjustRightInd w:val="0"/>
        <w:snapToGrid w:val="0"/>
        <w:ind w:firstLine="420" w:firstLineChars="200"/>
        <w:rPr>
          <w:rFonts w:hint="default" w:ascii="Times New Roman" w:hAnsi="Times New Roman" w:cs="Times New Roman"/>
          <w:color w:val="auto"/>
          <w:sz w:val="28"/>
          <w:szCs w:val="28"/>
        </w:rPr>
      </w:pPr>
      <w:bookmarkStart w:id="143" w:name="_GoBack"/>
      <w:bookmarkEnd w:id="143"/>
      <w:r>
        <w:rPr>
          <w:rFonts w:hint="default" w:ascii="Times New Roman" w:hAnsi="Times New Roman" w:cs="Times New Roman"/>
          <w:color w:val="auto"/>
          <w:szCs w:val="21"/>
        </w:rPr>
        <w:t>注：非煤矿矿山企业总部申请安全生产许可证，需审查第1、3、4、5、6项；金属非金属矿山企业申请安全生产许可证，需审查第1-12项，如果该单位从事爆破作业，还需审查第13项；尾矿库申请安全生产许可证，需审查第1、3、4、5、6、7、8、9、10、11、12项；地质勘探单位和采掘施工企业申请安全生产许可证，需审查第1、2、3、4、5、6、7、9、10、11项，如果该单位从事爆破作业，还需审查第13项；石油天然气勘探、开发生产和储运（陆上采油气、海上采油气、物探、钻井、测井、录井、井下作业、油田建设、海油工程、储运）单位申请安全生产许可证，需审查第1、3、4、5、6、7、8、9、10、11项（其中陆上采油气、海上采油气单位需增加审查第2、12项，储运单位需增加审查第12项）。</w:t>
      </w:r>
    </w:p>
    <w:p>
      <w:pPr>
        <w:pStyle w:val="2"/>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评价小结：</w:t>
      </w:r>
    </w:p>
    <w:p>
      <w:pPr>
        <w:pStyle w:val="2"/>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sectPr>
          <w:pgSz w:w="16838" w:h="11906" w:orient="landscape"/>
          <w:pgMar w:top="1800" w:right="1440" w:bottom="1800" w:left="1440" w:header="1247"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default" w:ascii="Times New Roman" w:hAnsi="Times New Roman" w:eastAsia="宋体" w:cs="Times New Roman"/>
          <w:color w:val="000000"/>
          <w:kern w:val="2"/>
          <w:sz w:val="28"/>
          <w:szCs w:val="28"/>
          <w:lang w:val="en-US" w:eastAsia="zh-CN" w:bidi="ar-SA"/>
        </w:rPr>
        <w:t>经过现场检查和评价，该企业涉及的井下作业</w:t>
      </w:r>
      <w:r>
        <w:rPr>
          <w:rFonts w:hint="eastAsia" w:ascii="Times New Roman" w:hAnsi="Times New Roman" w:eastAsia="宋体" w:cs="Times New Roman"/>
          <w:color w:val="000000"/>
          <w:kern w:val="2"/>
          <w:sz w:val="28"/>
          <w:szCs w:val="28"/>
          <w:lang w:val="en-US" w:eastAsia="zh-CN" w:bidi="ar-SA"/>
        </w:rPr>
        <w:t>-注气（蒸汽）</w:t>
      </w:r>
      <w:r>
        <w:rPr>
          <w:rFonts w:hint="default" w:ascii="Times New Roman" w:hAnsi="Times New Roman" w:eastAsia="宋体" w:cs="Times New Roman"/>
          <w:color w:val="000000"/>
          <w:kern w:val="2"/>
          <w:sz w:val="28"/>
          <w:szCs w:val="28"/>
          <w:lang w:val="en-US" w:eastAsia="zh-CN" w:bidi="ar-SA"/>
        </w:rPr>
        <w:t>项目有10项审查项为符合，无不符合项，3项审查项为不涉及，因此山东华曦石油技术服务有限公司井下作业</w:t>
      </w:r>
      <w:r>
        <w:rPr>
          <w:rFonts w:hint="eastAsia" w:ascii="Times New Roman" w:hAnsi="Times New Roman" w:eastAsia="宋体" w:cs="Times New Roman"/>
          <w:color w:val="000000"/>
          <w:kern w:val="2"/>
          <w:sz w:val="28"/>
          <w:szCs w:val="28"/>
          <w:lang w:val="en-US" w:eastAsia="zh-CN" w:bidi="ar-SA"/>
        </w:rPr>
        <w:t>-注气（蒸汽）</w:t>
      </w:r>
      <w:r>
        <w:rPr>
          <w:rFonts w:hint="default" w:ascii="Times New Roman" w:hAnsi="Times New Roman" w:eastAsia="宋体" w:cs="Times New Roman"/>
          <w:color w:val="000000"/>
          <w:kern w:val="2"/>
          <w:sz w:val="28"/>
          <w:szCs w:val="28"/>
          <w:lang w:val="en-US" w:eastAsia="zh-CN" w:bidi="ar-SA"/>
        </w:rPr>
        <w:t>项目的审查条件符合要求</w:t>
      </w:r>
      <w:r>
        <w:rPr>
          <w:rFonts w:hint="eastAsia" w:ascii="Times New Roman" w:hAnsi="Times New Roman" w:eastAsia="宋体" w:cs="Times New Roman"/>
          <w:color w:val="000000"/>
          <w:kern w:val="2"/>
          <w:sz w:val="28"/>
          <w:szCs w:val="28"/>
          <w:lang w:val="en-US" w:eastAsia="zh-CN" w:bidi="ar-SA"/>
        </w:rPr>
        <w:t>。</w:t>
      </w:r>
    </w:p>
    <w:p>
      <w:pPr>
        <w:pStyle w:val="4"/>
        <w:keepNext w:val="0"/>
        <w:keepLines w:val="0"/>
        <w:pageBreakBefore w:val="0"/>
        <w:widowControl w:val="0"/>
        <w:kinsoku/>
        <w:wordWrap/>
        <w:overflowPunct/>
        <w:topLinePunct w:val="0"/>
        <w:autoSpaceDE/>
        <w:autoSpaceDN/>
        <w:bidi w:val="0"/>
        <w:adjustRightInd w:val="0"/>
        <w:snapToGrid w:val="0"/>
        <w:spacing w:before="0" w:after="0" w:line="360" w:lineRule="auto"/>
        <w:jc w:val="left"/>
        <w:textAlignment w:val="auto"/>
        <w:rPr>
          <w:rFonts w:hint="default" w:ascii="Times New Roman" w:hAnsi="Times New Roman" w:cs="Times New Roman"/>
          <w:b w:val="0"/>
          <w:bCs/>
          <w:color w:val="000000" w:themeColor="text1"/>
          <w:szCs w:val="32"/>
          <w:lang w:val="en-US" w:eastAsia="zh-CN"/>
          <w14:textFill>
            <w14:solidFill>
              <w14:schemeClr w14:val="tx1"/>
            </w14:solidFill>
          </w14:textFill>
        </w:rPr>
      </w:pPr>
      <w:bookmarkStart w:id="138" w:name="_Toc32451"/>
      <w:bookmarkStart w:id="139" w:name="_Toc19348"/>
      <w:bookmarkStart w:id="140" w:name="_Toc12531"/>
      <w:bookmarkStart w:id="141" w:name="_Toc17813"/>
      <w:r>
        <w:rPr>
          <w:rFonts w:hint="default" w:ascii="Times New Roman" w:hAnsi="Times New Roman" w:cs="Times New Roman"/>
          <w:b w:val="0"/>
          <w:bCs/>
          <w:color w:val="000000" w:themeColor="text1"/>
          <w:szCs w:val="32"/>
          <w:lang w:val="en-US" w:eastAsia="zh-CN"/>
          <w14:textFill>
            <w14:solidFill>
              <w14:schemeClr w14:val="tx1"/>
            </w14:solidFill>
          </w14:textFill>
        </w:rPr>
        <w:t>8.2</w:t>
      </w:r>
      <w:bookmarkEnd w:id="138"/>
      <w:r>
        <w:rPr>
          <w:rFonts w:hint="eastAsia" w:ascii="Times New Roman" w:hAnsi="Times New Roman" w:cs="Times New Roman"/>
          <w:b w:val="0"/>
          <w:bCs/>
          <w:color w:val="000000" w:themeColor="text1"/>
          <w:szCs w:val="32"/>
          <w:lang w:val="en-US" w:eastAsia="zh-CN"/>
          <w14:textFill>
            <w14:solidFill>
              <w14:schemeClr w14:val="tx1"/>
            </w14:solidFill>
          </w14:textFill>
        </w:rPr>
        <w:t xml:space="preserve"> </w:t>
      </w:r>
      <w:r>
        <w:rPr>
          <w:rFonts w:hint="default" w:ascii="Times New Roman" w:hAnsi="Times New Roman" w:cs="Times New Roman"/>
          <w:b w:val="0"/>
          <w:bCs/>
          <w:color w:val="000000" w:themeColor="text1"/>
          <w:szCs w:val="32"/>
          <w:lang w:val="en-US" w:eastAsia="zh-CN"/>
          <w14:textFill>
            <w14:solidFill>
              <w14:schemeClr w14:val="tx1"/>
            </w14:solidFill>
          </w14:textFill>
        </w:rPr>
        <w:t>重大安全风险隐患分析</w:t>
      </w:r>
      <w:bookmarkEnd w:id="139"/>
      <w:bookmarkEnd w:id="140"/>
      <w:bookmarkEnd w:id="141"/>
    </w:p>
    <w:p>
      <w:pPr>
        <w:pStyle w:val="283"/>
        <w:keepNext w:val="0"/>
        <w:keepLines w:val="0"/>
        <w:pageBreakBefore w:val="0"/>
        <w:widowControl w:val="0"/>
        <w:kinsoku/>
        <w:wordWrap/>
        <w:overflowPunct/>
        <w:topLinePunct w:val="0"/>
        <w:autoSpaceDE/>
        <w:autoSpaceDN/>
        <w:bidi w:val="0"/>
        <w:adjustRightInd w:val="0"/>
        <w:snapToGrid w:val="0"/>
        <w:spacing w:before="0" w:beforeLines="0"/>
        <w:jc w:val="both"/>
        <w:textAlignment w:val="auto"/>
        <w:rPr>
          <w:rFonts w:hint="default" w:ascii="Times New Roman" w:hAnsi="Times New Roman" w:cs="Times New Roman"/>
        </w:rPr>
      </w:pPr>
      <w:r>
        <w:rPr>
          <w:rFonts w:hint="default" w:ascii="Times New Roman" w:hAnsi="Times New Roman" w:cs="Times New Roman"/>
        </w:rPr>
        <w:t>根据《</w:t>
      </w:r>
      <w:r>
        <w:rPr>
          <w:rFonts w:hint="default" w:ascii="Times New Roman" w:hAnsi="Times New Roman" w:cs="Times New Roman"/>
          <w:lang w:val="en-US" w:eastAsia="zh-CN"/>
        </w:rPr>
        <w:t>重点行业领域重大安全风险隐患清单</w:t>
      </w:r>
      <w:r>
        <w:rPr>
          <w:rFonts w:hint="default" w:ascii="Times New Roman" w:hAnsi="Times New Roman" w:cs="Times New Roman"/>
        </w:rPr>
        <w:t>》</w:t>
      </w:r>
      <w:r>
        <w:rPr>
          <w:rFonts w:hint="default" w:ascii="Times New Roman" w:hAnsi="Times New Roman" w:cs="Times New Roman"/>
          <w:lang w:val="en-US" w:eastAsia="zh-CN"/>
        </w:rPr>
        <w:t>（鲁安发</w:t>
      </w:r>
      <w:r>
        <w:rPr>
          <w:rFonts w:hint="default" w:ascii="Times New Roman" w:hAnsi="Times New Roman" w:cs="Times New Roman"/>
          <w:lang w:eastAsia="zh-CN"/>
        </w:rPr>
        <w:t>[</w:t>
      </w:r>
      <w:r>
        <w:rPr>
          <w:rFonts w:hint="default" w:ascii="Times New Roman" w:hAnsi="Times New Roman" w:cs="Times New Roman"/>
          <w:lang w:val="en-US" w:eastAsia="zh-CN"/>
        </w:rPr>
        <w:t>2022</w:t>
      </w:r>
      <w:r>
        <w:rPr>
          <w:rFonts w:hint="default" w:ascii="Times New Roman" w:hAnsi="Times New Roman" w:cs="Times New Roman"/>
          <w:lang w:eastAsia="zh-CN"/>
        </w:rPr>
        <w:t>]</w:t>
      </w:r>
      <w:r>
        <w:rPr>
          <w:rFonts w:hint="default" w:ascii="Times New Roman" w:hAnsi="Times New Roman" w:cs="Times New Roman"/>
          <w:lang w:val="en-US" w:eastAsia="zh-CN"/>
        </w:rPr>
        <w:t>11号）</w:t>
      </w:r>
      <w:r>
        <w:rPr>
          <w:rFonts w:hint="default" w:ascii="Times New Roman" w:hAnsi="Times New Roman" w:cs="Times New Roman"/>
        </w:rPr>
        <w:t>，对本项目是否涉及重大安全</w:t>
      </w:r>
      <w:r>
        <w:rPr>
          <w:rFonts w:hint="default" w:ascii="Times New Roman" w:hAnsi="Times New Roman" w:cs="Times New Roman"/>
          <w:lang w:eastAsia="zh-CN"/>
        </w:rPr>
        <w:t>风险</w:t>
      </w:r>
      <w:r>
        <w:rPr>
          <w:rFonts w:hint="default" w:ascii="Times New Roman" w:hAnsi="Times New Roman" w:cs="Times New Roman"/>
        </w:rPr>
        <w:t>隐患判定情况如下：</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b/>
          <w:sz w:val="24"/>
          <w:szCs w:val="24"/>
        </w:rPr>
      </w:pPr>
      <w:r>
        <w:rPr>
          <w:rFonts w:hint="default" w:ascii="Times New Roman" w:hAnsi="Times New Roman" w:cs="Times New Roman"/>
          <w:b/>
          <w:sz w:val="24"/>
          <w:szCs w:val="24"/>
        </w:rPr>
        <w:t>表</w:t>
      </w:r>
      <w:r>
        <w:rPr>
          <w:rFonts w:hint="default" w:ascii="Times New Roman" w:hAnsi="Times New Roman" w:cs="Times New Roman"/>
          <w:b/>
          <w:sz w:val="24"/>
          <w:szCs w:val="24"/>
          <w:lang w:val="en-US" w:eastAsia="zh-CN"/>
        </w:rPr>
        <w:t>8</w:t>
      </w:r>
      <w:r>
        <w:rPr>
          <w:rFonts w:hint="default" w:ascii="Times New Roman" w:hAnsi="Times New Roman" w:cs="Times New Roman"/>
          <w:b/>
          <w:sz w:val="24"/>
          <w:szCs w:val="24"/>
        </w:rPr>
        <w:t>-</w:t>
      </w:r>
      <w:r>
        <w:rPr>
          <w:rFonts w:hint="default" w:ascii="Times New Roman" w:hAnsi="Times New Roman" w:cs="Times New Roman"/>
          <w:b/>
          <w:sz w:val="24"/>
          <w:szCs w:val="24"/>
          <w:lang w:val="en-US" w:eastAsia="zh-CN"/>
        </w:rPr>
        <w:t>3</w:t>
      </w:r>
      <w:r>
        <w:rPr>
          <w:rFonts w:hint="default" w:ascii="Times New Roman" w:hAnsi="Times New Roman" w:cs="Times New Roman"/>
          <w:b/>
          <w:sz w:val="24"/>
          <w:szCs w:val="24"/>
        </w:rPr>
        <w:t xml:space="preserve">  重大安全</w:t>
      </w:r>
      <w:r>
        <w:rPr>
          <w:rFonts w:hint="default" w:ascii="Times New Roman" w:hAnsi="Times New Roman" w:cs="Times New Roman"/>
          <w:b/>
          <w:sz w:val="24"/>
          <w:szCs w:val="24"/>
          <w:lang w:eastAsia="zh-CN"/>
        </w:rPr>
        <w:t>风险</w:t>
      </w:r>
      <w:r>
        <w:rPr>
          <w:rFonts w:hint="default" w:ascii="Times New Roman" w:hAnsi="Times New Roman" w:cs="Times New Roman"/>
          <w:b/>
          <w:sz w:val="24"/>
          <w:szCs w:val="24"/>
        </w:rPr>
        <w:t>隐患判定表</w:t>
      </w:r>
    </w:p>
    <w:tbl>
      <w:tblPr>
        <w:tblStyle w:val="5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7"/>
        <w:gridCol w:w="4963"/>
        <w:gridCol w:w="30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557" w:type="dxa"/>
            <w:noWrap w:val="0"/>
            <w:vAlign w:val="center"/>
          </w:tcPr>
          <w:p>
            <w:pPr>
              <w:keepNext w:val="0"/>
              <w:keepLines w:val="0"/>
              <w:pageBreakBefore w:val="0"/>
              <w:widowControl w:val="0"/>
              <w:numPr>
                <w:ilvl w:val="0"/>
                <w:numId w:val="0"/>
              </w:numPr>
              <w:suppressLineNumbers w:val="0"/>
              <w:wordWrap/>
              <w:bidi w:val="0"/>
              <w:adjustRightInd w:val="0"/>
              <w:snapToGrid w:val="0"/>
              <w:spacing w:before="48" w:beforeLines="20" w:beforeAutospacing="0" w:after="48" w:afterLines="20" w:afterAutospacing="0"/>
              <w:ind w:left="0" w:leftChars="0" w:right="0" w:rightChars="0"/>
              <w:jc w:val="center"/>
              <w:rPr>
                <w:rFonts w:hint="default" w:ascii="Times New Roman" w:hAnsi="Times New Roman" w:cs="Times New Roman"/>
                <w:b/>
                <w:snapToGrid w:val="0"/>
                <w:szCs w:val="21"/>
              </w:rPr>
            </w:pPr>
            <w:r>
              <w:rPr>
                <w:rFonts w:hint="default" w:ascii="Times New Roman" w:hAnsi="Times New Roman" w:cs="Times New Roman"/>
                <w:b/>
                <w:snapToGrid w:val="0"/>
                <w:szCs w:val="21"/>
              </w:rPr>
              <w:t>序号</w:t>
            </w: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jc w:val="center"/>
              <w:rPr>
                <w:rFonts w:hint="default" w:ascii="Times New Roman" w:hAnsi="Times New Roman" w:cs="Times New Roman"/>
                <w:b/>
                <w:snapToGrid w:val="0"/>
                <w:szCs w:val="21"/>
              </w:rPr>
            </w:pPr>
            <w:r>
              <w:rPr>
                <w:rFonts w:hint="default" w:ascii="Times New Roman" w:hAnsi="Times New Roman" w:cs="Times New Roman"/>
                <w:b/>
                <w:snapToGrid w:val="0"/>
                <w:szCs w:val="21"/>
              </w:rPr>
              <w:t>重大安全</w:t>
            </w:r>
            <w:r>
              <w:rPr>
                <w:rFonts w:hint="default" w:ascii="Times New Roman" w:hAnsi="Times New Roman" w:cs="Times New Roman"/>
                <w:b/>
                <w:snapToGrid w:val="0"/>
                <w:szCs w:val="21"/>
                <w:lang w:eastAsia="zh-CN"/>
              </w:rPr>
              <w:t>风险</w:t>
            </w:r>
            <w:r>
              <w:rPr>
                <w:rFonts w:hint="default" w:ascii="Times New Roman" w:hAnsi="Times New Roman" w:cs="Times New Roman"/>
                <w:b/>
                <w:snapToGrid w:val="0"/>
                <w:szCs w:val="21"/>
              </w:rPr>
              <w:t>隐患判定标准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jc w:val="center"/>
              <w:rPr>
                <w:rFonts w:hint="default" w:ascii="Times New Roman" w:hAnsi="Times New Roman" w:cs="Times New Roman"/>
                <w:b/>
                <w:snapToGrid w:val="0"/>
                <w:szCs w:val="21"/>
              </w:rPr>
            </w:pPr>
            <w:r>
              <w:rPr>
                <w:rFonts w:hint="default" w:ascii="Times New Roman" w:hAnsi="Times New Roman" w:cs="Times New Roman"/>
                <w:b/>
                <w:snapToGrid w:val="0"/>
                <w:szCs w:val="21"/>
              </w:rPr>
              <w:t>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szCs w:val="21"/>
              </w:rPr>
            </w:pPr>
            <w:r>
              <w:rPr>
                <w:rFonts w:hint="default" w:ascii="Times New Roman" w:hAnsi="Times New Roman" w:cs="Times New Roman"/>
                <w:b/>
                <w:bCs w:val="0"/>
                <w:snapToGrid w:val="0"/>
                <w:szCs w:val="21"/>
                <w:lang w:val="en-US" w:eastAsia="zh-CN"/>
              </w:rPr>
              <w:t>主要负责人和安全生产管理人员安全风险隐患：</w:t>
            </w:r>
            <w:r>
              <w:rPr>
                <w:rFonts w:hint="default" w:ascii="Times New Roman" w:hAnsi="Times New Roman" w:cs="Times New Roman"/>
                <w:bCs/>
                <w:snapToGrid w:val="0"/>
                <w:szCs w:val="21"/>
                <w:lang w:val="en-US" w:eastAsia="zh-CN"/>
              </w:rPr>
              <w:t>未按要求配备主要负责人和安全生产管理人员，或者主要负责人和安全生产管理人员未依法经考核合格。</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cs="Times New Roman"/>
                <w:lang w:val="en-US" w:eastAsia="zh-CN"/>
              </w:rPr>
            </w:pPr>
            <w:r>
              <w:rPr>
                <w:rFonts w:hint="eastAsia" w:ascii="宋体" w:hAnsi="宋体" w:eastAsia="宋体" w:cs="宋体"/>
                <w:spacing w:val="0"/>
                <w:w w:val="100"/>
                <w:sz w:val="21"/>
                <w:szCs w:val="21"/>
                <w:lang w:eastAsia="zh-CN"/>
              </w:rPr>
              <w:t>企业已按照要求</w:t>
            </w:r>
            <w:r>
              <w:rPr>
                <w:rFonts w:hint="eastAsia" w:ascii="宋体" w:hAnsi="宋体" w:eastAsia="宋体" w:cs="宋体"/>
                <w:spacing w:val="0"/>
                <w:w w:val="100"/>
                <w:sz w:val="21"/>
                <w:szCs w:val="21"/>
                <w:lang w:val="en-US" w:eastAsia="zh-CN"/>
              </w:rPr>
              <w:t>配备有主要负责人、专职安全生产管理人员</w:t>
            </w:r>
            <w:r>
              <w:rPr>
                <w:rFonts w:hint="eastAsia" w:ascii="宋体" w:hAnsi="宋体" w:cs="宋体"/>
                <w:spacing w:val="0"/>
                <w:w w:val="100"/>
                <w:sz w:val="21"/>
                <w:szCs w:val="21"/>
                <w:lang w:val="en-US" w:eastAsia="zh-CN"/>
              </w:rPr>
              <w:t>1</w:t>
            </w:r>
            <w:r>
              <w:rPr>
                <w:rFonts w:hint="eastAsia" w:ascii="宋体" w:hAnsi="宋体" w:eastAsia="宋体" w:cs="宋体"/>
                <w:spacing w:val="0"/>
                <w:w w:val="100"/>
                <w:sz w:val="21"/>
                <w:szCs w:val="21"/>
                <w:lang w:val="en-US" w:eastAsia="zh-CN"/>
              </w:rPr>
              <w:t>名，主要负责人和专职安全生产管理人员已取得安全合格证</w:t>
            </w:r>
            <w:r>
              <w:rPr>
                <w:rFonts w:hint="eastAsia" w:ascii="宋体" w:hAnsi="宋体" w:eastAsia="宋体" w:cs="宋体"/>
                <w:spacing w:val="0"/>
                <w:w w:val="100"/>
                <w:kern w:val="0"/>
                <w:sz w:val="21"/>
                <w:szCs w:val="21"/>
                <w:lang w:val="en-US" w:eastAsia="zh-CN"/>
              </w:rPr>
              <w:t>，</w:t>
            </w:r>
            <w:r>
              <w:rPr>
                <w:rFonts w:hint="default" w:ascii="Times New Roman" w:hAnsi="Times New Roman" w:eastAsia="宋体"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eastAsia="宋体"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rPr>
            </w:pPr>
            <w:r>
              <w:rPr>
                <w:rFonts w:hint="default" w:ascii="Times New Roman" w:hAnsi="Times New Roman" w:cs="Times New Roman"/>
                <w:b/>
                <w:bCs w:val="0"/>
                <w:snapToGrid w:val="0"/>
                <w:kern w:val="0"/>
                <w:szCs w:val="21"/>
                <w:lang w:val="en-US" w:eastAsia="zh-CN"/>
              </w:rPr>
              <w:t>技术管理机构安全风险隐患：</w:t>
            </w:r>
            <w:r>
              <w:rPr>
                <w:rFonts w:hint="default" w:ascii="Times New Roman" w:hAnsi="Times New Roman" w:cs="Times New Roman"/>
                <w:bCs/>
                <w:snapToGrid w:val="0"/>
                <w:kern w:val="0"/>
                <w:szCs w:val="21"/>
                <w:lang w:val="en-US" w:eastAsia="zh-CN"/>
              </w:rPr>
              <w:t>未按规定设立管理机构，或者管理机构未足额配备相关专业专职技术人员。</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从业人员安全风险隐患：</w:t>
            </w:r>
            <w:r>
              <w:rPr>
                <w:rFonts w:hint="default" w:ascii="Times New Roman" w:hAnsi="Times New Roman" w:cs="Times New Roman"/>
                <w:bCs/>
                <w:snapToGrid w:val="0"/>
                <w:kern w:val="0"/>
                <w:szCs w:val="21"/>
                <w:lang w:val="en-US" w:eastAsia="zh-CN"/>
              </w:rPr>
              <w:t>从业人员未经安全培训合格，特种作业人员未持证上岗。</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从业人员均持有</w:t>
            </w:r>
            <w:r>
              <w:rPr>
                <w:rFonts w:hint="eastAsia" w:cs="Times New Roman"/>
                <w:spacing w:val="0"/>
                <w:w w:val="100"/>
                <w:kern w:val="0"/>
                <w:sz w:val="21"/>
                <w:szCs w:val="21"/>
                <w:lang w:val="en-US" w:eastAsia="zh-CN"/>
              </w:rPr>
              <w:t>三</w:t>
            </w:r>
            <w:r>
              <w:rPr>
                <w:rFonts w:hint="default" w:ascii="Times New Roman" w:hAnsi="Times New Roman" w:eastAsia="宋体" w:cs="Times New Roman"/>
                <w:spacing w:val="0"/>
                <w:w w:val="100"/>
                <w:kern w:val="0"/>
                <w:sz w:val="21"/>
                <w:szCs w:val="21"/>
                <w:lang w:val="en-US" w:eastAsia="zh-CN"/>
              </w:rPr>
              <w:t>证，</w:t>
            </w:r>
            <w:r>
              <w:rPr>
                <w:rFonts w:hint="default" w:ascii="Times New Roman" w:hAnsi="Times New Roman" w:cs="Times New Roman"/>
                <w:bCs/>
                <w:snapToGrid w:val="0"/>
                <w:spacing w:val="0"/>
                <w:w w:val="100"/>
                <w:kern w:val="0"/>
                <w:sz w:val="21"/>
                <w:szCs w:val="21"/>
                <w:lang w:val="en-US" w:eastAsia="zh-CN"/>
              </w:rPr>
              <w:t>特种</w:t>
            </w:r>
            <w:r>
              <w:rPr>
                <w:rFonts w:hint="eastAsia" w:cs="Times New Roman"/>
                <w:bCs/>
                <w:snapToGrid w:val="0"/>
                <w:spacing w:val="0"/>
                <w:w w:val="100"/>
                <w:kern w:val="0"/>
                <w:sz w:val="21"/>
                <w:szCs w:val="21"/>
                <w:lang w:val="en-US" w:eastAsia="zh-CN"/>
              </w:rPr>
              <w:t>设备</w:t>
            </w:r>
            <w:r>
              <w:rPr>
                <w:rFonts w:hint="default" w:ascii="Times New Roman" w:hAnsi="Times New Roman" w:cs="Times New Roman"/>
                <w:bCs/>
                <w:snapToGrid w:val="0"/>
                <w:spacing w:val="0"/>
                <w:w w:val="100"/>
                <w:kern w:val="0"/>
                <w:sz w:val="21"/>
                <w:szCs w:val="21"/>
                <w:lang w:val="en-US" w:eastAsia="zh-CN"/>
              </w:rPr>
              <w:t>作业人员持证上岗。</w:t>
            </w:r>
            <w:r>
              <w:rPr>
                <w:rFonts w:hint="default" w:ascii="Times New Roman" w:hAnsi="Times New Roman" w:cs="Times New Roman"/>
                <w:b/>
                <w:bCs w:val="0"/>
                <w:snapToGrid w:val="0"/>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责任制度安全风险隐患：</w:t>
            </w:r>
            <w:r>
              <w:rPr>
                <w:rFonts w:hint="default" w:ascii="Times New Roman" w:hAnsi="Times New Roman" w:cs="Times New Roman"/>
                <w:bCs/>
                <w:snapToGrid w:val="0"/>
                <w:kern w:val="0"/>
                <w:szCs w:val="21"/>
                <w:lang w:val="en-US" w:eastAsia="zh-CN"/>
              </w:rPr>
              <w:t>未建立与岗位相匹配的全员安全生产责任制或者未制定实施生产安全事故隐患排查治理制度。</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已建立</w:t>
            </w:r>
            <w:r>
              <w:rPr>
                <w:rFonts w:hint="default" w:ascii="Times New Roman" w:hAnsi="Times New Roman" w:cs="Times New Roman"/>
                <w:bCs/>
                <w:snapToGrid w:val="0"/>
                <w:spacing w:val="0"/>
                <w:w w:val="100"/>
                <w:kern w:val="0"/>
                <w:sz w:val="21"/>
                <w:szCs w:val="21"/>
                <w:lang w:val="en-US" w:eastAsia="zh-CN"/>
              </w:rPr>
              <w:t>与岗位相匹配的全员安全生产责任制，并制定事故隐患排查治理制度。</w:t>
            </w:r>
            <w:r>
              <w:rPr>
                <w:rFonts w:hint="default" w:ascii="Times New Roman" w:hAnsi="Times New Roman" w:cs="Times New Roman"/>
                <w:b/>
                <w:bCs w:val="0"/>
                <w:snapToGrid w:val="0"/>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操作规程安全风险隐患：</w:t>
            </w:r>
            <w:r>
              <w:rPr>
                <w:rFonts w:hint="default" w:ascii="Times New Roman" w:hAnsi="Times New Roman" w:cs="Times New Roman"/>
                <w:bCs/>
                <w:snapToGrid w:val="0"/>
                <w:kern w:val="0"/>
                <w:szCs w:val="21"/>
                <w:lang w:val="en-US" w:eastAsia="zh-CN"/>
              </w:rPr>
              <w:t>未制定实施与岗位相匹配的操作规程。</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已制定实施与岗位相匹配的操作规程。</w:t>
            </w:r>
            <w:r>
              <w:rPr>
                <w:rFonts w:hint="default" w:ascii="Times New Roman" w:hAnsi="Times New Roman" w:eastAsia="宋体"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“三同时”安全风险隐患：</w:t>
            </w:r>
            <w:r>
              <w:rPr>
                <w:rFonts w:hint="default" w:ascii="Times New Roman" w:hAnsi="Times New Roman" w:cs="Times New Roman"/>
                <w:bCs/>
                <w:snapToGrid w:val="0"/>
                <w:kern w:val="0"/>
                <w:szCs w:val="21"/>
                <w:lang w:val="en-US" w:eastAsia="zh-CN"/>
              </w:rPr>
              <w:t>不严格履行建设项目安全设施“三同时”制度，不按批准的安全设施设计建设、生产，安全生产许可证有效期满未办理延期手续。</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整合矿山安全风险隐患：</w:t>
            </w:r>
            <w:r>
              <w:rPr>
                <w:rFonts w:hint="default" w:ascii="Times New Roman" w:hAnsi="Times New Roman" w:cs="Times New Roman"/>
                <w:bCs/>
                <w:snapToGrid w:val="0"/>
                <w:kern w:val="0"/>
                <w:szCs w:val="21"/>
                <w:lang w:val="en-US" w:eastAsia="zh-CN"/>
              </w:rPr>
              <w:t>整合后的矿山管理不规范，纳入整合的生产系统仍然“各自为政”。</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基建矿山安全风险隐患：</w:t>
            </w:r>
            <w:r>
              <w:rPr>
                <w:rFonts w:hint="default" w:ascii="Times New Roman" w:hAnsi="Times New Roman" w:cs="Times New Roman"/>
                <w:bCs/>
                <w:snapToGrid w:val="0"/>
                <w:kern w:val="0"/>
                <w:szCs w:val="21"/>
                <w:lang w:val="en-US" w:eastAsia="zh-CN"/>
              </w:rPr>
              <w:t>未按规定合理编制基建工程进度计划，未明确优先贯通安全出口和尽快形成主要供电、通风、排水系统的要求。竖井、斜井、斜坡道等施工到底后，未按规定集中在一个中段贯通。</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停产停建矿山安全风险隐患：</w:t>
            </w:r>
            <w:r>
              <w:rPr>
                <w:rFonts w:hint="default" w:ascii="Times New Roman" w:hAnsi="Times New Roman" w:cs="Times New Roman"/>
                <w:bCs/>
                <w:snapToGrid w:val="0"/>
                <w:kern w:val="0"/>
                <w:szCs w:val="21"/>
                <w:lang w:val="en-US" w:eastAsia="zh-CN"/>
              </w:rPr>
              <w:t>未制定落实停产停建期间安全风险管控措施，或者以设备调试、检修和设施维修等为由组织建设或生产。</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bCs w:val="0"/>
                <w:snapToGrid w:val="0"/>
                <w:kern w:val="0"/>
                <w:szCs w:val="21"/>
                <w:lang w:val="en-US" w:eastAsia="zh-CN"/>
              </w:rPr>
              <w:t>动火作业安全风险隐患：</w:t>
            </w:r>
            <w:r>
              <w:rPr>
                <w:rFonts w:hint="default" w:ascii="Times New Roman" w:hAnsi="Times New Roman" w:cs="Times New Roman"/>
                <w:b w:val="0"/>
                <w:bCs/>
                <w:snapToGrid w:val="0"/>
                <w:kern w:val="0"/>
                <w:szCs w:val="21"/>
                <w:lang w:val="en-US" w:eastAsia="zh-CN"/>
              </w:rPr>
              <w:t>未按照要求制定动火作业管理和审批制度，或者制度未有效执行。</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图纸管理安全风险隐患：</w:t>
            </w:r>
            <w:r>
              <w:rPr>
                <w:rFonts w:hint="default" w:ascii="Times New Roman" w:hAnsi="Times New Roman" w:cs="Times New Roman"/>
                <w:b w:val="0"/>
                <w:bCs/>
                <w:snapToGrid w:val="0"/>
                <w:kern w:val="0"/>
                <w:szCs w:val="21"/>
                <w:lang w:val="en-US" w:eastAsia="zh-CN"/>
              </w:rPr>
              <w:t xml:space="preserve">未及时填绘图纸，或者现状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图与实际严重不符。</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应急预案安全风险隐患：</w:t>
            </w:r>
            <w:r>
              <w:rPr>
                <w:rFonts w:hint="default" w:ascii="Times New Roman" w:hAnsi="Times New Roman" w:cs="Times New Roman"/>
                <w:b w:val="0"/>
                <w:bCs/>
                <w:snapToGrid w:val="0"/>
                <w:kern w:val="0"/>
                <w:szCs w:val="21"/>
                <w:lang w:val="en-US" w:eastAsia="zh-CN"/>
              </w:rPr>
              <w:t>未按要求编制符合实际的综 合应急预案、专项应急预案和现场处置方案，或者预案未进行评审、公布、备案。</w:t>
            </w:r>
          </w:p>
        </w:tc>
        <w:tc>
          <w:tcPr>
            <w:tcW w:w="3002"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已编制应急预案并在东营区应急管理局备案。</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应急救援体系安全风险隐患：</w:t>
            </w:r>
            <w:r>
              <w:rPr>
                <w:rFonts w:hint="default" w:ascii="Times New Roman" w:hAnsi="Times New Roman" w:cs="Times New Roman"/>
                <w:b w:val="0"/>
                <w:bCs/>
                <w:snapToGrid w:val="0"/>
                <w:kern w:val="0"/>
                <w:szCs w:val="21"/>
                <w:lang w:val="en-US" w:eastAsia="zh-CN"/>
              </w:rPr>
              <w:t xml:space="preserve">未建立应急救援队伍，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未按规定定期组织开展应急演练。</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已</w:t>
            </w:r>
            <w:r>
              <w:rPr>
                <w:rFonts w:hint="default" w:ascii="Times New Roman" w:hAnsi="Times New Roman" w:cs="Times New Roman"/>
                <w:b w:val="0"/>
                <w:bCs/>
                <w:snapToGrid w:val="0"/>
                <w:spacing w:val="0"/>
                <w:w w:val="100"/>
                <w:kern w:val="0"/>
                <w:sz w:val="21"/>
                <w:szCs w:val="21"/>
                <w:lang w:val="en-US" w:eastAsia="zh-CN"/>
              </w:rPr>
              <w:t>建立应急救援</w:t>
            </w:r>
            <w:r>
              <w:rPr>
                <w:rFonts w:hint="eastAsia" w:cs="Times New Roman"/>
                <w:b w:val="0"/>
                <w:bCs/>
                <w:snapToGrid w:val="0"/>
                <w:spacing w:val="0"/>
                <w:w w:val="100"/>
                <w:kern w:val="0"/>
                <w:sz w:val="21"/>
                <w:szCs w:val="21"/>
                <w:lang w:val="en-US" w:eastAsia="zh-CN"/>
              </w:rPr>
              <w:t>组织</w:t>
            </w:r>
            <w:r>
              <w:rPr>
                <w:rFonts w:hint="default" w:ascii="Times New Roman" w:hAnsi="Times New Roman" w:cs="Times New Roman"/>
                <w:b w:val="0"/>
                <w:bCs/>
                <w:snapToGrid w:val="0"/>
                <w:spacing w:val="0"/>
                <w:w w:val="100"/>
                <w:kern w:val="0"/>
                <w:sz w:val="21"/>
                <w:szCs w:val="21"/>
                <w:lang w:val="en-US" w:eastAsia="zh-CN"/>
              </w:rPr>
              <w:t>，并按规定定期组织开展应急演练。</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设备检测检验安全风险隐患：</w:t>
            </w:r>
            <w:r>
              <w:rPr>
                <w:rFonts w:hint="default" w:ascii="Times New Roman" w:hAnsi="Times New Roman" w:cs="Times New Roman"/>
                <w:b w:val="0"/>
                <w:bCs/>
                <w:snapToGrid w:val="0"/>
                <w:kern w:val="0"/>
                <w:szCs w:val="21"/>
                <w:lang w:val="en-US" w:eastAsia="zh-CN"/>
              </w:rPr>
              <w:t xml:space="preserve">涉及人身安全、危险性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较大的设备设施未按照相关规定进行检测检验，或者使用检测检验不合格的设备设施。</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设备设施</w:t>
            </w:r>
            <w:r>
              <w:rPr>
                <w:rFonts w:hint="default" w:ascii="Times New Roman" w:hAnsi="Times New Roman" w:cs="Times New Roman"/>
                <w:b w:val="0"/>
                <w:bCs/>
                <w:snapToGrid w:val="0"/>
                <w:kern w:val="0"/>
                <w:szCs w:val="21"/>
                <w:lang w:val="en-US" w:eastAsia="zh-CN"/>
              </w:rPr>
              <w:t>按照相关规定进行检测检验。</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淘汰落后工艺设备安全风险隐患：</w:t>
            </w:r>
            <w:r>
              <w:rPr>
                <w:rFonts w:hint="default" w:ascii="Times New Roman" w:hAnsi="Times New Roman" w:cs="Times New Roman"/>
                <w:b w:val="0"/>
                <w:bCs/>
                <w:snapToGrid w:val="0"/>
                <w:kern w:val="0"/>
                <w:szCs w:val="21"/>
                <w:lang w:val="en-US" w:eastAsia="zh-CN"/>
              </w:rPr>
              <w:t xml:space="preserve">使用禁止使用的设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备及工艺目录列出的工艺、设备。</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未使用</w:t>
            </w:r>
            <w:r>
              <w:rPr>
                <w:rFonts w:hint="default" w:ascii="Times New Roman" w:hAnsi="Times New Roman" w:cs="Times New Roman"/>
                <w:b w:val="0"/>
                <w:bCs/>
                <w:snapToGrid w:val="0"/>
                <w:kern w:val="0"/>
                <w:szCs w:val="21"/>
                <w:lang w:val="en-US" w:eastAsia="zh-CN"/>
              </w:rPr>
              <w:t>禁止使用的设备及工艺目录列出的工艺、设备。</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采空区及周边老窑安全风险隐患：</w:t>
            </w:r>
            <w:r>
              <w:rPr>
                <w:rFonts w:hint="default" w:ascii="Times New Roman" w:hAnsi="Times New Roman" w:cs="Times New Roman"/>
                <w:b w:val="0"/>
                <w:bCs/>
                <w:snapToGrid w:val="0"/>
                <w:kern w:val="0"/>
                <w:szCs w:val="21"/>
                <w:lang w:val="en-US" w:eastAsia="zh-CN"/>
              </w:rPr>
              <w:t>未查明遗留采空区、悬顶采空区、历史上形成的采空区以及周边废弃矿井（井筒）分布、积水等基本情况，或者未采取有效措施进行治理。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水文地质安全风险隐患：</w:t>
            </w:r>
            <w:r>
              <w:rPr>
                <w:rFonts w:hint="default" w:ascii="Times New Roman" w:hAnsi="Times New Roman" w:cs="Times New Roman"/>
                <w:b w:val="0"/>
                <w:bCs/>
                <w:snapToGrid w:val="0"/>
                <w:kern w:val="0"/>
                <w:szCs w:val="21"/>
                <w:lang w:val="en-US" w:eastAsia="zh-CN"/>
              </w:rPr>
              <w:t xml:space="preserve">未查明地下含水体、地下岩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溶、地表水体和地质勘探钻孔、工程施工钻孔、防治水工程有关情况，或者未采取有效措施进行治理。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地压灾害风险隐患：</w:t>
            </w:r>
            <w:r>
              <w:rPr>
                <w:rFonts w:hint="default" w:ascii="Times New Roman" w:hAnsi="Times New Roman" w:cs="Times New Roman"/>
                <w:b w:val="0"/>
                <w:bCs/>
                <w:snapToGrid w:val="0"/>
                <w:kern w:val="0"/>
                <w:szCs w:val="21"/>
                <w:lang w:val="en-US" w:eastAsia="zh-CN"/>
              </w:rPr>
              <w:t xml:space="preserve">未查明矿区主要地质构造、地压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活动区域，或者未采取有效措施进行治理。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火灾安全风险隐患：</w:t>
            </w:r>
            <w:r>
              <w:rPr>
                <w:rFonts w:hint="default" w:ascii="Times New Roman" w:hAnsi="Times New Roman" w:cs="Times New Roman"/>
                <w:b w:val="0"/>
                <w:bCs/>
                <w:snapToGrid w:val="0"/>
                <w:kern w:val="0"/>
                <w:szCs w:val="21"/>
                <w:lang w:val="en-US" w:eastAsia="zh-CN"/>
              </w:rPr>
              <w:t xml:space="preserve">未查明矿石自燃倾向性以及井下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木支护、油料电缆等非阻燃材料分布和使用情况，或者未采取有效措施进行治理。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保安矿柱安全风险隐患：</w:t>
            </w:r>
            <w:r>
              <w:rPr>
                <w:rFonts w:hint="default" w:ascii="Times New Roman" w:hAnsi="Times New Roman" w:cs="Times New Roman"/>
                <w:b w:val="0"/>
                <w:bCs/>
                <w:snapToGrid w:val="0"/>
                <w:kern w:val="0"/>
                <w:szCs w:val="21"/>
                <w:lang w:val="en-US" w:eastAsia="zh-CN"/>
              </w:rPr>
              <w:t xml:space="preserve">未按规定或设计留设保安矿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柱，或者擅自开采保安矿柱。</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排水系统安全风险隐患：</w:t>
            </w:r>
            <w:r>
              <w:rPr>
                <w:rFonts w:hint="default" w:ascii="Times New Roman" w:hAnsi="Times New Roman" w:cs="Times New Roman"/>
                <w:b w:val="0"/>
                <w:bCs/>
                <w:snapToGrid w:val="0"/>
                <w:kern w:val="0"/>
                <w:szCs w:val="21"/>
                <w:lang w:val="en-US" w:eastAsia="zh-CN"/>
              </w:rPr>
              <w:t xml:space="preserve">未按照设计和规程要求建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立排水系统，或者排水系统不完好、不可靠。</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探放水安全风险隐患：</w:t>
            </w:r>
            <w:r>
              <w:rPr>
                <w:rFonts w:hint="default" w:ascii="Times New Roman" w:hAnsi="Times New Roman" w:cs="Times New Roman"/>
                <w:b w:val="0"/>
                <w:bCs/>
                <w:snapToGrid w:val="0"/>
                <w:kern w:val="0"/>
                <w:szCs w:val="21"/>
                <w:lang w:val="en-US" w:eastAsia="zh-CN"/>
              </w:rPr>
              <w:t xml:space="preserve">未制定并落实探放水制度，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或者未落实“防、堵、疏、排、截”和“三专两探一撤”等措施。</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通风系统安全风险隐患：</w:t>
            </w:r>
            <w:r>
              <w:rPr>
                <w:rFonts w:hint="default" w:ascii="Times New Roman" w:hAnsi="Times New Roman" w:cs="Times New Roman"/>
                <w:b w:val="0"/>
                <w:bCs/>
                <w:snapToGrid w:val="0"/>
                <w:kern w:val="0"/>
                <w:szCs w:val="21"/>
                <w:lang w:val="en-US" w:eastAsia="zh-CN"/>
              </w:rPr>
              <w:t>未按要求建立机械通风系统、安装通风构筑物。未按规定安装主要通风机和局部通风机，或者风速、风量、风质不符合标准。</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bCs w:val="0"/>
                <w:snapToGrid w:val="0"/>
                <w:kern w:val="0"/>
                <w:szCs w:val="21"/>
                <w:lang w:val="en-US" w:eastAsia="zh-CN"/>
              </w:rPr>
              <w:t>提升系统安全风险隐患：</w:t>
            </w:r>
            <w:r>
              <w:rPr>
                <w:rFonts w:hint="default" w:ascii="Times New Roman" w:hAnsi="Times New Roman" w:cs="Times New Roman"/>
                <w:b w:val="0"/>
                <w:bCs/>
                <w:snapToGrid w:val="0"/>
                <w:kern w:val="0"/>
                <w:szCs w:val="21"/>
                <w:lang w:val="en-US" w:eastAsia="zh-CN"/>
              </w:rPr>
              <w:t>罐笼、安全门、摇台（托台）、阻车器等未与提升机信号实现连锁，提升信号未与提升机控制闭锁。斜井未按规定设置常闭式防跑车装置、阻车器或挡车栏、躲避硐室、轨道防滑装置等设施。</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bCs w:val="0"/>
                <w:snapToGrid w:val="0"/>
                <w:kern w:val="0"/>
                <w:szCs w:val="21"/>
                <w:lang w:val="en-US" w:eastAsia="zh-CN"/>
              </w:rPr>
              <w:t>露天矿山安全风险隐患：</w:t>
            </w:r>
            <w:r>
              <w:rPr>
                <w:rFonts w:hint="default" w:ascii="Times New Roman" w:hAnsi="Times New Roman" w:cs="Times New Roman"/>
                <w:b w:val="0"/>
                <w:bCs/>
                <w:snapToGrid w:val="0"/>
                <w:kern w:val="0"/>
                <w:szCs w:val="21"/>
                <w:lang w:val="en-US" w:eastAsia="zh-CN"/>
              </w:rPr>
              <w:t>未按规定采用自上而下、分台阶或者分层的方式进行开采。或者工作帮坡角、台阶（分层）高度等开采参数不符合设计或标准要求。</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尾矿库安全风险隐患：</w:t>
            </w:r>
            <w:r>
              <w:rPr>
                <w:rFonts w:hint="default" w:ascii="Times New Roman" w:hAnsi="Times New Roman" w:cs="Times New Roman"/>
                <w:b w:val="0"/>
                <w:bCs/>
                <w:snapToGrid w:val="0"/>
                <w:kern w:val="0"/>
                <w:szCs w:val="21"/>
                <w:lang w:val="en-US" w:eastAsia="zh-CN"/>
              </w:rPr>
              <w:t xml:space="preserve">尾矿库坝高、库容、坡比、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安全超高、干滩长度、浸润线埋深以及堆积坝上升速率等参数不符合设计或标准要求，未按规定对坝体稳定性进行评估、对排洪系统进行检查。</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应急电源安全风险隐患：</w:t>
            </w:r>
            <w:r>
              <w:rPr>
                <w:rFonts w:hint="default" w:ascii="Times New Roman" w:hAnsi="Times New Roman" w:cs="Times New Roman"/>
                <w:b w:val="0"/>
                <w:bCs/>
                <w:snapToGrid w:val="0"/>
                <w:kern w:val="0"/>
                <w:szCs w:val="21"/>
                <w:lang w:val="en-US" w:eastAsia="zh-CN"/>
              </w:rPr>
              <w:t xml:space="preserve">矿山未按规定配备应急电 </w:t>
            </w:r>
          </w:p>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源，一级负荷未按规定采用双回路或双电源供电。</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57" w:type="dxa"/>
            <w:noWrap w:val="0"/>
            <w:vAlign w:val="center"/>
          </w:tcPr>
          <w:p>
            <w:pPr>
              <w:keepNext w:val="0"/>
              <w:keepLines w:val="0"/>
              <w:pageBreakBefore w:val="0"/>
              <w:widowControl w:val="0"/>
              <w:numPr>
                <w:ilvl w:val="0"/>
                <w:numId w:val="19"/>
              </w:numPr>
              <w:suppressLineNumbers w:val="0"/>
              <w:wordWrap/>
              <w:bidi w:val="0"/>
              <w:adjustRightInd w:val="0"/>
              <w:snapToGrid w:val="0"/>
              <w:spacing w:before="48" w:beforeLines="20" w:beforeAutospacing="0" w:after="48" w:afterLines="20" w:afterAutospacing="0"/>
              <w:ind w:left="425" w:leftChars="0" w:right="0" w:hanging="425" w:firstLineChars="0"/>
              <w:jc w:val="center"/>
              <w:rPr>
                <w:rFonts w:hint="default" w:ascii="Times New Roman" w:hAnsi="Times New Roman" w:cs="Times New Roman"/>
                <w:bCs/>
                <w:snapToGrid w:val="0"/>
                <w:szCs w:val="21"/>
                <w:lang w:val="en-US" w:eastAsia="zh-CN"/>
              </w:rPr>
            </w:pPr>
          </w:p>
        </w:tc>
        <w:tc>
          <w:tcPr>
            <w:tcW w:w="4963"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外包工程安全风险隐患：</w:t>
            </w:r>
            <w:r>
              <w:rPr>
                <w:rFonts w:hint="default" w:ascii="Times New Roman" w:hAnsi="Times New Roman" w:cs="Times New Roman"/>
                <w:b w:val="0"/>
                <w:bCs/>
                <w:snapToGrid w:val="0"/>
                <w:kern w:val="0"/>
                <w:szCs w:val="21"/>
                <w:lang w:val="en-US" w:eastAsia="zh-CN"/>
              </w:rPr>
              <w:t>外包工程未实行“五统一”管理，非法分包、转包。项目部未按规定设置管理机构、配备安全管理人员和技术人员。</w:t>
            </w:r>
          </w:p>
        </w:tc>
        <w:tc>
          <w:tcPr>
            <w:tcW w:w="3002" w:type="dxa"/>
            <w:noWrap w:val="0"/>
            <w:vAlign w:val="center"/>
          </w:tcPr>
          <w:p>
            <w:pPr>
              <w:keepNext w:val="0"/>
              <w:keepLines w:val="0"/>
              <w:pageBreakBefore w:val="0"/>
              <w:widowControl w:val="0"/>
              <w:suppressLineNumbers w:val="0"/>
              <w:wordWrap/>
              <w:bidi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bl>
    <w:p>
      <w:pPr>
        <w:pStyle w:val="283"/>
        <w:keepNext w:val="0"/>
        <w:keepLines w:val="0"/>
        <w:pageBreakBefore w:val="0"/>
        <w:widowControl w:val="0"/>
        <w:kinsoku/>
        <w:wordWrap/>
        <w:overflowPunct/>
        <w:topLinePunct w:val="0"/>
        <w:autoSpaceDE/>
        <w:autoSpaceDN/>
        <w:bidi w:val="0"/>
        <w:adjustRightInd w:val="0"/>
        <w:snapToGrid w:val="0"/>
        <w:jc w:val="both"/>
        <w:textAlignment w:val="auto"/>
        <w:rPr>
          <w:rFonts w:hint="default" w:ascii="Times New Roman" w:hAnsi="Times New Roman" w:cs="Times New Roman"/>
        </w:rPr>
      </w:pPr>
      <w:r>
        <w:rPr>
          <w:rFonts w:hint="default" w:ascii="Times New Roman" w:hAnsi="Times New Roman" w:cs="Times New Roman"/>
        </w:rPr>
        <w:t>经分析，该项目不存在《</w:t>
      </w:r>
      <w:r>
        <w:rPr>
          <w:rFonts w:hint="default" w:ascii="Times New Roman" w:hAnsi="Times New Roman" w:cs="Times New Roman"/>
          <w:lang w:val="en-US" w:eastAsia="zh-CN"/>
        </w:rPr>
        <w:t>重点行业领域重大安全风险隐患清单</w:t>
      </w:r>
      <w:r>
        <w:rPr>
          <w:rFonts w:hint="default" w:ascii="Times New Roman" w:hAnsi="Times New Roman" w:cs="Times New Roman"/>
        </w:rPr>
        <w:t>》</w:t>
      </w:r>
      <w:r>
        <w:rPr>
          <w:rFonts w:hint="default" w:ascii="Times New Roman" w:hAnsi="Times New Roman" w:cs="Times New Roman"/>
          <w:lang w:val="en-US" w:eastAsia="zh-CN"/>
        </w:rPr>
        <w:t>（鲁安发</w:t>
      </w:r>
      <w:r>
        <w:rPr>
          <w:rFonts w:hint="default" w:ascii="Times New Roman" w:hAnsi="Times New Roman" w:cs="Times New Roman"/>
          <w:lang w:eastAsia="zh-CN"/>
        </w:rPr>
        <w:t>[</w:t>
      </w:r>
      <w:r>
        <w:rPr>
          <w:rFonts w:hint="default" w:ascii="Times New Roman" w:hAnsi="Times New Roman" w:cs="Times New Roman"/>
          <w:lang w:val="en-US" w:eastAsia="zh-CN"/>
        </w:rPr>
        <w:t>2022</w:t>
      </w:r>
      <w:r>
        <w:rPr>
          <w:rFonts w:hint="default" w:ascii="Times New Roman" w:hAnsi="Times New Roman" w:cs="Times New Roman"/>
          <w:lang w:eastAsia="zh-CN"/>
        </w:rPr>
        <w:t>]</w:t>
      </w:r>
      <w:r>
        <w:rPr>
          <w:rFonts w:hint="default" w:ascii="Times New Roman" w:hAnsi="Times New Roman" w:cs="Times New Roman"/>
          <w:lang w:val="en-US" w:eastAsia="zh-CN"/>
        </w:rPr>
        <w:t>11号）</w:t>
      </w:r>
      <w:r>
        <w:rPr>
          <w:rFonts w:hint="default" w:ascii="Times New Roman" w:hAnsi="Times New Roman" w:cs="Times New Roman"/>
        </w:rPr>
        <w:t>规定的重大安全</w:t>
      </w:r>
      <w:r>
        <w:rPr>
          <w:rFonts w:hint="default" w:ascii="Times New Roman" w:hAnsi="Times New Roman" w:cs="Times New Roman"/>
          <w:lang w:eastAsia="zh-CN"/>
        </w:rPr>
        <w:t>风险</w:t>
      </w:r>
      <w:r>
        <w:rPr>
          <w:rFonts w:hint="default" w:ascii="Times New Roman" w:hAnsi="Times New Roman" w:cs="Times New Roman"/>
        </w:rPr>
        <w:t>隐患。</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sectPr>
          <w:pgSz w:w="11906" w:h="16838"/>
          <w:pgMar w:top="1440" w:right="1800" w:bottom="1440" w:left="1800" w:header="1247"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adjustRightInd w:val="0"/>
        <w:snapToGrid w:val="0"/>
        <w:spacing w:line="360" w:lineRule="auto"/>
        <w:rPr>
          <w:rFonts w:eastAsia="楷体_GB2312"/>
          <w:b/>
          <w:color w:val="auto"/>
          <w:sz w:val="36"/>
          <w:szCs w:val="36"/>
        </w:rPr>
      </w:pPr>
      <w:bookmarkStart w:id="142" w:name="_Toc22713"/>
      <w:r>
        <w:rPr>
          <w:rFonts w:hint="eastAsia" w:eastAsia="楷体_GB2312"/>
          <w:b/>
          <w:color w:val="auto"/>
          <w:sz w:val="36"/>
          <w:szCs w:val="36"/>
          <w:lang w:val="en-US" w:eastAsia="zh-CN"/>
        </w:rPr>
        <w:t>9</w:t>
      </w:r>
      <w:r>
        <w:rPr>
          <w:rFonts w:eastAsia="楷体_GB2312"/>
          <w:b/>
          <w:color w:val="auto"/>
          <w:sz w:val="36"/>
          <w:szCs w:val="36"/>
        </w:rPr>
        <w:t xml:space="preserve"> </w:t>
      </w:r>
      <w:r>
        <w:rPr>
          <w:rFonts w:hint="eastAsia" w:ascii="宋体" w:hAnsi="宋体" w:eastAsia="宋体" w:cs="宋体"/>
          <w:b/>
          <w:color w:val="auto"/>
          <w:sz w:val="36"/>
          <w:szCs w:val="36"/>
        </w:rPr>
        <w:t>安全现状评价结论</w:t>
      </w:r>
      <w:bookmarkEnd w:id="130"/>
      <w:bookmarkEnd w:id="142"/>
    </w:p>
    <w:p>
      <w:pPr>
        <w:adjustRightInd w:val="0"/>
        <w:snapToGrid w:val="0"/>
        <w:spacing w:line="360" w:lineRule="auto"/>
        <w:ind w:firstLine="573"/>
        <w:rPr>
          <w:rFonts w:hint="eastAsia" w:eastAsia="宋体"/>
          <w:color w:val="0070C0"/>
          <w:sz w:val="28"/>
          <w:szCs w:val="28"/>
          <w:highlight w:val="none"/>
          <w:lang w:val="en-US" w:eastAsia="zh-CN"/>
        </w:rPr>
      </w:pPr>
      <w:r>
        <w:rPr>
          <w:rFonts w:hint="eastAsia"/>
          <w:color w:val="auto"/>
          <w:sz w:val="28"/>
          <w:szCs w:val="28"/>
          <w:highlight w:val="none"/>
          <w:lang w:val="en-US" w:eastAsia="zh-CN"/>
        </w:rPr>
        <w:t>根据山东华曦石油技术服务有限公司提供的有关资料，本次评价在主要危险、有害因素辨识、分析的基础上，依据国家有关法律、法规、技术标准的要求，运用安全检查表等评价方法，对本项目进行了安全现状评价，得出以下评价结论：</w:t>
      </w:r>
    </w:p>
    <w:p>
      <w:pPr>
        <w:keepNext w:val="0"/>
        <w:keepLines w:val="0"/>
        <w:pageBreakBefore w:val="0"/>
        <w:widowControl w:val="0"/>
        <w:wordWrap/>
        <w:bidi w:val="0"/>
        <w:adjustRightInd w:val="0"/>
        <w:snapToGrid w:val="0"/>
        <w:spacing w:line="360" w:lineRule="auto"/>
        <w:ind w:firstLine="560" w:firstLineChars="200"/>
        <w:rPr>
          <w:rFonts w:hint="eastAsia"/>
          <w:color w:val="auto"/>
          <w:sz w:val="28"/>
          <w:szCs w:val="28"/>
          <w:highlight w:val="none"/>
          <w:lang w:eastAsia="zh-CN"/>
        </w:rPr>
      </w:pPr>
      <w:r>
        <w:rPr>
          <w:rFonts w:hint="eastAsia"/>
          <w:color w:val="auto"/>
          <w:sz w:val="28"/>
          <w:szCs w:val="28"/>
          <w:highlight w:val="none"/>
          <w:lang w:eastAsia="zh-CN"/>
        </w:rPr>
        <w:t>山东华曦石油技术服务有限公司</w:t>
      </w:r>
      <w:r>
        <w:rPr>
          <w:rFonts w:hint="eastAsia"/>
          <w:color w:val="auto"/>
          <w:sz w:val="28"/>
          <w:szCs w:val="28"/>
          <w:highlight w:val="none"/>
        </w:rPr>
        <w:t>井下作业</w:t>
      </w:r>
      <w:r>
        <w:rPr>
          <w:rFonts w:hint="eastAsia"/>
          <w:color w:val="auto"/>
          <w:sz w:val="28"/>
          <w:szCs w:val="28"/>
          <w:highlight w:val="none"/>
          <w:lang w:eastAsia="zh-CN"/>
        </w:rPr>
        <w:t>-注气（蒸汽）</w:t>
      </w:r>
      <w:r>
        <w:rPr>
          <w:rFonts w:hint="eastAsia"/>
          <w:color w:val="auto"/>
          <w:sz w:val="28"/>
          <w:szCs w:val="28"/>
          <w:highlight w:val="none"/>
          <w:lang w:val="en-US" w:eastAsia="zh-CN"/>
        </w:rPr>
        <w:t>项目作业</w:t>
      </w:r>
      <w:r>
        <w:rPr>
          <w:rFonts w:hint="eastAsia"/>
          <w:color w:val="auto"/>
          <w:sz w:val="28"/>
          <w:szCs w:val="28"/>
          <w:highlight w:val="none"/>
        </w:rPr>
        <w:t>过程中，涉及的主要危险、有害物质有：原油、天然气、硫化氢、柴油</w:t>
      </w:r>
      <w:r>
        <w:rPr>
          <w:rFonts w:hint="eastAsia"/>
          <w:color w:val="auto"/>
          <w:sz w:val="28"/>
          <w:szCs w:val="28"/>
          <w:highlight w:val="none"/>
          <w:lang w:eastAsia="zh-CN"/>
        </w:rPr>
        <w:t>、</w:t>
      </w:r>
      <w:r>
        <w:rPr>
          <w:rFonts w:hint="eastAsia"/>
          <w:color w:val="auto"/>
          <w:sz w:val="28"/>
          <w:szCs w:val="28"/>
          <w:highlight w:val="none"/>
          <w:lang w:val="en-US" w:eastAsia="zh-CN"/>
        </w:rPr>
        <w:t>高温高压蒸汽和高干度复合气</w:t>
      </w:r>
      <w:r>
        <w:rPr>
          <w:rFonts w:hint="eastAsia"/>
          <w:color w:val="auto"/>
          <w:sz w:val="28"/>
          <w:szCs w:val="28"/>
          <w:highlight w:val="none"/>
        </w:rPr>
        <w:t>等</w:t>
      </w:r>
      <w:r>
        <w:rPr>
          <w:rFonts w:hint="eastAsia"/>
          <w:color w:val="auto"/>
          <w:sz w:val="28"/>
          <w:szCs w:val="28"/>
          <w:highlight w:val="none"/>
          <w:lang w:eastAsia="zh-CN"/>
        </w:rPr>
        <w:t>；</w:t>
      </w:r>
    </w:p>
    <w:p>
      <w:pPr>
        <w:keepNext w:val="0"/>
        <w:keepLines w:val="0"/>
        <w:pageBreakBefore w:val="0"/>
        <w:widowControl w:val="0"/>
        <w:wordWrap/>
        <w:bidi w:val="0"/>
        <w:adjustRightInd w:val="0"/>
        <w:snapToGrid w:val="0"/>
        <w:spacing w:line="360" w:lineRule="auto"/>
        <w:ind w:firstLine="560" w:firstLineChars="200"/>
        <w:rPr>
          <w:rFonts w:hint="eastAsia" w:eastAsia="宋体"/>
          <w:color w:val="auto"/>
          <w:sz w:val="28"/>
          <w:szCs w:val="28"/>
          <w:highlight w:val="none"/>
          <w:lang w:eastAsia="zh-CN"/>
        </w:rPr>
      </w:pPr>
      <w:r>
        <w:rPr>
          <w:rFonts w:hint="eastAsia"/>
          <w:color w:val="auto"/>
          <w:sz w:val="28"/>
          <w:szCs w:val="28"/>
          <w:highlight w:val="none"/>
        </w:rPr>
        <w:t>主要危险因素有：火灾爆炸、井喷及井喷失控、锅炉爆炸、</w:t>
      </w:r>
      <w:r>
        <w:rPr>
          <w:rFonts w:hint="eastAsia"/>
          <w:color w:val="auto"/>
          <w:sz w:val="28"/>
          <w:szCs w:val="28"/>
          <w:highlight w:val="none"/>
          <w:lang w:val="en-US" w:eastAsia="zh-CN"/>
        </w:rPr>
        <w:t>容器爆炸、</w:t>
      </w:r>
      <w:r>
        <w:rPr>
          <w:rFonts w:hint="eastAsia"/>
          <w:color w:val="auto"/>
          <w:sz w:val="28"/>
          <w:szCs w:val="28"/>
          <w:highlight w:val="none"/>
        </w:rPr>
        <w:t>灼烫、中毒</w:t>
      </w:r>
      <w:r>
        <w:rPr>
          <w:rFonts w:hint="eastAsia"/>
          <w:color w:val="auto"/>
          <w:sz w:val="28"/>
          <w:szCs w:val="28"/>
          <w:highlight w:val="none"/>
          <w:lang w:val="en-US" w:eastAsia="zh-CN"/>
        </w:rPr>
        <w:t>和</w:t>
      </w:r>
      <w:r>
        <w:rPr>
          <w:rFonts w:hint="eastAsia"/>
          <w:color w:val="auto"/>
          <w:sz w:val="28"/>
          <w:szCs w:val="28"/>
          <w:highlight w:val="none"/>
        </w:rPr>
        <w:t>窒息、物体打击、机械伤害、触电、</w:t>
      </w:r>
      <w:r>
        <w:rPr>
          <w:rFonts w:hint="eastAsia"/>
          <w:color w:val="auto"/>
          <w:sz w:val="28"/>
          <w:szCs w:val="28"/>
          <w:highlight w:val="none"/>
          <w:lang w:val="en-US" w:eastAsia="zh-CN"/>
        </w:rPr>
        <w:t>高处坠落、起重伤害、</w:t>
      </w:r>
      <w:r>
        <w:rPr>
          <w:rFonts w:hint="eastAsia"/>
          <w:color w:val="auto"/>
          <w:sz w:val="28"/>
          <w:szCs w:val="28"/>
          <w:highlight w:val="none"/>
        </w:rPr>
        <w:t>车辆伤害</w:t>
      </w:r>
      <w:r>
        <w:rPr>
          <w:rFonts w:hint="eastAsia"/>
          <w:color w:val="auto"/>
          <w:sz w:val="28"/>
          <w:szCs w:val="28"/>
          <w:highlight w:val="none"/>
          <w:lang w:eastAsia="zh-CN"/>
        </w:rPr>
        <w:t>、</w:t>
      </w:r>
      <w:r>
        <w:rPr>
          <w:rFonts w:hint="eastAsia"/>
          <w:color w:val="auto"/>
          <w:sz w:val="28"/>
          <w:szCs w:val="28"/>
          <w:highlight w:val="none"/>
          <w:lang w:val="en-US" w:eastAsia="zh-CN"/>
        </w:rPr>
        <w:t>淹溺等</w:t>
      </w:r>
      <w:r>
        <w:rPr>
          <w:rFonts w:hint="eastAsia"/>
          <w:color w:val="auto"/>
          <w:sz w:val="28"/>
          <w:szCs w:val="28"/>
          <w:highlight w:val="none"/>
          <w:lang w:eastAsia="zh-CN"/>
        </w:rPr>
        <w:t>；</w:t>
      </w:r>
    </w:p>
    <w:p>
      <w:pPr>
        <w:keepNext w:val="0"/>
        <w:keepLines w:val="0"/>
        <w:pageBreakBefore w:val="0"/>
        <w:widowControl w:val="0"/>
        <w:wordWrap/>
        <w:bidi w:val="0"/>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主要有害因素有：噪声危害</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毒物危害</w:t>
      </w:r>
      <w:r>
        <w:rPr>
          <w:rFonts w:hint="eastAsia"/>
          <w:color w:val="000000" w:themeColor="text1"/>
          <w:sz w:val="28"/>
          <w:szCs w:val="28"/>
          <w:lang w:eastAsia="zh-CN"/>
          <w14:textFill>
            <w14:solidFill>
              <w14:schemeClr w14:val="tx1"/>
            </w14:solidFill>
          </w14:textFill>
        </w:rPr>
        <w:t>和振动危害；</w:t>
      </w:r>
    </w:p>
    <w:p>
      <w:pPr>
        <w:keepNext w:val="0"/>
        <w:keepLines w:val="0"/>
        <w:pageBreakBefore w:val="0"/>
        <w:widowControl w:val="0"/>
        <w:wordWrap/>
        <w:bidi w:val="0"/>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自然灾害有：雷电袭击、大风、高温、低温、</w:t>
      </w:r>
      <w:r>
        <w:rPr>
          <w:rFonts w:hint="eastAsia"/>
          <w:color w:val="000000" w:themeColor="text1"/>
          <w:sz w:val="28"/>
          <w:szCs w:val="28"/>
          <w:lang w:eastAsia="zh-CN"/>
          <w14:textFill>
            <w14:solidFill>
              <w14:schemeClr w14:val="tx1"/>
            </w14:solidFill>
          </w14:textFill>
        </w:rPr>
        <w:t>暴雨灾害、</w:t>
      </w:r>
      <w:r>
        <w:rPr>
          <w:rFonts w:hint="eastAsia"/>
          <w:color w:val="000000" w:themeColor="text1"/>
          <w:sz w:val="28"/>
          <w:szCs w:val="28"/>
          <w14:textFill>
            <w14:solidFill>
              <w14:schemeClr w14:val="tx1"/>
            </w14:solidFill>
          </w14:textFill>
        </w:rPr>
        <w:t>地震灾害等。</w:t>
      </w:r>
    </w:p>
    <w:p>
      <w:pPr>
        <w:keepNext w:val="0"/>
        <w:keepLines w:val="0"/>
        <w:pageBreakBefore w:val="0"/>
        <w:widowControl w:val="0"/>
        <w:wordWrap/>
        <w:bidi w:val="0"/>
        <w:adjustRightInd w:val="0"/>
        <w:snapToGrid w:val="0"/>
        <w:spacing w:line="360" w:lineRule="auto"/>
        <w:ind w:firstLine="560" w:firstLineChars="200"/>
        <w:rPr>
          <w:rFonts w:hint="eastAsia"/>
          <w:color w:val="000000" w:themeColor="text1"/>
          <w:sz w:val="28"/>
          <w:szCs w:val="28"/>
          <w14:textFill>
            <w14:solidFill>
              <w14:schemeClr w14:val="tx1"/>
            </w14:solidFill>
          </w14:textFill>
        </w:rPr>
      </w:pPr>
      <w:r>
        <w:rPr>
          <w:rFonts w:hint="eastAsia"/>
          <w:color w:val="auto"/>
          <w:sz w:val="28"/>
          <w:szCs w:val="28"/>
          <w:highlight w:val="none"/>
          <w:lang w:eastAsia="zh-CN"/>
        </w:rPr>
        <w:t>山东华曦石油技术服务有限公司</w:t>
      </w:r>
      <w:r>
        <w:rPr>
          <w:rFonts w:hint="eastAsia"/>
          <w:color w:val="000000" w:themeColor="text1"/>
          <w:sz w:val="28"/>
          <w:szCs w:val="28"/>
          <w:lang w:val="en-US" w:eastAsia="zh-CN"/>
          <w14:textFill>
            <w14:solidFill>
              <w14:schemeClr w14:val="tx1"/>
            </w14:solidFill>
          </w14:textFill>
        </w:rPr>
        <w:t>井下</w:t>
      </w:r>
      <w:r>
        <w:rPr>
          <w:rFonts w:hint="default"/>
          <w:color w:val="000000" w:themeColor="text1"/>
          <w:sz w:val="28"/>
          <w:szCs w:val="28"/>
          <w:lang w:val="en-US" w:eastAsia="zh-CN"/>
          <w14:textFill>
            <w14:solidFill>
              <w14:schemeClr w14:val="tx1"/>
            </w14:solidFill>
          </w14:textFill>
        </w:rPr>
        <w:t>作业</w:t>
      </w:r>
      <w:r>
        <w:rPr>
          <w:rFonts w:hint="eastAsia"/>
          <w:color w:val="000000" w:themeColor="text1"/>
          <w:sz w:val="28"/>
          <w:szCs w:val="28"/>
          <w:lang w:val="en-US" w:eastAsia="zh-CN"/>
          <w14:textFill>
            <w14:solidFill>
              <w14:schemeClr w14:val="tx1"/>
            </w14:solidFill>
          </w14:textFill>
        </w:rPr>
        <w:t>项目</w:t>
      </w:r>
      <w:r>
        <w:rPr>
          <w:rFonts w:hint="eastAsia"/>
          <w:color w:val="000000" w:themeColor="text1"/>
          <w:sz w:val="28"/>
          <w:szCs w:val="28"/>
          <w14:textFill>
            <w14:solidFill>
              <w14:schemeClr w14:val="tx1"/>
            </w14:solidFill>
          </w14:textFill>
        </w:rPr>
        <w:t>未构成危险化学品重大危险源。</w:t>
      </w:r>
    </w:p>
    <w:p>
      <w:pPr>
        <w:keepNext w:val="0"/>
        <w:keepLines w:val="0"/>
        <w:pageBreakBefore w:val="0"/>
        <w:widowControl w:val="0"/>
        <w:wordWrap/>
        <w:bidi w:val="0"/>
        <w:adjustRightInd w:val="0"/>
        <w:snapToGrid w:val="0"/>
        <w:spacing w:line="360" w:lineRule="auto"/>
        <w:ind w:firstLine="573"/>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eastAsia="zh-CN"/>
          <w14:textFill>
            <w14:solidFill>
              <w14:schemeClr w14:val="tx1"/>
            </w14:solidFill>
          </w14:textFill>
        </w:rPr>
        <w:t>生产单元和管理单元的安全检查表共列出</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1</w:t>
      </w:r>
      <w:r>
        <w:rPr>
          <w:rFonts w:hint="eastAsia" w:cs="Times New Roman"/>
          <w:color w:val="000000" w:themeColor="text1"/>
          <w:sz w:val="28"/>
          <w:szCs w:val="28"/>
          <w:highlight w:val="none"/>
          <w:lang w:val="en-US" w:eastAsia="zh-CN"/>
          <w14:textFill>
            <w14:solidFill>
              <w14:schemeClr w14:val="tx1"/>
            </w14:solidFill>
          </w14:textFill>
        </w:rPr>
        <w:t>22</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项检查内容，其中不符合共</w:t>
      </w:r>
      <w:r>
        <w:rPr>
          <w:rFonts w:hint="eastAsia" w:cs="Times New Roman"/>
          <w:color w:val="000000" w:themeColor="text1"/>
          <w:sz w:val="28"/>
          <w:szCs w:val="28"/>
          <w:highlight w:val="none"/>
          <w:lang w:val="en-US" w:eastAsia="zh-CN"/>
          <w14:textFill>
            <w14:solidFill>
              <w14:schemeClr w14:val="tx1"/>
            </w14:solidFill>
          </w14:textFill>
        </w:rPr>
        <w:t>8</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项内容，</w:t>
      </w:r>
      <w:r>
        <w:rPr>
          <w:rFonts w:hint="eastAsia" w:cs="Times New Roman"/>
          <w:color w:val="000000" w:themeColor="text1"/>
          <w:sz w:val="28"/>
          <w:szCs w:val="28"/>
          <w:highlight w:val="none"/>
          <w:lang w:val="en-US" w:eastAsia="zh-CN"/>
          <w14:textFill>
            <w14:solidFill>
              <w14:schemeClr w14:val="tx1"/>
            </w14:solidFill>
          </w14:textFill>
        </w:rPr>
        <w:t>该公司已</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对其进行了整改。</w:t>
      </w:r>
    </w:p>
    <w:p>
      <w:pPr>
        <w:pStyle w:val="2"/>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default" w:ascii="Times New Roman" w:hAnsi="Times New Roman" w:eastAsia="宋体" w:cs="Times New Roman"/>
          <w:sz w:val="28"/>
          <w:szCs w:val="28"/>
          <w:lang w:val="en-US" w:eastAsia="zh-CN"/>
        </w:rPr>
        <w:t>山东华曦石油技术服务有限公司井下作业-注气（蒸汽）项目在其营业范围内</w:t>
      </w:r>
      <w:r>
        <w:rPr>
          <w:rFonts w:hint="eastAsia"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val="en-US" w:eastAsia="zh-CN"/>
        </w:rPr>
        <w:t>其主要负责人（法人）、安全管理人员经培训并考核合格，持有安全合格证。与井下作业-注气（蒸汽）相关的特种</w:t>
      </w:r>
      <w:r>
        <w:rPr>
          <w:rFonts w:hint="eastAsia" w:ascii="Times New Roman" w:hAnsi="Times New Roman" w:eastAsia="宋体" w:cs="Times New Roman"/>
          <w:sz w:val="28"/>
          <w:szCs w:val="28"/>
          <w:lang w:val="en-US" w:eastAsia="zh-CN"/>
        </w:rPr>
        <w:t>设备</w:t>
      </w:r>
      <w:r>
        <w:rPr>
          <w:rFonts w:hint="default" w:ascii="Times New Roman" w:hAnsi="Times New Roman" w:eastAsia="宋体" w:cs="Times New Roman"/>
          <w:sz w:val="28"/>
          <w:szCs w:val="28"/>
          <w:lang w:val="en-US" w:eastAsia="zh-CN"/>
        </w:rPr>
        <w:t>作业人员持证上岗，均在复审有效期内；操作人员均经过HSE、硫化氢防护、井控培训合格后，持证上岗；部分管理人员也根据有关规范要求，分别取得HSE、硫化氢防护、井控等证件</w:t>
      </w:r>
      <w:r>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t>。</w:t>
      </w:r>
    </w:p>
    <w:p>
      <w:pPr>
        <w:adjustRightInd w:val="0"/>
        <w:snapToGrid w:val="0"/>
        <w:spacing w:line="360" w:lineRule="auto"/>
        <w:ind w:firstLine="573"/>
        <w:rPr>
          <w:rFonts w:hint="eastAsia"/>
          <w:color w:val="auto"/>
          <w:sz w:val="28"/>
          <w:szCs w:val="28"/>
          <w:highlight w:val="none"/>
          <w:lang w:eastAsia="zh-CN"/>
        </w:rPr>
      </w:pPr>
      <w:r>
        <w:rPr>
          <w:rFonts w:hint="eastAsia" w:cs="Times New Roman"/>
          <w:color w:val="auto"/>
          <w:kern w:val="2"/>
          <w:sz w:val="28"/>
          <w:szCs w:val="28"/>
          <w:lang w:val="en-US" w:eastAsia="zh-CN" w:bidi="ar-SA"/>
        </w:rPr>
        <w:t>山</w:t>
      </w:r>
      <w:r>
        <w:rPr>
          <w:rFonts w:hint="eastAsia" w:ascii="Times New Roman" w:hAnsi="Times New Roman" w:eastAsia="宋体" w:cs="Times New Roman"/>
          <w:color w:val="auto"/>
          <w:kern w:val="2"/>
          <w:sz w:val="28"/>
          <w:szCs w:val="28"/>
          <w:lang w:val="en-US" w:eastAsia="zh-CN" w:bidi="ar-SA"/>
        </w:rPr>
        <w:t>东华曦石油技术服务有限公司</w:t>
      </w:r>
      <w:r>
        <w:rPr>
          <w:rFonts w:hint="eastAsia"/>
          <w:color w:val="auto"/>
          <w:sz w:val="28"/>
          <w:szCs w:val="28"/>
          <w:highlight w:val="none"/>
          <w:lang w:eastAsia="zh-CN"/>
        </w:rPr>
        <w:t>按要求设置安全生产管理机构，并配备专职安全管理人员；建立健全本单位主要负责人（法人）、其他负责人、职能部门负责人、</w:t>
      </w:r>
      <w:r>
        <w:rPr>
          <w:rFonts w:hint="eastAsia"/>
          <w:color w:val="auto"/>
          <w:sz w:val="28"/>
          <w:szCs w:val="28"/>
          <w:highlight w:val="none"/>
          <w:lang w:val="en-US" w:eastAsia="zh-CN"/>
        </w:rPr>
        <w:t>队长</w:t>
      </w:r>
      <w:r>
        <w:rPr>
          <w:rFonts w:hint="eastAsia"/>
          <w:color w:val="auto"/>
          <w:sz w:val="28"/>
          <w:szCs w:val="28"/>
          <w:highlight w:val="none"/>
          <w:lang w:eastAsia="zh-CN"/>
        </w:rPr>
        <w:t>、一般从业人员等全体人员的安全生产责任制；安全管理制度和安全操作规程齐全；制定有（井下作业）应急救援预案并备案，建立了应急救援组织，配备有必要的应急救援器材、设备，制定有应急演练计划，并按照演练计划进行演练、评估。</w:t>
      </w:r>
    </w:p>
    <w:p>
      <w:pPr>
        <w:adjustRightInd w:val="0"/>
        <w:snapToGrid w:val="0"/>
        <w:spacing w:line="360" w:lineRule="auto"/>
        <w:ind w:firstLine="573"/>
        <w:rPr>
          <w:rFonts w:hint="eastAsia"/>
          <w:color w:val="0070C0"/>
          <w:sz w:val="28"/>
          <w:szCs w:val="28"/>
          <w:highlight w:val="none"/>
          <w:lang w:eastAsia="zh-CN"/>
        </w:rPr>
      </w:pPr>
      <w:r>
        <w:rPr>
          <w:rFonts w:hint="eastAsia" w:cs="Times New Roman"/>
          <w:color w:val="auto"/>
          <w:kern w:val="2"/>
          <w:sz w:val="28"/>
          <w:szCs w:val="28"/>
          <w:lang w:val="en-US" w:eastAsia="zh-CN" w:bidi="ar-SA"/>
        </w:rPr>
        <w:t>山</w:t>
      </w:r>
      <w:r>
        <w:rPr>
          <w:rFonts w:hint="eastAsia" w:ascii="Times New Roman" w:hAnsi="Times New Roman" w:eastAsia="宋体" w:cs="Times New Roman"/>
          <w:color w:val="auto"/>
          <w:kern w:val="2"/>
          <w:sz w:val="28"/>
          <w:szCs w:val="28"/>
          <w:lang w:val="en-US" w:eastAsia="zh-CN" w:bidi="ar-SA"/>
        </w:rPr>
        <w:t>东华曦石油技术服务有限公司</w:t>
      </w:r>
      <w:r>
        <w:rPr>
          <w:rFonts w:hint="eastAsia"/>
          <w:color w:val="auto"/>
          <w:sz w:val="28"/>
          <w:szCs w:val="28"/>
          <w:highlight w:val="none"/>
          <w:lang w:eastAsia="zh-CN"/>
        </w:rPr>
        <w:t>依法提取安全生产费用并使用；依法参加工伤保险，为从业人员缴纳工伤保险和安全生产责任险；按规定为从业人员配备符合国家标准要求的劳动防护用品；定期对危险性较大的设备设施、安全设施及附件等进行检测检验。</w:t>
      </w:r>
    </w:p>
    <w:p>
      <w:pPr>
        <w:adjustRightInd w:val="0"/>
        <w:snapToGrid w:val="0"/>
        <w:spacing w:line="360" w:lineRule="auto"/>
        <w:ind w:firstLine="573"/>
        <w:rPr>
          <w:rFonts w:hint="eastAsia"/>
          <w:b/>
          <w:bCs/>
          <w:color w:val="auto"/>
          <w:sz w:val="28"/>
          <w:szCs w:val="28"/>
          <w:highlight w:val="none"/>
          <w:lang w:eastAsia="zh-CN"/>
        </w:rPr>
      </w:pPr>
      <w:r>
        <w:rPr>
          <w:rFonts w:hint="eastAsia"/>
          <w:b/>
          <w:bCs/>
          <w:color w:val="auto"/>
          <w:sz w:val="28"/>
          <w:szCs w:val="28"/>
          <w:highlight w:val="none"/>
          <w:lang w:eastAsia="zh-CN"/>
        </w:rPr>
        <w:t>综上所述，</w:t>
      </w:r>
      <w:r>
        <w:rPr>
          <w:rFonts w:hint="eastAsia"/>
          <w:b/>
          <w:bCs/>
          <w:color w:val="auto"/>
          <w:sz w:val="28"/>
          <w:szCs w:val="28"/>
          <w:highlight w:val="none"/>
          <w:lang w:val="en-US" w:eastAsia="zh-CN"/>
        </w:rPr>
        <w:t>山</w:t>
      </w:r>
      <w:r>
        <w:rPr>
          <w:rFonts w:hint="eastAsia" w:ascii="Times New Roman" w:hAnsi="Times New Roman" w:eastAsia="宋体" w:cs="Times New Roman"/>
          <w:b/>
          <w:bCs/>
          <w:color w:val="auto"/>
          <w:kern w:val="2"/>
          <w:sz w:val="28"/>
          <w:szCs w:val="28"/>
          <w:lang w:val="en-US" w:eastAsia="zh-CN" w:bidi="ar-SA"/>
        </w:rPr>
        <w:t>东华曦石油技术服务有限公司</w:t>
      </w:r>
      <w:r>
        <w:rPr>
          <w:rFonts w:hint="default" w:ascii="Times New Roman" w:hAnsi="Times New Roman" w:eastAsia="宋体" w:cs="Times New Roman"/>
          <w:b/>
          <w:bCs/>
          <w:color w:val="auto"/>
          <w:kern w:val="2"/>
          <w:sz w:val="28"/>
          <w:szCs w:val="28"/>
          <w:lang w:val="en-US" w:eastAsia="zh-CN" w:bidi="ar-SA"/>
        </w:rPr>
        <w:t>井下作业-注气（蒸汽）</w:t>
      </w:r>
      <w:r>
        <w:rPr>
          <w:rFonts w:hint="eastAsia" w:cs="Times New Roman"/>
          <w:b/>
          <w:bCs/>
          <w:color w:val="auto"/>
          <w:kern w:val="2"/>
          <w:sz w:val="28"/>
          <w:szCs w:val="28"/>
          <w:lang w:val="en-US" w:eastAsia="zh-CN" w:bidi="ar-SA"/>
        </w:rPr>
        <w:t>项目</w:t>
      </w:r>
      <w:r>
        <w:rPr>
          <w:rFonts w:hint="eastAsia" w:ascii="Times New Roman" w:hAnsi="Times New Roman" w:eastAsia="宋体" w:cs="Times New Roman"/>
          <w:b/>
          <w:bCs/>
          <w:color w:val="auto"/>
          <w:kern w:val="2"/>
          <w:sz w:val="28"/>
          <w:szCs w:val="28"/>
          <w:lang w:val="en-US" w:eastAsia="zh-CN" w:bidi="ar-SA"/>
        </w:rPr>
        <w:t>具备法律法规、标准规范规定</w:t>
      </w:r>
      <w:r>
        <w:rPr>
          <w:rFonts w:hint="eastAsia"/>
          <w:b/>
          <w:bCs/>
          <w:color w:val="auto"/>
          <w:sz w:val="28"/>
          <w:szCs w:val="28"/>
          <w:highlight w:val="none"/>
          <w:lang w:eastAsia="zh-CN"/>
        </w:rPr>
        <w:t>的安全生产条件，</w:t>
      </w:r>
      <w:r>
        <w:rPr>
          <w:rFonts w:hint="eastAsia"/>
          <w:b/>
          <w:bCs/>
          <w:color w:val="auto"/>
          <w:sz w:val="28"/>
          <w:szCs w:val="28"/>
          <w:highlight w:val="none"/>
          <w:lang w:val="en-US" w:eastAsia="zh-CN"/>
        </w:rPr>
        <w:t>满足安全生产的要求</w:t>
      </w:r>
      <w:r>
        <w:rPr>
          <w:rFonts w:hint="eastAsia"/>
          <w:b/>
          <w:bCs/>
          <w:color w:val="auto"/>
          <w:sz w:val="28"/>
          <w:szCs w:val="28"/>
          <w:highlight w:val="none"/>
          <w:lang w:eastAsia="zh-CN"/>
        </w:rPr>
        <w:t>。</w:t>
      </w:r>
    </w:p>
    <w:p>
      <w:pPr>
        <w:adjustRightInd w:val="0"/>
        <w:snapToGrid w:val="0"/>
        <w:spacing w:line="360" w:lineRule="auto"/>
        <w:ind w:firstLine="573"/>
        <w:rPr>
          <w:rFonts w:hint="default"/>
          <w:lang w:val="en-US" w:eastAsia="zh-CN"/>
        </w:rPr>
      </w:pPr>
      <w:r>
        <w:rPr>
          <w:rFonts w:hint="eastAsia" w:cs="Times New Roman"/>
          <w:color w:val="auto"/>
          <w:kern w:val="2"/>
          <w:sz w:val="28"/>
          <w:szCs w:val="28"/>
          <w:lang w:val="en-US" w:eastAsia="zh-CN" w:bidi="ar-SA"/>
        </w:rPr>
        <w:t>山</w:t>
      </w:r>
      <w:r>
        <w:rPr>
          <w:rFonts w:hint="eastAsia" w:ascii="Times New Roman" w:hAnsi="Times New Roman" w:eastAsia="宋体" w:cs="Times New Roman"/>
          <w:color w:val="auto"/>
          <w:kern w:val="2"/>
          <w:sz w:val="28"/>
          <w:szCs w:val="28"/>
          <w:lang w:val="en-US" w:eastAsia="zh-CN" w:bidi="ar-SA"/>
        </w:rPr>
        <w:t>东华曦石油技术服务有限公司</w:t>
      </w:r>
      <w:r>
        <w:rPr>
          <w:rFonts w:hint="eastAsia"/>
          <w:color w:val="auto"/>
          <w:sz w:val="28"/>
          <w:szCs w:val="28"/>
          <w:highlight w:val="none"/>
          <w:lang w:eastAsia="zh-CN"/>
        </w:rPr>
        <w:t>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sectPr>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Tms Rmn">
    <w:altName w:val="Segoe Print"/>
    <w:panose1 w:val="02020603040505020304"/>
    <w:charset w:val="00"/>
    <w:family w:val="roman"/>
    <w:pitch w:val="default"/>
    <w:sig w:usb0="00000000" w:usb1="00000000" w:usb2="00000000" w:usb3="00000000" w:csb0="00000001" w:csb1="00000000"/>
  </w:font>
  <w:font w:name="Garamond">
    <w:panose1 w:val="02020404030301010803"/>
    <w:charset w:val="00"/>
    <w:family w:val="roman"/>
    <w:pitch w:val="default"/>
    <w:sig w:usb0="00000287" w:usb1="00000000" w:usb2="00000000" w:usb3="00000000" w:csb0="0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39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53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651510" cy="30035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651510" cy="300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54</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3.65pt;width:51.3pt;mso-position-horizontal:center;mso-position-horizontal-relative:margin;z-index:251662336;mso-width-relative:page;mso-height-relative:page;" filled="f" stroked="f" coordsize="21600,21600" o:gfxdata="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FBdrXTAAAABAEAAA8AAAAAAAAAAQAgAAAAIgAAAGRycy9kb3ducmV2Lnht&#10;bFBLAQIUABQAAAAIAIdO4kAhsDkENwIAAGMEAAAOAAAAAAAAAAEAIAAAACIBAABkcnMvZTJvRG9j&#10;LnhtbFBLBQYAAAAABgAGAFkBAADLBQAAAAA=&#10;">
              <v:fill on="f" focussize="0,0"/>
              <v:stroke on="f" weight="0.5pt"/>
              <v:imagedata o:title=""/>
              <o:lock v:ext="edit" aspectratio="f"/>
              <v:textbox inset="0mm,0mm,0mm,0mm">
                <w:txbxContent>
                  <w:p>
                    <w:pPr>
                      <w:pStyle w:val="34"/>
                      <w:jc w:val="center"/>
                    </w:pPr>
                    <w:r>
                      <w:fldChar w:fldCharType="begin"/>
                    </w:r>
                    <w:r>
                      <w:instrText xml:space="preserve">PAGE   \* MERGEFORMAT</w:instrText>
                    </w:r>
                    <w:r>
                      <w:fldChar w:fldCharType="separate"/>
                    </w:r>
                    <w:r>
                      <w:rPr>
                        <w:lang w:val="zh-CN"/>
                      </w:rPr>
                      <w:t>54</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55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rFonts w:hint="eastAsia" w:eastAsia="宋体"/>
        <w:lang w:val="en-US" w:eastAsia="zh-CN"/>
      </w:rPr>
    </w:pPr>
    <w:r>
      <w:rPr>
        <w:rFonts w:hint="eastAsia"/>
        <w:sz w:val="21"/>
        <w:szCs w:val="21"/>
        <w:lang w:eastAsia="zh-CN"/>
      </w:rPr>
      <w:t>山东华曦石油技术服务有限公司</w:t>
    </w:r>
    <w:r>
      <w:rPr>
        <w:rFonts w:hint="eastAsia"/>
        <w:sz w:val="21"/>
        <w:szCs w:val="21"/>
      </w:rPr>
      <w:t>井下作业项目安全现状评价</w:t>
    </w:r>
    <w:r>
      <w:rPr>
        <w:rFonts w:hint="eastAsia"/>
        <w:sz w:val="21"/>
        <w:szCs w:val="21"/>
        <w:lang w:val="en-US" w:eastAsia="zh-CN"/>
      </w:rPr>
      <w:t>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sz w:val="21"/>
        <w:szCs w:val="21"/>
      </w:rPr>
    </w:pPr>
    <w:r>
      <w:rPr>
        <w:rFonts w:hint="eastAsia"/>
        <w:bCs/>
        <w:color w:val="000000"/>
        <w:sz w:val="21"/>
        <w:szCs w:val="21"/>
        <w:lang w:eastAsia="zh-CN"/>
      </w:rPr>
      <w:t>山东华曦石油技术服务有限公司井下作业项目安全现状评价报告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sz w:val="15"/>
        <w:szCs w:val="15"/>
      </w:rPr>
    </w:pPr>
    <w:r>
      <w:rPr>
        <w:rFonts w:hint="eastAsia"/>
        <w:bCs/>
        <w:color w:val="000000"/>
        <w:sz w:val="21"/>
        <w:szCs w:val="21"/>
        <w:lang w:eastAsia="zh-CN"/>
      </w:rPr>
      <w:t>山东华曦石油技术服务有限公司井下作业项目安全现状评价报告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6BE6B2"/>
    <w:multiLevelType w:val="singleLevel"/>
    <w:tmpl w:val="816BE6B2"/>
    <w:lvl w:ilvl="0" w:tentative="0">
      <w:start w:val="1"/>
      <w:numFmt w:val="decimal"/>
      <w:lvlText w:val="%1"/>
      <w:lvlJc w:val="left"/>
      <w:pPr>
        <w:tabs>
          <w:tab w:val="left" w:pos="420"/>
        </w:tabs>
        <w:ind w:left="425" w:leftChars="0" w:hanging="425" w:firstLineChars="0"/>
      </w:pPr>
      <w:rPr>
        <w:rFonts w:hint="default"/>
      </w:rPr>
    </w:lvl>
  </w:abstractNum>
  <w:abstractNum w:abstractNumId="1">
    <w:nsid w:val="876F9BE6"/>
    <w:multiLevelType w:val="singleLevel"/>
    <w:tmpl w:val="876F9BE6"/>
    <w:lvl w:ilvl="0" w:tentative="0">
      <w:start w:val="1"/>
      <w:numFmt w:val="decimal"/>
      <w:lvlText w:val="%1"/>
      <w:lvlJc w:val="left"/>
      <w:pPr>
        <w:tabs>
          <w:tab w:val="left" w:pos="420"/>
        </w:tabs>
        <w:ind w:left="425" w:leftChars="0" w:hanging="425" w:firstLineChars="0"/>
      </w:pPr>
      <w:rPr>
        <w:rFonts w:hint="default"/>
      </w:rPr>
    </w:lvl>
  </w:abstractNum>
  <w:abstractNum w:abstractNumId="2">
    <w:nsid w:val="B36B716E"/>
    <w:multiLevelType w:val="singleLevel"/>
    <w:tmpl w:val="B36B716E"/>
    <w:lvl w:ilvl="0" w:tentative="0">
      <w:start w:val="1"/>
      <w:numFmt w:val="decimal"/>
      <w:lvlText w:val="%1"/>
      <w:lvlJc w:val="left"/>
      <w:pPr>
        <w:tabs>
          <w:tab w:val="left" w:pos="420"/>
        </w:tabs>
        <w:ind w:left="425" w:leftChars="0" w:hanging="425" w:firstLineChars="0"/>
      </w:pPr>
      <w:rPr>
        <w:rFonts w:hint="default"/>
      </w:rPr>
    </w:lvl>
  </w:abstractNum>
  <w:abstractNum w:abstractNumId="3">
    <w:nsid w:val="DFA8102C"/>
    <w:multiLevelType w:val="singleLevel"/>
    <w:tmpl w:val="DFA8102C"/>
    <w:lvl w:ilvl="0" w:tentative="0">
      <w:start w:val="1"/>
      <w:numFmt w:val="decimal"/>
      <w:lvlText w:val="%1"/>
      <w:lvlJc w:val="left"/>
      <w:pPr>
        <w:tabs>
          <w:tab w:val="left" w:pos="420"/>
        </w:tabs>
        <w:ind w:left="425" w:leftChars="0" w:hanging="425" w:firstLineChars="0"/>
      </w:pPr>
      <w:rPr>
        <w:rFonts w:hint="default"/>
      </w:rPr>
    </w:lvl>
  </w:abstractNum>
  <w:abstractNum w:abstractNumId="4">
    <w:nsid w:val="E4D99873"/>
    <w:multiLevelType w:val="singleLevel"/>
    <w:tmpl w:val="E4D99873"/>
    <w:lvl w:ilvl="0" w:tentative="0">
      <w:start w:val="1"/>
      <w:numFmt w:val="decimal"/>
      <w:lvlText w:val="%1"/>
      <w:lvlJc w:val="left"/>
      <w:pPr>
        <w:tabs>
          <w:tab w:val="left" w:pos="420"/>
        </w:tabs>
        <w:ind w:left="425" w:leftChars="0" w:hanging="425" w:firstLineChars="0"/>
      </w:pPr>
      <w:rPr>
        <w:rFonts w:hint="default"/>
      </w:rPr>
    </w:lvl>
  </w:abstractNum>
  <w:abstractNum w:abstractNumId="5">
    <w:nsid w:val="F5B70CB4"/>
    <w:multiLevelType w:val="singleLevel"/>
    <w:tmpl w:val="F5B70CB4"/>
    <w:lvl w:ilvl="0" w:tentative="0">
      <w:start w:val="1"/>
      <w:numFmt w:val="decimal"/>
      <w:suff w:val="space"/>
      <w:lvlText w:val="%1."/>
      <w:lvlJc w:val="left"/>
    </w:lvl>
  </w:abstractNum>
  <w:abstractNum w:abstractNumId="6">
    <w:nsid w:val="081B2C76"/>
    <w:multiLevelType w:val="multilevel"/>
    <w:tmpl w:val="081B2C76"/>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18466C22"/>
    <w:multiLevelType w:val="multilevel"/>
    <w:tmpl w:val="18466C22"/>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
    <w:nsid w:val="185C2D08"/>
    <w:multiLevelType w:val="multilevel"/>
    <w:tmpl w:val="185C2D08"/>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9">
    <w:nsid w:val="23C5BBC5"/>
    <w:multiLevelType w:val="singleLevel"/>
    <w:tmpl w:val="23C5BBC5"/>
    <w:lvl w:ilvl="0" w:tentative="0">
      <w:start w:val="1"/>
      <w:numFmt w:val="decimal"/>
      <w:lvlText w:val="%1"/>
      <w:lvlJc w:val="left"/>
      <w:pPr>
        <w:tabs>
          <w:tab w:val="left" w:pos="420"/>
        </w:tabs>
        <w:ind w:left="425" w:leftChars="0" w:hanging="425" w:firstLineChars="0"/>
      </w:pPr>
      <w:rPr>
        <w:rFonts w:hint="default"/>
      </w:rPr>
    </w:lvl>
  </w:abstractNum>
  <w:abstractNum w:abstractNumId="10">
    <w:nsid w:val="282C49B3"/>
    <w:multiLevelType w:val="multilevel"/>
    <w:tmpl w:val="282C49B3"/>
    <w:lvl w:ilvl="0" w:tentative="0">
      <w:start w:val="1"/>
      <w:numFmt w:val="decimalEnclosedCircle"/>
      <w:pStyle w:val="150"/>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11">
    <w:nsid w:val="3CAE20DE"/>
    <w:multiLevelType w:val="multilevel"/>
    <w:tmpl w:val="3CAE20DE"/>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2">
    <w:nsid w:val="55338D22"/>
    <w:multiLevelType w:val="multilevel"/>
    <w:tmpl w:val="55338D22"/>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3">
    <w:nsid w:val="578F4838"/>
    <w:multiLevelType w:val="multilevel"/>
    <w:tmpl w:val="578F4838"/>
    <w:lvl w:ilvl="0" w:tentative="0">
      <w:start w:val="1"/>
      <w:numFmt w:val="decimal"/>
      <w:suff w:val="nothing"/>
      <w:lvlText w:val="%1."/>
      <w:lvlJc w:val="left"/>
      <w:pPr>
        <w:ind w:left="737" w:hanging="177"/>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4">
    <w:nsid w:val="59BB18A3"/>
    <w:multiLevelType w:val="multilevel"/>
    <w:tmpl w:val="59BB18A3"/>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5">
    <w:nsid w:val="67D11B0D"/>
    <w:multiLevelType w:val="multilevel"/>
    <w:tmpl w:val="67D11B0D"/>
    <w:lvl w:ilvl="0" w:tentative="0">
      <w:start w:val="1"/>
      <w:numFmt w:val="decimalEnclosedCircle"/>
      <w:pStyle w:val="130"/>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16">
    <w:nsid w:val="6D188645"/>
    <w:multiLevelType w:val="singleLevel"/>
    <w:tmpl w:val="6D188645"/>
    <w:lvl w:ilvl="0" w:tentative="0">
      <w:start w:val="1"/>
      <w:numFmt w:val="decimal"/>
      <w:lvlText w:val="%1"/>
      <w:lvlJc w:val="left"/>
      <w:pPr>
        <w:tabs>
          <w:tab w:val="left" w:pos="420"/>
        </w:tabs>
        <w:ind w:left="425" w:leftChars="0" w:hanging="425" w:firstLineChars="0"/>
      </w:pPr>
      <w:rPr>
        <w:rFonts w:hint="default"/>
      </w:rPr>
    </w:lvl>
  </w:abstractNum>
  <w:abstractNum w:abstractNumId="17">
    <w:nsid w:val="6F6557E4"/>
    <w:multiLevelType w:val="singleLevel"/>
    <w:tmpl w:val="6F6557E4"/>
    <w:lvl w:ilvl="0" w:tentative="0">
      <w:start w:val="2"/>
      <w:numFmt w:val="decimal"/>
      <w:suff w:val="nothing"/>
      <w:lvlText w:val="%1、"/>
      <w:lvlJc w:val="left"/>
    </w:lvl>
  </w:abstractNum>
  <w:abstractNum w:abstractNumId="18">
    <w:nsid w:val="70DF7B76"/>
    <w:multiLevelType w:val="multilevel"/>
    <w:tmpl w:val="70DF7B76"/>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15"/>
  </w:num>
  <w:num w:numId="2">
    <w:abstractNumId w:val="10"/>
  </w:num>
  <w:num w:numId="3">
    <w:abstractNumId w:val="18"/>
  </w:num>
  <w:num w:numId="4">
    <w:abstractNumId w:val="6"/>
  </w:num>
  <w:num w:numId="5">
    <w:abstractNumId w:val="14"/>
  </w:num>
  <w:num w:numId="6">
    <w:abstractNumId w:val="11"/>
  </w:num>
  <w:num w:numId="7">
    <w:abstractNumId w:val="12"/>
  </w:num>
  <w:num w:numId="8">
    <w:abstractNumId w:val="13"/>
  </w:num>
  <w:num w:numId="9">
    <w:abstractNumId w:val="8"/>
  </w:num>
  <w:num w:numId="10">
    <w:abstractNumId w:val="5"/>
  </w:num>
  <w:num w:numId="11">
    <w:abstractNumId w:val="7"/>
  </w:num>
  <w:num w:numId="12">
    <w:abstractNumId w:val="16"/>
  </w:num>
  <w:num w:numId="13">
    <w:abstractNumId w:val="0"/>
  </w:num>
  <w:num w:numId="14">
    <w:abstractNumId w:val="9"/>
  </w:num>
  <w:num w:numId="15">
    <w:abstractNumId w:val="17"/>
  </w:num>
  <w:num w:numId="16">
    <w:abstractNumId w:val="2"/>
  </w:num>
  <w:num w:numId="17">
    <w:abstractNumId w:val="3"/>
  </w:num>
  <w:num w:numId="18">
    <w:abstractNumId w:val="1"/>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wNWNlNDhkMDg1MDRlMGExNmM5OTY0ZWNhYzlmZTEifQ=="/>
  </w:docVars>
  <w:rsids>
    <w:rsidRoot w:val="00172A27"/>
    <w:rsid w:val="000001C0"/>
    <w:rsid w:val="000002D0"/>
    <w:rsid w:val="0000032A"/>
    <w:rsid w:val="00000390"/>
    <w:rsid w:val="00000392"/>
    <w:rsid w:val="000009B1"/>
    <w:rsid w:val="000020F1"/>
    <w:rsid w:val="00002A96"/>
    <w:rsid w:val="00002EEC"/>
    <w:rsid w:val="00002F23"/>
    <w:rsid w:val="000037D9"/>
    <w:rsid w:val="00003D5F"/>
    <w:rsid w:val="0000405A"/>
    <w:rsid w:val="00004824"/>
    <w:rsid w:val="000054D6"/>
    <w:rsid w:val="000062A3"/>
    <w:rsid w:val="000063CE"/>
    <w:rsid w:val="000066D6"/>
    <w:rsid w:val="00007350"/>
    <w:rsid w:val="000074D3"/>
    <w:rsid w:val="00007ABF"/>
    <w:rsid w:val="00007CA4"/>
    <w:rsid w:val="000100A1"/>
    <w:rsid w:val="00010B3E"/>
    <w:rsid w:val="000112B5"/>
    <w:rsid w:val="00012536"/>
    <w:rsid w:val="00012884"/>
    <w:rsid w:val="0001370A"/>
    <w:rsid w:val="000137DB"/>
    <w:rsid w:val="00013B73"/>
    <w:rsid w:val="00013BCD"/>
    <w:rsid w:val="00013BD3"/>
    <w:rsid w:val="00013F67"/>
    <w:rsid w:val="000140AE"/>
    <w:rsid w:val="00014187"/>
    <w:rsid w:val="000143AE"/>
    <w:rsid w:val="000148D7"/>
    <w:rsid w:val="00014CA5"/>
    <w:rsid w:val="00014CFD"/>
    <w:rsid w:val="00015470"/>
    <w:rsid w:val="0001599A"/>
    <w:rsid w:val="00015CF6"/>
    <w:rsid w:val="00015D27"/>
    <w:rsid w:val="000168E4"/>
    <w:rsid w:val="00016EF4"/>
    <w:rsid w:val="0001746A"/>
    <w:rsid w:val="00017541"/>
    <w:rsid w:val="000179A3"/>
    <w:rsid w:val="00020823"/>
    <w:rsid w:val="0002113E"/>
    <w:rsid w:val="00021E38"/>
    <w:rsid w:val="00022397"/>
    <w:rsid w:val="000225B1"/>
    <w:rsid w:val="00022A70"/>
    <w:rsid w:val="00022E0E"/>
    <w:rsid w:val="00022EFA"/>
    <w:rsid w:val="000235A0"/>
    <w:rsid w:val="0002387A"/>
    <w:rsid w:val="00023D3F"/>
    <w:rsid w:val="00023DBA"/>
    <w:rsid w:val="000244BD"/>
    <w:rsid w:val="000244D3"/>
    <w:rsid w:val="0002476B"/>
    <w:rsid w:val="00024D25"/>
    <w:rsid w:val="000250FA"/>
    <w:rsid w:val="00025306"/>
    <w:rsid w:val="00025D85"/>
    <w:rsid w:val="0002684A"/>
    <w:rsid w:val="000271D6"/>
    <w:rsid w:val="000274F0"/>
    <w:rsid w:val="0002770A"/>
    <w:rsid w:val="000277A2"/>
    <w:rsid w:val="00027B52"/>
    <w:rsid w:val="00027D64"/>
    <w:rsid w:val="00030344"/>
    <w:rsid w:val="0003194A"/>
    <w:rsid w:val="00031EA4"/>
    <w:rsid w:val="00031F73"/>
    <w:rsid w:val="000325D7"/>
    <w:rsid w:val="000325FB"/>
    <w:rsid w:val="00032743"/>
    <w:rsid w:val="00032FF0"/>
    <w:rsid w:val="00032FFD"/>
    <w:rsid w:val="000332E2"/>
    <w:rsid w:val="000341A1"/>
    <w:rsid w:val="00034AE4"/>
    <w:rsid w:val="00034CF3"/>
    <w:rsid w:val="00034FDE"/>
    <w:rsid w:val="000353D1"/>
    <w:rsid w:val="00035A7A"/>
    <w:rsid w:val="000363E5"/>
    <w:rsid w:val="0003654F"/>
    <w:rsid w:val="0003674E"/>
    <w:rsid w:val="000367FD"/>
    <w:rsid w:val="00036D80"/>
    <w:rsid w:val="00036E06"/>
    <w:rsid w:val="00037351"/>
    <w:rsid w:val="000374AF"/>
    <w:rsid w:val="00037D13"/>
    <w:rsid w:val="0004030D"/>
    <w:rsid w:val="00040750"/>
    <w:rsid w:val="00040DD0"/>
    <w:rsid w:val="00040E01"/>
    <w:rsid w:val="000413E4"/>
    <w:rsid w:val="00042249"/>
    <w:rsid w:val="00042510"/>
    <w:rsid w:val="00044127"/>
    <w:rsid w:val="00044687"/>
    <w:rsid w:val="00044C5B"/>
    <w:rsid w:val="00044D35"/>
    <w:rsid w:val="00044EF9"/>
    <w:rsid w:val="000455DB"/>
    <w:rsid w:val="00045653"/>
    <w:rsid w:val="000457AC"/>
    <w:rsid w:val="00046CAE"/>
    <w:rsid w:val="00046F86"/>
    <w:rsid w:val="0004785F"/>
    <w:rsid w:val="00047F10"/>
    <w:rsid w:val="0005009A"/>
    <w:rsid w:val="00050263"/>
    <w:rsid w:val="00050D31"/>
    <w:rsid w:val="00051226"/>
    <w:rsid w:val="00051235"/>
    <w:rsid w:val="00051AFE"/>
    <w:rsid w:val="00051C37"/>
    <w:rsid w:val="00052080"/>
    <w:rsid w:val="00052373"/>
    <w:rsid w:val="00052725"/>
    <w:rsid w:val="00052A96"/>
    <w:rsid w:val="000536C0"/>
    <w:rsid w:val="00053B8A"/>
    <w:rsid w:val="00053FE3"/>
    <w:rsid w:val="000540B6"/>
    <w:rsid w:val="00054A9E"/>
    <w:rsid w:val="00054B46"/>
    <w:rsid w:val="00054F36"/>
    <w:rsid w:val="00055640"/>
    <w:rsid w:val="0005704D"/>
    <w:rsid w:val="00061178"/>
    <w:rsid w:val="00061463"/>
    <w:rsid w:val="00061529"/>
    <w:rsid w:val="000620EA"/>
    <w:rsid w:val="000621DC"/>
    <w:rsid w:val="00062406"/>
    <w:rsid w:val="00062478"/>
    <w:rsid w:val="000627DB"/>
    <w:rsid w:val="00062C17"/>
    <w:rsid w:val="00063029"/>
    <w:rsid w:val="00063B7D"/>
    <w:rsid w:val="00063CDC"/>
    <w:rsid w:val="00064655"/>
    <w:rsid w:val="00064759"/>
    <w:rsid w:val="00064797"/>
    <w:rsid w:val="0006530F"/>
    <w:rsid w:val="000654B0"/>
    <w:rsid w:val="00065736"/>
    <w:rsid w:val="00065F70"/>
    <w:rsid w:val="00066305"/>
    <w:rsid w:val="00066331"/>
    <w:rsid w:val="00067116"/>
    <w:rsid w:val="000671CC"/>
    <w:rsid w:val="000675D8"/>
    <w:rsid w:val="000675D9"/>
    <w:rsid w:val="0006770D"/>
    <w:rsid w:val="0007052B"/>
    <w:rsid w:val="00070C74"/>
    <w:rsid w:val="00070CBF"/>
    <w:rsid w:val="00070ED0"/>
    <w:rsid w:val="00070F7A"/>
    <w:rsid w:val="00070FD9"/>
    <w:rsid w:val="000710B9"/>
    <w:rsid w:val="000711BD"/>
    <w:rsid w:val="00071741"/>
    <w:rsid w:val="000717FD"/>
    <w:rsid w:val="000726D3"/>
    <w:rsid w:val="00072B52"/>
    <w:rsid w:val="00072E37"/>
    <w:rsid w:val="00073076"/>
    <w:rsid w:val="00073195"/>
    <w:rsid w:val="00073931"/>
    <w:rsid w:val="00073D90"/>
    <w:rsid w:val="00074046"/>
    <w:rsid w:val="0007496B"/>
    <w:rsid w:val="00074983"/>
    <w:rsid w:val="00074DA4"/>
    <w:rsid w:val="00074E58"/>
    <w:rsid w:val="00075272"/>
    <w:rsid w:val="00075801"/>
    <w:rsid w:val="00075A2F"/>
    <w:rsid w:val="00075A33"/>
    <w:rsid w:val="00075B28"/>
    <w:rsid w:val="00076441"/>
    <w:rsid w:val="00076B1E"/>
    <w:rsid w:val="000776D5"/>
    <w:rsid w:val="00077EB1"/>
    <w:rsid w:val="000800A7"/>
    <w:rsid w:val="00080156"/>
    <w:rsid w:val="00080D11"/>
    <w:rsid w:val="000815F0"/>
    <w:rsid w:val="00081908"/>
    <w:rsid w:val="0008204D"/>
    <w:rsid w:val="00082316"/>
    <w:rsid w:val="00082480"/>
    <w:rsid w:val="00082A33"/>
    <w:rsid w:val="00082D72"/>
    <w:rsid w:val="0008447C"/>
    <w:rsid w:val="00084EAB"/>
    <w:rsid w:val="00085383"/>
    <w:rsid w:val="0008543C"/>
    <w:rsid w:val="000854B8"/>
    <w:rsid w:val="00085548"/>
    <w:rsid w:val="00085C0D"/>
    <w:rsid w:val="00086355"/>
    <w:rsid w:val="0008644F"/>
    <w:rsid w:val="00086480"/>
    <w:rsid w:val="000866F2"/>
    <w:rsid w:val="00086B4F"/>
    <w:rsid w:val="00087352"/>
    <w:rsid w:val="000877AC"/>
    <w:rsid w:val="00087B63"/>
    <w:rsid w:val="00087D86"/>
    <w:rsid w:val="0009041F"/>
    <w:rsid w:val="00090451"/>
    <w:rsid w:val="00090660"/>
    <w:rsid w:val="00090A9A"/>
    <w:rsid w:val="00090B7A"/>
    <w:rsid w:val="00090DB7"/>
    <w:rsid w:val="00091414"/>
    <w:rsid w:val="00091A9F"/>
    <w:rsid w:val="00092138"/>
    <w:rsid w:val="00094A0B"/>
    <w:rsid w:val="00094E9E"/>
    <w:rsid w:val="00094FBB"/>
    <w:rsid w:val="000951B9"/>
    <w:rsid w:val="00095494"/>
    <w:rsid w:val="0009598B"/>
    <w:rsid w:val="00095A15"/>
    <w:rsid w:val="00095AD4"/>
    <w:rsid w:val="00095F6C"/>
    <w:rsid w:val="00096451"/>
    <w:rsid w:val="000966CF"/>
    <w:rsid w:val="000978B0"/>
    <w:rsid w:val="000A0093"/>
    <w:rsid w:val="000A0BEE"/>
    <w:rsid w:val="000A10FB"/>
    <w:rsid w:val="000A191B"/>
    <w:rsid w:val="000A1AED"/>
    <w:rsid w:val="000A1CDC"/>
    <w:rsid w:val="000A201F"/>
    <w:rsid w:val="000A23E1"/>
    <w:rsid w:val="000A2471"/>
    <w:rsid w:val="000A257B"/>
    <w:rsid w:val="000A27BE"/>
    <w:rsid w:val="000A2889"/>
    <w:rsid w:val="000A2A31"/>
    <w:rsid w:val="000A2FF9"/>
    <w:rsid w:val="000A53EB"/>
    <w:rsid w:val="000A5723"/>
    <w:rsid w:val="000A5AF2"/>
    <w:rsid w:val="000A5DBA"/>
    <w:rsid w:val="000A6AF7"/>
    <w:rsid w:val="000A6E82"/>
    <w:rsid w:val="000A6F56"/>
    <w:rsid w:val="000A705E"/>
    <w:rsid w:val="000A7AC7"/>
    <w:rsid w:val="000B0235"/>
    <w:rsid w:val="000B052F"/>
    <w:rsid w:val="000B063A"/>
    <w:rsid w:val="000B08B2"/>
    <w:rsid w:val="000B1371"/>
    <w:rsid w:val="000B2538"/>
    <w:rsid w:val="000B2B2D"/>
    <w:rsid w:val="000B2BEE"/>
    <w:rsid w:val="000B38DB"/>
    <w:rsid w:val="000B3A4E"/>
    <w:rsid w:val="000B3F45"/>
    <w:rsid w:val="000B401D"/>
    <w:rsid w:val="000B4466"/>
    <w:rsid w:val="000B4D29"/>
    <w:rsid w:val="000B5156"/>
    <w:rsid w:val="000B630F"/>
    <w:rsid w:val="000B725D"/>
    <w:rsid w:val="000B7EC1"/>
    <w:rsid w:val="000B7F76"/>
    <w:rsid w:val="000C08C9"/>
    <w:rsid w:val="000C0A86"/>
    <w:rsid w:val="000C0ED4"/>
    <w:rsid w:val="000C133C"/>
    <w:rsid w:val="000C15C3"/>
    <w:rsid w:val="000C1D8B"/>
    <w:rsid w:val="000C2606"/>
    <w:rsid w:val="000C2993"/>
    <w:rsid w:val="000C2ED7"/>
    <w:rsid w:val="000C2EF0"/>
    <w:rsid w:val="000C303C"/>
    <w:rsid w:val="000C321D"/>
    <w:rsid w:val="000C456B"/>
    <w:rsid w:val="000C46D8"/>
    <w:rsid w:val="000C4E20"/>
    <w:rsid w:val="000C5497"/>
    <w:rsid w:val="000C5B38"/>
    <w:rsid w:val="000C5B3F"/>
    <w:rsid w:val="000C5FD1"/>
    <w:rsid w:val="000C668A"/>
    <w:rsid w:val="000C679D"/>
    <w:rsid w:val="000C710D"/>
    <w:rsid w:val="000C7196"/>
    <w:rsid w:val="000C72DC"/>
    <w:rsid w:val="000C7990"/>
    <w:rsid w:val="000C7F4E"/>
    <w:rsid w:val="000D0ADE"/>
    <w:rsid w:val="000D0BC6"/>
    <w:rsid w:val="000D12F2"/>
    <w:rsid w:val="000D3471"/>
    <w:rsid w:val="000D35B8"/>
    <w:rsid w:val="000D4930"/>
    <w:rsid w:val="000D4C0F"/>
    <w:rsid w:val="000D528B"/>
    <w:rsid w:val="000D55ED"/>
    <w:rsid w:val="000D5861"/>
    <w:rsid w:val="000D58BC"/>
    <w:rsid w:val="000D5925"/>
    <w:rsid w:val="000D64BA"/>
    <w:rsid w:val="000D6543"/>
    <w:rsid w:val="000D6EAC"/>
    <w:rsid w:val="000D774C"/>
    <w:rsid w:val="000D7AA5"/>
    <w:rsid w:val="000E0A26"/>
    <w:rsid w:val="000E0B90"/>
    <w:rsid w:val="000E0ECD"/>
    <w:rsid w:val="000E1217"/>
    <w:rsid w:val="000E12D0"/>
    <w:rsid w:val="000E2066"/>
    <w:rsid w:val="000E2E2C"/>
    <w:rsid w:val="000E352B"/>
    <w:rsid w:val="000E3563"/>
    <w:rsid w:val="000E3773"/>
    <w:rsid w:val="000E4405"/>
    <w:rsid w:val="000E4BFE"/>
    <w:rsid w:val="000E50F0"/>
    <w:rsid w:val="000E5264"/>
    <w:rsid w:val="000E5297"/>
    <w:rsid w:val="000E532F"/>
    <w:rsid w:val="000E55E3"/>
    <w:rsid w:val="000E5661"/>
    <w:rsid w:val="000E572D"/>
    <w:rsid w:val="000E5C15"/>
    <w:rsid w:val="000E679C"/>
    <w:rsid w:val="000E6FE2"/>
    <w:rsid w:val="000E7063"/>
    <w:rsid w:val="000E74E0"/>
    <w:rsid w:val="000E7BB8"/>
    <w:rsid w:val="000E7EDC"/>
    <w:rsid w:val="000F03ED"/>
    <w:rsid w:val="000F08FB"/>
    <w:rsid w:val="000F0951"/>
    <w:rsid w:val="000F0CCD"/>
    <w:rsid w:val="000F104D"/>
    <w:rsid w:val="000F113B"/>
    <w:rsid w:val="000F1972"/>
    <w:rsid w:val="000F242D"/>
    <w:rsid w:val="000F25F4"/>
    <w:rsid w:val="000F26FB"/>
    <w:rsid w:val="000F2AC7"/>
    <w:rsid w:val="000F374E"/>
    <w:rsid w:val="000F3893"/>
    <w:rsid w:val="000F42AC"/>
    <w:rsid w:val="000F43FB"/>
    <w:rsid w:val="000F44CC"/>
    <w:rsid w:val="000F4A23"/>
    <w:rsid w:val="000F5159"/>
    <w:rsid w:val="000F5210"/>
    <w:rsid w:val="000F5581"/>
    <w:rsid w:val="000F660D"/>
    <w:rsid w:val="000F74D0"/>
    <w:rsid w:val="000F77CE"/>
    <w:rsid w:val="000F7CA4"/>
    <w:rsid w:val="000F7E5B"/>
    <w:rsid w:val="000F7FB5"/>
    <w:rsid w:val="0010068B"/>
    <w:rsid w:val="00100D67"/>
    <w:rsid w:val="00101032"/>
    <w:rsid w:val="00101F1A"/>
    <w:rsid w:val="00101F9C"/>
    <w:rsid w:val="001023B7"/>
    <w:rsid w:val="001028AC"/>
    <w:rsid w:val="00103229"/>
    <w:rsid w:val="001033FF"/>
    <w:rsid w:val="001034DE"/>
    <w:rsid w:val="00103EAF"/>
    <w:rsid w:val="001047AA"/>
    <w:rsid w:val="00106058"/>
    <w:rsid w:val="00106BB9"/>
    <w:rsid w:val="00107042"/>
    <w:rsid w:val="001071C4"/>
    <w:rsid w:val="001074EC"/>
    <w:rsid w:val="00107798"/>
    <w:rsid w:val="0011004B"/>
    <w:rsid w:val="001100E9"/>
    <w:rsid w:val="00110458"/>
    <w:rsid w:val="00110666"/>
    <w:rsid w:val="001109B4"/>
    <w:rsid w:val="00110B03"/>
    <w:rsid w:val="0011122F"/>
    <w:rsid w:val="00111901"/>
    <w:rsid w:val="00111D5B"/>
    <w:rsid w:val="00111D8F"/>
    <w:rsid w:val="001120CE"/>
    <w:rsid w:val="0011243B"/>
    <w:rsid w:val="00112450"/>
    <w:rsid w:val="00112AB6"/>
    <w:rsid w:val="00112BBC"/>
    <w:rsid w:val="00112C8D"/>
    <w:rsid w:val="00112ECF"/>
    <w:rsid w:val="00112FCF"/>
    <w:rsid w:val="00113571"/>
    <w:rsid w:val="00113938"/>
    <w:rsid w:val="00114334"/>
    <w:rsid w:val="001143CC"/>
    <w:rsid w:val="001144E6"/>
    <w:rsid w:val="001144F7"/>
    <w:rsid w:val="00114B87"/>
    <w:rsid w:val="00114CDB"/>
    <w:rsid w:val="00114D62"/>
    <w:rsid w:val="00115247"/>
    <w:rsid w:val="00115397"/>
    <w:rsid w:val="00115419"/>
    <w:rsid w:val="00115BB7"/>
    <w:rsid w:val="00115F71"/>
    <w:rsid w:val="001160FC"/>
    <w:rsid w:val="00117610"/>
    <w:rsid w:val="00117CCF"/>
    <w:rsid w:val="001200C3"/>
    <w:rsid w:val="00120E70"/>
    <w:rsid w:val="00120F8D"/>
    <w:rsid w:val="00121796"/>
    <w:rsid w:val="0012186E"/>
    <w:rsid w:val="0012209F"/>
    <w:rsid w:val="001220E3"/>
    <w:rsid w:val="001228E4"/>
    <w:rsid w:val="00122CDD"/>
    <w:rsid w:val="00122F96"/>
    <w:rsid w:val="0012328D"/>
    <w:rsid w:val="0012371D"/>
    <w:rsid w:val="0012381E"/>
    <w:rsid w:val="00123D74"/>
    <w:rsid w:val="00123E4A"/>
    <w:rsid w:val="00123F9A"/>
    <w:rsid w:val="00124212"/>
    <w:rsid w:val="001247D5"/>
    <w:rsid w:val="00124890"/>
    <w:rsid w:val="00124A48"/>
    <w:rsid w:val="00124FFA"/>
    <w:rsid w:val="0012544E"/>
    <w:rsid w:val="00125507"/>
    <w:rsid w:val="00125751"/>
    <w:rsid w:val="00125C38"/>
    <w:rsid w:val="001265FF"/>
    <w:rsid w:val="00126DC7"/>
    <w:rsid w:val="00127352"/>
    <w:rsid w:val="00127649"/>
    <w:rsid w:val="00127A2A"/>
    <w:rsid w:val="00127A9F"/>
    <w:rsid w:val="00127B0F"/>
    <w:rsid w:val="00130A1B"/>
    <w:rsid w:val="00130F36"/>
    <w:rsid w:val="00131ABF"/>
    <w:rsid w:val="00131E54"/>
    <w:rsid w:val="00131F02"/>
    <w:rsid w:val="00132310"/>
    <w:rsid w:val="00133E40"/>
    <w:rsid w:val="00133F81"/>
    <w:rsid w:val="0013448B"/>
    <w:rsid w:val="00134691"/>
    <w:rsid w:val="001346E8"/>
    <w:rsid w:val="0013485C"/>
    <w:rsid w:val="00134924"/>
    <w:rsid w:val="001351F8"/>
    <w:rsid w:val="00135E33"/>
    <w:rsid w:val="001364E8"/>
    <w:rsid w:val="0013657F"/>
    <w:rsid w:val="001368FC"/>
    <w:rsid w:val="00136AB0"/>
    <w:rsid w:val="00136B2D"/>
    <w:rsid w:val="00136B8A"/>
    <w:rsid w:val="001377B0"/>
    <w:rsid w:val="00137813"/>
    <w:rsid w:val="00137854"/>
    <w:rsid w:val="00137BC6"/>
    <w:rsid w:val="00140148"/>
    <w:rsid w:val="0014042A"/>
    <w:rsid w:val="001407AA"/>
    <w:rsid w:val="00140905"/>
    <w:rsid w:val="00140EDD"/>
    <w:rsid w:val="0014181F"/>
    <w:rsid w:val="0014190C"/>
    <w:rsid w:val="001428C5"/>
    <w:rsid w:val="00142952"/>
    <w:rsid w:val="00142B5C"/>
    <w:rsid w:val="00142CC5"/>
    <w:rsid w:val="001436C0"/>
    <w:rsid w:val="001438B7"/>
    <w:rsid w:val="00143F1E"/>
    <w:rsid w:val="00144042"/>
    <w:rsid w:val="001440C7"/>
    <w:rsid w:val="00144425"/>
    <w:rsid w:val="00144FB2"/>
    <w:rsid w:val="00145422"/>
    <w:rsid w:val="00145ED3"/>
    <w:rsid w:val="00145F48"/>
    <w:rsid w:val="00146F4E"/>
    <w:rsid w:val="00147118"/>
    <w:rsid w:val="00147EE1"/>
    <w:rsid w:val="001509BE"/>
    <w:rsid w:val="00150A34"/>
    <w:rsid w:val="00150E2C"/>
    <w:rsid w:val="00151379"/>
    <w:rsid w:val="0015151E"/>
    <w:rsid w:val="00152A37"/>
    <w:rsid w:val="00152EA2"/>
    <w:rsid w:val="001530E2"/>
    <w:rsid w:val="00153D4E"/>
    <w:rsid w:val="00154850"/>
    <w:rsid w:val="00154B6F"/>
    <w:rsid w:val="00154CFA"/>
    <w:rsid w:val="001552DE"/>
    <w:rsid w:val="001553A4"/>
    <w:rsid w:val="00155763"/>
    <w:rsid w:val="00155E81"/>
    <w:rsid w:val="00155FFB"/>
    <w:rsid w:val="001569C6"/>
    <w:rsid w:val="00157049"/>
    <w:rsid w:val="0015730D"/>
    <w:rsid w:val="001573B4"/>
    <w:rsid w:val="00157EBE"/>
    <w:rsid w:val="001609BA"/>
    <w:rsid w:val="001610E8"/>
    <w:rsid w:val="0016240F"/>
    <w:rsid w:val="00162481"/>
    <w:rsid w:val="001624A2"/>
    <w:rsid w:val="001628AC"/>
    <w:rsid w:val="00162D08"/>
    <w:rsid w:val="00163325"/>
    <w:rsid w:val="001633DA"/>
    <w:rsid w:val="00163A4F"/>
    <w:rsid w:val="00163BB2"/>
    <w:rsid w:val="00163C19"/>
    <w:rsid w:val="0016490E"/>
    <w:rsid w:val="00164FF7"/>
    <w:rsid w:val="00165400"/>
    <w:rsid w:val="0016554B"/>
    <w:rsid w:val="00165F5D"/>
    <w:rsid w:val="00166125"/>
    <w:rsid w:val="0016634B"/>
    <w:rsid w:val="001663F3"/>
    <w:rsid w:val="00166E1C"/>
    <w:rsid w:val="00167158"/>
    <w:rsid w:val="00170A1A"/>
    <w:rsid w:val="0017100A"/>
    <w:rsid w:val="00171357"/>
    <w:rsid w:val="00171E95"/>
    <w:rsid w:val="001720F7"/>
    <w:rsid w:val="0017288C"/>
    <w:rsid w:val="001728D5"/>
    <w:rsid w:val="001733C5"/>
    <w:rsid w:val="00173910"/>
    <w:rsid w:val="00173FBC"/>
    <w:rsid w:val="00174529"/>
    <w:rsid w:val="001745DA"/>
    <w:rsid w:val="00175013"/>
    <w:rsid w:val="0017710D"/>
    <w:rsid w:val="001773AC"/>
    <w:rsid w:val="00177CD7"/>
    <w:rsid w:val="00177D43"/>
    <w:rsid w:val="00180066"/>
    <w:rsid w:val="001806BE"/>
    <w:rsid w:val="00181144"/>
    <w:rsid w:val="001813CB"/>
    <w:rsid w:val="00181750"/>
    <w:rsid w:val="00181AB7"/>
    <w:rsid w:val="00181C2B"/>
    <w:rsid w:val="00182699"/>
    <w:rsid w:val="001834D3"/>
    <w:rsid w:val="00183616"/>
    <w:rsid w:val="00183700"/>
    <w:rsid w:val="00183EB9"/>
    <w:rsid w:val="001845BA"/>
    <w:rsid w:val="0018463C"/>
    <w:rsid w:val="00184B68"/>
    <w:rsid w:val="00185590"/>
    <w:rsid w:val="0018618F"/>
    <w:rsid w:val="00186479"/>
    <w:rsid w:val="00186AAE"/>
    <w:rsid w:val="00186B13"/>
    <w:rsid w:val="00186B44"/>
    <w:rsid w:val="00186BB7"/>
    <w:rsid w:val="00186CAF"/>
    <w:rsid w:val="00187A27"/>
    <w:rsid w:val="0019053C"/>
    <w:rsid w:val="001906F9"/>
    <w:rsid w:val="0019095B"/>
    <w:rsid w:val="00190BD9"/>
    <w:rsid w:val="00190BE2"/>
    <w:rsid w:val="00190FEE"/>
    <w:rsid w:val="00191A1A"/>
    <w:rsid w:val="00192514"/>
    <w:rsid w:val="00192F03"/>
    <w:rsid w:val="00193754"/>
    <w:rsid w:val="0019411B"/>
    <w:rsid w:val="00194264"/>
    <w:rsid w:val="001944D1"/>
    <w:rsid w:val="00194C8A"/>
    <w:rsid w:val="001951DC"/>
    <w:rsid w:val="00195408"/>
    <w:rsid w:val="0019556E"/>
    <w:rsid w:val="001956E1"/>
    <w:rsid w:val="00195EB3"/>
    <w:rsid w:val="00196E4C"/>
    <w:rsid w:val="00196FCE"/>
    <w:rsid w:val="001971E5"/>
    <w:rsid w:val="0019760E"/>
    <w:rsid w:val="00197818"/>
    <w:rsid w:val="00197BC2"/>
    <w:rsid w:val="001A001A"/>
    <w:rsid w:val="001A03CC"/>
    <w:rsid w:val="001A042A"/>
    <w:rsid w:val="001A1384"/>
    <w:rsid w:val="001A1A7A"/>
    <w:rsid w:val="001A1DE5"/>
    <w:rsid w:val="001A23FC"/>
    <w:rsid w:val="001A25D0"/>
    <w:rsid w:val="001A2919"/>
    <w:rsid w:val="001A2F16"/>
    <w:rsid w:val="001A3630"/>
    <w:rsid w:val="001A3B54"/>
    <w:rsid w:val="001A3D6F"/>
    <w:rsid w:val="001A3FD7"/>
    <w:rsid w:val="001A4600"/>
    <w:rsid w:val="001A481A"/>
    <w:rsid w:val="001A4EBF"/>
    <w:rsid w:val="001A4FD0"/>
    <w:rsid w:val="001A562D"/>
    <w:rsid w:val="001A5744"/>
    <w:rsid w:val="001A59FD"/>
    <w:rsid w:val="001A6180"/>
    <w:rsid w:val="001A72AB"/>
    <w:rsid w:val="001A72E5"/>
    <w:rsid w:val="001A78F5"/>
    <w:rsid w:val="001A7CBC"/>
    <w:rsid w:val="001A7FA1"/>
    <w:rsid w:val="001B0013"/>
    <w:rsid w:val="001B05D6"/>
    <w:rsid w:val="001B074C"/>
    <w:rsid w:val="001B07D6"/>
    <w:rsid w:val="001B08BF"/>
    <w:rsid w:val="001B1726"/>
    <w:rsid w:val="001B2112"/>
    <w:rsid w:val="001B25C7"/>
    <w:rsid w:val="001B261B"/>
    <w:rsid w:val="001B2EAB"/>
    <w:rsid w:val="001B306E"/>
    <w:rsid w:val="001B3C72"/>
    <w:rsid w:val="001B4298"/>
    <w:rsid w:val="001B4482"/>
    <w:rsid w:val="001B5E9C"/>
    <w:rsid w:val="001B6169"/>
    <w:rsid w:val="001B71AD"/>
    <w:rsid w:val="001B767A"/>
    <w:rsid w:val="001B77DD"/>
    <w:rsid w:val="001C000C"/>
    <w:rsid w:val="001C00CF"/>
    <w:rsid w:val="001C0161"/>
    <w:rsid w:val="001C059F"/>
    <w:rsid w:val="001C0662"/>
    <w:rsid w:val="001C0D86"/>
    <w:rsid w:val="001C12EE"/>
    <w:rsid w:val="001C16DC"/>
    <w:rsid w:val="001C1B30"/>
    <w:rsid w:val="001C1F03"/>
    <w:rsid w:val="001C2255"/>
    <w:rsid w:val="001C2384"/>
    <w:rsid w:val="001C28B4"/>
    <w:rsid w:val="001C2CF8"/>
    <w:rsid w:val="001C3321"/>
    <w:rsid w:val="001C3849"/>
    <w:rsid w:val="001C3BDC"/>
    <w:rsid w:val="001C3C1F"/>
    <w:rsid w:val="001C49A3"/>
    <w:rsid w:val="001C50CB"/>
    <w:rsid w:val="001C5AE1"/>
    <w:rsid w:val="001C5C60"/>
    <w:rsid w:val="001C5F27"/>
    <w:rsid w:val="001C6A7F"/>
    <w:rsid w:val="001C6BBF"/>
    <w:rsid w:val="001C72FD"/>
    <w:rsid w:val="001C7436"/>
    <w:rsid w:val="001C76BF"/>
    <w:rsid w:val="001C7794"/>
    <w:rsid w:val="001C7DB0"/>
    <w:rsid w:val="001D03E0"/>
    <w:rsid w:val="001D0513"/>
    <w:rsid w:val="001D075B"/>
    <w:rsid w:val="001D092D"/>
    <w:rsid w:val="001D0A28"/>
    <w:rsid w:val="001D0F47"/>
    <w:rsid w:val="001D1962"/>
    <w:rsid w:val="001D1BB4"/>
    <w:rsid w:val="001D2A13"/>
    <w:rsid w:val="001D3296"/>
    <w:rsid w:val="001D37AB"/>
    <w:rsid w:val="001D3ABB"/>
    <w:rsid w:val="001D3C97"/>
    <w:rsid w:val="001D3DEA"/>
    <w:rsid w:val="001D41A2"/>
    <w:rsid w:val="001D4D9C"/>
    <w:rsid w:val="001D50F7"/>
    <w:rsid w:val="001D5619"/>
    <w:rsid w:val="001D608A"/>
    <w:rsid w:val="001D6956"/>
    <w:rsid w:val="001D7264"/>
    <w:rsid w:val="001D72E3"/>
    <w:rsid w:val="001D7431"/>
    <w:rsid w:val="001D7BA5"/>
    <w:rsid w:val="001E0061"/>
    <w:rsid w:val="001E00B8"/>
    <w:rsid w:val="001E0390"/>
    <w:rsid w:val="001E0ACD"/>
    <w:rsid w:val="001E1059"/>
    <w:rsid w:val="001E10C5"/>
    <w:rsid w:val="001E16C5"/>
    <w:rsid w:val="001E1BCD"/>
    <w:rsid w:val="001E276A"/>
    <w:rsid w:val="001E2D8B"/>
    <w:rsid w:val="001E331A"/>
    <w:rsid w:val="001E3702"/>
    <w:rsid w:val="001E37CF"/>
    <w:rsid w:val="001E394D"/>
    <w:rsid w:val="001E3F86"/>
    <w:rsid w:val="001E419C"/>
    <w:rsid w:val="001E43F8"/>
    <w:rsid w:val="001E6864"/>
    <w:rsid w:val="001E68A5"/>
    <w:rsid w:val="001E6BF3"/>
    <w:rsid w:val="001E79E9"/>
    <w:rsid w:val="001F0863"/>
    <w:rsid w:val="001F0901"/>
    <w:rsid w:val="001F09CB"/>
    <w:rsid w:val="001F0BD3"/>
    <w:rsid w:val="001F21C4"/>
    <w:rsid w:val="001F229F"/>
    <w:rsid w:val="001F24FB"/>
    <w:rsid w:val="001F28B3"/>
    <w:rsid w:val="001F2D6A"/>
    <w:rsid w:val="001F2E33"/>
    <w:rsid w:val="001F337B"/>
    <w:rsid w:val="001F392B"/>
    <w:rsid w:val="001F4388"/>
    <w:rsid w:val="001F469E"/>
    <w:rsid w:val="001F4DF0"/>
    <w:rsid w:val="001F52AB"/>
    <w:rsid w:val="001F560B"/>
    <w:rsid w:val="001F584E"/>
    <w:rsid w:val="001F5EF6"/>
    <w:rsid w:val="001F649F"/>
    <w:rsid w:val="001F6A5A"/>
    <w:rsid w:val="001F7A59"/>
    <w:rsid w:val="001F7CEF"/>
    <w:rsid w:val="001F7D24"/>
    <w:rsid w:val="00200219"/>
    <w:rsid w:val="00200845"/>
    <w:rsid w:val="00200E17"/>
    <w:rsid w:val="00201263"/>
    <w:rsid w:val="00201304"/>
    <w:rsid w:val="0020191E"/>
    <w:rsid w:val="00201964"/>
    <w:rsid w:val="00201CE1"/>
    <w:rsid w:val="00201FB1"/>
    <w:rsid w:val="00202076"/>
    <w:rsid w:val="00202C09"/>
    <w:rsid w:val="00202C0D"/>
    <w:rsid w:val="0020456A"/>
    <w:rsid w:val="00204A33"/>
    <w:rsid w:val="00204EB0"/>
    <w:rsid w:val="00204F3F"/>
    <w:rsid w:val="002050D6"/>
    <w:rsid w:val="00205C1A"/>
    <w:rsid w:val="00206C83"/>
    <w:rsid w:val="002071E4"/>
    <w:rsid w:val="002074CB"/>
    <w:rsid w:val="0020755E"/>
    <w:rsid w:val="002078A7"/>
    <w:rsid w:val="00210421"/>
    <w:rsid w:val="00210A21"/>
    <w:rsid w:val="00210D55"/>
    <w:rsid w:val="00210ED2"/>
    <w:rsid w:val="0021234B"/>
    <w:rsid w:val="0021256F"/>
    <w:rsid w:val="0021278F"/>
    <w:rsid w:val="00212967"/>
    <w:rsid w:val="00212FE5"/>
    <w:rsid w:val="00213755"/>
    <w:rsid w:val="00214145"/>
    <w:rsid w:val="00214331"/>
    <w:rsid w:val="00214C99"/>
    <w:rsid w:val="00214CDE"/>
    <w:rsid w:val="002154EA"/>
    <w:rsid w:val="00215A0E"/>
    <w:rsid w:val="00215ABE"/>
    <w:rsid w:val="00215C16"/>
    <w:rsid w:val="00215E54"/>
    <w:rsid w:val="002160F0"/>
    <w:rsid w:val="002165A5"/>
    <w:rsid w:val="00216AC0"/>
    <w:rsid w:val="0021700F"/>
    <w:rsid w:val="002171AB"/>
    <w:rsid w:val="002171CA"/>
    <w:rsid w:val="00217F57"/>
    <w:rsid w:val="0022186D"/>
    <w:rsid w:val="00221CE6"/>
    <w:rsid w:val="00221DA1"/>
    <w:rsid w:val="00221EEE"/>
    <w:rsid w:val="00221F28"/>
    <w:rsid w:val="002225A1"/>
    <w:rsid w:val="002228F1"/>
    <w:rsid w:val="00222BA7"/>
    <w:rsid w:val="00222E6C"/>
    <w:rsid w:val="00222F59"/>
    <w:rsid w:val="002237EC"/>
    <w:rsid w:val="002241C0"/>
    <w:rsid w:val="00224439"/>
    <w:rsid w:val="00224708"/>
    <w:rsid w:val="002249EF"/>
    <w:rsid w:val="00224B20"/>
    <w:rsid w:val="00224DB3"/>
    <w:rsid w:val="00224FC7"/>
    <w:rsid w:val="0022577B"/>
    <w:rsid w:val="00225D00"/>
    <w:rsid w:val="002260D6"/>
    <w:rsid w:val="00226190"/>
    <w:rsid w:val="0022668D"/>
    <w:rsid w:val="00226C88"/>
    <w:rsid w:val="00226CB4"/>
    <w:rsid w:val="00227154"/>
    <w:rsid w:val="0022723E"/>
    <w:rsid w:val="00227373"/>
    <w:rsid w:val="00227C8A"/>
    <w:rsid w:val="002309D2"/>
    <w:rsid w:val="00230E34"/>
    <w:rsid w:val="00230F6B"/>
    <w:rsid w:val="00231012"/>
    <w:rsid w:val="0023139B"/>
    <w:rsid w:val="002313B1"/>
    <w:rsid w:val="002315FB"/>
    <w:rsid w:val="00231D4D"/>
    <w:rsid w:val="0023219A"/>
    <w:rsid w:val="002325DB"/>
    <w:rsid w:val="00232AC7"/>
    <w:rsid w:val="00232CD4"/>
    <w:rsid w:val="002332AE"/>
    <w:rsid w:val="00233614"/>
    <w:rsid w:val="0023389B"/>
    <w:rsid w:val="00233A79"/>
    <w:rsid w:val="00233DFE"/>
    <w:rsid w:val="00233F2F"/>
    <w:rsid w:val="00234753"/>
    <w:rsid w:val="002349CA"/>
    <w:rsid w:val="00234D76"/>
    <w:rsid w:val="00235085"/>
    <w:rsid w:val="00235AFA"/>
    <w:rsid w:val="00235CF4"/>
    <w:rsid w:val="0023698F"/>
    <w:rsid w:val="00236B3D"/>
    <w:rsid w:val="00237942"/>
    <w:rsid w:val="00240004"/>
    <w:rsid w:val="0024028F"/>
    <w:rsid w:val="00240589"/>
    <w:rsid w:val="002407A0"/>
    <w:rsid w:val="00240A33"/>
    <w:rsid w:val="00240C9F"/>
    <w:rsid w:val="0024126C"/>
    <w:rsid w:val="0024144B"/>
    <w:rsid w:val="0024192F"/>
    <w:rsid w:val="00241ADF"/>
    <w:rsid w:val="00241F83"/>
    <w:rsid w:val="0024237D"/>
    <w:rsid w:val="0024243B"/>
    <w:rsid w:val="00242A88"/>
    <w:rsid w:val="00243102"/>
    <w:rsid w:val="00243747"/>
    <w:rsid w:val="00243A5F"/>
    <w:rsid w:val="00243D75"/>
    <w:rsid w:val="00244311"/>
    <w:rsid w:val="00244911"/>
    <w:rsid w:val="00246583"/>
    <w:rsid w:val="00247D36"/>
    <w:rsid w:val="00250226"/>
    <w:rsid w:val="0025026D"/>
    <w:rsid w:val="00250366"/>
    <w:rsid w:val="0025045E"/>
    <w:rsid w:val="00250980"/>
    <w:rsid w:val="002522E4"/>
    <w:rsid w:val="00252BB2"/>
    <w:rsid w:val="002530C4"/>
    <w:rsid w:val="002532FF"/>
    <w:rsid w:val="00253EBE"/>
    <w:rsid w:val="00254917"/>
    <w:rsid w:val="00254A10"/>
    <w:rsid w:val="00254BEE"/>
    <w:rsid w:val="00254DA4"/>
    <w:rsid w:val="00254EFA"/>
    <w:rsid w:val="0025569E"/>
    <w:rsid w:val="002557A7"/>
    <w:rsid w:val="002567D0"/>
    <w:rsid w:val="00256B98"/>
    <w:rsid w:val="0025703D"/>
    <w:rsid w:val="002573E9"/>
    <w:rsid w:val="00257421"/>
    <w:rsid w:val="00257898"/>
    <w:rsid w:val="00257A4C"/>
    <w:rsid w:val="00257D53"/>
    <w:rsid w:val="00257E3D"/>
    <w:rsid w:val="002602FA"/>
    <w:rsid w:val="0026032E"/>
    <w:rsid w:val="002603E6"/>
    <w:rsid w:val="00260ACD"/>
    <w:rsid w:val="00260DD2"/>
    <w:rsid w:val="00261D38"/>
    <w:rsid w:val="002628D7"/>
    <w:rsid w:val="00262F12"/>
    <w:rsid w:val="00263286"/>
    <w:rsid w:val="00263789"/>
    <w:rsid w:val="00263864"/>
    <w:rsid w:val="00263DD2"/>
    <w:rsid w:val="002641EE"/>
    <w:rsid w:val="002646AA"/>
    <w:rsid w:val="00264A33"/>
    <w:rsid w:val="00264A87"/>
    <w:rsid w:val="00265928"/>
    <w:rsid w:val="002659B5"/>
    <w:rsid w:val="00265BF5"/>
    <w:rsid w:val="00266B0F"/>
    <w:rsid w:val="002676D0"/>
    <w:rsid w:val="00267978"/>
    <w:rsid w:val="00267A0D"/>
    <w:rsid w:val="0027020A"/>
    <w:rsid w:val="002705EE"/>
    <w:rsid w:val="00270A50"/>
    <w:rsid w:val="0027175C"/>
    <w:rsid w:val="00272013"/>
    <w:rsid w:val="0027236A"/>
    <w:rsid w:val="00272595"/>
    <w:rsid w:val="00272B35"/>
    <w:rsid w:val="00272DD8"/>
    <w:rsid w:val="00272E80"/>
    <w:rsid w:val="00272F5B"/>
    <w:rsid w:val="002734EF"/>
    <w:rsid w:val="00273859"/>
    <w:rsid w:val="00274EB3"/>
    <w:rsid w:val="0027516D"/>
    <w:rsid w:val="00275181"/>
    <w:rsid w:val="0027523D"/>
    <w:rsid w:val="00275374"/>
    <w:rsid w:val="002754C6"/>
    <w:rsid w:val="00275ECB"/>
    <w:rsid w:val="00275F13"/>
    <w:rsid w:val="00276B82"/>
    <w:rsid w:val="002770B4"/>
    <w:rsid w:val="002774DD"/>
    <w:rsid w:val="00277615"/>
    <w:rsid w:val="00277BAE"/>
    <w:rsid w:val="00280154"/>
    <w:rsid w:val="002803CF"/>
    <w:rsid w:val="002803E8"/>
    <w:rsid w:val="002809A0"/>
    <w:rsid w:val="00280C0A"/>
    <w:rsid w:val="00281778"/>
    <w:rsid w:val="0028237F"/>
    <w:rsid w:val="00282389"/>
    <w:rsid w:val="00282F9E"/>
    <w:rsid w:val="002840D4"/>
    <w:rsid w:val="00284A8D"/>
    <w:rsid w:val="00284ECE"/>
    <w:rsid w:val="00284F84"/>
    <w:rsid w:val="002858D7"/>
    <w:rsid w:val="00285C6A"/>
    <w:rsid w:val="002861BC"/>
    <w:rsid w:val="00286B44"/>
    <w:rsid w:val="00287A15"/>
    <w:rsid w:val="00287EEC"/>
    <w:rsid w:val="002900B2"/>
    <w:rsid w:val="0029023E"/>
    <w:rsid w:val="002902D6"/>
    <w:rsid w:val="0029047C"/>
    <w:rsid w:val="002904C0"/>
    <w:rsid w:val="00290651"/>
    <w:rsid w:val="00290951"/>
    <w:rsid w:val="00290E98"/>
    <w:rsid w:val="0029152A"/>
    <w:rsid w:val="002915F9"/>
    <w:rsid w:val="00291875"/>
    <w:rsid w:val="00291EE3"/>
    <w:rsid w:val="00292DB1"/>
    <w:rsid w:val="00293325"/>
    <w:rsid w:val="00293A4F"/>
    <w:rsid w:val="00294222"/>
    <w:rsid w:val="00294BC5"/>
    <w:rsid w:val="00294FBD"/>
    <w:rsid w:val="0029520F"/>
    <w:rsid w:val="0029573A"/>
    <w:rsid w:val="00295E19"/>
    <w:rsid w:val="00295F97"/>
    <w:rsid w:val="0029682E"/>
    <w:rsid w:val="00296B70"/>
    <w:rsid w:val="00296BA3"/>
    <w:rsid w:val="00296F6A"/>
    <w:rsid w:val="0029732F"/>
    <w:rsid w:val="002A0326"/>
    <w:rsid w:val="002A0E2D"/>
    <w:rsid w:val="002A10AD"/>
    <w:rsid w:val="002A13B1"/>
    <w:rsid w:val="002A17A9"/>
    <w:rsid w:val="002A2531"/>
    <w:rsid w:val="002A2E3B"/>
    <w:rsid w:val="002A3448"/>
    <w:rsid w:val="002A3576"/>
    <w:rsid w:val="002A38A2"/>
    <w:rsid w:val="002A3A02"/>
    <w:rsid w:val="002A4148"/>
    <w:rsid w:val="002A43F0"/>
    <w:rsid w:val="002A4562"/>
    <w:rsid w:val="002A4A68"/>
    <w:rsid w:val="002A4C55"/>
    <w:rsid w:val="002A5095"/>
    <w:rsid w:val="002A55EF"/>
    <w:rsid w:val="002A5636"/>
    <w:rsid w:val="002A5793"/>
    <w:rsid w:val="002A5DDE"/>
    <w:rsid w:val="002A5F95"/>
    <w:rsid w:val="002A60BD"/>
    <w:rsid w:val="002A65F8"/>
    <w:rsid w:val="002A682F"/>
    <w:rsid w:val="002A7391"/>
    <w:rsid w:val="002A7742"/>
    <w:rsid w:val="002A7C2C"/>
    <w:rsid w:val="002B0FB2"/>
    <w:rsid w:val="002B1057"/>
    <w:rsid w:val="002B15A1"/>
    <w:rsid w:val="002B18E3"/>
    <w:rsid w:val="002B1A39"/>
    <w:rsid w:val="002B1C5A"/>
    <w:rsid w:val="002B1D44"/>
    <w:rsid w:val="002B278D"/>
    <w:rsid w:val="002B2C2A"/>
    <w:rsid w:val="002B2DED"/>
    <w:rsid w:val="002B3789"/>
    <w:rsid w:val="002B3932"/>
    <w:rsid w:val="002B3EF5"/>
    <w:rsid w:val="002B3F3A"/>
    <w:rsid w:val="002B419E"/>
    <w:rsid w:val="002B420D"/>
    <w:rsid w:val="002B450F"/>
    <w:rsid w:val="002B47EB"/>
    <w:rsid w:val="002B495E"/>
    <w:rsid w:val="002B4A68"/>
    <w:rsid w:val="002B4D93"/>
    <w:rsid w:val="002B540B"/>
    <w:rsid w:val="002B5DEA"/>
    <w:rsid w:val="002B6EDC"/>
    <w:rsid w:val="002B77BC"/>
    <w:rsid w:val="002B79E2"/>
    <w:rsid w:val="002B7B4E"/>
    <w:rsid w:val="002C0491"/>
    <w:rsid w:val="002C04DA"/>
    <w:rsid w:val="002C07BA"/>
    <w:rsid w:val="002C1809"/>
    <w:rsid w:val="002C1865"/>
    <w:rsid w:val="002C1D6E"/>
    <w:rsid w:val="002C210F"/>
    <w:rsid w:val="002C260E"/>
    <w:rsid w:val="002C3B3D"/>
    <w:rsid w:val="002C3FB1"/>
    <w:rsid w:val="002C503D"/>
    <w:rsid w:val="002C58CB"/>
    <w:rsid w:val="002C618A"/>
    <w:rsid w:val="002C62E0"/>
    <w:rsid w:val="002C6309"/>
    <w:rsid w:val="002C6F9D"/>
    <w:rsid w:val="002C7498"/>
    <w:rsid w:val="002C7FF1"/>
    <w:rsid w:val="002D045D"/>
    <w:rsid w:val="002D1375"/>
    <w:rsid w:val="002D150D"/>
    <w:rsid w:val="002D1799"/>
    <w:rsid w:val="002D1D11"/>
    <w:rsid w:val="002D24FF"/>
    <w:rsid w:val="002D2DB0"/>
    <w:rsid w:val="002D31ED"/>
    <w:rsid w:val="002D3BAB"/>
    <w:rsid w:val="002D401C"/>
    <w:rsid w:val="002D4B91"/>
    <w:rsid w:val="002D4E72"/>
    <w:rsid w:val="002D4FF3"/>
    <w:rsid w:val="002D56DD"/>
    <w:rsid w:val="002D6290"/>
    <w:rsid w:val="002D68A8"/>
    <w:rsid w:val="002D73D4"/>
    <w:rsid w:val="002D7447"/>
    <w:rsid w:val="002D75E6"/>
    <w:rsid w:val="002D7FE5"/>
    <w:rsid w:val="002E0E40"/>
    <w:rsid w:val="002E0F9D"/>
    <w:rsid w:val="002E178E"/>
    <w:rsid w:val="002E1D81"/>
    <w:rsid w:val="002E280F"/>
    <w:rsid w:val="002E29C0"/>
    <w:rsid w:val="002E2D30"/>
    <w:rsid w:val="002E2E66"/>
    <w:rsid w:val="002E496E"/>
    <w:rsid w:val="002E59D5"/>
    <w:rsid w:val="002E5AEB"/>
    <w:rsid w:val="002E5B4E"/>
    <w:rsid w:val="002E69EA"/>
    <w:rsid w:val="002E7297"/>
    <w:rsid w:val="002E7716"/>
    <w:rsid w:val="002E77B7"/>
    <w:rsid w:val="002F006F"/>
    <w:rsid w:val="002F0944"/>
    <w:rsid w:val="002F0F74"/>
    <w:rsid w:val="002F1153"/>
    <w:rsid w:val="002F13CA"/>
    <w:rsid w:val="002F199E"/>
    <w:rsid w:val="002F1C90"/>
    <w:rsid w:val="002F26F3"/>
    <w:rsid w:val="002F2A59"/>
    <w:rsid w:val="002F2D00"/>
    <w:rsid w:val="002F312F"/>
    <w:rsid w:val="002F3CBC"/>
    <w:rsid w:val="002F4AE7"/>
    <w:rsid w:val="002F4CAB"/>
    <w:rsid w:val="002F4E20"/>
    <w:rsid w:val="002F4EF1"/>
    <w:rsid w:val="002F57FC"/>
    <w:rsid w:val="002F5BCA"/>
    <w:rsid w:val="002F6BF9"/>
    <w:rsid w:val="002F75B4"/>
    <w:rsid w:val="003005EB"/>
    <w:rsid w:val="00300605"/>
    <w:rsid w:val="00301465"/>
    <w:rsid w:val="00301508"/>
    <w:rsid w:val="00301CE8"/>
    <w:rsid w:val="003028E1"/>
    <w:rsid w:val="00302F21"/>
    <w:rsid w:val="00303125"/>
    <w:rsid w:val="0030326A"/>
    <w:rsid w:val="00303533"/>
    <w:rsid w:val="00303874"/>
    <w:rsid w:val="00304074"/>
    <w:rsid w:val="00304C9C"/>
    <w:rsid w:val="00305632"/>
    <w:rsid w:val="00305F94"/>
    <w:rsid w:val="003063CF"/>
    <w:rsid w:val="003067D2"/>
    <w:rsid w:val="00306B99"/>
    <w:rsid w:val="00306F2E"/>
    <w:rsid w:val="00307E41"/>
    <w:rsid w:val="00310010"/>
    <w:rsid w:val="00310266"/>
    <w:rsid w:val="00311BF0"/>
    <w:rsid w:val="00311E06"/>
    <w:rsid w:val="00311E6A"/>
    <w:rsid w:val="00312808"/>
    <w:rsid w:val="0031282C"/>
    <w:rsid w:val="003128A5"/>
    <w:rsid w:val="003136B5"/>
    <w:rsid w:val="00313B7C"/>
    <w:rsid w:val="00314340"/>
    <w:rsid w:val="003145E7"/>
    <w:rsid w:val="0031475B"/>
    <w:rsid w:val="003148C5"/>
    <w:rsid w:val="00314927"/>
    <w:rsid w:val="003154FB"/>
    <w:rsid w:val="00315535"/>
    <w:rsid w:val="003155FD"/>
    <w:rsid w:val="00315E45"/>
    <w:rsid w:val="0031604C"/>
    <w:rsid w:val="00317A19"/>
    <w:rsid w:val="00317B9F"/>
    <w:rsid w:val="00317DAF"/>
    <w:rsid w:val="003200EA"/>
    <w:rsid w:val="003208B8"/>
    <w:rsid w:val="00320976"/>
    <w:rsid w:val="00320CA7"/>
    <w:rsid w:val="003210F0"/>
    <w:rsid w:val="00321568"/>
    <w:rsid w:val="00321D42"/>
    <w:rsid w:val="00322257"/>
    <w:rsid w:val="00323196"/>
    <w:rsid w:val="0032346A"/>
    <w:rsid w:val="00323540"/>
    <w:rsid w:val="00324106"/>
    <w:rsid w:val="00324273"/>
    <w:rsid w:val="00324318"/>
    <w:rsid w:val="00324324"/>
    <w:rsid w:val="003246E6"/>
    <w:rsid w:val="00324FEB"/>
    <w:rsid w:val="00325D54"/>
    <w:rsid w:val="0032615C"/>
    <w:rsid w:val="00326A54"/>
    <w:rsid w:val="00326CA4"/>
    <w:rsid w:val="00326F2E"/>
    <w:rsid w:val="00327254"/>
    <w:rsid w:val="0032799D"/>
    <w:rsid w:val="00330412"/>
    <w:rsid w:val="00331239"/>
    <w:rsid w:val="00331329"/>
    <w:rsid w:val="00331775"/>
    <w:rsid w:val="00331833"/>
    <w:rsid w:val="003325B2"/>
    <w:rsid w:val="00333076"/>
    <w:rsid w:val="003331BF"/>
    <w:rsid w:val="00333737"/>
    <w:rsid w:val="00333DC6"/>
    <w:rsid w:val="00334165"/>
    <w:rsid w:val="00334AC5"/>
    <w:rsid w:val="00334E09"/>
    <w:rsid w:val="00334E36"/>
    <w:rsid w:val="003351F7"/>
    <w:rsid w:val="00335A26"/>
    <w:rsid w:val="00335CEC"/>
    <w:rsid w:val="00335D20"/>
    <w:rsid w:val="00335F8B"/>
    <w:rsid w:val="00336FC6"/>
    <w:rsid w:val="003374AC"/>
    <w:rsid w:val="003378D9"/>
    <w:rsid w:val="00337C57"/>
    <w:rsid w:val="00337EC5"/>
    <w:rsid w:val="00340329"/>
    <w:rsid w:val="0034034A"/>
    <w:rsid w:val="0034080D"/>
    <w:rsid w:val="00340A2D"/>
    <w:rsid w:val="003414C2"/>
    <w:rsid w:val="003417A8"/>
    <w:rsid w:val="00341AF8"/>
    <w:rsid w:val="00341CB5"/>
    <w:rsid w:val="00342D05"/>
    <w:rsid w:val="003430DB"/>
    <w:rsid w:val="003439E7"/>
    <w:rsid w:val="00343B87"/>
    <w:rsid w:val="00344250"/>
    <w:rsid w:val="003445ED"/>
    <w:rsid w:val="00344AD6"/>
    <w:rsid w:val="0034534C"/>
    <w:rsid w:val="003456DE"/>
    <w:rsid w:val="00345894"/>
    <w:rsid w:val="00345A6B"/>
    <w:rsid w:val="00345F49"/>
    <w:rsid w:val="00346325"/>
    <w:rsid w:val="00346911"/>
    <w:rsid w:val="0034695B"/>
    <w:rsid w:val="00346E94"/>
    <w:rsid w:val="00346FA8"/>
    <w:rsid w:val="00347471"/>
    <w:rsid w:val="00347974"/>
    <w:rsid w:val="00347A78"/>
    <w:rsid w:val="00347E0E"/>
    <w:rsid w:val="0035138D"/>
    <w:rsid w:val="00351838"/>
    <w:rsid w:val="00351CE9"/>
    <w:rsid w:val="003522CD"/>
    <w:rsid w:val="00353930"/>
    <w:rsid w:val="0035408F"/>
    <w:rsid w:val="00354280"/>
    <w:rsid w:val="00355530"/>
    <w:rsid w:val="00356506"/>
    <w:rsid w:val="003565BF"/>
    <w:rsid w:val="00356AAE"/>
    <w:rsid w:val="003578B7"/>
    <w:rsid w:val="00357F04"/>
    <w:rsid w:val="003600E3"/>
    <w:rsid w:val="0036017B"/>
    <w:rsid w:val="003605E5"/>
    <w:rsid w:val="00360C1C"/>
    <w:rsid w:val="00361683"/>
    <w:rsid w:val="00361CF9"/>
    <w:rsid w:val="00361E6A"/>
    <w:rsid w:val="003620C9"/>
    <w:rsid w:val="00362AB5"/>
    <w:rsid w:val="00362C40"/>
    <w:rsid w:val="00364C61"/>
    <w:rsid w:val="00364E45"/>
    <w:rsid w:val="00365243"/>
    <w:rsid w:val="003658B2"/>
    <w:rsid w:val="003660C3"/>
    <w:rsid w:val="00366502"/>
    <w:rsid w:val="00367448"/>
    <w:rsid w:val="003674A3"/>
    <w:rsid w:val="0036760C"/>
    <w:rsid w:val="00367FE0"/>
    <w:rsid w:val="00370844"/>
    <w:rsid w:val="003710E3"/>
    <w:rsid w:val="00371FB8"/>
    <w:rsid w:val="00372232"/>
    <w:rsid w:val="0037326C"/>
    <w:rsid w:val="00373C98"/>
    <w:rsid w:val="00373F67"/>
    <w:rsid w:val="003741F9"/>
    <w:rsid w:val="003745FE"/>
    <w:rsid w:val="00374812"/>
    <w:rsid w:val="003760DB"/>
    <w:rsid w:val="00376598"/>
    <w:rsid w:val="003767F2"/>
    <w:rsid w:val="003777A0"/>
    <w:rsid w:val="003778C0"/>
    <w:rsid w:val="00377940"/>
    <w:rsid w:val="00377F86"/>
    <w:rsid w:val="00380173"/>
    <w:rsid w:val="0038082B"/>
    <w:rsid w:val="003808AB"/>
    <w:rsid w:val="003815E0"/>
    <w:rsid w:val="00381918"/>
    <w:rsid w:val="00381B07"/>
    <w:rsid w:val="00381B8F"/>
    <w:rsid w:val="0038226A"/>
    <w:rsid w:val="00382F4A"/>
    <w:rsid w:val="003833C9"/>
    <w:rsid w:val="00383B64"/>
    <w:rsid w:val="003843EC"/>
    <w:rsid w:val="003843F4"/>
    <w:rsid w:val="0038492A"/>
    <w:rsid w:val="00384B7D"/>
    <w:rsid w:val="0038507B"/>
    <w:rsid w:val="00385318"/>
    <w:rsid w:val="003858C2"/>
    <w:rsid w:val="00385969"/>
    <w:rsid w:val="00385A1D"/>
    <w:rsid w:val="00385A6F"/>
    <w:rsid w:val="00386191"/>
    <w:rsid w:val="00386A48"/>
    <w:rsid w:val="0038700B"/>
    <w:rsid w:val="003872D2"/>
    <w:rsid w:val="003872E5"/>
    <w:rsid w:val="00387B5D"/>
    <w:rsid w:val="00387DAA"/>
    <w:rsid w:val="00387EFD"/>
    <w:rsid w:val="00390B8B"/>
    <w:rsid w:val="00390D99"/>
    <w:rsid w:val="003922D2"/>
    <w:rsid w:val="00393370"/>
    <w:rsid w:val="003933BC"/>
    <w:rsid w:val="00393E8D"/>
    <w:rsid w:val="00394397"/>
    <w:rsid w:val="00394F8D"/>
    <w:rsid w:val="00395E91"/>
    <w:rsid w:val="00396283"/>
    <w:rsid w:val="00396635"/>
    <w:rsid w:val="00396AD7"/>
    <w:rsid w:val="00396CB2"/>
    <w:rsid w:val="00397ABA"/>
    <w:rsid w:val="003A0651"/>
    <w:rsid w:val="003A0B6E"/>
    <w:rsid w:val="003A0D8B"/>
    <w:rsid w:val="003A0FBF"/>
    <w:rsid w:val="003A1959"/>
    <w:rsid w:val="003A1DB9"/>
    <w:rsid w:val="003A1EF7"/>
    <w:rsid w:val="003A2069"/>
    <w:rsid w:val="003A3A3D"/>
    <w:rsid w:val="003A3FA7"/>
    <w:rsid w:val="003A49CB"/>
    <w:rsid w:val="003A504C"/>
    <w:rsid w:val="003A525A"/>
    <w:rsid w:val="003A52A2"/>
    <w:rsid w:val="003A5B2E"/>
    <w:rsid w:val="003A5CF6"/>
    <w:rsid w:val="003A601A"/>
    <w:rsid w:val="003A6110"/>
    <w:rsid w:val="003A6971"/>
    <w:rsid w:val="003A6D9C"/>
    <w:rsid w:val="003A6E43"/>
    <w:rsid w:val="003A70AE"/>
    <w:rsid w:val="003A78AE"/>
    <w:rsid w:val="003A7B54"/>
    <w:rsid w:val="003A7BC6"/>
    <w:rsid w:val="003B0246"/>
    <w:rsid w:val="003B086C"/>
    <w:rsid w:val="003B0B52"/>
    <w:rsid w:val="003B10A8"/>
    <w:rsid w:val="003B141F"/>
    <w:rsid w:val="003B165B"/>
    <w:rsid w:val="003B203D"/>
    <w:rsid w:val="003B2A88"/>
    <w:rsid w:val="003B2C8B"/>
    <w:rsid w:val="003B3201"/>
    <w:rsid w:val="003B3D52"/>
    <w:rsid w:val="003B417B"/>
    <w:rsid w:val="003B44EA"/>
    <w:rsid w:val="003B4F7B"/>
    <w:rsid w:val="003B522D"/>
    <w:rsid w:val="003B5586"/>
    <w:rsid w:val="003B5A32"/>
    <w:rsid w:val="003B5BD9"/>
    <w:rsid w:val="003B704B"/>
    <w:rsid w:val="003B76BA"/>
    <w:rsid w:val="003B7F09"/>
    <w:rsid w:val="003C04DE"/>
    <w:rsid w:val="003C0B0A"/>
    <w:rsid w:val="003C0E61"/>
    <w:rsid w:val="003C12BC"/>
    <w:rsid w:val="003C13B7"/>
    <w:rsid w:val="003C13C0"/>
    <w:rsid w:val="003C145A"/>
    <w:rsid w:val="003C1B1E"/>
    <w:rsid w:val="003C253B"/>
    <w:rsid w:val="003C2CD9"/>
    <w:rsid w:val="003C2E78"/>
    <w:rsid w:val="003C2FBF"/>
    <w:rsid w:val="003C3273"/>
    <w:rsid w:val="003C3A71"/>
    <w:rsid w:val="003C3ED2"/>
    <w:rsid w:val="003C4497"/>
    <w:rsid w:val="003C4852"/>
    <w:rsid w:val="003C4879"/>
    <w:rsid w:val="003C4E2E"/>
    <w:rsid w:val="003C511B"/>
    <w:rsid w:val="003C5B40"/>
    <w:rsid w:val="003C60A0"/>
    <w:rsid w:val="003C636F"/>
    <w:rsid w:val="003C63C0"/>
    <w:rsid w:val="003C7360"/>
    <w:rsid w:val="003C7901"/>
    <w:rsid w:val="003D050A"/>
    <w:rsid w:val="003D054E"/>
    <w:rsid w:val="003D06C2"/>
    <w:rsid w:val="003D0849"/>
    <w:rsid w:val="003D1872"/>
    <w:rsid w:val="003D1D98"/>
    <w:rsid w:val="003D1DDC"/>
    <w:rsid w:val="003D26FE"/>
    <w:rsid w:val="003D270D"/>
    <w:rsid w:val="003D29DE"/>
    <w:rsid w:val="003D3637"/>
    <w:rsid w:val="003D36AC"/>
    <w:rsid w:val="003D3BA4"/>
    <w:rsid w:val="003D4146"/>
    <w:rsid w:val="003D416D"/>
    <w:rsid w:val="003D4716"/>
    <w:rsid w:val="003D4804"/>
    <w:rsid w:val="003D4853"/>
    <w:rsid w:val="003D499C"/>
    <w:rsid w:val="003D4A1C"/>
    <w:rsid w:val="003D4AA0"/>
    <w:rsid w:val="003D52A8"/>
    <w:rsid w:val="003D5529"/>
    <w:rsid w:val="003D596D"/>
    <w:rsid w:val="003D5F8D"/>
    <w:rsid w:val="003D603E"/>
    <w:rsid w:val="003D6195"/>
    <w:rsid w:val="003D669F"/>
    <w:rsid w:val="003D69C7"/>
    <w:rsid w:val="003D6BD4"/>
    <w:rsid w:val="003D6BF6"/>
    <w:rsid w:val="003D7197"/>
    <w:rsid w:val="003D757E"/>
    <w:rsid w:val="003D7A5B"/>
    <w:rsid w:val="003D7FD4"/>
    <w:rsid w:val="003E0146"/>
    <w:rsid w:val="003E0228"/>
    <w:rsid w:val="003E02E9"/>
    <w:rsid w:val="003E0652"/>
    <w:rsid w:val="003E082D"/>
    <w:rsid w:val="003E09EF"/>
    <w:rsid w:val="003E10C3"/>
    <w:rsid w:val="003E215D"/>
    <w:rsid w:val="003E24EF"/>
    <w:rsid w:val="003E35B8"/>
    <w:rsid w:val="003E51A1"/>
    <w:rsid w:val="003E525A"/>
    <w:rsid w:val="003E585E"/>
    <w:rsid w:val="003E6865"/>
    <w:rsid w:val="003E6BB0"/>
    <w:rsid w:val="003E7300"/>
    <w:rsid w:val="003E740E"/>
    <w:rsid w:val="003E75A4"/>
    <w:rsid w:val="003E7ABA"/>
    <w:rsid w:val="003E7D19"/>
    <w:rsid w:val="003F0657"/>
    <w:rsid w:val="003F06B2"/>
    <w:rsid w:val="003F0A0C"/>
    <w:rsid w:val="003F0E4C"/>
    <w:rsid w:val="003F1208"/>
    <w:rsid w:val="003F1280"/>
    <w:rsid w:val="003F13A2"/>
    <w:rsid w:val="003F1557"/>
    <w:rsid w:val="003F19BE"/>
    <w:rsid w:val="003F1A96"/>
    <w:rsid w:val="003F1CBD"/>
    <w:rsid w:val="003F1D54"/>
    <w:rsid w:val="003F1E2D"/>
    <w:rsid w:val="003F3108"/>
    <w:rsid w:val="003F3363"/>
    <w:rsid w:val="003F34AF"/>
    <w:rsid w:val="003F3B61"/>
    <w:rsid w:val="003F3C73"/>
    <w:rsid w:val="003F3CDC"/>
    <w:rsid w:val="003F3EC2"/>
    <w:rsid w:val="003F4170"/>
    <w:rsid w:val="003F489D"/>
    <w:rsid w:val="003F49B4"/>
    <w:rsid w:val="003F4A4F"/>
    <w:rsid w:val="003F5925"/>
    <w:rsid w:val="003F6291"/>
    <w:rsid w:val="003F6353"/>
    <w:rsid w:val="003F63C4"/>
    <w:rsid w:val="003F6AE2"/>
    <w:rsid w:val="003F6FA3"/>
    <w:rsid w:val="003F7336"/>
    <w:rsid w:val="003F782F"/>
    <w:rsid w:val="003F7B56"/>
    <w:rsid w:val="003F7DFB"/>
    <w:rsid w:val="004001E2"/>
    <w:rsid w:val="00400B1D"/>
    <w:rsid w:val="00400B57"/>
    <w:rsid w:val="00400B61"/>
    <w:rsid w:val="00402582"/>
    <w:rsid w:val="00402672"/>
    <w:rsid w:val="00402FDC"/>
    <w:rsid w:val="004030DD"/>
    <w:rsid w:val="0040359A"/>
    <w:rsid w:val="00403686"/>
    <w:rsid w:val="00404604"/>
    <w:rsid w:val="00404E26"/>
    <w:rsid w:val="00404F7C"/>
    <w:rsid w:val="00405131"/>
    <w:rsid w:val="0040645D"/>
    <w:rsid w:val="00406488"/>
    <w:rsid w:val="004076C5"/>
    <w:rsid w:val="00407BE2"/>
    <w:rsid w:val="00410855"/>
    <w:rsid w:val="00410A11"/>
    <w:rsid w:val="00410FA7"/>
    <w:rsid w:val="004120E7"/>
    <w:rsid w:val="00412169"/>
    <w:rsid w:val="004121EB"/>
    <w:rsid w:val="004127D9"/>
    <w:rsid w:val="00412894"/>
    <w:rsid w:val="004129AD"/>
    <w:rsid w:val="00412AC3"/>
    <w:rsid w:val="004133F9"/>
    <w:rsid w:val="00413EFE"/>
    <w:rsid w:val="00414514"/>
    <w:rsid w:val="00414B1F"/>
    <w:rsid w:val="00414B5B"/>
    <w:rsid w:val="004153CD"/>
    <w:rsid w:val="004157F6"/>
    <w:rsid w:val="004158F5"/>
    <w:rsid w:val="004161BD"/>
    <w:rsid w:val="004164A6"/>
    <w:rsid w:val="004169A4"/>
    <w:rsid w:val="00416CA4"/>
    <w:rsid w:val="00416E04"/>
    <w:rsid w:val="004173CF"/>
    <w:rsid w:val="004175B7"/>
    <w:rsid w:val="004179E6"/>
    <w:rsid w:val="00417C16"/>
    <w:rsid w:val="00420668"/>
    <w:rsid w:val="0042068D"/>
    <w:rsid w:val="004209C2"/>
    <w:rsid w:val="00420AEC"/>
    <w:rsid w:val="0042129C"/>
    <w:rsid w:val="00421475"/>
    <w:rsid w:val="0042198D"/>
    <w:rsid w:val="004219E6"/>
    <w:rsid w:val="00423934"/>
    <w:rsid w:val="00423ACA"/>
    <w:rsid w:val="00423C4E"/>
    <w:rsid w:val="00423D7B"/>
    <w:rsid w:val="00423D85"/>
    <w:rsid w:val="00424198"/>
    <w:rsid w:val="00424389"/>
    <w:rsid w:val="00424DC6"/>
    <w:rsid w:val="0042511F"/>
    <w:rsid w:val="0042529B"/>
    <w:rsid w:val="00425575"/>
    <w:rsid w:val="00425707"/>
    <w:rsid w:val="004258C5"/>
    <w:rsid w:val="00425DE6"/>
    <w:rsid w:val="00425E29"/>
    <w:rsid w:val="00426250"/>
    <w:rsid w:val="004269BB"/>
    <w:rsid w:val="00426F5F"/>
    <w:rsid w:val="00427385"/>
    <w:rsid w:val="004273E5"/>
    <w:rsid w:val="0042790E"/>
    <w:rsid w:val="00427A54"/>
    <w:rsid w:val="00427E80"/>
    <w:rsid w:val="00430382"/>
    <w:rsid w:val="004315EB"/>
    <w:rsid w:val="004316E3"/>
    <w:rsid w:val="00431BFA"/>
    <w:rsid w:val="00431C31"/>
    <w:rsid w:val="00432085"/>
    <w:rsid w:val="00432468"/>
    <w:rsid w:val="00433231"/>
    <w:rsid w:val="004338D0"/>
    <w:rsid w:val="00433931"/>
    <w:rsid w:val="004339B1"/>
    <w:rsid w:val="00433A55"/>
    <w:rsid w:val="00433B65"/>
    <w:rsid w:val="00433E16"/>
    <w:rsid w:val="00434E61"/>
    <w:rsid w:val="00435D60"/>
    <w:rsid w:val="00435DEC"/>
    <w:rsid w:val="0043690F"/>
    <w:rsid w:val="00436A3B"/>
    <w:rsid w:val="00436AE1"/>
    <w:rsid w:val="0043713B"/>
    <w:rsid w:val="00437887"/>
    <w:rsid w:val="00437BBF"/>
    <w:rsid w:val="00437D24"/>
    <w:rsid w:val="00437DA3"/>
    <w:rsid w:val="00440426"/>
    <w:rsid w:val="00440765"/>
    <w:rsid w:val="00441444"/>
    <w:rsid w:val="004417FD"/>
    <w:rsid w:val="004426E3"/>
    <w:rsid w:val="004429C3"/>
    <w:rsid w:val="00442A78"/>
    <w:rsid w:val="00442DD7"/>
    <w:rsid w:val="004433D3"/>
    <w:rsid w:val="0044402F"/>
    <w:rsid w:val="00444CF2"/>
    <w:rsid w:val="0044534A"/>
    <w:rsid w:val="00445648"/>
    <w:rsid w:val="0044603E"/>
    <w:rsid w:val="004461B0"/>
    <w:rsid w:val="004466BA"/>
    <w:rsid w:val="00446DCB"/>
    <w:rsid w:val="00447DBA"/>
    <w:rsid w:val="00450123"/>
    <w:rsid w:val="0045041F"/>
    <w:rsid w:val="00450AFB"/>
    <w:rsid w:val="004514A1"/>
    <w:rsid w:val="00452822"/>
    <w:rsid w:val="00452D45"/>
    <w:rsid w:val="00453238"/>
    <w:rsid w:val="00453546"/>
    <w:rsid w:val="00453895"/>
    <w:rsid w:val="004543BB"/>
    <w:rsid w:val="00454922"/>
    <w:rsid w:val="00454C57"/>
    <w:rsid w:val="00455834"/>
    <w:rsid w:val="00455EFE"/>
    <w:rsid w:val="0045694F"/>
    <w:rsid w:val="00456FA9"/>
    <w:rsid w:val="00457021"/>
    <w:rsid w:val="004574C9"/>
    <w:rsid w:val="004606FF"/>
    <w:rsid w:val="004607EC"/>
    <w:rsid w:val="00460B86"/>
    <w:rsid w:val="00460E30"/>
    <w:rsid w:val="0046106B"/>
    <w:rsid w:val="00461112"/>
    <w:rsid w:val="00461275"/>
    <w:rsid w:val="004612AB"/>
    <w:rsid w:val="00461D76"/>
    <w:rsid w:val="00461E02"/>
    <w:rsid w:val="00461F21"/>
    <w:rsid w:val="0046227C"/>
    <w:rsid w:val="004629B0"/>
    <w:rsid w:val="00462BA7"/>
    <w:rsid w:val="00462CD0"/>
    <w:rsid w:val="00463918"/>
    <w:rsid w:val="00463A2C"/>
    <w:rsid w:val="00463AE0"/>
    <w:rsid w:val="00463CD9"/>
    <w:rsid w:val="0046440F"/>
    <w:rsid w:val="0046501F"/>
    <w:rsid w:val="004667E7"/>
    <w:rsid w:val="00467163"/>
    <w:rsid w:val="00467449"/>
    <w:rsid w:val="004676B7"/>
    <w:rsid w:val="004677E9"/>
    <w:rsid w:val="00467875"/>
    <w:rsid w:val="00467EC2"/>
    <w:rsid w:val="004701A2"/>
    <w:rsid w:val="004705C0"/>
    <w:rsid w:val="00471005"/>
    <w:rsid w:val="004710AE"/>
    <w:rsid w:val="0047120B"/>
    <w:rsid w:val="00471338"/>
    <w:rsid w:val="004715C5"/>
    <w:rsid w:val="0047173B"/>
    <w:rsid w:val="004719F7"/>
    <w:rsid w:val="00471E74"/>
    <w:rsid w:val="004721FF"/>
    <w:rsid w:val="00472C67"/>
    <w:rsid w:val="00472F5B"/>
    <w:rsid w:val="004734F3"/>
    <w:rsid w:val="00473B5A"/>
    <w:rsid w:val="00473FFC"/>
    <w:rsid w:val="00474D46"/>
    <w:rsid w:val="004755A2"/>
    <w:rsid w:val="0047575A"/>
    <w:rsid w:val="00475A72"/>
    <w:rsid w:val="00475FDC"/>
    <w:rsid w:val="00476416"/>
    <w:rsid w:val="00476422"/>
    <w:rsid w:val="00476ACE"/>
    <w:rsid w:val="00476E68"/>
    <w:rsid w:val="00476EBB"/>
    <w:rsid w:val="004771F1"/>
    <w:rsid w:val="004776D4"/>
    <w:rsid w:val="00477F49"/>
    <w:rsid w:val="00480109"/>
    <w:rsid w:val="004808AC"/>
    <w:rsid w:val="00480AB2"/>
    <w:rsid w:val="0048106B"/>
    <w:rsid w:val="004813FA"/>
    <w:rsid w:val="00481C8A"/>
    <w:rsid w:val="00481CD2"/>
    <w:rsid w:val="00481D3D"/>
    <w:rsid w:val="00481ED4"/>
    <w:rsid w:val="00481F5E"/>
    <w:rsid w:val="004822A5"/>
    <w:rsid w:val="0048251C"/>
    <w:rsid w:val="00482B46"/>
    <w:rsid w:val="00482CC9"/>
    <w:rsid w:val="00482DB2"/>
    <w:rsid w:val="00483624"/>
    <w:rsid w:val="0048370A"/>
    <w:rsid w:val="00483C79"/>
    <w:rsid w:val="004844BC"/>
    <w:rsid w:val="004845BB"/>
    <w:rsid w:val="00484815"/>
    <w:rsid w:val="00484BB9"/>
    <w:rsid w:val="00485581"/>
    <w:rsid w:val="00485B72"/>
    <w:rsid w:val="00485EB1"/>
    <w:rsid w:val="0048620A"/>
    <w:rsid w:val="0048674C"/>
    <w:rsid w:val="00486D82"/>
    <w:rsid w:val="00486D8B"/>
    <w:rsid w:val="00486FE1"/>
    <w:rsid w:val="004879C7"/>
    <w:rsid w:val="00490D5B"/>
    <w:rsid w:val="004911B4"/>
    <w:rsid w:val="00491A5E"/>
    <w:rsid w:val="00491B0F"/>
    <w:rsid w:val="00492FA1"/>
    <w:rsid w:val="004936DB"/>
    <w:rsid w:val="00494B0D"/>
    <w:rsid w:val="0049565D"/>
    <w:rsid w:val="004958E6"/>
    <w:rsid w:val="00495948"/>
    <w:rsid w:val="00496A05"/>
    <w:rsid w:val="00496D84"/>
    <w:rsid w:val="00496D9B"/>
    <w:rsid w:val="00496E3E"/>
    <w:rsid w:val="00497463"/>
    <w:rsid w:val="00497889"/>
    <w:rsid w:val="004A0277"/>
    <w:rsid w:val="004A0850"/>
    <w:rsid w:val="004A0A49"/>
    <w:rsid w:val="004A25CD"/>
    <w:rsid w:val="004A2A16"/>
    <w:rsid w:val="004A2D9B"/>
    <w:rsid w:val="004A3627"/>
    <w:rsid w:val="004A39E6"/>
    <w:rsid w:val="004A3FDD"/>
    <w:rsid w:val="004A4066"/>
    <w:rsid w:val="004A4191"/>
    <w:rsid w:val="004A4BB1"/>
    <w:rsid w:val="004A581C"/>
    <w:rsid w:val="004A6708"/>
    <w:rsid w:val="004A77A6"/>
    <w:rsid w:val="004B0BDD"/>
    <w:rsid w:val="004B13F1"/>
    <w:rsid w:val="004B189C"/>
    <w:rsid w:val="004B25F9"/>
    <w:rsid w:val="004B29F2"/>
    <w:rsid w:val="004B2C6E"/>
    <w:rsid w:val="004B2C87"/>
    <w:rsid w:val="004B3760"/>
    <w:rsid w:val="004B3ED9"/>
    <w:rsid w:val="004B4422"/>
    <w:rsid w:val="004B4498"/>
    <w:rsid w:val="004B4F47"/>
    <w:rsid w:val="004B589B"/>
    <w:rsid w:val="004B5DB4"/>
    <w:rsid w:val="004B601A"/>
    <w:rsid w:val="004B6142"/>
    <w:rsid w:val="004B6563"/>
    <w:rsid w:val="004B6DE6"/>
    <w:rsid w:val="004B7425"/>
    <w:rsid w:val="004B76BE"/>
    <w:rsid w:val="004B79E1"/>
    <w:rsid w:val="004B7A32"/>
    <w:rsid w:val="004C07B2"/>
    <w:rsid w:val="004C09F8"/>
    <w:rsid w:val="004C0A70"/>
    <w:rsid w:val="004C10B3"/>
    <w:rsid w:val="004C1336"/>
    <w:rsid w:val="004C1BB4"/>
    <w:rsid w:val="004C1EE1"/>
    <w:rsid w:val="004C1F58"/>
    <w:rsid w:val="004C2151"/>
    <w:rsid w:val="004C283C"/>
    <w:rsid w:val="004C2CE1"/>
    <w:rsid w:val="004C3B2B"/>
    <w:rsid w:val="004C3C78"/>
    <w:rsid w:val="004C3FA9"/>
    <w:rsid w:val="004C402A"/>
    <w:rsid w:val="004C452A"/>
    <w:rsid w:val="004C4787"/>
    <w:rsid w:val="004C4843"/>
    <w:rsid w:val="004C4AAF"/>
    <w:rsid w:val="004C4B6A"/>
    <w:rsid w:val="004C4F9A"/>
    <w:rsid w:val="004C52F3"/>
    <w:rsid w:val="004C54E2"/>
    <w:rsid w:val="004C57D1"/>
    <w:rsid w:val="004C5800"/>
    <w:rsid w:val="004C5C4F"/>
    <w:rsid w:val="004C5D79"/>
    <w:rsid w:val="004C5D87"/>
    <w:rsid w:val="004C6344"/>
    <w:rsid w:val="004C642B"/>
    <w:rsid w:val="004C6ADF"/>
    <w:rsid w:val="004C76CE"/>
    <w:rsid w:val="004C7A3D"/>
    <w:rsid w:val="004C7B96"/>
    <w:rsid w:val="004C7E10"/>
    <w:rsid w:val="004D028E"/>
    <w:rsid w:val="004D037A"/>
    <w:rsid w:val="004D03DD"/>
    <w:rsid w:val="004D076F"/>
    <w:rsid w:val="004D1A85"/>
    <w:rsid w:val="004D23D2"/>
    <w:rsid w:val="004D4ADA"/>
    <w:rsid w:val="004D4D9B"/>
    <w:rsid w:val="004D500C"/>
    <w:rsid w:val="004D567D"/>
    <w:rsid w:val="004D5695"/>
    <w:rsid w:val="004D5B93"/>
    <w:rsid w:val="004D5DC1"/>
    <w:rsid w:val="004D5EB5"/>
    <w:rsid w:val="004D61B7"/>
    <w:rsid w:val="004D71A7"/>
    <w:rsid w:val="004D74E4"/>
    <w:rsid w:val="004D7B70"/>
    <w:rsid w:val="004E0211"/>
    <w:rsid w:val="004E0AF2"/>
    <w:rsid w:val="004E0FBC"/>
    <w:rsid w:val="004E114E"/>
    <w:rsid w:val="004E23DE"/>
    <w:rsid w:val="004E2A2A"/>
    <w:rsid w:val="004E2C6E"/>
    <w:rsid w:val="004E30C7"/>
    <w:rsid w:val="004E3446"/>
    <w:rsid w:val="004E352E"/>
    <w:rsid w:val="004E35EB"/>
    <w:rsid w:val="004E3621"/>
    <w:rsid w:val="004E4321"/>
    <w:rsid w:val="004E4348"/>
    <w:rsid w:val="004E44F4"/>
    <w:rsid w:val="004E5883"/>
    <w:rsid w:val="004E5B31"/>
    <w:rsid w:val="004E611C"/>
    <w:rsid w:val="004E6E94"/>
    <w:rsid w:val="004E6F29"/>
    <w:rsid w:val="004E6F38"/>
    <w:rsid w:val="004E738D"/>
    <w:rsid w:val="004E759F"/>
    <w:rsid w:val="004E7F50"/>
    <w:rsid w:val="004F0058"/>
    <w:rsid w:val="004F0E81"/>
    <w:rsid w:val="004F159B"/>
    <w:rsid w:val="004F17E5"/>
    <w:rsid w:val="004F1A7D"/>
    <w:rsid w:val="004F3093"/>
    <w:rsid w:val="004F39EA"/>
    <w:rsid w:val="004F3C89"/>
    <w:rsid w:val="004F3CFE"/>
    <w:rsid w:val="004F3ED3"/>
    <w:rsid w:val="004F498D"/>
    <w:rsid w:val="004F4A81"/>
    <w:rsid w:val="004F4CED"/>
    <w:rsid w:val="004F4DD3"/>
    <w:rsid w:val="004F595C"/>
    <w:rsid w:val="004F5B34"/>
    <w:rsid w:val="004F5EDB"/>
    <w:rsid w:val="004F5FFD"/>
    <w:rsid w:val="004F6584"/>
    <w:rsid w:val="004F67D8"/>
    <w:rsid w:val="004F6ABE"/>
    <w:rsid w:val="004F6CA6"/>
    <w:rsid w:val="004F75DA"/>
    <w:rsid w:val="00500062"/>
    <w:rsid w:val="00500255"/>
    <w:rsid w:val="0050064C"/>
    <w:rsid w:val="005008D5"/>
    <w:rsid w:val="0050099B"/>
    <w:rsid w:val="00500A1E"/>
    <w:rsid w:val="0050148B"/>
    <w:rsid w:val="005020B7"/>
    <w:rsid w:val="00502670"/>
    <w:rsid w:val="005033BD"/>
    <w:rsid w:val="00504320"/>
    <w:rsid w:val="00504605"/>
    <w:rsid w:val="00504708"/>
    <w:rsid w:val="005048C5"/>
    <w:rsid w:val="00504A69"/>
    <w:rsid w:val="005055E6"/>
    <w:rsid w:val="00505A7B"/>
    <w:rsid w:val="00505F20"/>
    <w:rsid w:val="00506122"/>
    <w:rsid w:val="00506CD3"/>
    <w:rsid w:val="00506D78"/>
    <w:rsid w:val="005074DA"/>
    <w:rsid w:val="00507941"/>
    <w:rsid w:val="00507BCB"/>
    <w:rsid w:val="00507CEA"/>
    <w:rsid w:val="00507FF3"/>
    <w:rsid w:val="00510043"/>
    <w:rsid w:val="0051012A"/>
    <w:rsid w:val="005108ED"/>
    <w:rsid w:val="00510FD3"/>
    <w:rsid w:val="00511CC7"/>
    <w:rsid w:val="0051243D"/>
    <w:rsid w:val="005124B1"/>
    <w:rsid w:val="00512DEE"/>
    <w:rsid w:val="00512E66"/>
    <w:rsid w:val="0051321B"/>
    <w:rsid w:val="0051377B"/>
    <w:rsid w:val="005139ED"/>
    <w:rsid w:val="00513E73"/>
    <w:rsid w:val="00514F67"/>
    <w:rsid w:val="005151A6"/>
    <w:rsid w:val="005157B9"/>
    <w:rsid w:val="00515868"/>
    <w:rsid w:val="00516458"/>
    <w:rsid w:val="00516625"/>
    <w:rsid w:val="00516CBD"/>
    <w:rsid w:val="00517231"/>
    <w:rsid w:val="00517519"/>
    <w:rsid w:val="00517B1E"/>
    <w:rsid w:val="005201D7"/>
    <w:rsid w:val="00520256"/>
    <w:rsid w:val="0052042D"/>
    <w:rsid w:val="00520CB3"/>
    <w:rsid w:val="00520D9B"/>
    <w:rsid w:val="00520FB8"/>
    <w:rsid w:val="00521291"/>
    <w:rsid w:val="00521748"/>
    <w:rsid w:val="00521AEF"/>
    <w:rsid w:val="00521ED7"/>
    <w:rsid w:val="0052233C"/>
    <w:rsid w:val="005225F7"/>
    <w:rsid w:val="005225F9"/>
    <w:rsid w:val="00522E81"/>
    <w:rsid w:val="0052344B"/>
    <w:rsid w:val="005239BC"/>
    <w:rsid w:val="00523DAB"/>
    <w:rsid w:val="0052444F"/>
    <w:rsid w:val="005246C6"/>
    <w:rsid w:val="00524E53"/>
    <w:rsid w:val="00525B7F"/>
    <w:rsid w:val="00526BF0"/>
    <w:rsid w:val="00526E2C"/>
    <w:rsid w:val="00527249"/>
    <w:rsid w:val="0052743A"/>
    <w:rsid w:val="0053200B"/>
    <w:rsid w:val="005322D4"/>
    <w:rsid w:val="0053237F"/>
    <w:rsid w:val="00533113"/>
    <w:rsid w:val="00533793"/>
    <w:rsid w:val="00533A00"/>
    <w:rsid w:val="00534405"/>
    <w:rsid w:val="00534588"/>
    <w:rsid w:val="00534A57"/>
    <w:rsid w:val="00534E8E"/>
    <w:rsid w:val="005351C5"/>
    <w:rsid w:val="005359FF"/>
    <w:rsid w:val="0053626C"/>
    <w:rsid w:val="005364B9"/>
    <w:rsid w:val="00536EA5"/>
    <w:rsid w:val="005371D4"/>
    <w:rsid w:val="00537F34"/>
    <w:rsid w:val="0054041E"/>
    <w:rsid w:val="005406A3"/>
    <w:rsid w:val="00541274"/>
    <w:rsid w:val="005415B9"/>
    <w:rsid w:val="00541E0F"/>
    <w:rsid w:val="00542588"/>
    <w:rsid w:val="005425A1"/>
    <w:rsid w:val="005425AC"/>
    <w:rsid w:val="00542728"/>
    <w:rsid w:val="00542E21"/>
    <w:rsid w:val="00542E4B"/>
    <w:rsid w:val="00544151"/>
    <w:rsid w:val="00544C4E"/>
    <w:rsid w:val="00545ACF"/>
    <w:rsid w:val="00546194"/>
    <w:rsid w:val="0054636E"/>
    <w:rsid w:val="00546568"/>
    <w:rsid w:val="00547423"/>
    <w:rsid w:val="00547CF7"/>
    <w:rsid w:val="00547D7D"/>
    <w:rsid w:val="005500BB"/>
    <w:rsid w:val="00550BFF"/>
    <w:rsid w:val="00550C41"/>
    <w:rsid w:val="00550E82"/>
    <w:rsid w:val="00551293"/>
    <w:rsid w:val="0055179C"/>
    <w:rsid w:val="00551B40"/>
    <w:rsid w:val="0055211E"/>
    <w:rsid w:val="0055357B"/>
    <w:rsid w:val="00553675"/>
    <w:rsid w:val="00553DBB"/>
    <w:rsid w:val="00554920"/>
    <w:rsid w:val="00554AC7"/>
    <w:rsid w:val="00555FAD"/>
    <w:rsid w:val="005560E5"/>
    <w:rsid w:val="0055666F"/>
    <w:rsid w:val="005566F7"/>
    <w:rsid w:val="00556A62"/>
    <w:rsid w:val="00556B84"/>
    <w:rsid w:val="00556C23"/>
    <w:rsid w:val="00557CFB"/>
    <w:rsid w:val="00560152"/>
    <w:rsid w:val="00560268"/>
    <w:rsid w:val="00560EAD"/>
    <w:rsid w:val="00561175"/>
    <w:rsid w:val="00562475"/>
    <w:rsid w:val="00562523"/>
    <w:rsid w:val="00562737"/>
    <w:rsid w:val="00562794"/>
    <w:rsid w:val="00563209"/>
    <w:rsid w:val="0056355C"/>
    <w:rsid w:val="00563872"/>
    <w:rsid w:val="00563943"/>
    <w:rsid w:val="00563D3B"/>
    <w:rsid w:val="00564521"/>
    <w:rsid w:val="00564955"/>
    <w:rsid w:val="00566168"/>
    <w:rsid w:val="005669B2"/>
    <w:rsid w:val="00566A41"/>
    <w:rsid w:val="00566B16"/>
    <w:rsid w:val="00566E5B"/>
    <w:rsid w:val="00566E77"/>
    <w:rsid w:val="0056717E"/>
    <w:rsid w:val="005677BC"/>
    <w:rsid w:val="005678C8"/>
    <w:rsid w:val="005704DD"/>
    <w:rsid w:val="005715AA"/>
    <w:rsid w:val="00571E91"/>
    <w:rsid w:val="0057201D"/>
    <w:rsid w:val="0057246E"/>
    <w:rsid w:val="0057257B"/>
    <w:rsid w:val="005728A9"/>
    <w:rsid w:val="00572B4D"/>
    <w:rsid w:val="00572D13"/>
    <w:rsid w:val="005731BB"/>
    <w:rsid w:val="00573436"/>
    <w:rsid w:val="005742AC"/>
    <w:rsid w:val="0057471B"/>
    <w:rsid w:val="00574AE3"/>
    <w:rsid w:val="00574BF4"/>
    <w:rsid w:val="00575373"/>
    <w:rsid w:val="00575385"/>
    <w:rsid w:val="005755D3"/>
    <w:rsid w:val="00575819"/>
    <w:rsid w:val="00575C02"/>
    <w:rsid w:val="00575E25"/>
    <w:rsid w:val="00575EA1"/>
    <w:rsid w:val="0057646E"/>
    <w:rsid w:val="00577BBF"/>
    <w:rsid w:val="005801C5"/>
    <w:rsid w:val="0058081A"/>
    <w:rsid w:val="005809E4"/>
    <w:rsid w:val="00580BEF"/>
    <w:rsid w:val="0058158E"/>
    <w:rsid w:val="00581696"/>
    <w:rsid w:val="005816BA"/>
    <w:rsid w:val="005817DC"/>
    <w:rsid w:val="00581AE7"/>
    <w:rsid w:val="00581F94"/>
    <w:rsid w:val="0058294E"/>
    <w:rsid w:val="00582F22"/>
    <w:rsid w:val="005838E2"/>
    <w:rsid w:val="00585536"/>
    <w:rsid w:val="00585697"/>
    <w:rsid w:val="005857AD"/>
    <w:rsid w:val="00586108"/>
    <w:rsid w:val="005862DF"/>
    <w:rsid w:val="0058678D"/>
    <w:rsid w:val="005868F0"/>
    <w:rsid w:val="00586CFF"/>
    <w:rsid w:val="005871F6"/>
    <w:rsid w:val="00587377"/>
    <w:rsid w:val="00590878"/>
    <w:rsid w:val="00590EA1"/>
    <w:rsid w:val="00590FF3"/>
    <w:rsid w:val="00591334"/>
    <w:rsid w:val="005914A0"/>
    <w:rsid w:val="00591903"/>
    <w:rsid w:val="00591C33"/>
    <w:rsid w:val="00592274"/>
    <w:rsid w:val="0059288F"/>
    <w:rsid w:val="00592B20"/>
    <w:rsid w:val="0059340E"/>
    <w:rsid w:val="00593858"/>
    <w:rsid w:val="00594664"/>
    <w:rsid w:val="005947F4"/>
    <w:rsid w:val="00594AD5"/>
    <w:rsid w:val="005952AE"/>
    <w:rsid w:val="0059685F"/>
    <w:rsid w:val="005A0978"/>
    <w:rsid w:val="005A0A43"/>
    <w:rsid w:val="005A14B3"/>
    <w:rsid w:val="005A1A5F"/>
    <w:rsid w:val="005A20AF"/>
    <w:rsid w:val="005A23AC"/>
    <w:rsid w:val="005A2837"/>
    <w:rsid w:val="005A2861"/>
    <w:rsid w:val="005A30A5"/>
    <w:rsid w:val="005A4A6E"/>
    <w:rsid w:val="005A4D63"/>
    <w:rsid w:val="005A510E"/>
    <w:rsid w:val="005A53ED"/>
    <w:rsid w:val="005A57C3"/>
    <w:rsid w:val="005A5F38"/>
    <w:rsid w:val="005A6065"/>
    <w:rsid w:val="005A6156"/>
    <w:rsid w:val="005A62F1"/>
    <w:rsid w:val="005A662E"/>
    <w:rsid w:val="005A6E79"/>
    <w:rsid w:val="005A7FB4"/>
    <w:rsid w:val="005B030E"/>
    <w:rsid w:val="005B0407"/>
    <w:rsid w:val="005B0458"/>
    <w:rsid w:val="005B0771"/>
    <w:rsid w:val="005B0B99"/>
    <w:rsid w:val="005B12E4"/>
    <w:rsid w:val="005B1987"/>
    <w:rsid w:val="005B1F1F"/>
    <w:rsid w:val="005B2097"/>
    <w:rsid w:val="005B2375"/>
    <w:rsid w:val="005B2861"/>
    <w:rsid w:val="005B302E"/>
    <w:rsid w:val="005B37A2"/>
    <w:rsid w:val="005B3817"/>
    <w:rsid w:val="005B382B"/>
    <w:rsid w:val="005B38B0"/>
    <w:rsid w:val="005B3F80"/>
    <w:rsid w:val="005B410E"/>
    <w:rsid w:val="005B45EA"/>
    <w:rsid w:val="005B4978"/>
    <w:rsid w:val="005B5231"/>
    <w:rsid w:val="005B55E1"/>
    <w:rsid w:val="005B5945"/>
    <w:rsid w:val="005B5A9A"/>
    <w:rsid w:val="005B6A23"/>
    <w:rsid w:val="005B7248"/>
    <w:rsid w:val="005B7C57"/>
    <w:rsid w:val="005B7F90"/>
    <w:rsid w:val="005C080B"/>
    <w:rsid w:val="005C0EA0"/>
    <w:rsid w:val="005C1021"/>
    <w:rsid w:val="005C13AE"/>
    <w:rsid w:val="005C1401"/>
    <w:rsid w:val="005C16CA"/>
    <w:rsid w:val="005C1BB0"/>
    <w:rsid w:val="005C24AC"/>
    <w:rsid w:val="005C277C"/>
    <w:rsid w:val="005C2968"/>
    <w:rsid w:val="005C34F1"/>
    <w:rsid w:val="005C4014"/>
    <w:rsid w:val="005C4064"/>
    <w:rsid w:val="005C40A9"/>
    <w:rsid w:val="005C4227"/>
    <w:rsid w:val="005C4CA9"/>
    <w:rsid w:val="005C64A4"/>
    <w:rsid w:val="005C66D5"/>
    <w:rsid w:val="005C6A6B"/>
    <w:rsid w:val="005C6CB5"/>
    <w:rsid w:val="005C6DB3"/>
    <w:rsid w:val="005C7360"/>
    <w:rsid w:val="005C7454"/>
    <w:rsid w:val="005C764F"/>
    <w:rsid w:val="005D011E"/>
    <w:rsid w:val="005D03C1"/>
    <w:rsid w:val="005D16DE"/>
    <w:rsid w:val="005D1B5F"/>
    <w:rsid w:val="005D2199"/>
    <w:rsid w:val="005D22CA"/>
    <w:rsid w:val="005D2CB4"/>
    <w:rsid w:val="005D2EB3"/>
    <w:rsid w:val="005D360B"/>
    <w:rsid w:val="005D3BB0"/>
    <w:rsid w:val="005D499F"/>
    <w:rsid w:val="005D4A47"/>
    <w:rsid w:val="005D4C3A"/>
    <w:rsid w:val="005D4F42"/>
    <w:rsid w:val="005D507E"/>
    <w:rsid w:val="005D570E"/>
    <w:rsid w:val="005D5C32"/>
    <w:rsid w:val="005D5EB5"/>
    <w:rsid w:val="005D61AE"/>
    <w:rsid w:val="005D6270"/>
    <w:rsid w:val="005D65EE"/>
    <w:rsid w:val="005D6965"/>
    <w:rsid w:val="005D6AD8"/>
    <w:rsid w:val="005D6DFD"/>
    <w:rsid w:val="005D7004"/>
    <w:rsid w:val="005D7933"/>
    <w:rsid w:val="005D7D2B"/>
    <w:rsid w:val="005D7ECC"/>
    <w:rsid w:val="005D7F13"/>
    <w:rsid w:val="005E07D3"/>
    <w:rsid w:val="005E0BC1"/>
    <w:rsid w:val="005E1575"/>
    <w:rsid w:val="005E1ACF"/>
    <w:rsid w:val="005E1BB9"/>
    <w:rsid w:val="005E259E"/>
    <w:rsid w:val="005E2E02"/>
    <w:rsid w:val="005E3461"/>
    <w:rsid w:val="005E3DE0"/>
    <w:rsid w:val="005E4499"/>
    <w:rsid w:val="005E4896"/>
    <w:rsid w:val="005E4C3C"/>
    <w:rsid w:val="005E53D1"/>
    <w:rsid w:val="005E55D0"/>
    <w:rsid w:val="005E5797"/>
    <w:rsid w:val="005E5980"/>
    <w:rsid w:val="005E6307"/>
    <w:rsid w:val="005E670E"/>
    <w:rsid w:val="005E6E81"/>
    <w:rsid w:val="005E7D3E"/>
    <w:rsid w:val="005F029A"/>
    <w:rsid w:val="005F0322"/>
    <w:rsid w:val="005F19FF"/>
    <w:rsid w:val="005F1D92"/>
    <w:rsid w:val="005F2007"/>
    <w:rsid w:val="005F2858"/>
    <w:rsid w:val="005F28AA"/>
    <w:rsid w:val="005F3A30"/>
    <w:rsid w:val="005F3A4B"/>
    <w:rsid w:val="005F4B00"/>
    <w:rsid w:val="005F5024"/>
    <w:rsid w:val="005F5497"/>
    <w:rsid w:val="005F5D67"/>
    <w:rsid w:val="005F62AE"/>
    <w:rsid w:val="005F7261"/>
    <w:rsid w:val="005F7605"/>
    <w:rsid w:val="005F770D"/>
    <w:rsid w:val="00601E6B"/>
    <w:rsid w:val="0060216E"/>
    <w:rsid w:val="0060287D"/>
    <w:rsid w:val="00602B5A"/>
    <w:rsid w:val="006033BE"/>
    <w:rsid w:val="00603FE2"/>
    <w:rsid w:val="0060452F"/>
    <w:rsid w:val="0060479E"/>
    <w:rsid w:val="00604819"/>
    <w:rsid w:val="0060559E"/>
    <w:rsid w:val="00605E37"/>
    <w:rsid w:val="00606097"/>
    <w:rsid w:val="006063F7"/>
    <w:rsid w:val="006064FF"/>
    <w:rsid w:val="006070C3"/>
    <w:rsid w:val="00607A2E"/>
    <w:rsid w:val="00607D9F"/>
    <w:rsid w:val="0061022B"/>
    <w:rsid w:val="00610314"/>
    <w:rsid w:val="00611531"/>
    <w:rsid w:val="0061177F"/>
    <w:rsid w:val="00611C04"/>
    <w:rsid w:val="00611EFB"/>
    <w:rsid w:val="0061255B"/>
    <w:rsid w:val="006125B0"/>
    <w:rsid w:val="00613BE5"/>
    <w:rsid w:val="00613D02"/>
    <w:rsid w:val="00613F55"/>
    <w:rsid w:val="00614D9D"/>
    <w:rsid w:val="00615AC1"/>
    <w:rsid w:val="00615E55"/>
    <w:rsid w:val="00616061"/>
    <w:rsid w:val="00616239"/>
    <w:rsid w:val="0061643B"/>
    <w:rsid w:val="006164F7"/>
    <w:rsid w:val="00616E22"/>
    <w:rsid w:val="0061751B"/>
    <w:rsid w:val="006176A4"/>
    <w:rsid w:val="0062063A"/>
    <w:rsid w:val="00620734"/>
    <w:rsid w:val="00620765"/>
    <w:rsid w:val="00620B48"/>
    <w:rsid w:val="00620B64"/>
    <w:rsid w:val="00620BE8"/>
    <w:rsid w:val="00620D94"/>
    <w:rsid w:val="00621056"/>
    <w:rsid w:val="00621D8A"/>
    <w:rsid w:val="00622198"/>
    <w:rsid w:val="006228CB"/>
    <w:rsid w:val="00622A23"/>
    <w:rsid w:val="00622DC8"/>
    <w:rsid w:val="00622F95"/>
    <w:rsid w:val="0062316B"/>
    <w:rsid w:val="00623218"/>
    <w:rsid w:val="00623DBF"/>
    <w:rsid w:val="006240F3"/>
    <w:rsid w:val="006246F6"/>
    <w:rsid w:val="0062493C"/>
    <w:rsid w:val="00625077"/>
    <w:rsid w:val="006258FD"/>
    <w:rsid w:val="006265B5"/>
    <w:rsid w:val="006266E1"/>
    <w:rsid w:val="00626C26"/>
    <w:rsid w:val="0063056F"/>
    <w:rsid w:val="00630894"/>
    <w:rsid w:val="00630AA0"/>
    <w:rsid w:val="00631BF1"/>
    <w:rsid w:val="0063260C"/>
    <w:rsid w:val="006333D6"/>
    <w:rsid w:val="00634379"/>
    <w:rsid w:val="0063488B"/>
    <w:rsid w:val="00634932"/>
    <w:rsid w:val="00634EC9"/>
    <w:rsid w:val="00635016"/>
    <w:rsid w:val="0063524A"/>
    <w:rsid w:val="00636096"/>
    <w:rsid w:val="00636240"/>
    <w:rsid w:val="00636A4D"/>
    <w:rsid w:val="00636C1A"/>
    <w:rsid w:val="0063765D"/>
    <w:rsid w:val="00637C70"/>
    <w:rsid w:val="00640005"/>
    <w:rsid w:val="00640043"/>
    <w:rsid w:val="00641176"/>
    <w:rsid w:val="006421D8"/>
    <w:rsid w:val="00642334"/>
    <w:rsid w:val="006429CE"/>
    <w:rsid w:val="00642B27"/>
    <w:rsid w:val="006435A0"/>
    <w:rsid w:val="00644508"/>
    <w:rsid w:val="0064477C"/>
    <w:rsid w:val="0064553B"/>
    <w:rsid w:val="006455FD"/>
    <w:rsid w:val="006460F2"/>
    <w:rsid w:val="006469E6"/>
    <w:rsid w:val="00646D93"/>
    <w:rsid w:val="006470F6"/>
    <w:rsid w:val="00647461"/>
    <w:rsid w:val="00650231"/>
    <w:rsid w:val="0065076D"/>
    <w:rsid w:val="00650940"/>
    <w:rsid w:val="00651191"/>
    <w:rsid w:val="0065126C"/>
    <w:rsid w:val="00651C6F"/>
    <w:rsid w:val="00652727"/>
    <w:rsid w:val="00652ABA"/>
    <w:rsid w:val="00652BDF"/>
    <w:rsid w:val="0065312E"/>
    <w:rsid w:val="00654983"/>
    <w:rsid w:val="00654FED"/>
    <w:rsid w:val="0065546B"/>
    <w:rsid w:val="00655890"/>
    <w:rsid w:val="00655E24"/>
    <w:rsid w:val="0065629F"/>
    <w:rsid w:val="00656828"/>
    <w:rsid w:val="00656923"/>
    <w:rsid w:val="006569D9"/>
    <w:rsid w:val="00656A80"/>
    <w:rsid w:val="00656F5A"/>
    <w:rsid w:val="00657717"/>
    <w:rsid w:val="00657DA1"/>
    <w:rsid w:val="006600CB"/>
    <w:rsid w:val="006603BF"/>
    <w:rsid w:val="0066134D"/>
    <w:rsid w:val="006617FE"/>
    <w:rsid w:val="006618FF"/>
    <w:rsid w:val="006619C6"/>
    <w:rsid w:val="006622D1"/>
    <w:rsid w:val="006630EB"/>
    <w:rsid w:val="00663AC7"/>
    <w:rsid w:val="00663B38"/>
    <w:rsid w:val="00663C42"/>
    <w:rsid w:val="00664459"/>
    <w:rsid w:val="00664465"/>
    <w:rsid w:val="00664FE3"/>
    <w:rsid w:val="00665325"/>
    <w:rsid w:val="0066555B"/>
    <w:rsid w:val="006658A7"/>
    <w:rsid w:val="00665BD1"/>
    <w:rsid w:val="00665D70"/>
    <w:rsid w:val="00665F3F"/>
    <w:rsid w:val="006662FE"/>
    <w:rsid w:val="00666398"/>
    <w:rsid w:val="00666E41"/>
    <w:rsid w:val="00667057"/>
    <w:rsid w:val="00667082"/>
    <w:rsid w:val="00667D70"/>
    <w:rsid w:val="00667EC9"/>
    <w:rsid w:val="006700C4"/>
    <w:rsid w:val="00670534"/>
    <w:rsid w:val="006705BF"/>
    <w:rsid w:val="0067066A"/>
    <w:rsid w:val="006708F1"/>
    <w:rsid w:val="00670F17"/>
    <w:rsid w:val="00670F44"/>
    <w:rsid w:val="00670F9C"/>
    <w:rsid w:val="006710BB"/>
    <w:rsid w:val="00671F05"/>
    <w:rsid w:val="00671F2D"/>
    <w:rsid w:val="00672027"/>
    <w:rsid w:val="0067219A"/>
    <w:rsid w:val="0067245D"/>
    <w:rsid w:val="006725FA"/>
    <w:rsid w:val="006730E9"/>
    <w:rsid w:val="00673645"/>
    <w:rsid w:val="006739DE"/>
    <w:rsid w:val="00673B38"/>
    <w:rsid w:val="00674231"/>
    <w:rsid w:val="00674354"/>
    <w:rsid w:val="006751C4"/>
    <w:rsid w:val="00675712"/>
    <w:rsid w:val="00675E84"/>
    <w:rsid w:val="00676249"/>
    <w:rsid w:val="0067663E"/>
    <w:rsid w:val="0067682A"/>
    <w:rsid w:val="0067748A"/>
    <w:rsid w:val="00677970"/>
    <w:rsid w:val="006805B3"/>
    <w:rsid w:val="006808D6"/>
    <w:rsid w:val="00680BF0"/>
    <w:rsid w:val="00680D79"/>
    <w:rsid w:val="00682269"/>
    <w:rsid w:val="00682977"/>
    <w:rsid w:val="00682C3E"/>
    <w:rsid w:val="00682E0A"/>
    <w:rsid w:val="00683247"/>
    <w:rsid w:val="0068377E"/>
    <w:rsid w:val="0068395F"/>
    <w:rsid w:val="006846BD"/>
    <w:rsid w:val="00684B14"/>
    <w:rsid w:val="00684C86"/>
    <w:rsid w:val="00685562"/>
    <w:rsid w:val="006857D5"/>
    <w:rsid w:val="00685D0F"/>
    <w:rsid w:val="00685F47"/>
    <w:rsid w:val="00686641"/>
    <w:rsid w:val="00686653"/>
    <w:rsid w:val="006868AC"/>
    <w:rsid w:val="006869D3"/>
    <w:rsid w:val="00686C77"/>
    <w:rsid w:val="00686E5B"/>
    <w:rsid w:val="0068716A"/>
    <w:rsid w:val="00687472"/>
    <w:rsid w:val="00687803"/>
    <w:rsid w:val="00687EC0"/>
    <w:rsid w:val="00687F88"/>
    <w:rsid w:val="00690EFF"/>
    <w:rsid w:val="00692825"/>
    <w:rsid w:val="00692892"/>
    <w:rsid w:val="00693107"/>
    <w:rsid w:val="006933DD"/>
    <w:rsid w:val="006936FA"/>
    <w:rsid w:val="00693CDE"/>
    <w:rsid w:val="00693E94"/>
    <w:rsid w:val="00694F72"/>
    <w:rsid w:val="00695239"/>
    <w:rsid w:val="006958E8"/>
    <w:rsid w:val="00695BC3"/>
    <w:rsid w:val="0069626E"/>
    <w:rsid w:val="00696B02"/>
    <w:rsid w:val="00696BA5"/>
    <w:rsid w:val="00696E0C"/>
    <w:rsid w:val="00697401"/>
    <w:rsid w:val="0069783F"/>
    <w:rsid w:val="006A0BB1"/>
    <w:rsid w:val="006A0D55"/>
    <w:rsid w:val="006A125C"/>
    <w:rsid w:val="006A13D0"/>
    <w:rsid w:val="006A26FB"/>
    <w:rsid w:val="006A2729"/>
    <w:rsid w:val="006A2B2B"/>
    <w:rsid w:val="006A2EBA"/>
    <w:rsid w:val="006A2F56"/>
    <w:rsid w:val="006A3D89"/>
    <w:rsid w:val="006A3E5E"/>
    <w:rsid w:val="006A4625"/>
    <w:rsid w:val="006A4C24"/>
    <w:rsid w:val="006A53D9"/>
    <w:rsid w:val="006A5665"/>
    <w:rsid w:val="006A5944"/>
    <w:rsid w:val="006A5B6C"/>
    <w:rsid w:val="006A5D2E"/>
    <w:rsid w:val="006A6958"/>
    <w:rsid w:val="006A6B75"/>
    <w:rsid w:val="006A798A"/>
    <w:rsid w:val="006A7B26"/>
    <w:rsid w:val="006A7C3B"/>
    <w:rsid w:val="006A7C7A"/>
    <w:rsid w:val="006B055E"/>
    <w:rsid w:val="006B06D5"/>
    <w:rsid w:val="006B0F4D"/>
    <w:rsid w:val="006B0FE6"/>
    <w:rsid w:val="006B1AA5"/>
    <w:rsid w:val="006B2E77"/>
    <w:rsid w:val="006B3834"/>
    <w:rsid w:val="006B3D62"/>
    <w:rsid w:val="006B4BEF"/>
    <w:rsid w:val="006B4FCF"/>
    <w:rsid w:val="006B5036"/>
    <w:rsid w:val="006B54BB"/>
    <w:rsid w:val="006B5824"/>
    <w:rsid w:val="006B5DD2"/>
    <w:rsid w:val="006B6A31"/>
    <w:rsid w:val="006B6D24"/>
    <w:rsid w:val="006B6E80"/>
    <w:rsid w:val="006B7368"/>
    <w:rsid w:val="006B7924"/>
    <w:rsid w:val="006B7DE2"/>
    <w:rsid w:val="006C12EA"/>
    <w:rsid w:val="006C1815"/>
    <w:rsid w:val="006C1F97"/>
    <w:rsid w:val="006C2089"/>
    <w:rsid w:val="006C25D9"/>
    <w:rsid w:val="006C293C"/>
    <w:rsid w:val="006C298C"/>
    <w:rsid w:val="006C2E6B"/>
    <w:rsid w:val="006C3005"/>
    <w:rsid w:val="006C39C8"/>
    <w:rsid w:val="006C41C3"/>
    <w:rsid w:val="006C41E8"/>
    <w:rsid w:val="006C47B7"/>
    <w:rsid w:val="006C4B49"/>
    <w:rsid w:val="006C4E16"/>
    <w:rsid w:val="006C606D"/>
    <w:rsid w:val="006C648E"/>
    <w:rsid w:val="006C65CE"/>
    <w:rsid w:val="006C6C63"/>
    <w:rsid w:val="006C7124"/>
    <w:rsid w:val="006C7317"/>
    <w:rsid w:val="006C7999"/>
    <w:rsid w:val="006D07F8"/>
    <w:rsid w:val="006D0859"/>
    <w:rsid w:val="006D0C33"/>
    <w:rsid w:val="006D0DD1"/>
    <w:rsid w:val="006D0ECD"/>
    <w:rsid w:val="006D10D7"/>
    <w:rsid w:val="006D13EB"/>
    <w:rsid w:val="006D16A6"/>
    <w:rsid w:val="006D1823"/>
    <w:rsid w:val="006D1FAB"/>
    <w:rsid w:val="006D22CB"/>
    <w:rsid w:val="006D24BD"/>
    <w:rsid w:val="006D2BEE"/>
    <w:rsid w:val="006D3142"/>
    <w:rsid w:val="006D47CE"/>
    <w:rsid w:val="006D506D"/>
    <w:rsid w:val="006D52B6"/>
    <w:rsid w:val="006D5580"/>
    <w:rsid w:val="006D5679"/>
    <w:rsid w:val="006D5F2F"/>
    <w:rsid w:val="006D6079"/>
    <w:rsid w:val="006D6818"/>
    <w:rsid w:val="006D6952"/>
    <w:rsid w:val="006D73E9"/>
    <w:rsid w:val="006D77D4"/>
    <w:rsid w:val="006D79DB"/>
    <w:rsid w:val="006D7C7D"/>
    <w:rsid w:val="006D7E2E"/>
    <w:rsid w:val="006E01B5"/>
    <w:rsid w:val="006E0732"/>
    <w:rsid w:val="006E0D67"/>
    <w:rsid w:val="006E0FCB"/>
    <w:rsid w:val="006E2522"/>
    <w:rsid w:val="006E278B"/>
    <w:rsid w:val="006E2BF7"/>
    <w:rsid w:val="006E2CDF"/>
    <w:rsid w:val="006E2F73"/>
    <w:rsid w:val="006E3115"/>
    <w:rsid w:val="006E3515"/>
    <w:rsid w:val="006E3A01"/>
    <w:rsid w:val="006E3EEE"/>
    <w:rsid w:val="006E3FF3"/>
    <w:rsid w:val="006E4248"/>
    <w:rsid w:val="006E427A"/>
    <w:rsid w:val="006E4CDD"/>
    <w:rsid w:val="006E4E38"/>
    <w:rsid w:val="006E500F"/>
    <w:rsid w:val="006E5572"/>
    <w:rsid w:val="006E5770"/>
    <w:rsid w:val="006E60CA"/>
    <w:rsid w:val="006E6402"/>
    <w:rsid w:val="006E6536"/>
    <w:rsid w:val="006E6FDD"/>
    <w:rsid w:val="006E7261"/>
    <w:rsid w:val="006E7732"/>
    <w:rsid w:val="006E77A4"/>
    <w:rsid w:val="006E7A34"/>
    <w:rsid w:val="006F0FB3"/>
    <w:rsid w:val="006F1294"/>
    <w:rsid w:val="006F13F9"/>
    <w:rsid w:val="006F144F"/>
    <w:rsid w:val="006F14A6"/>
    <w:rsid w:val="006F154A"/>
    <w:rsid w:val="006F1D22"/>
    <w:rsid w:val="006F1E38"/>
    <w:rsid w:val="006F210D"/>
    <w:rsid w:val="006F2B5C"/>
    <w:rsid w:val="006F46FA"/>
    <w:rsid w:val="006F575C"/>
    <w:rsid w:val="006F5804"/>
    <w:rsid w:val="006F5982"/>
    <w:rsid w:val="006F71CB"/>
    <w:rsid w:val="006F74AA"/>
    <w:rsid w:val="006F7B93"/>
    <w:rsid w:val="006F7C70"/>
    <w:rsid w:val="006F7D02"/>
    <w:rsid w:val="006F7EA4"/>
    <w:rsid w:val="00701278"/>
    <w:rsid w:val="007013AC"/>
    <w:rsid w:val="00701618"/>
    <w:rsid w:val="007016BE"/>
    <w:rsid w:val="00701AA1"/>
    <w:rsid w:val="00701C56"/>
    <w:rsid w:val="0070202F"/>
    <w:rsid w:val="0070211E"/>
    <w:rsid w:val="0070309A"/>
    <w:rsid w:val="007036DE"/>
    <w:rsid w:val="00704D4C"/>
    <w:rsid w:val="00705A14"/>
    <w:rsid w:val="00705A37"/>
    <w:rsid w:val="00705A73"/>
    <w:rsid w:val="007061E1"/>
    <w:rsid w:val="007064E0"/>
    <w:rsid w:val="007065F6"/>
    <w:rsid w:val="0070772D"/>
    <w:rsid w:val="007078F5"/>
    <w:rsid w:val="00707A1B"/>
    <w:rsid w:val="00710443"/>
    <w:rsid w:val="00710A73"/>
    <w:rsid w:val="00710E7C"/>
    <w:rsid w:val="00711021"/>
    <w:rsid w:val="0071142A"/>
    <w:rsid w:val="0071163E"/>
    <w:rsid w:val="00711A9E"/>
    <w:rsid w:val="0071275A"/>
    <w:rsid w:val="00712940"/>
    <w:rsid w:val="00712B12"/>
    <w:rsid w:val="00712D0E"/>
    <w:rsid w:val="007137AB"/>
    <w:rsid w:val="00714E9C"/>
    <w:rsid w:val="007156BD"/>
    <w:rsid w:val="00715DA4"/>
    <w:rsid w:val="0071666E"/>
    <w:rsid w:val="00717778"/>
    <w:rsid w:val="00717875"/>
    <w:rsid w:val="00717950"/>
    <w:rsid w:val="00717BBD"/>
    <w:rsid w:val="00717DEA"/>
    <w:rsid w:val="00717F0F"/>
    <w:rsid w:val="00720175"/>
    <w:rsid w:val="00720776"/>
    <w:rsid w:val="00720B66"/>
    <w:rsid w:val="00721000"/>
    <w:rsid w:val="00721668"/>
    <w:rsid w:val="00721AF9"/>
    <w:rsid w:val="00721BEC"/>
    <w:rsid w:val="00722624"/>
    <w:rsid w:val="0072281D"/>
    <w:rsid w:val="00722D55"/>
    <w:rsid w:val="007231B0"/>
    <w:rsid w:val="00723966"/>
    <w:rsid w:val="00723BE3"/>
    <w:rsid w:val="00723CB9"/>
    <w:rsid w:val="00724D2F"/>
    <w:rsid w:val="00725EC1"/>
    <w:rsid w:val="00725FA5"/>
    <w:rsid w:val="0072635C"/>
    <w:rsid w:val="007269A5"/>
    <w:rsid w:val="00727080"/>
    <w:rsid w:val="007274B3"/>
    <w:rsid w:val="00727BEE"/>
    <w:rsid w:val="00727CC0"/>
    <w:rsid w:val="0073070B"/>
    <w:rsid w:val="007308C6"/>
    <w:rsid w:val="00731323"/>
    <w:rsid w:val="00731561"/>
    <w:rsid w:val="007315FC"/>
    <w:rsid w:val="00731643"/>
    <w:rsid w:val="0073383D"/>
    <w:rsid w:val="00733B08"/>
    <w:rsid w:val="00734DDF"/>
    <w:rsid w:val="00735187"/>
    <w:rsid w:val="00735448"/>
    <w:rsid w:val="00735C14"/>
    <w:rsid w:val="00735E3F"/>
    <w:rsid w:val="00735F03"/>
    <w:rsid w:val="00736FB9"/>
    <w:rsid w:val="00737057"/>
    <w:rsid w:val="007372C0"/>
    <w:rsid w:val="007402BD"/>
    <w:rsid w:val="00740E71"/>
    <w:rsid w:val="0074150F"/>
    <w:rsid w:val="007418C5"/>
    <w:rsid w:val="00741938"/>
    <w:rsid w:val="007419FA"/>
    <w:rsid w:val="00741ADC"/>
    <w:rsid w:val="00741BA4"/>
    <w:rsid w:val="00741F5D"/>
    <w:rsid w:val="00742F61"/>
    <w:rsid w:val="00743329"/>
    <w:rsid w:val="0074380D"/>
    <w:rsid w:val="007438E3"/>
    <w:rsid w:val="0074394F"/>
    <w:rsid w:val="007449BF"/>
    <w:rsid w:val="0074532D"/>
    <w:rsid w:val="007457C1"/>
    <w:rsid w:val="00745C38"/>
    <w:rsid w:val="00745D0B"/>
    <w:rsid w:val="00746515"/>
    <w:rsid w:val="0074667F"/>
    <w:rsid w:val="00746BAF"/>
    <w:rsid w:val="0074741E"/>
    <w:rsid w:val="0074774B"/>
    <w:rsid w:val="007508C2"/>
    <w:rsid w:val="007510B3"/>
    <w:rsid w:val="007514A8"/>
    <w:rsid w:val="00751A3B"/>
    <w:rsid w:val="00751BBE"/>
    <w:rsid w:val="00751C0B"/>
    <w:rsid w:val="00752403"/>
    <w:rsid w:val="00752BEC"/>
    <w:rsid w:val="00752C26"/>
    <w:rsid w:val="00753194"/>
    <w:rsid w:val="00753676"/>
    <w:rsid w:val="00753CE7"/>
    <w:rsid w:val="007543C2"/>
    <w:rsid w:val="0075528F"/>
    <w:rsid w:val="007556D3"/>
    <w:rsid w:val="00755717"/>
    <w:rsid w:val="00755AA4"/>
    <w:rsid w:val="00755B74"/>
    <w:rsid w:val="00755DB5"/>
    <w:rsid w:val="00755EAC"/>
    <w:rsid w:val="007561B7"/>
    <w:rsid w:val="00757E25"/>
    <w:rsid w:val="00757EF7"/>
    <w:rsid w:val="007609F5"/>
    <w:rsid w:val="00761D86"/>
    <w:rsid w:val="00761D92"/>
    <w:rsid w:val="0076267C"/>
    <w:rsid w:val="00762D83"/>
    <w:rsid w:val="00762DFF"/>
    <w:rsid w:val="007631AC"/>
    <w:rsid w:val="0076365B"/>
    <w:rsid w:val="00763664"/>
    <w:rsid w:val="00764291"/>
    <w:rsid w:val="0076440D"/>
    <w:rsid w:val="00764A2B"/>
    <w:rsid w:val="00764C82"/>
    <w:rsid w:val="00764DCC"/>
    <w:rsid w:val="00764E43"/>
    <w:rsid w:val="00765339"/>
    <w:rsid w:val="007656C2"/>
    <w:rsid w:val="00765E1F"/>
    <w:rsid w:val="007666A7"/>
    <w:rsid w:val="007666C0"/>
    <w:rsid w:val="00767C4D"/>
    <w:rsid w:val="00770424"/>
    <w:rsid w:val="00770512"/>
    <w:rsid w:val="007705D1"/>
    <w:rsid w:val="007706C6"/>
    <w:rsid w:val="007706CE"/>
    <w:rsid w:val="007720F8"/>
    <w:rsid w:val="00773349"/>
    <w:rsid w:val="00773FE8"/>
    <w:rsid w:val="007744D5"/>
    <w:rsid w:val="007747B1"/>
    <w:rsid w:val="00774CF2"/>
    <w:rsid w:val="00774D3A"/>
    <w:rsid w:val="00774DD7"/>
    <w:rsid w:val="00774E99"/>
    <w:rsid w:val="0077506C"/>
    <w:rsid w:val="0077531D"/>
    <w:rsid w:val="00775432"/>
    <w:rsid w:val="007754B0"/>
    <w:rsid w:val="00775667"/>
    <w:rsid w:val="007756E0"/>
    <w:rsid w:val="007759FC"/>
    <w:rsid w:val="007761B4"/>
    <w:rsid w:val="00776343"/>
    <w:rsid w:val="007763E9"/>
    <w:rsid w:val="0077656E"/>
    <w:rsid w:val="00776B9E"/>
    <w:rsid w:val="00776E81"/>
    <w:rsid w:val="00777035"/>
    <w:rsid w:val="0077724E"/>
    <w:rsid w:val="0077754C"/>
    <w:rsid w:val="0077760A"/>
    <w:rsid w:val="00777C46"/>
    <w:rsid w:val="00780455"/>
    <w:rsid w:val="007807B4"/>
    <w:rsid w:val="00780962"/>
    <w:rsid w:val="00780F79"/>
    <w:rsid w:val="0078162A"/>
    <w:rsid w:val="0078170E"/>
    <w:rsid w:val="007818AD"/>
    <w:rsid w:val="00782994"/>
    <w:rsid w:val="00782B77"/>
    <w:rsid w:val="00782EA9"/>
    <w:rsid w:val="00783857"/>
    <w:rsid w:val="00784C26"/>
    <w:rsid w:val="00785163"/>
    <w:rsid w:val="007851E1"/>
    <w:rsid w:val="0078569A"/>
    <w:rsid w:val="007857F6"/>
    <w:rsid w:val="00785C08"/>
    <w:rsid w:val="00785DDD"/>
    <w:rsid w:val="0079059B"/>
    <w:rsid w:val="007906A1"/>
    <w:rsid w:val="00790991"/>
    <w:rsid w:val="00791B86"/>
    <w:rsid w:val="00791DA6"/>
    <w:rsid w:val="00791FB0"/>
    <w:rsid w:val="00791FD6"/>
    <w:rsid w:val="00792164"/>
    <w:rsid w:val="00792FB0"/>
    <w:rsid w:val="0079334F"/>
    <w:rsid w:val="0079344A"/>
    <w:rsid w:val="00793F5D"/>
    <w:rsid w:val="007941D5"/>
    <w:rsid w:val="00794227"/>
    <w:rsid w:val="00794886"/>
    <w:rsid w:val="00795327"/>
    <w:rsid w:val="007956C4"/>
    <w:rsid w:val="00795B4E"/>
    <w:rsid w:val="00795EF3"/>
    <w:rsid w:val="00795F90"/>
    <w:rsid w:val="00796372"/>
    <w:rsid w:val="0079687C"/>
    <w:rsid w:val="007968DE"/>
    <w:rsid w:val="00796AFB"/>
    <w:rsid w:val="007977DE"/>
    <w:rsid w:val="00797CB8"/>
    <w:rsid w:val="00797CE2"/>
    <w:rsid w:val="007A00E1"/>
    <w:rsid w:val="007A0949"/>
    <w:rsid w:val="007A0A62"/>
    <w:rsid w:val="007A0D29"/>
    <w:rsid w:val="007A0F9E"/>
    <w:rsid w:val="007A1011"/>
    <w:rsid w:val="007A12F8"/>
    <w:rsid w:val="007A154E"/>
    <w:rsid w:val="007A193F"/>
    <w:rsid w:val="007A1AFD"/>
    <w:rsid w:val="007A297B"/>
    <w:rsid w:val="007A2BCA"/>
    <w:rsid w:val="007A3926"/>
    <w:rsid w:val="007A4052"/>
    <w:rsid w:val="007A437F"/>
    <w:rsid w:val="007A4907"/>
    <w:rsid w:val="007A51CB"/>
    <w:rsid w:val="007A5523"/>
    <w:rsid w:val="007A5B3D"/>
    <w:rsid w:val="007A5D24"/>
    <w:rsid w:val="007A6F99"/>
    <w:rsid w:val="007A734E"/>
    <w:rsid w:val="007A7404"/>
    <w:rsid w:val="007A77D1"/>
    <w:rsid w:val="007B02AB"/>
    <w:rsid w:val="007B0560"/>
    <w:rsid w:val="007B12D1"/>
    <w:rsid w:val="007B12DA"/>
    <w:rsid w:val="007B1455"/>
    <w:rsid w:val="007B15F3"/>
    <w:rsid w:val="007B1829"/>
    <w:rsid w:val="007B216A"/>
    <w:rsid w:val="007B2294"/>
    <w:rsid w:val="007B256A"/>
    <w:rsid w:val="007B260C"/>
    <w:rsid w:val="007B2773"/>
    <w:rsid w:val="007B41FF"/>
    <w:rsid w:val="007B4ED5"/>
    <w:rsid w:val="007B50FE"/>
    <w:rsid w:val="007B57C8"/>
    <w:rsid w:val="007B60E8"/>
    <w:rsid w:val="007B6335"/>
    <w:rsid w:val="007B6C5B"/>
    <w:rsid w:val="007B6D47"/>
    <w:rsid w:val="007B6E59"/>
    <w:rsid w:val="007B6EAF"/>
    <w:rsid w:val="007B7F75"/>
    <w:rsid w:val="007C0283"/>
    <w:rsid w:val="007C03B3"/>
    <w:rsid w:val="007C0AE5"/>
    <w:rsid w:val="007C0CA5"/>
    <w:rsid w:val="007C1D5D"/>
    <w:rsid w:val="007C21F1"/>
    <w:rsid w:val="007C2AD1"/>
    <w:rsid w:val="007C3349"/>
    <w:rsid w:val="007C45E0"/>
    <w:rsid w:val="007C4692"/>
    <w:rsid w:val="007C46BF"/>
    <w:rsid w:val="007C4C46"/>
    <w:rsid w:val="007C5096"/>
    <w:rsid w:val="007C57BD"/>
    <w:rsid w:val="007C5D23"/>
    <w:rsid w:val="007C6075"/>
    <w:rsid w:val="007C60E7"/>
    <w:rsid w:val="007C6191"/>
    <w:rsid w:val="007C63CF"/>
    <w:rsid w:val="007C662C"/>
    <w:rsid w:val="007C6EF1"/>
    <w:rsid w:val="007C725E"/>
    <w:rsid w:val="007C7A1B"/>
    <w:rsid w:val="007C7DC2"/>
    <w:rsid w:val="007D0682"/>
    <w:rsid w:val="007D0AD8"/>
    <w:rsid w:val="007D0DAA"/>
    <w:rsid w:val="007D0E19"/>
    <w:rsid w:val="007D1848"/>
    <w:rsid w:val="007D1935"/>
    <w:rsid w:val="007D1BBF"/>
    <w:rsid w:val="007D1BFF"/>
    <w:rsid w:val="007D1D09"/>
    <w:rsid w:val="007D1D29"/>
    <w:rsid w:val="007D2074"/>
    <w:rsid w:val="007D20BA"/>
    <w:rsid w:val="007D20E9"/>
    <w:rsid w:val="007D2587"/>
    <w:rsid w:val="007D2B76"/>
    <w:rsid w:val="007D2F93"/>
    <w:rsid w:val="007D354F"/>
    <w:rsid w:val="007D3F47"/>
    <w:rsid w:val="007D459B"/>
    <w:rsid w:val="007D45A1"/>
    <w:rsid w:val="007D54A2"/>
    <w:rsid w:val="007D56C2"/>
    <w:rsid w:val="007D57F4"/>
    <w:rsid w:val="007D60FB"/>
    <w:rsid w:val="007D650F"/>
    <w:rsid w:val="007D6B2A"/>
    <w:rsid w:val="007D6D77"/>
    <w:rsid w:val="007D702F"/>
    <w:rsid w:val="007D7984"/>
    <w:rsid w:val="007D7C1D"/>
    <w:rsid w:val="007E03FD"/>
    <w:rsid w:val="007E04C7"/>
    <w:rsid w:val="007E0D0E"/>
    <w:rsid w:val="007E2A6B"/>
    <w:rsid w:val="007E2B6D"/>
    <w:rsid w:val="007E2D70"/>
    <w:rsid w:val="007E2D78"/>
    <w:rsid w:val="007E3014"/>
    <w:rsid w:val="007E3AA5"/>
    <w:rsid w:val="007E3C12"/>
    <w:rsid w:val="007E40D8"/>
    <w:rsid w:val="007E49C1"/>
    <w:rsid w:val="007E5FB9"/>
    <w:rsid w:val="007E5FF9"/>
    <w:rsid w:val="007E60EC"/>
    <w:rsid w:val="007E6F38"/>
    <w:rsid w:val="007E7481"/>
    <w:rsid w:val="007E77FD"/>
    <w:rsid w:val="007E798C"/>
    <w:rsid w:val="007E7A98"/>
    <w:rsid w:val="007E7CB0"/>
    <w:rsid w:val="007E7E26"/>
    <w:rsid w:val="007F013B"/>
    <w:rsid w:val="007F06BC"/>
    <w:rsid w:val="007F089F"/>
    <w:rsid w:val="007F0BA5"/>
    <w:rsid w:val="007F0C5D"/>
    <w:rsid w:val="007F0F15"/>
    <w:rsid w:val="007F0F55"/>
    <w:rsid w:val="007F1008"/>
    <w:rsid w:val="007F146C"/>
    <w:rsid w:val="007F1800"/>
    <w:rsid w:val="007F1AAC"/>
    <w:rsid w:val="007F1BFB"/>
    <w:rsid w:val="007F2CAB"/>
    <w:rsid w:val="007F30A2"/>
    <w:rsid w:val="007F3602"/>
    <w:rsid w:val="007F3B73"/>
    <w:rsid w:val="007F3FA6"/>
    <w:rsid w:val="007F47DB"/>
    <w:rsid w:val="007F4B15"/>
    <w:rsid w:val="007F50DA"/>
    <w:rsid w:val="007F568C"/>
    <w:rsid w:val="007F56D1"/>
    <w:rsid w:val="007F5A2B"/>
    <w:rsid w:val="007F64FA"/>
    <w:rsid w:val="007F6E28"/>
    <w:rsid w:val="007F7574"/>
    <w:rsid w:val="007F7FCF"/>
    <w:rsid w:val="00800CA7"/>
    <w:rsid w:val="00801507"/>
    <w:rsid w:val="00801B0D"/>
    <w:rsid w:val="00801B4F"/>
    <w:rsid w:val="008022DA"/>
    <w:rsid w:val="00802777"/>
    <w:rsid w:val="00802BC0"/>
    <w:rsid w:val="008031B5"/>
    <w:rsid w:val="00803829"/>
    <w:rsid w:val="0080482B"/>
    <w:rsid w:val="0080542E"/>
    <w:rsid w:val="0080543F"/>
    <w:rsid w:val="008056CA"/>
    <w:rsid w:val="008067BC"/>
    <w:rsid w:val="00807293"/>
    <w:rsid w:val="008100FD"/>
    <w:rsid w:val="008102F4"/>
    <w:rsid w:val="00810A91"/>
    <w:rsid w:val="00811DED"/>
    <w:rsid w:val="008120BC"/>
    <w:rsid w:val="0081239A"/>
    <w:rsid w:val="008125C6"/>
    <w:rsid w:val="00813067"/>
    <w:rsid w:val="00813B60"/>
    <w:rsid w:val="00813CF1"/>
    <w:rsid w:val="00813F4C"/>
    <w:rsid w:val="0081414F"/>
    <w:rsid w:val="008141F1"/>
    <w:rsid w:val="008151D0"/>
    <w:rsid w:val="00815221"/>
    <w:rsid w:val="008154B8"/>
    <w:rsid w:val="00815FC7"/>
    <w:rsid w:val="0081630E"/>
    <w:rsid w:val="008167EE"/>
    <w:rsid w:val="00816AA9"/>
    <w:rsid w:val="00816FB9"/>
    <w:rsid w:val="0081730F"/>
    <w:rsid w:val="0082015A"/>
    <w:rsid w:val="00820E11"/>
    <w:rsid w:val="008218C9"/>
    <w:rsid w:val="0082190B"/>
    <w:rsid w:val="00821950"/>
    <w:rsid w:val="008220AE"/>
    <w:rsid w:val="008222B0"/>
    <w:rsid w:val="00822994"/>
    <w:rsid w:val="00822A0A"/>
    <w:rsid w:val="00822DE8"/>
    <w:rsid w:val="008233FE"/>
    <w:rsid w:val="00823A01"/>
    <w:rsid w:val="00823C48"/>
    <w:rsid w:val="0082406F"/>
    <w:rsid w:val="00824935"/>
    <w:rsid w:val="00824D3A"/>
    <w:rsid w:val="00824EC3"/>
    <w:rsid w:val="00825102"/>
    <w:rsid w:val="008254A3"/>
    <w:rsid w:val="00825652"/>
    <w:rsid w:val="00826689"/>
    <w:rsid w:val="00826A49"/>
    <w:rsid w:val="00826BF1"/>
    <w:rsid w:val="00826FFA"/>
    <w:rsid w:val="00830138"/>
    <w:rsid w:val="00830C75"/>
    <w:rsid w:val="0083173B"/>
    <w:rsid w:val="0083192F"/>
    <w:rsid w:val="00831996"/>
    <w:rsid w:val="00831DA1"/>
    <w:rsid w:val="008327B8"/>
    <w:rsid w:val="00832C48"/>
    <w:rsid w:val="00832FD1"/>
    <w:rsid w:val="00832FD6"/>
    <w:rsid w:val="00833377"/>
    <w:rsid w:val="008333B6"/>
    <w:rsid w:val="00833549"/>
    <w:rsid w:val="008347D3"/>
    <w:rsid w:val="00834C30"/>
    <w:rsid w:val="00835112"/>
    <w:rsid w:val="00835294"/>
    <w:rsid w:val="008354D5"/>
    <w:rsid w:val="0083561D"/>
    <w:rsid w:val="00835EDD"/>
    <w:rsid w:val="0083662F"/>
    <w:rsid w:val="00836899"/>
    <w:rsid w:val="00837355"/>
    <w:rsid w:val="008373DB"/>
    <w:rsid w:val="008378AF"/>
    <w:rsid w:val="00840156"/>
    <w:rsid w:val="00840317"/>
    <w:rsid w:val="00840626"/>
    <w:rsid w:val="0084083A"/>
    <w:rsid w:val="00840AF4"/>
    <w:rsid w:val="00840B26"/>
    <w:rsid w:val="008417AD"/>
    <w:rsid w:val="00841C86"/>
    <w:rsid w:val="00842481"/>
    <w:rsid w:val="0084261E"/>
    <w:rsid w:val="00842668"/>
    <w:rsid w:val="008430B7"/>
    <w:rsid w:val="0084325D"/>
    <w:rsid w:val="008435CB"/>
    <w:rsid w:val="008437D3"/>
    <w:rsid w:val="00843831"/>
    <w:rsid w:val="0084389A"/>
    <w:rsid w:val="00843CE7"/>
    <w:rsid w:val="00843F4C"/>
    <w:rsid w:val="00844552"/>
    <w:rsid w:val="0084590D"/>
    <w:rsid w:val="00845E60"/>
    <w:rsid w:val="008463FC"/>
    <w:rsid w:val="00846E52"/>
    <w:rsid w:val="00846F29"/>
    <w:rsid w:val="00847E22"/>
    <w:rsid w:val="008501C2"/>
    <w:rsid w:val="008505E2"/>
    <w:rsid w:val="00850ECC"/>
    <w:rsid w:val="00850EF6"/>
    <w:rsid w:val="00850F4E"/>
    <w:rsid w:val="00851E94"/>
    <w:rsid w:val="00851EBF"/>
    <w:rsid w:val="0085237A"/>
    <w:rsid w:val="00852887"/>
    <w:rsid w:val="00852920"/>
    <w:rsid w:val="00853063"/>
    <w:rsid w:val="0085368C"/>
    <w:rsid w:val="00853BD3"/>
    <w:rsid w:val="00853FF4"/>
    <w:rsid w:val="008543DA"/>
    <w:rsid w:val="00854551"/>
    <w:rsid w:val="0085455E"/>
    <w:rsid w:val="0085471A"/>
    <w:rsid w:val="00855071"/>
    <w:rsid w:val="008556CF"/>
    <w:rsid w:val="00855942"/>
    <w:rsid w:val="00856258"/>
    <w:rsid w:val="00856816"/>
    <w:rsid w:val="0085725E"/>
    <w:rsid w:val="00857DFC"/>
    <w:rsid w:val="008609D8"/>
    <w:rsid w:val="00860A2B"/>
    <w:rsid w:val="00860FB6"/>
    <w:rsid w:val="00860FBE"/>
    <w:rsid w:val="00861066"/>
    <w:rsid w:val="008616D9"/>
    <w:rsid w:val="00862768"/>
    <w:rsid w:val="00862879"/>
    <w:rsid w:val="008628E9"/>
    <w:rsid w:val="00862A7F"/>
    <w:rsid w:val="00863259"/>
    <w:rsid w:val="008646E5"/>
    <w:rsid w:val="0086527F"/>
    <w:rsid w:val="00865C02"/>
    <w:rsid w:val="008660ED"/>
    <w:rsid w:val="008661F4"/>
    <w:rsid w:val="0086678D"/>
    <w:rsid w:val="008668B5"/>
    <w:rsid w:val="00866A58"/>
    <w:rsid w:val="00866F9F"/>
    <w:rsid w:val="00870799"/>
    <w:rsid w:val="0087085B"/>
    <w:rsid w:val="00870A35"/>
    <w:rsid w:val="00872024"/>
    <w:rsid w:val="008723C1"/>
    <w:rsid w:val="00872753"/>
    <w:rsid w:val="00873CD8"/>
    <w:rsid w:val="008741B0"/>
    <w:rsid w:val="008750AF"/>
    <w:rsid w:val="008753D3"/>
    <w:rsid w:val="0087564B"/>
    <w:rsid w:val="00875708"/>
    <w:rsid w:val="00875BE3"/>
    <w:rsid w:val="008765B2"/>
    <w:rsid w:val="008765EB"/>
    <w:rsid w:val="00876A63"/>
    <w:rsid w:val="00876AC0"/>
    <w:rsid w:val="00876F3C"/>
    <w:rsid w:val="00876F96"/>
    <w:rsid w:val="00877560"/>
    <w:rsid w:val="008779DA"/>
    <w:rsid w:val="00877BEE"/>
    <w:rsid w:val="00877F0C"/>
    <w:rsid w:val="00877FF5"/>
    <w:rsid w:val="00880AF5"/>
    <w:rsid w:val="0088120F"/>
    <w:rsid w:val="0088181F"/>
    <w:rsid w:val="00882291"/>
    <w:rsid w:val="00882569"/>
    <w:rsid w:val="008826C4"/>
    <w:rsid w:val="0088289C"/>
    <w:rsid w:val="00882C6E"/>
    <w:rsid w:val="00882DAA"/>
    <w:rsid w:val="00883366"/>
    <w:rsid w:val="0088359D"/>
    <w:rsid w:val="0088393D"/>
    <w:rsid w:val="00883F93"/>
    <w:rsid w:val="00884B45"/>
    <w:rsid w:val="00884B7A"/>
    <w:rsid w:val="00886C34"/>
    <w:rsid w:val="008874CD"/>
    <w:rsid w:val="00887846"/>
    <w:rsid w:val="008879D0"/>
    <w:rsid w:val="00887DBA"/>
    <w:rsid w:val="0089050B"/>
    <w:rsid w:val="00890FD4"/>
    <w:rsid w:val="008912AB"/>
    <w:rsid w:val="008915A7"/>
    <w:rsid w:val="008918B6"/>
    <w:rsid w:val="00892A2C"/>
    <w:rsid w:val="00892C65"/>
    <w:rsid w:val="00893AB7"/>
    <w:rsid w:val="00894A41"/>
    <w:rsid w:val="00895B2F"/>
    <w:rsid w:val="00895F7B"/>
    <w:rsid w:val="008962CF"/>
    <w:rsid w:val="00896A30"/>
    <w:rsid w:val="008A0032"/>
    <w:rsid w:val="008A06BF"/>
    <w:rsid w:val="008A0936"/>
    <w:rsid w:val="008A0BF0"/>
    <w:rsid w:val="008A0F87"/>
    <w:rsid w:val="008A100E"/>
    <w:rsid w:val="008A110D"/>
    <w:rsid w:val="008A11A0"/>
    <w:rsid w:val="008A19F6"/>
    <w:rsid w:val="008A1A0A"/>
    <w:rsid w:val="008A1CE9"/>
    <w:rsid w:val="008A2AE0"/>
    <w:rsid w:val="008A2C6F"/>
    <w:rsid w:val="008A2EA3"/>
    <w:rsid w:val="008A3019"/>
    <w:rsid w:val="008A35A0"/>
    <w:rsid w:val="008A3B2A"/>
    <w:rsid w:val="008A3BAA"/>
    <w:rsid w:val="008A505A"/>
    <w:rsid w:val="008A514F"/>
    <w:rsid w:val="008A532E"/>
    <w:rsid w:val="008A5459"/>
    <w:rsid w:val="008A56C8"/>
    <w:rsid w:val="008A5B5F"/>
    <w:rsid w:val="008A5DBB"/>
    <w:rsid w:val="008A6488"/>
    <w:rsid w:val="008A64DE"/>
    <w:rsid w:val="008A77DC"/>
    <w:rsid w:val="008A78AE"/>
    <w:rsid w:val="008A7FD2"/>
    <w:rsid w:val="008B029A"/>
    <w:rsid w:val="008B03EE"/>
    <w:rsid w:val="008B0A80"/>
    <w:rsid w:val="008B18FC"/>
    <w:rsid w:val="008B1916"/>
    <w:rsid w:val="008B1E71"/>
    <w:rsid w:val="008B2D3B"/>
    <w:rsid w:val="008B378C"/>
    <w:rsid w:val="008B379C"/>
    <w:rsid w:val="008B3A65"/>
    <w:rsid w:val="008B3D23"/>
    <w:rsid w:val="008B44B4"/>
    <w:rsid w:val="008B52F2"/>
    <w:rsid w:val="008B588A"/>
    <w:rsid w:val="008B5DE1"/>
    <w:rsid w:val="008B6025"/>
    <w:rsid w:val="008B6869"/>
    <w:rsid w:val="008B6D0A"/>
    <w:rsid w:val="008B6F96"/>
    <w:rsid w:val="008B7150"/>
    <w:rsid w:val="008B7240"/>
    <w:rsid w:val="008B77DF"/>
    <w:rsid w:val="008B7C67"/>
    <w:rsid w:val="008C0196"/>
    <w:rsid w:val="008C01AE"/>
    <w:rsid w:val="008C0201"/>
    <w:rsid w:val="008C09DE"/>
    <w:rsid w:val="008C0C03"/>
    <w:rsid w:val="008C18E9"/>
    <w:rsid w:val="008C1F0E"/>
    <w:rsid w:val="008C2367"/>
    <w:rsid w:val="008C27A7"/>
    <w:rsid w:val="008C2948"/>
    <w:rsid w:val="008C2F02"/>
    <w:rsid w:val="008C2F3D"/>
    <w:rsid w:val="008C38D4"/>
    <w:rsid w:val="008C3C96"/>
    <w:rsid w:val="008C4301"/>
    <w:rsid w:val="008C4355"/>
    <w:rsid w:val="008C63C5"/>
    <w:rsid w:val="008C66DE"/>
    <w:rsid w:val="008C6853"/>
    <w:rsid w:val="008C7033"/>
    <w:rsid w:val="008C756E"/>
    <w:rsid w:val="008C75E2"/>
    <w:rsid w:val="008C7B40"/>
    <w:rsid w:val="008C7B6E"/>
    <w:rsid w:val="008D00BD"/>
    <w:rsid w:val="008D0207"/>
    <w:rsid w:val="008D0D4A"/>
    <w:rsid w:val="008D102A"/>
    <w:rsid w:val="008D122D"/>
    <w:rsid w:val="008D153D"/>
    <w:rsid w:val="008D185C"/>
    <w:rsid w:val="008D1B58"/>
    <w:rsid w:val="008D213C"/>
    <w:rsid w:val="008D224C"/>
    <w:rsid w:val="008D2D9A"/>
    <w:rsid w:val="008D36D9"/>
    <w:rsid w:val="008D3983"/>
    <w:rsid w:val="008D3B28"/>
    <w:rsid w:val="008D3C26"/>
    <w:rsid w:val="008D3D4C"/>
    <w:rsid w:val="008D3E5F"/>
    <w:rsid w:val="008D4BAB"/>
    <w:rsid w:val="008D5608"/>
    <w:rsid w:val="008D5755"/>
    <w:rsid w:val="008D58AA"/>
    <w:rsid w:val="008D6395"/>
    <w:rsid w:val="008D6453"/>
    <w:rsid w:val="008D68F4"/>
    <w:rsid w:val="008D6BBF"/>
    <w:rsid w:val="008D7112"/>
    <w:rsid w:val="008D7246"/>
    <w:rsid w:val="008D75B8"/>
    <w:rsid w:val="008D794D"/>
    <w:rsid w:val="008D7A54"/>
    <w:rsid w:val="008D7DB6"/>
    <w:rsid w:val="008D7E80"/>
    <w:rsid w:val="008E07C7"/>
    <w:rsid w:val="008E0A80"/>
    <w:rsid w:val="008E0A98"/>
    <w:rsid w:val="008E0F31"/>
    <w:rsid w:val="008E10FE"/>
    <w:rsid w:val="008E11FC"/>
    <w:rsid w:val="008E12B7"/>
    <w:rsid w:val="008E148F"/>
    <w:rsid w:val="008E156C"/>
    <w:rsid w:val="008E2972"/>
    <w:rsid w:val="008E2AF0"/>
    <w:rsid w:val="008E2BD5"/>
    <w:rsid w:val="008E334F"/>
    <w:rsid w:val="008E34D4"/>
    <w:rsid w:val="008E3520"/>
    <w:rsid w:val="008E38E8"/>
    <w:rsid w:val="008E3D2A"/>
    <w:rsid w:val="008E425B"/>
    <w:rsid w:val="008E4571"/>
    <w:rsid w:val="008E4856"/>
    <w:rsid w:val="008E4D84"/>
    <w:rsid w:val="008E54F2"/>
    <w:rsid w:val="008E6298"/>
    <w:rsid w:val="008E679F"/>
    <w:rsid w:val="008E715E"/>
    <w:rsid w:val="008E71B9"/>
    <w:rsid w:val="008E77FC"/>
    <w:rsid w:val="008E7E69"/>
    <w:rsid w:val="008F02D0"/>
    <w:rsid w:val="008F16EF"/>
    <w:rsid w:val="008F1DB8"/>
    <w:rsid w:val="008F1DFF"/>
    <w:rsid w:val="008F1ED1"/>
    <w:rsid w:val="008F239A"/>
    <w:rsid w:val="008F26BF"/>
    <w:rsid w:val="008F2AD8"/>
    <w:rsid w:val="008F2DEA"/>
    <w:rsid w:val="008F2EAA"/>
    <w:rsid w:val="008F33B9"/>
    <w:rsid w:val="008F396D"/>
    <w:rsid w:val="008F441B"/>
    <w:rsid w:val="008F48DB"/>
    <w:rsid w:val="008F4E9E"/>
    <w:rsid w:val="008F4EBE"/>
    <w:rsid w:val="008F4FAC"/>
    <w:rsid w:val="008F606F"/>
    <w:rsid w:val="008F623B"/>
    <w:rsid w:val="008F696D"/>
    <w:rsid w:val="008F69F6"/>
    <w:rsid w:val="008F6F89"/>
    <w:rsid w:val="008F73B0"/>
    <w:rsid w:val="008F7CC0"/>
    <w:rsid w:val="008F7D8C"/>
    <w:rsid w:val="009008D9"/>
    <w:rsid w:val="00900ACF"/>
    <w:rsid w:val="00900B67"/>
    <w:rsid w:val="009010B4"/>
    <w:rsid w:val="009012FF"/>
    <w:rsid w:val="00901BB4"/>
    <w:rsid w:val="00901E90"/>
    <w:rsid w:val="00901F04"/>
    <w:rsid w:val="0090240A"/>
    <w:rsid w:val="00902BA6"/>
    <w:rsid w:val="00902E69"/>
    <w:rsid w:val="00903715"/>
    <w:rsid w:val="00903CD9"/>
    <w:rsid w:val="00903D75"/>
    <w:rsid w:val="00903F1E"/>
    <w:rsid w:val="00904C6F"/>
    <w:rsid w:val="009059CA"/>
    <w:rsid w:val="00905DBE"/>
    <w:rsid w:val="00906DE2"/>
    <w:rsid w:val="00907C1C"/>
    <w:rsid w:val="00910A20"/>
    <w:rsid w:val="00910D26"/>
    <w:rsid w:val="0091154E"/>
    <w:rsid w:val="00911EF2"/>
    <w:rsid w:val="00911FB6"/>
    <w:rsid w:val="0091234F"/>
    <w:rsid w:val="0091267A"/>
    <w:rsid w:val="00912B0F"/>
    <w:rsid w:val="009135CB"/>
    <w:rsid w:val="00913CB9"/>
    <w:rsid w:val="00913F23"/>
    <w:rsid w:val="00915627"/>
    <w:rsid w:val="0091628A"/>
    <w:rsid w:val="00916B90"/>
    <w:rsid w:val="00916C2D"/>
    <w:rsid w:val="00916CC7"/>
    <w:rsid w:val="0091705E"/>
    <w:rsid w:val="00917112"/>
    <w:rsid w:val="009171F9"/>
    <w:rsid w:val="0091729C"/>
    <w:rsid w:val="009172DB"/>
    <w:rsid w:val="00917E68"/>
    <w:rsid w:val="0092062C"/>
    <w:rsid w:val="00921B0C"/>
    <w:rsid w:val="00922450"/>
    <w:rsid w:val="00922C1F"/>
    <w:rsid w:val="00922EAF"/>
    <w:rsid w:val="009230DC"/>
    <w:rsid w:val="00924587"/>
    <w:rsid w:val="009245FA"/>
    <w:rsid w:val="00926934"/>
    <w:rsid w:val="009269ED"/>
    <w:rsid w:val="00926B75"/>
    <w:rsid w:val="00926E39"/>
    <w:rsid w:val="00926F45"/>
    <w:rsid w:val="009272E3"/>
    <w:rsid w:val="00927DBD"/>
    <w:rsid w:val="00927E1F"/>
    <w:rsid w:val="009303FC"/>
    <w:rsid w:val="009309D1"/>
    <w:rsid w:val="00930B6B"/>
    <w:rsid w:val="00930C57"/>
    <w:rsid w:val="00930C58"/>
    <w:rsid w:val="00930F43"/>
    <w:rsid w:val="00931517"/>
    <w:rsid w:val="0093195B"/>
    <w:rsid w:val="00931AE0"/>
    <w:rsid w:val="00931C36"/>
    <w:rsid w:val="00931E5D"/>
    <w:rsid w:val="0093219F"/>
    <w:rsid w:val="00932225"/>
    <w:rsid w:val="0093266A"/>
    <w:rsid w:val="00933321"/>
    <w:rsid w:val="00933A5B"/>
    <w:rsid w:val="009342AC"/>
    <w:rsid w:val="009348CE"/>
    <w:rsid w:val="00934F3F"/>
    <w:rsid w:val="0093549B"/>
    <w:rsid w:val="009356F2"/>
    <w:rsid w:val="00935BFE"/>
    <w:rsid w:val="00935D73"/>
    <w:rsid w:val="00935D8C"/>
    <w:rsid w:val="00936C8C"/>
    <w:rsid w:val="009377A2"/>
    <w:rsid w:val="00937A32"/>
    <w:rsid w:val="00937BEB"/>
    <w:rsid w:val="00940120"/>
    <w:rsid w:val="00940894"/>
    <w:rsid w:val="00940D87"/>
    <w:rsid w:val="00940FFB"/>
    <w:rsid w:val="00941007"/>
    <w:rsid w:val="009411AA"/>
    <w:rsid w:val="00941259"/>
    <w:rsid w:val="0094125F"/>
    <w:rsid w:val="00941269"/>
    <w:rsid w:val="00941863"/>
    <w:rsid w:val="00941B54"/>
    <w:rsid w:val="00941E88"/>
    <w:rsid w:val="009427C3"/>
    <w:rsid w:val="009439C6"/>
    <w:rsid w:val="00943CD3"/>
    <w:rsid w:val="00944320"/>
    <w:rsid w:val="00944A56"/>
    <w:rsid w:val="00944BD5"/>
    <w:rsid w:val="0094514D"/>
    <w:rsid w:val="009451EE"/>
    <w:rsid w:val="00945527"/>
    <w:rsid w:val="0094600A"/>
    <w:rsid w:val="00946EBE"/>
    <w:rsid w:val="00947600"/>
    <w:rsid w:val="00947B43"/>
    <w:rsid w:val="00947B83"/>
    <w:rsid w:val="00950410"/>
    <w:rsid w:val="00950D8F"/>
    <w:rsid w:val="00950DAC"/>
    <w:rsid w:val="0095151F"/>
    <w:rsid w:val="00951988"/>
    <w:rsid w:val="00951E80"/>
    <w:rsid w:val="00951F99"/>
    <w:rsid w:val="00952936"/>
    <w:rsid w:val="009531C0"/>
    <w:rsid w:val="00953FE3"/>
    <w:rsid w:val="00954027"/>
    <w:rsid w:val="00954395"/>
    <w:rsid w:val="009543D3"/>
    <w:rsid w:val="00954452"/>
    <w:rsid w:val="009548B0"/>
    <w:rsid w:val="00954B81"/>
    <w:rsid w:val="00955752"/>
    <w:rsid w:val="00955AB0"/>
    <w:rsid w:val="00955BF2"/>
    <w:rsid w:val="009560A4"/>
    <w:rsid w:val="0095612F"/>
    <w:rsid w:val="00956941"/>
    <w:rsid w:val="00956AA0"/>
    <w:rsid w:val="00956DF2"/>
    <w:rsid w:val="00957CC6"/>
    <w:rsid w:val="0096077B"/>
    <w:rsid w:val="009607D2"/>
    <w:rsid w:val="0096089B"/>
    <w:rsid w:val="00960961"/>
    <w:rsid w:val="00960A41"/>
    <w:rsid w:val="00960CC6"/>
    <w:rsid w:val="00961B96"/>
    <w:rsid w:val="00962917"/>
    <w:rsid w:val="00962A6B"/>
    <w:rsid w:val="00963191"/>
    <w:rsid w:val="009634AF"/>
    <w:rsid w:val="00963799"/>
    <w:rsid w:val="00963B63"/>
    <w:rsid w:val="00963FF5"/>
    <w:rsid w:val="009643CF"/>
    <w:rsid w:val="00964982"/>
    <w:rsid w:val="00964E00"/>
    <w:rsid w:val="0096591D"/>
    <w:rsid w:val="009668DD"/>
    <w:rsid w:val="00966C64"/>
    <w:rsid w:val="00967660"/>
    <w:rsid w:val="00967A75"/>
    <w:rsid w:val="00967E10"/>
    <w:rsid w:val="00967ED8"/>
    <w:rsid w:val="009711C1"/>
    <w:rsid w:val="009711F5"/>
    <w:rsid w:val="00971708"/>
    <w:rsid w:val="00971BDF"/>
    <w:rsid w:val="00971EE7"/>
    <w:rsid w:val="00971F3B"/>
    <w:rsid w:val="009729C2"/>
    <w:rsid w:val="00972BFE"/>
    <w:rsid w:val="00972CA2"/>
    <w:rsid w:val="00973EFD"/>
    <w:rsid w:val="009741FC"/>
    <w:rsid w:val="009742FD"/>
    <w:rsid w:val="0097497B"/>
    <w:rsid w:val="00974C65"/>
    <w:rsid w:val="00975386"/>
    <w:rsid w:val="009755F2"/>
    <w:rsid w:val="00975690"/>
    <w:rsid w:val="00975B79"/>
    <w:rsid w:val="00975F64"/>
    <w:rsid w:val="00976502"/>
    <w:rsid w:val="00976727"/>
    <w:rsid w:val="009770EF"/>
    <w:rsid w:val="00977C0E"/>
    <w:rsid w:val="00977C27"/>
    <w:rsid w:val="00977E7B"/>
    <w:rsid w:val="00977F3D"/>
    <w:rsid w:val="0098044D"/>
    <w:rsid w:val="00980571"/>
    <w:rsid w:val="00980C61"/>
    <w:rsid w:val="00980FA9"/>
    <w:rsid w:val="009812BD"/>
    <w:rsid w:val="00981302"/>
    <w:rsid w:val="009816F9"/>
    <w:rsid w:val="00981855"/>
    <w:rsid w:val="00982090"/>
    <w:rsid w:val="00982686"/>
    <w:rsid w:val="00983717"/>
    <w:rsid w:val="009843A1"/>
    <w:rsid w:val="00985003"/>
    <w:rsid w:val="009854F4"/>
    <w:rsid w:val="00985544"/>
    <w:rsid w:val="009856E0"/>
    <w:rsid w:val="00985D44"/>
    <w:rsid w:val="00985E3D"/>
    <w:rsid w:val="00985F44"/>
    <w:rsid w:val="009860F4"/>
    <w:rsid w:val="009868B9"/>
    <w:rsid w:val="00986A08"/>
    <w:rsid w:val="00987381"/>
    <w:rsid w:val="00987675"/>
    <w:rsid w:val="009879F9"/>
    <w:rsid w:val="009901DF"/>
    <w:rsid w:val="0099058A"/>
    <w:rsid w:val="009912CF"/>
    <w:rsid w:val="009921B8"/>
    <w:rsid w:val="0099221C"/>
    <w:rsid w:val="009924DC"/>
    <w:rsid w:val="009929DF"/>
    <w:rsid w:val="00992DBC"/>
    <w:rsid w:val="00992EB8"/>
    <w:rsid w:val="009932DD"/>
    <w:rsid w:val="00993303"/>
    <w:rsid w:val="00993C5A"/>
    <w:rsid w:val="00993EE0"/>
    <w:rsid w:val="0099407C"/>
    <w:rsid w:val="0099424D"/>
    <w:rsid w:val="00994865"/>
    <w:rsid w:val="0099497A"/>
    <w:rsid w:val="0099537C"/>
    <w:rsid w:val="009956F9"/>
    <w:rsid w:val="0099616F"/>
    <w:rsid w:val="009962AC"/>
    <w:rsid w:val="009962C5"/>
    <w:rsid w:val="0099651E"/>
    <w:rsid w:val="0099658C"/>
    <w:rsid w:val="00996A9E"/>
    <w:rsid w:val="00996FA7"/>
    <w:rsid w:val="0099755F"/>
    <w:rsid w:val="0099766B"/>
    <w:rsid w:val="009A0386"/>
    <w:rsid w:val="009A0708"/>
    <w:rsid w:val="009A0FCA"/>
    <w:rsid w:val="009A1741"/>
    <w:rsid w:val="009A19E6"/>
    <w:rsid w:val="009A2021"/>
    <w:rsid w:val="009A255C"/>
    <w:rsid w:val="009A2604"/>
    <w:rsid w:val="009A2618"/>
    <w:rsid w:val="009A27A3"/>
    <w:rsid w:val="009A2C89"/>
    <w:rsid w:val="009A3658"/>
    <w:rsid w:val="009A372E"/>
    <w:rsid w:val="009A3FB8"/>
    <w:rsid w:val="009A4567"/>
    <w:rsid w:val="009A4EC1"/>
    <w:rsid w:val="009A5765"/>
    <w:rsid w:val="009A578E"/>
    <w:rsid w:val="009A5BB5"/>
    <w:rsid w:val="009A63F1"/>
    <w:rsid w:val="009A696F"/>
    <w:rsid w:val="009A7176"/>
    <w:rsid w:val="009A783B"/>
    <w:rsid w:val="009A7B96"/>
    <w:rsid w:val="009B03E3"/>
    <w:rsid w:val="009B09F9"/>
    <w:rsid w:val="009B0ADA"/>
    <w:rsid w:val="009B0B0B"/>
    <w:rsid w:val="009B0CEA"/>
    <w:rsid w:val="009B0DF3"/>
    <w:rsid w:val="009B1402"/>
    <w:rsid w:val="009B1C10"/>
    <w:rsid w:val="009B1FFB"/>
    <w:rsid w:val="009B2A61"/>
    <w:rsid w:val="009B2CFD"/>
    <w:rsid w:val="009B31EB"/>
    <w:rsid w:val="009B34E1"/>
    <w:rsid w:val="009B4773"/>
    <w:rsid w:val="009B478D"/>
    <w:rsid w:val="009B48AC"/>
    <w:rsid w:val="009B5FF0"/>
    <w:rsid w:val="009B6091"/>
    <w:rsid w:val="009B6584"/>
    <w:rsid w:val="009B6B38"/>
    <w:rsid w:val="009B6D89"/>
    <w:rsid w:val="009B6DDF"/>
    <w:rsid w:val="009B6F9E"/>
    <w:rsid w:val="009B7F94"/>
    <w:rsid w:val="009C03B3"/>
    <w:rsid w:val="009C0A14"/>
    <w:rsid w:val="009C0AFE"/>
    <w:rsid w:val="009C0FD8"/>
    <w:rsid w:val="009C1197"/>
    <w:rsid w:val="009C1448"/>
    <w:rsid w:val="009C159A"/>
    <w:rsid w:val="009C1AAB"/>
    <w:rsid w:val="009C217D"/>
    <w:rsid w:val="009C2571"/>
    <w:rsid w:val="009C2DE7"/>
    <w:rsid w:val="009C33EE"/>
    <w:rsid w:val="009C41D2"/>
    <w:rsid w:val="009C4787"/>
    <w:rsid w:val="009C4818"/>
    <w:rsid w:val="009C4A44"/>
    <w:rsid w:val="009C51BA"/>
    <w:rsid w:val="009C52D3"/>
    <w:rsid w:val="009C5D38"/>
    <w:rsid w:val="009C6879"/>
    <w:rsid w:val="009C6F95"/>
    <w:rsid w:val="009C7919"/>
    <w:rsid w:val="009D0256"/>
    <w:rsid w:val="009D0388"/>
    <w:rsid w:val="009D04D9"/>
    <w:rsid w:val="009D1593"/>
    <w:rsid w:val="009D1774"/>
    <w:rsid w:val="009D1A32"/>
    <w:rsid w:val="009D203F"/>
    <w:rsid w:val="009D20A7"/>
    <w:rsid w:val="009D224F"/>
    <w:rsid w:val="009D2D59"/>
    <w:rsid w:val="009D2D7A"/>
    <w:rsid w:val="009D322C"/>
    <w:rsid w:val="009D3529"/>
    <w:rsid w:val="009D354C"/>
    <w:rsid w:val="009D41DF"/>
    <w:rsid w:val="009D421D"/>
    <w:rsid w:val="009D4403"/>
    <w:rsid w:val="009D4F06"/>
    <w:rsid w:val="009D5259"/>
    <w:rsid w:val="009D5895"/>
    <w:rsid w:val="009D5AF8"/>
    <w:rsid w:val="009D6B12"/>
    <w:rsid w:val="009D6C20"/>
    <w:rsid w:val="009D6DCA"/>
    <w:rsid w:val="009D7555"/>
    <w:rsid w:val="009E02CA"/>
    <w:rsid w:val="009E02EC"/>
    <w:rsid w:val="009E0340"/>
    <w:rsid w:val="009E0670"/>
    <w:rsid w:val="009E0B48"/>
    <w:rsid w:val="009E0BA2"/>
    <w:rsid w:val="009E0DAE"/>
    <w:rsid w:val="009E0DB5"/>
    <w:rsid w:val="009E0F64"/>
    <w:rsid w:val="009E194D"/>
    <w:rsid w:val="009E1ACB"/>
    <w:rsid w:val="009E2274"/>
    <w:rsid w:val="009E22AF"/>
    <w:rsid w:val="009E25B9"/>
    <w:rsid w:val="009E29F2"/>
    <w:rsid w:val="009E307B"/>
    <w:rsid w:val="009E37A9"/>
    <w:rsid w:val="009E39BF"/>
    <w:rsid w:val="009E3C86"/>
    <w:rsid w:val="009E438B"/>
    <w:rsid w:val="009E4A57"/>
    <w:rsid w:val="009E4F65"/>
    <w:rsid w:val="009E5005"/>
    <w:rsid w:val="009E549B"/>
    <w:rsid w:val="009E5E3F"/>
    <w:rsid w:val="009E665A"/>
    <w:rsid w:val="009E70DF"/>
    <w:rsid w:val="009E7BA8"/>
    <w:rsid w:val="009E7E6E"/>
    <w:rsid w:val="009E7E7B"/>
    <w:rsid w:val="009E7F68"/>
    <w:rsid w:val="009F0800"/>
    <w:rsid w:val="009F09D7"/>
    <w:rsid w:val="009F0E58"/>
    <w:rsid w:val="009F1120"/>
    <w:rsid w:val="009F1507"/>
    <w:rsid w:val="009F2D1B"/>
    <w:rsid w:val="009F2F9B"/>
    <w:rsid w:val="009F3055"/>
    <w:rsid w:val="009F35BC"/>
    <w:rsid w:val="009F3CFD"/>
    <w:rsid w:val="009F4A49"/>
    <w:rsid w:val="009F4BBE"/>
    <w:rsid w:val="009F50AB"/>
    <w:rsid w:val="009F50D3"/>
    <w:rsid w:val="009F6B94"/>
    <w:rsid w:val="009F6BE4"/>
    <w:rsid w:val="009F75FD"/>
    <w:rsid w:val="009F7712"/>
    <w:rsid w:val="009F7B63"/>
    <w:rsid w:val="009F7DC0"/>
    <w:rsid w:val="009F7F12"/>
    <w:rsid w:val="009F7FB7"/>
    <w:rsid w:val="00A00248"/>
    <w:rsid w:val="00A0080B"/>
    <w:rsid w:val="00A00BA0"/>
    <w:rsid w:val="00A00CDE"/>
    <w:rsid w:val="00A00D92"/>
    <w:rsid w:val="00A00F5E"/>
    <w:rsid w:val="00A0138C"/>
    <w:rsid w:val="00A021D3"/>
    <w:rsid w:val="00A02663"/>
    <w:rsid w:val="00A030CB"/>
    <w:rsid w:val="00A03695"/>
    <w:rsid w:val="00A0379A"/>
    <w:rsid w:val="00A03C34"/>
    <w:rsid w:val="00A04237"/>
    <w:rsid w:val="00A04399"/>
    <w:rsid w:val="00A04725"/>
    <w:rsid w:val="00A05147"/>
    <w:rsid w:val="00A05202"/>
    <w:rsid w:val="00A056F4"/>
    <w:rsid w:val="00A05993"/>
    <w:rsid w:val="00A0599D"/>
    <w:rsid w:val="00A05F0F"/>
    <w:rsid w:val="00A06A40"/>
    <w:rsid w:val="00A06B07"/>
    <w:rsid w:val="00A06B7C"/>
    <w:rsid w:val="00A1071D"/>
    <w:rsid w:val="00A10BDF"/>
    <w:rsid w:val="00A11074"/>
    <w:rsid w:val="00A11EA2"/>
    <w:rsid w:val="00A12194"/>
    <w:rsid w:val="00A12547"/>
    <w:rsid w:val="00A1257C"/>
    <w:rsid w:val="00A12648"/>
    <w:rsid w:val="00A132E6"/>
    <w:rsid w:val="00A13AE2"/>
    <w:rsid w:val="00A143EE"/>
    <w:rsid w:val="00A14C8E"/>
    <w:rsid w:val="00A152BA"/>
    <w:rsid w:val="00A15711"/>
    <w:rsid w:val="00A15819"/>
    <w:rsid w:val="00A16A79"/>
    <w:rsid w:val="00A1714E"/>
    <w:rsid w:val="00A173F9"/>
    <w:rsid w:val="00A17525"/>
    <w:rsid w:val="00A17699"/>
    <w:rsid w:val="00A17759"/>
    <w:rsid w:val="00A17946"/>
    <w:rsid w:val="00A17B60"/>
    <w:rsid w:val="00A212B2"/>
    <w:rsid w:val="00A21AFE"/>
    <w:rsid w:val="00A22371"/>
    <w:rsid w:val="00A224EE"/>
    <w:rsid w:val="00A225BB"/>
    <w:rsid w:val="00A22BE7"/>
    <w:rsid w:val="00A233E6"/>
    <w:rsid w:val="00A23BE0"/>
    <w:rsid w:val="00A23E0E"/>
    <w:rsid w:val="00A23EA2"/>
    <w:rsid w:val="00A23F42"/>
    <w:rsid w:val="00A23FBB"/>
    <w:rsid w:val="00A243DF"/>
    <w:rsid w:val="00A24E56"/>
    <w:rsid w:val="00A25112"/>
    <w:rsid w:val="00A255B7"/>
    <w:rsid w:val="00A25EFE"/>
    <w:rsid w:val="00A25F02"/>
    <w:rsid w:val="00A26546"/>
    <w:rsid w:val="00A2681F"/>
    <w:rsid w:val="00A26CAD"/>
    <w:rsid w:val="00A26DD3"/>
    <w:rsid w:val="00A2763C"/>
    <w:rsid w:val="00A27B30"/>
    <w:rsid w:val="00A27DC0"/>
    <w:rsid w:val="00A27E4E"/>
    <w:rsid w:val="00A30065"/>
    <w:rsid w:val="00A307A4"/>
    <w:rsid w:val="00A30843"/>
    <w:rsid w:val="00A30C15"/>
    <w:rsid w:val="00A30F27"/>
    <w:rsid w:val="00A31AA4"/>
    <w:rsid w:val="00A31BD1"/>
    <w:rsid w:val="00A32108"/>
    <w:rsid w:val="00A331D2"/>
    <w:rsid w:val="00A33592"/>
    <w:rsid w:val="00A33825"/>
    <w:rsid w:val="00A33C39"/>
    <w:rsid w:val="00A3483E"/>
    <w:rsid w:val="00A348AF"/>
    <w:rsid w:val="00A34A5A"/>
    <w:rsid w:val="00A34CC4"/>
    <w:rsid w:val="00A34D50"/>
    <w:rsid w:val="00A34F34"/>
    <w:rsid w:val="00A35062"/>
    <w:rsid w:val="00A357A3"/>
    <w:rsid w:val="00A35A0B"/>
    <w:rsid w:val="00A37AB5"/>
    <w:rsid w:val="00A404B3"/>
    <w:rsid w:val="00A40D7B"/>
    <w:rsid w:val="00A416BC"/>
    <w:rsid w:val="00A416E0"/>
    <w:rsid w:val="00A420C1"/>
    <w:rsid w:val="00A42123"/>
    <w:rsid w:val="00A42646"/>
    <w:rsid w:val="00A42E41"/>
    <w:rsid w:val="00A42E95"/>
    <w:rsid w:val="00A436DD"/>
    <w:rsid w:val="00A43BDF"/>
    <w:rsid w:val="00A43C37"/>
    <w:rsid w:val="00A447A6"/>
    <w:rsid w:val="00A4506C"/>
    <w:rsid w:val="00A4533D"/>
    <w:rsid w:val="00A459EB"/>
    <w:rsid w:val="00A463B7"/>
    <w:rsid w:val="00A468C7"/>
    <w:rsid w:val="00A47409"/>
    <w:rsid w:val="00A4749D"/>
    <w:rsid w:val="00A47753"/>
    <w:rsid w:val="00A47D81"/>
    <w:rsid w:val="00A47E5B"/>
    <w:rsid w:val="00A503CF"/>
    <w:rsid w:val="00A50569"/>
    <w:rsid w:val="00A505CC"/>
    <w:rsid w:val="00A50D4A"/>
    <w:rsid w:val="00A51367"/>
    <w:rsid w:val="00A516A9"/>
    <w:rsid w:val="00A51936"/>
    <w:rsid w:val="00A51F62"/>
    <w:rsid w:val="00A51FAF"/>
    <w:rsid w:val="00A521ED"/>
    <w:rsid w:val="00A52407"/>
    <w:rsid w:val="00A52738"/>
    <w:rsid w:val="00A542BF"/>
    <w:rsid w:val="00A54559"/>
    <w:rsid w:val="00A54AB6"/>
    <w:rsid w:val="00A54B1C"/>
    <w:rsid w:val="00A54E77"/>
    <w:rsid w:val="00A55580"/>
    <w:rsid w:val="00A55C0A"/>
    <w:rsid w:val="00A55FCA"/>
    <w:rsid w:val="00A5622B"/>
    <w:rsid w:val="00A56E2D"/>
    <w:rsid w:val="00A56EDF"/>
    <w:rsid w:val="00A56F65"/>
    <w:rsid w:val="00A570EB"/>
    <w:rsid w:val="00A5714E"/>
    <w:rsid w:val="00A573C3"/>
    <w:rsid w:val="00A57621"/>
    <w:rsid w:val="00A60CD2"/>
    <w:rsid w:val="00A60CDA"/>
    <w:rsid w:val="00A615CD"/>
    <w:rsid w:val="00A626C9"/>
    <w:rsid w:val="00A631F0"/>
    <w:rsid w:val="00A63231"/>
    <w:rsid w:val="00A634DC"/>
    <w:rsid w:val="00A63A68"/>
    <w:rsid w:val="00A63DFB"/>
    <w:rsid w:val="00A63EE2"/>
    <w:rsid w:val="00A63F2F"/>
    <w:rsid w:val="00A643AB"/>
    <w:rsid w:val="00A643AF"/>
    <w:rsid w:val="00A644DB"/>
    <w:rsid w:val="00A64540"/>
    <w:rsid w:val="00A65707"/>
    <w:rsid w:val="00A65A30"/>
    <w:rsid w:val="00A661A8"/>
    <w:rsid w:val="00A66565"/>
    <w:rsid w:val="00A668DC"/>
    <w:rsid w:val="00A66BE4"/>
    <w:rsid w:val="00A6788E"/>
    <w:rsid w:val="00A679F5"/>
    <w:rsid w:val="00A70731"/>
    <w:rsid w:val="00A70BB4"/>
    <w:rsid w:val="00A71078"/>
    <w:rsid w:val="00A7132D"/>
    <w:rsid w:val="00A7263E"/>
    <w:rsid w:val="00A73067"/>
    <w:rsid w:val="00A732A0"/>
    <w:rsid w:val="00A74355"/>
    <w:rsid w:val="00A74A3A"/>
    <w:rsid w:val="00A74A45"/>
    <w:rsid w:val="00A74CB4"/>
    <w:rsid w:val="00A751BB"/>
    <w:rsid w:val="00A75D16"/>
    <w:rsid w:val="00A75E59"/>
    <w:rsid w:val="00A76622"/>
    <w:rsid w:val="00A768AB"/>
    <w:rsid w:val="00A770F6"/>
    <w:rsid w:val="00A7758C"/>
    <w:rsid w:val="00A77876"/>
    <w:rsid w:val="00A803C4"/>
    <w:rsid w:val="00A804B3"/>
    <w:rsid w:val="00A80980"/>
    <w:rsid w:val="00A80C3C"/>
    <w:rsid w:val="00A81FFA"/>
    <w:rsid w:val="00A82061"/>
    <w:rsid w:val="00A824DC"/>
    <w:rsid w:val="00A82718"/>
    <w:rsid w:val="00A828A5"/>
    <w:rsid w:val="00A82946"/>
    <w:rsid w:val="00A82C54"/>
    <w:rsid w:val="00A83922"/>
    <w:rsid w:val="00A839DD"/>
    <w:rsid w:val="00A83A08"/>
    <w:rsid w:val="00A83F49"/>
    <w:rsid w:val="00A84B40"/>
    <w:rsid w:val="00A85034"/>
    <w:rsid w:val="00A85557"/>
    <w:rsid w:val="00A855D8"/>
    <w:rsid w:val="00A85776"/>
    <w:rsid w:val="00A858C3"/>
    <w:rsid w:val="00A86467"/>
    <w:rsid w:val="00A866FE"/>
    <w:rsid w:val="00A86D51"/>
    <w:rsid w:val="00A87307"/>
    <w:rsid w:val="00A87349"/>
    <w:rsid w:val="00A87A60"/>
    <w:rsid w:val="00A90138"/>
    <w:rsid w:val="00A909B9"/>
    <w:rsid w:val="00A918A6"/>
    <w:rsid w:val="00A92529"/>
    <w:rsid w:val="00A929F3"/>
    <w:rsid w:val="00A92A38"/>
    <w:rsid w:val="00A92B36"/>
    <w:rsid w:val="00A92C42"/>
    <w:rsid w:val="00A93064"/>
    <w:rsid w:val="00A9318E"/>
    <w:rsid w:val="00A93261"/>
    <w:rsid w:val="00A9367D"/>
    <w:rsid w:val="00A9374A"/>
    <w:rsid w:val="00A93B01"/>
    <w:rsid w:val="00A94593"/>
    <w:rsid w:val="00A946A3"/>
    <w:rsid w:val="00A94A8F"/>
    <w:rsid w:val="00A952C9"/>
    <w:rsid w:val="00A95870"/>
    <w:rsid w:val="00A95A38"/>
    <w:rsid w:val="00A95B63"/>
    <w:rsid w:val="00A95C37"/>
    <w:rsid w:val="00A95F30"/>
    <w:rsid w:val="00A962E4"/>
    <w:rsid w:val="00A96B43"/>
    <w:rsid w:val="00A96E8C"/>
    <w:rsid w:val="00A96F54"/>
    <w:rsid w:val="00A9747F"/>
    <w:rsid w:val="00A97A63"/>
    <w:rsid w:val="00A97B05"/>
    <w:rsid w:val="00AA031E"/>
    <w:rsid w:val="00AA0542"/>
    <w:rsid w:val="00AA10E7"/>
    <w:rsid w:val="00AA13D7"/>
    <w:rsid w:val="00AA1755"/>
    <w:rsid w:val="00AA1C9F"/>
    <w:rsid w:val="00AA1D7C"/>
    <w:rsid w:val="00AA2294"/>
    <w:rsid w:val="00AA2B69"/>
    <w:rsid w:val="00AA2C6F"/>
    <w:rsid w:val="00AA3655"/>
    <w:rsid w:val="00AA3B1A"/>
    <w:rsid w:val="00AA44B7"/>
    <w:rsid w:val="00AA490E"/>
    <w:rsid w:val="00AA492F"/>
    <w:rsid w:val="00AA4992"/>
    <w:rsid w:val="00AA49E0"/>
    <w:rsid w:val="00AA4B2D"/>
    <w:rsid w:val="00AA4E63"/>
    <w:rsid w:val="00AA4F8A"/>
    <w:rsid w:val="00AA5263"/>
    <w:rsid w:val="00AA5EC5"/>
    <w:rsid w:val="00AA625A"/>
    <w:rsid w:val="00AA67C2"/>
    <w:rsid w:val="00AA69DA"/>
    <w:rsid w:val="00AA6A16"/>
    <w:rsid w:val="00AA6FBB"/>
    <w:rsid w:val="00AA72BD"/>
    <w:rsid w:val="00AB0167"/>
    <w:rsid w:val="00AB0F67"/>
    <w:rsid w:val="00AB1513"/>
    <w:rsid w:val="00AB1B26"/>
    <w:rsid w:val="00AB20F9"/>
    <w:rsid w:val="00AB32DF"/>
    <w:rsid w:val="00AB3584"/>
    <w:rsid w:val="00AB360E"/>
    <w:rsid w:val="00AB364C"/>
    <w:rsid w:val="00AB379D"/>
    <w:rsid w:val="00AB46B9"/>
    <w:rsid w:val="00AB4EB6"/>
    <w:rsid w:val="00AB5509"/>
    <w:rsid w:val="00AB5985"/>
    <w:rsid w:val="00AB5AB7"/>
    <w:rsid w:val="00AB6126"/>
    <w:rsid w:val="00AB674E"/>
    <w:rsid w:val="00AB6AE3"/>
    <w:rsid w:val="00AB7734"/>
    <w:rsid w:val="00AC0E04"/>
    <w:rsid w:val="00AC1154"/>
    <w:rsid w:val="00AC1267"/>
    <w:rsid w:val="00AC159A"/>
    <w:rsid w:val="00AC1625"/>
    <w:rsid w:val="00AC2181"/>
    <w:rsid w:val="00AC347F"/>
    <w:rsid w:val="00AC3BFE"/>
    <w:rsid w:val="00AC44C3"/>
    <w:rsid w:val="00AC477F"/>
    <w:rsid w:val="00AC5065"/>
    <w:rsid w:val="00AC5E97"/>
    <w:rsid w:val="00AC5F52"/>
    <w:rsid w:val="00AC686D"/>
    <w:rsid w:val="00AC6BFF"/>
    <w:rsid w:val="00AC7146"/>
    <w:rsid w:val="00AC7209"/>
    <w:rsid w:val="00AC7375"/>
    <w:rsid w:val="00AC7CB9"/>
    <w:rsid w:val="00AC7EDF"/>
    <w:rsid w:val="00AD035C"/>
    <w:rsid w:val="00AD10F1"/>
    <w:rsid w:val="00AD178D"/>
    <w:rsid w:val="00AD17C6"/>
    <w:rsid w:val="00AD1F82"/>
    <w:rsid w:val="00AD2244"/>
    <w:rsid w:val="00AD26A6"/>
    <w:rsid w:val="00AD2DDB"/>
    <w:rsid w:val="00AD2E0C"/>
    <w:rsid w:val="00AD2ED7"/>
    <w:rsid w:val="00AD3242"/>
    <w:rsid w:val="00AD3417"/>
    <w:rsid w:val="00AD3446"/>
    <w:rsid w:val="00AD34A0"/>
    <w:rsid w:val="00AD3C94"/>
    <w:rsid w:val="00AD4193"/>
    <w:rsid w:val="00AD45BD"/>
    <w:rsid w:val="00AD520A"/>
    <w:rsid w:val="00AD5470"/>
    <w:rsid w:val="00AD5C7B"/>
    <w:rsid w:val="00AD5EE6"/>
    <w:rsid w:val="00AD631C"/>
    <w:rsid w:val="00AD65AB"/>
    <w:rsid w:val="00AD682F"/>
    <w:rsid w:val="00AD69BB"/>
    <w:rsid w:val="00AD7359"/>
    <w:rsid w:val="00AE00A4"/>
    <w:rsid w:val="00AE06E0"/>
    <w:rsid w:val="00AE0817"/>
    <w:rsid w:val="00AE0847"/>
    <w:rsid w:val="00AE08D8"/>
    <w:rsid w:val="00AE0BA2"/>
    <w:rsid w:val="00AE14ED"/>
    <w:rsid w:val="00AE192A"/>
    <w:rsid w:val="00AE1E2E"/>
    <w:rsid w:val="00AE24CB"/>
    <w:rsid w:val="00AE255D"/>
    <w:rsid w:val="00AE2D6E"/>
    <w:rsid w:val="00AE3038"/>
    <w:rsid w:val="00AE32FA"/>
    <w:rsid w:val="00AE3547"/>
    <w:rsid w:val="00AE3D62"/>
    <w:rsid w:val="00AE4160"/>
    <w:rsid w:val="00AE4AB5"/>
    <w:rsid w:val="00AE4D41"/>
    <w:rsid w:val="00AE50A0"/>
    <w:rsid w:val="00AE5F29"/>
    <w:rsid w:val="00AE6148"/>
    <w:rsid w:val="00AE6DC5"/>
    <w:rsid w:val="00AE7030"/>
    <w:rsid w:val="00AE772F"/>
    <w:rsid w:val="00AE7B14"/>
    <w:rsid w:val="00AF04D7"/>
    <w:rsid w:val="00AF0E75"/>
    <w:rsid w:val="00AF2110"/>
    <w:rsid w:val="00AF2E73"/>
    <w:rsid w:val="00AF2F58"/>
    <w:rsid w:val="00AF32FA"/>
    <w:rsid w:val="00AF3368"/>
    <w:rsid w:val="00AF3946"/>
    <w:rsid w:val="00AF404A"/>
    <w:rsid w:val="00AF40DC"/>
    <w:rsid w:val="00AF46BD"/>
    <w:rsid w:val="00AF4846"/>
    <w:rsid w:val="00AF49F2"/>
    <w:rsid w:val="00AF5127"/>
    <w:rsid w:val="00AF59C1"/>
    <w:rsid w:val="00AF5AFE"/>
    <w:rsid w:val="00AF6B64"/>
    <w:rsid w:val="00AF6B71"/>
    <w:rsid w:val="00AF6EE7"/>
    <w:rsid w:val="00AF73F5"/>
    <w:rsid w:val="00AF78ED"/>
    <w:rsid w:val="00AF7DB0"/>
    <w:rsid w:val="00AF7E32"/>
    <w:rsid w:val="00B00D48"/>
    <w:rsid w:val="00B017D7"/>
    <w:rsid w:val="00B018F7"/>
    <w:rsid w:val="00B01C70"/>
    <w:rsid w:val="00B0249A"/>
    <w:rsid w:val="00B025E9"/>
    <w:rsid w:val="00B028B5"/>
    <w:rsid w:val="00B032C7"/>
    <w:rsid w:val="00B0359C"/>
    <w:rsid w:val="00B04212"/>
    <w:rsid w:val="00B04723"/>
    <w:rsid w:val="00B050A4"/>
    <w:rsid w:val="00B06076"/>
    <w:rsid w:val="00B06EE9"/>
    <w:rsid w:val="00B10185"/>
    <w:rsid w:val="00B101FF"/>
    <w:rsid w:val="00B113A3"/>
    <w:rsid w:val="00B1159D"/>
    <w:rsid w:val="00B11767"/>
    <w:rsid w:val="00B11B57"/>
    <w:rsid w:val="00B11EE1"/>
    <w:rsid w:val="00B12051"/>
    <w:rsid w:val="00B12849"/>
    <w:rsid w:val="00B13C48"/>
    <w:rsid w:val="00B13E25"/>
    <w:rsid w:val="00B13F28"/>
    <w:rsid w:val="00B145FB"/>
    <w:rsid w:val="00B153BF"/>
    <w:rsid w:val="00B1558A"/>
    <w:rsid w:val="00B15CE8"/>
    <w:rsid w:val="00B16A2C"/>
    <w:rsid w:val="00B16A81"/>
    <w:rsid w:val="00B16C90"/>
    <w:rsid w:val="00B16D3E"/>
    <w:rsid w:val="00B1706C"/>
    <w:rsid w:val="00B203B1"/>
    <w:rsid w:val="00B20604"/>
    <w:rsid w:val="00B20D0A"/>
    <w:rsid w:val="00B20EAF"/>
    <w:rsid w:val="00B21177"/>
    <w:rsid w:val="00B21669"/>
    <w:rsid w:val="00B2187B"/>
    <w:rsid w:val="00B24B0B"/>
    <w:rsid w:val="00B24C58"/>
    <w:rsid w:val="00B26665"/>
    <w:rsid w:val="00B266C8"/>
    <w:rsid w:val="00B268B8"/>
    <w:rsid w:val="00B301C6"/>
    <w:rsid w:val="00B30B6D"/>
    <w:rsid w:val="00B314FD"/>
    <w:rsid w:val="00B315C7"/>
    <w:rsid w:val="00B31F4C"/>
    <w:rsid w:val="00B3240C"/>
    <w:rsid w:val="00B3254D"/>
    <w:rsid w:val="00B32660"/>
    <w:rsid w:val="00B33340"/>
    <w:rsid w:val="00B33F14"/>
    <w:rsid w:val="00B34816"/>
    <w:rsid w:val="00B348F2"/>
    <w:rsid w:val="00B34B3C"/>
    <w:rsid w:val="00B355EA"/>
    <w:rsid w:val="00B35B28"/>
    <w:rsid w:val="00B35EC9"/>
    <w:rsid w:val="00B36C10"/>
    <w:rsid w:val="00B36CE1"/>
    <w:rsid w:val="00B36D05"/>
    <w:rsid w:val="00B37404"/>
    <w:rsid w:val="00B37C1D"/>
    <w:rsid w:val="00B401FA"/>
    <w:rsid w:val="00B40ADE"/>
    <w:rsid w:val="00B412C9"/>
    <w:rsid w:val="00B4171F"/>
    <w:rsid w:val="00B41F72"/>
    <w:rsid w:val="00B420FD"/>
    <w:rsid w:val="00B4227F"/>
    <w:rsid w:val="00B426FA"/>
    <w:rsid w:val="00B42793"/>
    <w:rsid w:val="00B42893"/>
    <w:rsid w:val="00B43C2C"/>
    <w:rsid w:val="00B43EFD"/>
    <w:rsid w:val="00B44E1B"/>
    <w:rsid w:val="00B455E0"/>
    <w:rsid w:val="00B45985"/>
    <w:rsid w:val="00B45BD4"/>
    <w:rsid w:val="00B461D2"/>
    <w:rsid w:val="00B472DE"/>
    <w:rsid w:val="00B47359"/>
    <w:rsid w:val="00B47FC7"/>
    <w:rsid w:val="00B51A69"/>
    <w:rsid w:val="00B51C56"/>
    <w:rsid w:val="00B51F5E"/>
    <w:rsid w:val="00B52682"/>
    <w:rsid w:val="00B527C5"/>
    <w:rsid w:val="00B5308F"/>
    <w:rsid w:val="00B538E3"/>
    <w:rsid w:val="00B53FD9"/>
    <w:rsid w:val="00B54192"/>
    <w:rsid w:val="00B541DC"/>
    <w:rsid w:val="00B550D0"/>
    <w:rsid w:val="00B55195"/>
    <w:rsid w:val="00B55C00"/>
    <w:rsid w:val="00B5662F"/>
    <w:rsid w:val="00B56F82"/>
    <w:rsid w:val="00B57122"/>
    <w:rsid w:val="00B57138"/>
    <w:rsid w:val="00B57622"/>
    <w:rsid w:val="00B5798A"/>
    <w:rsid w:val="00B57FC1"/>
    <w:rsid w:val="00B6023B"/>
    <w:rsid w:val="00B609F4"/>
    <w:rsid w:val="00B6146D"/>
    <w:rsid w:val="00B61666"/>
    <w:rsid w:val="00B629A6"/>
    <w:rsid w:val="00B629D5"/>
    <w:rsid w:val="00B62E1E"/>
    <w:rsid w:val="00B62FE0"/>
    <w:rsid w:val="00B632E6"/>
    <w:rsid w:val="00B63C94"/>
    <w:rsid w:val="00B64B02"/>
    <w:rsid w:val="00B65563"/>
    <w:rsid w:val="00B6586A"/>
    <w:rsid w:val="00B66745"/>
    <w:rsid w:val="00B667D8"/>
    <w:rsid w:val="00B66F57"/>
    <w:rsid w:val="00B6744B"/>
    <w:rsid w:val="00B6747D"/>
    <w:rsid w:val="00B677FD"/>
    <w:rsid w:val="00B703A8"/>
    <w:rsid w:val="00B7047A"/>
    <w:rsid w:val="00B704D0"/>
    <w:rsid w:val="00B70DF2"/>
    <w:rsid w:val="00B70E99"/>
    <w:rsid w:val="00B713E1"/>
    <w:rsid w:val="00B71489"/>
    <w:rsid w:val="00B71B10"/>
    <w:rsid w:val="00B71F89"/>
    <w:rsid w:val="00B72589"/>
    <w:rsid w:val="00B725F5"/>
    <w:rsid w:val="00B72F56"/>
    <w:rsid w:val="00B73705"/>
    <w:rsid w:val="00B73804"/>
    <w:rsid w:val="00B74103"/>
    <w:rsid w:val="00B74383"/>
    <w:rsid w:val="00B74F96"/>
    <w:rsid w:val="00B75581"/>
    <w:rsid w:val="00B75698"/>
    <w:rsid w:val="00B7610D"/>
    <w:rsid w:val="00B7613D"/>
    <w:rsid w:val="00B761CB"/>
    <w:rsid w:val="00B766BD"/>
    <w:rsid w:val="00B76F3A"/>
    <w:rsid w:val="00B770A0"/>
    <w:rsid w:val="00B77387"/>
    <w:rsid w:val="00B77388"/>
    <w:rsid w:val="00B77602"/>
    <w:rsid w:val="00B77612"/>
    <w:rsid w:val="00B777B4"/>
    <w:rsid w:val="00B777FB"/>
    <w:rsid w:val="00B779B4"/>
    <w:rsid w:val="00B77AB4"/>
    <w:rsid w:val="00B77B4F"/>
    <w:rsid w:val="00B802DF"/>
    <w:rsid w:val="00B80B40"/>
    <w:rsid w:val="00B81328"/>
    <w:rsid w:val="00B82432"/>
    <w:rsid w:val="00B82598"/>
    <w:rsid w:val="00B82B68"/>
    <w:rsid w:val="00B82F93"/>
    <w:rsid w:val="00B841F2"/>
    <w:rsid w:val="00B84E09"/>
    <w:rsid w:val="00B84E96"/>
    <w:rsid w:val="00B852B3"/>
    <w:rsid w:val="00B854F1"/>
    <w:rsid w:val="00B85566"/>
    <w:rsid w:val="00B85D9D"/>
    <w:rsid w:val="00B85F7B"/>
    <w:rsid w:val="00B86054"/>
    <w:rsid w:val="00B860E6"/>
    <w:rsid w:val="00B869DD"/>
    <w:rsid w:val="00B869F3"/>
    <w:rsid w:val="00B90161"/>
    <w:rsid w:val="00B9022A"/>
    <w:rsid w:val="00B9046E"/>
    <w:rsid w:val="00B90681"/>
    <w:rsid w:val="00B90B51"/>
    <w:rsid w:val="00B91A99"/>
    <w:rsid w:val="00B91A9E"/>
    <w:rsid w:val="00B91B20"/>
    <w:rsid w:val="00B91EA3"/>
    <w:rsid w:val="00B92019"/>
    <w:rsid w:val="00B9227F"/>
    <w:rsid w:val="00B930B6"/>
    <w:rsid w:val="00B9350E"/>
    <w:rsid w:val="00B93574"/>
    <w:rsid w:val="00B93789"/>
    <w:rsid w:val="00B94123"/>
    <w:rsid w:val="00B9434F"/>
    <w:rsid w:val="00B947BA"/>
    <w:rsid w:val="00B947C5"/>
    <w:rsid w:val="00B9487D"/>
    <w:rsid w:val="00B94A46"/>
    <w:rsid w:val="00B94D45"/>
    <w:rsid w:val="00B94DF1"/>
    <w:rsid w:val="00B94ECE"/>
    <w:rsid w:val="00B95076"/>
    <w:rsid w:val="00B9559B"/>
    <w:rsid w:val="00B955CD"/>
    <w:rsid w:val="00B955FD"/>
    <w:rsid w:val="00B95FBC"/>
    <w:rsid w:val="00B9666F"/>
    <w:rsid w:val="00B966CE"/>
    <w:rsid w:val="00B96D64"/>
    <w:rsid w:val="00B96EC8"/>
    <w:rsid w:val="00B97446"/>
    <w:rsid w:val="00B97546"/>
    <w:rsid w:val="00BA01D6"/>
    <w:rsid w:val="00BA0251"/>
    <w:rsid w:val="00BA1206"/>
    <w:rsid w:val="00BA1242"/>
    <w:rsid w:val="00BA1498"/>
    <w:rsid w:val="00BA172B"/>
    <w:rsid w:val="00BA2091"/>
    <w:rsid w:val="00BA241D"/>
    <w:rsid w:val="00BA29C9"/>
    <w:rsid w:val="00BA2B18"/>
    <w:rsid w:val="00BA30C7"/>
    <w:rsid w:val="00BA342A"/>
    <w:rsid w:val="00BA407E"/>
    <w:rsid w:val="00BA424C"/>
    <w:rsid w:val="00BA4E82"/>
    <w:rsid w:val="00BA586F"/>
    <w:rsid w:val="00BA587D"/>
    <w:rsid w:val="00BA5B46"/>
    <w:rsid w:val="00BA5BAB"/>
    <w:rsid w:val="00BA64D4"/>
    <w:rsid w:val="00BA69E7"/>
    <w:rsid w:val="00BA6B05"/>
    <w:rsid w:val="00BA6FEB"/>
    <w:rsid w:val="00BA760D"/>
    <w:rsid w:val="00BA7759"/>
    <w:rsid w:val="00BA7F2D"/>
    <w:rsid w:val="00BB0DC3"/>
    <w:rsid w:val="00BB17F2"/>
    <w:rsid w:val="00BB2112"/>
    <w:rsid w:val="00BB219C"/>
    <w:rsid w:val="00BB21D4"/>
    <w:rsid w:val="00BB2604"/>
    <w:rsid w:val="00BB26FE"/>
    <w:rsid w:val="00BB384D"/>
    <w:rsid w:val="00BB3B4E"/>
    <w:rsid w:val="00BB45FA"/>
    <w:rsid w:val="00BB4D6C"/>
    <w:rsid w:val="00BB4FB8"/>
    <w:rsid w:val="00BB501A"/>
    <w:rsid w:val="00BB5906"/>
    <w:rsid w:val="00BB5DA8"/>
    <w:rsid w:val="00BB6556"/>
    <w:rsid w:val="00BB6D4D"/>
    <w:rsid w:val="00BB6EC2"/>
    <w:rsid w:val="00BB7449"/>
    <w:rsid w:val="00BB7C2F"/>
    <w:rsid w:val="00BB7E63"/>
    <w:rsid w:val="00BC0664"/>
    <w:rsid w:val="00BC0A01"/>
    <w:rsid w:val="00BC0C12"/>
    <w:rsid w:val="00BC0C26"/>
    <w:rsid w:val="00BC0FFD"/>
    <w:rsid w:val="00BC1016"/>
    <w:rsid w:val="00BC1E53"/>
    <w:rsid w:val="00BC234D"/>
    <w:rsid w:val="00BC23E2"/>
    <w:rsid w:val="00BC25A4"/>
    <w:rsid w:val="00BC2842"/>
    <w:rsid w:val="00BC2FC0"/>
    <w:rsid w:val="00BC4066"/>
    <w:rsid w:val="00BC44FE"/>
    <w:rsid w:val="00BC4964"/>
    <w:rsid w:val="00BC566B"/>
    <w:rsid w:val="00BC5A53"/>
    <w:rsid w:val="00BC6099"/>
    <w:rsid w:val="00BC6224"/>
    <w:rsid w:val="00BC632F"/>
    <w:rsid w:val="00BC651E"/>
    <w:rsid w:val="00BC66C8"/>
    <w:rsid w:val="00BC74D4"/>
    <w:rsid w:val="00BD00CC"/>
    <w:rsid w:val="00BD04AA"/>
    <w:rsid w:val="00BD0819"/>
    <w:rsid w:val="00BD0A27"/>
    <w:rsid w:val="00BD1CB8"/>
    <w:rsid w:val="00BD20CE"/>
    <w:rsid w:val="00BD2351"/>
    <w:rsid w:val="00BD2601"/>
    <w:rsid w:val="00BD2ADF"/>
    <w:rsid w:val="00BD2F1B"/>
    <w:rsid w:val="00BD3315"/>
    <w:rsid w:val="00BD375E"/>
    <w:rsid w:val="00BD3A65"/>
    <w:rsid w:val="00BD3DAD"/>
    <w:rsid w:val="00BD3FD3"/>
    <w:rsid w:val="00BD417D"/>
    <w:rsid w:val="00BD41B6"/>
    <w:rsid w:val="00BD42FE"/>
    <w:rsid w:val="00BD45BE"/>
    <w:rsid w:val="00BD4B6F"/>
    <w:rsid w:val="00BD4D78"/>
    <w:rsid w:val="00BD52E5"/>
    <w:rsid w:val="00BD5B1C"/>
    <w:rsid w:val="00BD5F93"/>
    <w:rsid w:val="00BD66DD"/>
    <w:rsid w:val="00BD70F3"/>
    <w:rsid w:val="00BD7986"/>
    <w:rsid w:val="00BE027C"/>
    <w:rsid w:val="00BE13C7"/>
    <w:rsid w:val="00BE154D"/>
    <w:rsid w:val="00BE35F3"/>
    <w:rsid w:val="00BE3BD4"/>
    <w:rsid w:val="00BE3FF7"/>
    <w:rsid w:val="00BE4048"/>
    <w:rsid w:val="00BE4164"/>
    <w:rsid w:val="00BE4661"/>
    <w:rsid w:val="00BE4954"/>
    <w:rsid w:val="00BE4AF9"/>
    <w:rsid w:val="00BE5119"/>
    <w:rsid w:val="00BE5CA9"/>
    <w:rsid w:val="00BE5D46"/>
    <w:rsid w:val="00BE5EDA"/>
    <w:rsid w:val="00BE6118"/>
    <w:rsid w:val="00BE6B96"/>
    <w:rsid w:val="00BE6BE0"/>
    <w:rsid w:val="00BE6E4A"/>
    <w:rsid w:val="00BE79E4"/>
    <w:rsid w:val="00BE7E16"/>
    <w:rsid w:val="00BF0EAB"/>
    <w:rsid w:val="00BF0FBC"/>
    <w:rsid w:val="00BF152E"/>
    <w:rsid w:val="00BF1ACA"/>
    <w:rsid w:val="00BF2696"/>
    <w:rsid w:val="00BF29C5"/>
    <w:rsid w:val="00BF2BA9"/>
    <w:rsid w:val="00BF2F25"/>
    <w:rsid w:val="00BF334D"/>
    <w:rsid w:val="00BF352A"/>
    <w:rsid w:val="00BF3CFE"/>
    <w:rsid w:val="00BF4419"/>
    <w:rsid w:val="00BF44B7"/>
    <w:rsid w:val="00BF58EF"/>
    <w:rsid w:val="00BF60EC"/>
    <w:rsid w:val="00BF6106"/>
    <w:rsid w:val="00BF6260"/>
    <w:rsid w:val="00BF662C"/>
    <w:rsid w:val="00BF67F6"/>
    <w:rsid w:val="00BF69BB"/>
    <w:rsid w:val="00BF6B2F"/>
    <w:rsid w:val="00BF6F40"/>
    <w:rsid w:val="00BF7152"/>
    <w:rsid w:val="00BF7666"/>
    <w:rsid w:val="00BF78B9"/>
    <w:rsid w:val="00BF7EFE"/>
    <w:rsid w:val="00C0001E"/>
    <w:rsid w:val="00C006B1"/>
    <w:rsid w:val="00C00E02"/>
    <w:rsid w:val="00C010A1"/>
    <w:rsid w:val="00C011D5"/>
    <w:rsid w:val="00C01696"/>
    <w:rsid w:val="00C01707"/>
    <w:rsid w:val="00C01A63"/>
    <w:rsid w:val="00C02B1C"/>
    <w:rsid w:val="00C02DD8"/>
    <w:rsid w:val="00C035AB"/>
    <w:rsid w:val="00C03758"/>
    <w:rsid w:val="00C03A50"/>
    <w:rsid w:val="00C03D04"/>
    <w:rsid w:val="00C042DD"/>
    <w:rsid w:val="00C04AB0"/>
    <w:rsid w:val="00C04D85"/>
    <w:rsid w:val="00C05013"/>
    <w:rsid w:val="00C053F1"/>
    <w:rsid w:val="00C054D2"/>
    <w:rsid w:val="00C05575"/>
    <w:rsid w:val="00C056E5"/>
    <w:rsid w:val="00C06153"/>
    <w:rsid w:val="00C0681A"/>
    <w:rsid w:val="00C06AFA"/>
    <w:rsid w:val="00C06F0B"/>
    <w:rsid w:val="00C070BE"/>
    <w:rsid w:val="00C07661"/>
    <w:rsid w:val="00C10275"/>
    <w:rsid w:val="00C10B4E"/>
    <w:rsid w:val="00C11205"/>
    <w:rsid w:val="00C11435"/>
    <w:rsid w:val="00C12165"/>
    <w:rsid w:val="00C1258D"/>
    <w:rsid w:val="00C12855"/>
    <w:rsid w:val="00C12E25"/>
    <w:rsid w:val="00C12E42"/>
    <w:rsid w:val="00C13381"/>
    <w:rsid w:val="00C13DDA"/>
    <w:rsid w:val="00C13E6E"/>
    <w:rsid w:val="00C13ED7"/>
    <w:rsid w:val="00C140AD"/>
    <w:rsid w:val="00C1495F"/>
    <w:rsid w:val="00C15857"/>
    <w:rsid w:val="00C15968"/>
    <w:rsid w:val="00C1607B"/>
    <w:rsid w:val="00C16080"/>
    <w:rsid w:val="00C165C1"/>
    <w:rsid w:val="00C167DD"/>
    <w:rsid w:val="00C1686C"/>
    <w:rsid w:val="00C16BE6"/>
    <w:rsid w:val="00C17107"/>
    <w:rsid w:val="00C17508"/>
    <w:rsid w:val="00C17715"/>
    <w:rsid w:val="00C17A94"/>
    <w:rsid w:val="00C17D5E"/>
    <w:rsid w:val="00C17FAC"/>
    <w:rsid w:val="00C20363"/>
    <w:rsid w:val="00C2065B"/>
    <w:rsid w:val="00C20D83"/>
    <w:rsid w:val="00C21357"/>
    <w:rsid w:val="00C216DF"/>
    <w:rsid w:val="00C21CEB"/>
    <w:rsid w:val="00C21FC8"/>
    <w:rsid w:val="00C22041"/>
    <w:rsid w:val="00C22DAB"/>
    <w:rsid w:val="00C236C8"/>
    <w:rsid w:val="00C23A62"/>
    <w:rsid w:val="00C23DA5"/>
    <w:rsid w:val="00C23E96"/>
    <w:rsid w:val="00C24BD3"/>
    <w:rsid w:val="00C24C97"/>
    <w:rsid w:val="00C24CF2"/>
    <w:rsid w:val="00C252AF"/>
    <w:rsid w:val="00C255D6"/>
    <w:rsid w:val="00C257B0"/>
    <w:rsid w:val="00C2608B"/>
    <w:rsid w:val="00C26171"/>
    <w:rsid w:val="00C26281"/>
    <w:rsid w:val="00C2655A"/>
    <w:rsid w:val="00C26B27"/>
    <w:rsid w:val="00C27702"/>
    <w:rsid w:val="00C27795"/>
    <w:rsid w:val="00C27CAC"/>
    <w:rsid w:val="00C30491"/>
    <w:rsid w:val="00C322B8"/>
    <w:rsid w:val="00C3315F"/>
    <w:rsid w:val="00C33366"/>
    <w:rsid w:val="00C339EC"/>
    <w:rsid w:val="00C33BD6"/>
    <w:rsid w:val="00C33BED"/>
    <w:rsid w:val="00C340C6"/>
    <w:rsid w:val="00C3485F"/>
    <w:rsid w:val="00C34A0F"/>
    <w:rsid w:val="00C34A50"/>
    <w:rsid w:val="00C350FE"/>
    <w:rsid w:val="00C35D98"/>
    <w:rsid w:val="00C36028"/>
    <w:rsid w:val="00C3638E"/>
    <w:rsid w:val="00C366DB"/>
    <w:rsid w:val="00C36913"/>
    <w:rsid w:val="00C36C17"/>
    <w:rsid w:val="00C3714F"/>
    <w:rsid w:val="00C402F9"/>
    <w:rsid w:val="00C41646"/>
    <w:rsid w:val="00C41799"/>
    <w:rsid w:val="00C41AE7"/>
    <w:rsid w:val="00C42079"/>
    <w:rsid w:val="00C426F9"/>
    <w:rsid w:val="00C427BE"/>
    <w:rsid w:val="00C42DAC"/>
    <w:rsid w:val="00C43360"/>
    <w:rsid w:val="00C43371"/>
    <w:rsid w:val="00C443A1"/>
    <w:rsid w:val="00C44513"/>
    <w:rsid w:val="00C447B7"/>
    <w:rsid w:val="00C453E8"/>
    <w:rsid w:val="00C458C3"/>
    <w:rsid w:val="00C45D1A"/>
    <w:rsid w:val="00C4609D"/>
    <w:rsid w:val="00C46B9E"/>
    <w:rsid w:val="00C46FCD"/>
    <w:rsid w:val="00C47058"/>
    <w:rsid w:val="00C473A6"/>
    <w:rsid w:val="00C47539"/>
    <w:rsid w:val="00C47D54"/>
    <w:rsid w:val="00C50C54"/>
    <w:rsid w:val="00C50F50"/>
    <w:rsid w:val="00C510DE"/>
    <w:rsid w:val="00C51205"/>
    <w:rsid w:val="00C5135B"/>
    <w:rsid w:val="00C51626"/>
    <w:rsid w:val="00C51BB8"/>
    <w:rsid w:val="00C52E58"/>
    <w:rsid w:val="00C538E0"/>
    <w:rsid w:val="00C539B4"/>
    <w:rsid w:val="00C53EF6"/>
    <w:rsid w:val="00C542AB"/>
    <w:rsid w:val="00C5437C"/>
    <w:rsid w:val="00C54427"/>
    <w:rsid w:val="00C5502C"/>
    <w:rsid w:val="00C5596A"/>
    <w:rsid w:val="00C55AA5"/>
    <w:rsid w:val="00C5627A"/>
    <w:rsid w:val="00C562B7"/>
    <w:rsid w:val="00C562C0"/>
    <w:rsid w:val="00C5653B"/>
    <w:rsid w:val="00C5655C"/>
    <w:rsid w:val="00C56B3A"/>
    <w:rsid w:val="00C56E80"/>
    <w:rsid w:val="00C56EB6"/>
    <w:rsid w:val="00C56EC8"/>
    <w:rsid w:val="00C5706C"/>
    <w:rsid w:val="00C5767F"/>
    <w:rsid w:val="00C57769"/>
    <w:rsid w:val="00C57984"/>
    <w:rsid w:val="00C6003F"/>
    <w:rsid w:val="00C60644"/>
    <w:rsid w:val="00C60909"/>
    <w:rsid w:val="00C61720"/>
    <w:rsid w:val="00C6176C"/>
    <w:rsid w:val="00C61E50"/>
    <w:rsid w:val="00C62D4E"/>
    <w:rsid w:val="00C62EB8"/>
    <w:rsid w:val="00C6321B"/>
    <w:rsid w:val="00C63A25"/>
    <w:rsid w:val="00C63B26"/>
    <w:rsid w:val="00C64215"/>
    <w:rsid w:val="00C64586"/>
    <w:rsid w:val="00C64E9D"/>
    <w:rsid w:val="00C651F8"/>
    <w:rsid w:val="00C65733"/>
    <w:rsid w:val="00C65B21"/>
    <w:rsid w:val="00C65CEB"/>
    <w:rsid w:val="00C66FCD"/>
    <w:rsid w:val="00C6701D"/>
    <w:rsid w:val="00C67DE1"/>
    <w:rsid w:val="00C706AC"/>
    <w:rsid w:val="00C70895"/>
    <w:rsid w:val="00C70A09"/>
    <w:rsid w:val="00C70D38"/>
    <w:rsid w:val="00C71730"/>
    <w:rsid w:val="00C71C71"/>
    <w:rsid w:val="00C721EB"/>
    <w:rsid w:val="00C731E8"/>
    <w:rsid w:val="00C74A9C"/>
    <w:rsid w:val="00C750F8"/>
    <w:rsid w:val="00C75253"/>
    <w:rsid w:val="00C754D7"/>
    <w:rsid w:val="00C75D2B"/>
    <w:rsid w:val="00C761EB"/>
    <w:rsid w:val="00C76E5B"/>
    <w:rsid w:val="00C770E9"/>
    <w:rsid w:val="00C77E4B"/>
    <w:rsid w:val="00C801DF"/>
    <w:rsid w:val="00C80C7D"/>
    <w:rsid w:val="00C81AC9"/>
    <w:rsid w:val="00C82256"/>
    <w:rsid w:val="00C8227F"/>
    <w:rsid w:val="00C82491"/>
    <w:rsid w:val="00C82659"/>
    <w:rsid w:val="00C826CE"/>
    <w:rsid w:val="00C82AAB"/>
    <w:rsid w:val="00C82B18"/>
    <w:rsid w:val="00C83391"/>
    <w:rsid w:val="00C83FA5"/>
    <w:rsid w:val="00C83FB0"/>
    <w:rsid w:val="00C840E3"/>
    <w:rsid w:val="00C853E0"/>
    <w:rsid w:val="00C8581B"/>
    <w:rsid w:val="00C85C8B"/>
    <w:rsid w:val="00C85DF3"/>
    <w:rsid w:val="00C85E79"/>
    <w:rsid w:val="00C863AE"/>
    <w:rsid w:val="00C87C81"/>
    <w:rsid w:val="00C87D25"/>
    <w:rsid w:val="00C900F7"/>
    <w:rsid w:val="00C90221"/>
    <w:rsid w:val="00C905D7"/>
    <w:rsid w:val="00C90942"/>
    <w:rsid w:val="00C9098B"/>
    <w:rsid w:val="00C910BF"/>
    <w:rsid w:val="00C91827"/>
    <w:rsid w:val="00C91DD7"/>
    <w:rsid w:val="00C91F78"/>
    <w:rsid w:val="00C92C85"/>
    <w:rsid w:val="00C92D64"/>
    <w:rsid w:val="00C93345"/>
    <w:rsid w:val="00C9357C"/>
    <w:rsid w:val="00C93A0C"/>
    <w:rsid w:val="00C94CB9"/>
    <w:rsid w:val="00C95040"/>
    <w:rsid w:val="00C95822"/>
    <w:rsid w:val="00C958C9"/>
    <w:rsid w:val="00C964BD"/>
    <w:rsid w:val="00C96930"/>
    <w:rsid w:val="00C96981"/>
    <w:rsid w:val="00C96D31"/>
    <w:rsid w:val="00C97A7D"/>
    <w:rsid w:val="00CA007C"/>
    <w:rsid w:val="00CA0348"/>
    <w:rsid w:val="00CA0846"/>
    <w:rsid w:val="00CA0F0B"/>
    <w:rsid w:val="00CA0FEF"/>
    <w:rsid w:val="00CA1638"/>
    <w:rsid w:val="00CA1694"/>
    <w:rsid w:val="00CA1BD6"/>
    <w:rsid w:val="00CA1ED2"/>
    <w:rsid w:val="00CA1F4A"/>
    <w:rsid w:val="00CA1F71"/>
    <w:rsid w:val="00CA21E5"/>
    <w:rsid w:val="00CA2B98"/>
    <w:rsid w:val="00CA2D0B"/>
    <w:rsid w:val="00CA3178"/>
    <w:rsid w:val="00CA441B"/>
    <w:rsid w:val="00CA46AF"/>
    <w:rsid w:val="00CA4FA9"/>
    <w:rsid w:val="00CA4FB5"/>
    <w:rsid w:val="00CA5190"/>
    <w:rsid w:val="00CA5D02"/>
    <w:rsid w:val="00CA618B"/>
    <w:rsid w:val="00CA6EC1"/>
    <w:rsid w:val="00CA6FFE"/>
    <w:rsid w:val="00CB0144"/>
    <w:rsid w:val="00CB0385"/>
    <w:rsid w:val="00CB13E7"/>
    <w:rsid w:val="00CB20AB"/>
    <w:rsid w:val="00CB2268"/>
    <w:rsid w:val="00CB2802"/>
    <w:rsid w:val="00CB3BF3"/>
    <w:rsid w:val="00CB3CB9"/>
    <w:rsid w:val="00CB516D"/>
    <w:rsid w:val="00CB5270"/>
    <w:rsid w:val="00CB52B7"/>
    <w:rsid w:val="00CB5339"/>
    <w:rsid w:val="00CB5882"/>
    <w:rsid w:val="00CB602B"/>
    <w:rsid w:val="00CB60E8"/>
    <w:rsid w:val="00CB6686"/>
    <w:rsid w:val="00CB7B7E"/>
    <w:rsid w:val="00CC023E"/>
    <w:rsid w:val="00CC0423"/>
    <w:rsid w:val="00CC050C"/>
    <w:rsid w:val="00CC066C"/>
    <w:rsid w:val="00CC0A7B"/>
    <w:rsid w:val="00CC1304"/>
    <w:rsid w:val="00CC1933"/>
    <w:rsid w:val="00CC1A50"/>
    <w:rsid w:val="00CC1D63"/>
    <w:rsid w:val="00CC2264"/>
    <w:rsid w:val="00CC2FFF"/>
    <w:rsid w:val="00CC36EA"/>
    <w:rsid w:val="00CC398E"/>
    <w:rsid w:val="00CC399A"/>
    <w:rsid w:val="00CC4744"/>
    <w:rsid w:val="00CC4DF8"/>
    <w:rsid w:val="00CC5151"/>
    <w:rsid w:val="00CC5454"/>
    <w:rsid w:val="00CC5517"/>
    <w:rsid w:val="00CC5524"/>
    <w:rsid w:val="00CC66E5"/>
    <w:rsid w:val="00CC6C21"/>
    <w:rsid w:val="00CD00CE"/>
    <w:rsid w:val="00CD0109"/>
    <w:rsid w:val="00CD0203"/>
    <w:rsid w:val="00CD0D80"/>
    <w:rsid w:val="00CD0EAD"/>
    <w:rsid w:val="00CD18FD"/>
    <w:rsid w:val="00CD19BA"/>
    <w:rsid w:val="00CD1AF7"/>
    <w:rsid w:val="00CD214A"/>
    <w:rsid w:val="00CD22A2"/>
    <w:rsid w:val="00CD2410"/>
    <w:rsid w:val="00CD2EE5"/>
    <w:rsid w:val="00CD3187"/>
    <w:rsid w:val="00CD3730"/>
    <w:rsid w:val="00CD4067"/>
    <w:rsid w:val="00CD40D3"/>
    <w:rsid w:val="00CD41BB"/>
    <w:rsid w:val="00CD5434"/>
    <w:rsid w:val="00CD57A6"/>
    <w:rsid w:val="00CD591B"/>
    <w:rsid w:val="00CD6207"/>
    <w:rsid w:val="00CD6724"/>
    <w:rsid w:val="00CD6B1F"/>
    <w:rsid w:val="00CD6E16"/>
    <w:rsid w:val="00CD7161"/>
    <w:rsid w:val="00CD72D8"/>
    <w:rsid w:val="00CD79A2"/>
    <w:rsid w:val="00CD7A5E"/>
    <w:rsid w:val="00CD7A76"/>
    <w:rsid w:val="00CD7E3B"/>
    <w:rsid w:val="00CE011F"/>
    <w:rsid w:val="00CE0B70"/>
    <w:rsid w:val="00CE0D68"/>
    <w:rsid w:val="00CE0F8A"/>
    <w:rsid w:val="00CE1147"/>
    <w:rsid w:val="00CE1AAA"/>
    <w:rsid w:val="00CE2131"/>
    <w:rsid w:val="00CE233F"/>
    <w:rsid w:val="00CE2367"/>
    <w:rsid w:val="00CE236A"/>
    <w:rsid w:val="00CE240B"/>
    <w:rsid w:val="00CE328D"/>
    <w:rsid w:val="00CE39D6"/>
    <w:rsid w:val="00CE4313"/>
    <w:rsid w:val="00CE472D"/>
    <w:rsid w:val="00CE565F"/>
    <w:rsid w:val="00CE5D73"/>
    <w:rsid w:val="00CE608A"/>
    <w:rsid w:val="00CE6370"/>
    <w:rsid w:val="00CE6720"/>
    <w:rsid w:val="00CE72CE"/>
    <w:rsid w:val="00CE7E7B"/>
    <w:rsid w:val="00CF065B"/>
    <w:rsid w:val="00CF0E26"/>
    <w:rsid w:val="00CF0E29"/>
    <w:rsid w:val="00CF1176"/>
    <w:rsid w:val="00CF126D"/>
    <w:rsid w:val="00CF1A38"/>
    <w:rsid w:val="00CF1CEF"/>
    <w:rsid w:val="00CF1DFB"/>
    <w:rsid w:val="00CF2159"/>
    <w:rsid w:val="00CF24BB"/>
    <w:rsid w:val="00CF2873"/>
    <w:rsid w:val="00CF2CCA"/>
    <w:rsid w:val="00CF33C9"/>
    <w:rsid w:val="00CF3438"/>
    <w:rsid w:val="00CF3D29"/>
    <w:rsid w:val="00CF3E1B"/>
    <w:rsid w:val="00CF3F97"/>
    <w:rsid w:val="00CF42E4"/>
    <w:rsid w:val="00CF4346"/>
    <w:rsid w:val="00CF4513"/>
    <w:rsid w:val="00CF4D6C"/>
    <w:rsid w:val="00CF4F4C"/>
    <w:rsid w:val="00CF5373"/>
    <w:rsid w:val="00CF5589"/>
    <w:rsid w:val="00CF57F7"/>
    <w:rsid w:val="00CF627B"/>
    <w:rsid w:val="00CF739D"/>
    <w:rsid w:val="00D00458"/>
    <w:rsid w:val="00D00721"/>
    <w:rsid w:val="00D0077E"/>
    <w:rsid w:val="00D016B0"/>
    <w:rsid w:val="00D0175D"/>
    <w:rsid w:val="00D01B28"/>
    <w:rsid w:val="00D01C9B"/>
    <w:rsid w:val="00D0258D"/>
    <w:rsid w:val="00D02A7E"/>
    <w:rsid w:val="00D02B21"/>
    <w:rsid w:val="00D03A97"/>
    <w:rsid w:val="00D03B4E"/>
    <w:rsid w:val="00D03B8C"/>
    <w:rsid w:val="00D040E9"/>
    <w:rsid w:val="00D04204"/>
    <w:rsid w:val="00D04403"/>
    <w:rsid w:val="00D044AF"/>
    <w:rsid w:val="00D0490C"/>
    <w:rsid w:val="00D04DE0"/>
    <w:rsid w:val="00D04EE9"/>
    <w:rsid w:val="00D055F6"/>
    <w:rsid w:val="00D05B4A"/>
    <w:rsid w:val="00D05DFD"/>
    <w:rsid w:val="00D065F5"/>
    <w:rsid w:val="00D072F6"/>
    <w:rsid w:val="00D10114"/>
    <w:rsid w:val="00D107A8"/>
    <w:rsid w:val="00D107B9"/>
    <w:rsid w:val="00D10EC7"/>
    <w:rsid w:val="00D11434"/>
    <w:rsid w:val="00D12138"/>
    <w:rsid w:val="00D122F9"/>
    <w:rsid w:val="00D12A39"/>
    <w:rsid w:val="00D12D7B"/>
    <w:rsid w:val="00D12DD4"/>
    <w:rsid w:val="00D135F7"/>
    <w:rsid w:val="00D13CC8"/>
    <w:rsid w:val="00D14266"/>
    <w:rsid w:val="00D15078"/>
    <w:rsid w:val="00D150DD"/>
    <w:rsid w:val="00D15547"/>
    <w:rsid w:val="00D15A03"/>
    <w:rsid w:val="00D161F9"/>
    <w:rsid w:val="00D1622F"/>
    <w:rsid w:val="00D165D6"/>
    <w:rsid w:val="00D16AD2"/>
    <w:rsid w:val="00D16DB5"/>
    <w:rsid w:val="00D16DD3"/>
    <w:rsid w:val="00D17074"/>
    <w:rsid w:val="00D1768A"/>
    <w:rsid w:val="00D17CBE"/>
    <w:rsid w:val="00D17DEF"/>
    <w:rsid w:val="00D20769"/>
    <w:rsid w:val="00D20CA2"/>
    <w:rsid w:val="00D20F46"/>
    <w:rsid w:val="00D20FC0"/>
    <w:rsid w:val="00D21A40"/>
    <w:rsid w:val="00D223EE"/>
    <w:rsid w:val="00D22538"/>
    <w:rsid w:val="00D239B7"/>
    <w:rsid w:val="00D23A72"/>
    <w:rsid w:val="00D23BBB"/>
    <w:rsid w:val="00D244A3"/>
    <w:rsid w:val="00D25B08"/>
    <w:rsid w:val="00D2696B"/>
    <w:rsid w:val="00D275DA"/>
    <w:rsid w:val="00D27ADD"/>
    <w:rsid w:val="00D27BAD"/>
    <w:rsid w:val="00D3060F"/>
    <w:rsid w:val="00D31636"/>
    <w:rsid w:val="00D318E3"/>
    <w:rsid w:val="00D31B06"/>
    <w:rsid w:val="00D31BCC"/>
    <w:rsid w:val="00D327D8"/>
    <w:rsid w:val="00D32BE4"/>
    <w:rsid w:val="00D33AEA"/>
    <w:rsid w:val="00D33B90"/>
    <w:rsid w:val="00D3451B"/>
    <w:rsid w:val="00D345A2"/>
    <w:rsid w:val="00D34797"/>
    <w:rsid w:val="00D34983"/>
    <w:rsid w:val="00D353DC"/>
    <w:rsid w:val="00D35C03"/>
    <w:rsid w:val="00D36838"/>
    <w:rsid w:val="00D36F77"/>
    <w:rsid w:val="00D372EE"/>
    <w:rsid w:val="00D376B6"/>
    <w:rsid w:val="00D40401"/>
    <w:rsid w:val="00D40476"/>
    <w:rsid w:val="00D40626"/>
    <w:rsid w:val="00D40A72"/>
    <w:rsid w:val="00D40E24"/>
    <w:rsid w:val="00D40FEB"/>
    <w:rsid w:val="00D41113"/>
    <w:rsid w:val="00D41774"/>
    <w:rsid w:val="00D417CE"/>
    <w:rsid w:val="00D41CD5"/>
    <w:rsid w:val="00D4226D"/>
    <w:rsid w:val="00D42C16"/>
    <w:rsid w:val="00D43182"/>
    <w:rsid w:val="00D43BC8"/>
    <w:rsid w:val="00D4485C"/>
    <w:rsid w:val="00D4497D"/>
    <w:rsid w:val="00D44CFD"/>
    <w:rsid w:val="00D45539"/>
    <w:rsid w:val="00D45668"/>
    <w:rsid w:val="00D45A4F"/>
    <w:rsid w:val="00D45CFE"/>
    <w:rsid w:val="00D4641F"/>
    <w:rsid w:val="00D47CE8"/>
    <w:rsid w:val="00D47E2C"/>
    <w:rsid w:val="00D50724"/>
    <w:rsid w:val="00D50E0C"/>
    <w:rsid w:val="00D511BB"/>
    <w:rsid w:val="00D5133E"/>
    <w:rsid w:val="00D51465"/>
    <w:rsid w:val="00D5149F"/>
    <w:rsid w:val="00D517DD"/>
    <w:rsid w:val="00D51A61"/>
    <w:rsid w:val="00D51A94"/>
    <w:rsid w:val="00D52494"/>
    <w:rsid w:val="00D524CC"/>
    <w:rsid w:val="00D524F7"/>
    <w:rsid w:val="00D52653"/>
    <w:rsid w:val="00D52687"/>
    <w:rsid w:val="00D52DFB"/>
    <w:rsid w:val="00D53012"/>
    <w:rsid w:val="00D5341D"/>
    <w:rsid w:val="00D53778"/>
    <w:rsid w:val="00D5405C"/>
    <w:rsid w:val="00D5508E"/>
    <w:rsid w:val="00D55298"/>
    <w:rsid w:val="00D556DD"/>
    <w:rsid w:val="00D55BD4"/>
    <w:rsid w:val="00D55D43"/>
    <w:rsid w:val="00D55DEE"/>
    <w:rsid w:val="00D56055"/>
    <w:rsid w:val="00D561A1"/>
    <w:rsid w:val="00D56B9A"/>
    <w:rsid w:val="00D571F4"/>
    <w:rsid w:val="00D57477"/>
    <w:rsid w:val="00D60068"/>
    <w:rsid w:val="00D60257"/>
    <w:rsid w:val="00D60603"/>
    <w:rsid w:val="00D60CC5"/>
    <w:rsid w:val="00D60D41"/>
    <w:rsid w:val="00D6151A"/>
    <w:rsid w:val="00D61AFF"/>
    <w:rsid w:val="00D620DD"/>
    <w:rsid w:val="00D625B4"/>
    <w:rsid w:val="00D625F7"/>
    <w:rsid w:val="00D6299E"/>
    <w:rsid w:val="00D63166"/>
    <w:rsid w:val="00D63431"/>
    <w:rsid w:val="00D63527"/>
    <w:rsid w:val="00D63D77"/>
    <w:rsid w:val="00D64039"/>
    <w:rsid w:val="00D64B6F"/>
    <w:rsid w:val="00D64B70"/>
    <w:rsid w:val="00D65034"/>
    <w:rsid w:val="00D65466"/>
    <w:rsid w:val="00D65F79"/>
    <w:rsid w:val="00D65FBB"/>
    <w:rsid w:val="00D668AA"/>
    <w:rsid w:val="00D66BDE"/>
    <w:rsid w:val="00D67231"/>
    <w:rsid w:val="00D672B2"/>
    <w:rsid w:val="00D6776A"/>
    <w:rsid w:val="00D67994"/>
    <w:rsid w:val="00D67C87"/>
    <w:rsid w:val="00D7042B"/>
    <w:rsid w:val="00D70724"/>
    <w:rsid w:val="00D71414"/>
    <w:rsid w:val="00D7144D"/>
    <w:rsid w:val="00D71DAF"/>
    <w:rsid w:val="00D7214A"/>
    <w:rsid w:val="00D728F0"/>
    <w:rsid w:val="00D7293B"/>
    <w:rsid w:val="00D72B4F"/>
    <w:rsid w:val="00D73277"/>
    <w:rsid w:val="00D7389D"/>
    <w:rsid w:val="00D73D8E"/>
    <w:rsid w:val="00D744DA"/>
    <w:rsid w:val="00D7453C"/>
    <w:rsid w:val="00D748AF"/>
    <w:rsid w:val="00D74B4A"/>
    <w:rsid w:val="00D74F96"/>
    <w:rsid w:val="00D75267"/>
    <w:rsid w:val="00D758F2"/>
    <w:rsid w:val="00D759B5"/>
    <w:rsid w:val="00D7621A"/>
    <w:rsid w:val="00D76F95"/>
    <w:rsid w:val="00D7731A"/>
    <w:rsid w:val="00D773FC"/>
    <w:rsid w:val="00D803BD"/>
    <w:rsid w:val="00D80540"/>
    <w:rsid w:val="00D80D65"/>
    <w:rsid w:val="00D80D93"/>
    <w:rsid w:val="00D80EF1"/>
    <w:rsid w:val="00D80F05"/>
    <w:rsid w:val="00D814AB"/>
    <w:rsid w:val="00D815B7"/>
    <w:rsid w:val="00D81B11"/>
    <w:rsid w:val="00D81C9B"/>
    <w:rsid w:val="00D8201C"/>
    <w:rsid w:val="00D82429"/>
    <w:rsid w:val="00D828DE"/>
    <w:rsid w:val="00D833F9"/>
    <w:rsid w:val="00D83517"/>
    <w:rsid w:val="00D838FE"/>
    <w:rsid w:val="00D83ABB"/>
    <w:rsid w:val="00D83DEE"/>
    <w:rsid w:val="00D84920"/>
    <w:rsid w:val="00D84A5D"/>
    <w:rsid w:val="00D854DC"/>
    <w:rsid w:val="00D85A2A"/>
    <w:rsid w:val="00D862A4"/>
    <w:rsid w:val="00D86543"/>
    <w:rsid w:val="00D866BB"/>
    <w:rsid w:val="00D8691C"/>
    <w:rsid w:val="00D8700D"/>
    <w:rsid w:val="00D87310"/>
    <w:rsid w:val="00D878CE"/>
    <w:rsid w:val="00D879A4"/>
    <w:rsid w:val="00D87B47"/>
    <w:rsid w:val="00D87FCB"/>
    <w:rsid w:val="00D9081E"/>
    <w:rsid w:val="00D90A9D"/>
    <w:rsid w:val="00D90C0A"/>
    <w:rsid w:val="00D91B6D"/>
    <w:rsid w:val="00D91F03"/>
    <w:rsid w:val="00D91F3C"/>
    <w:rsid w:val="00D92204"/>
    <w:rsid w:val="00D92A07"/>
    <w:rsid w:val="00D93070"/>
    <w:rsid w:val="00D930AD"/>
    <w:rsid w:val="00D935E3"/>
    <w:rsid w:val="00D93831"/>
    <w:rsid w:val="00D93D02"/>
    <w:rsid w:val="00D94064"/>
    <w:rsid w:val="00D9412F"/>
    <w:rsid w:val="00D942F7"/>
    <w:rsid w:val="00D94378"/>
    <w:rsid w:val="00D94387"/>
    <w:rsid w:val="00D9440B"/>
    <w:rsid w:val="00D9448C"/>
    <w:rsid w:val="00D94E33"/>
    <w:rsid w:val="00D9516E"/>
    <w:rsid w:val="00D951BD"/>
    <w:rsid w:val="00D97E10"/>
    <w:rsid w:val="00D97FEF"/>
    <w:rsid w:val="00DA0574"/>
    <w:rsid w:val="00DA2030"/>
    <w:rsid w:val="00DA25E3"/>
    <w:rsid w:val="00DA3320"/>
    <w:rsid w:val="00DA3559"/>
    <w:rsid w:val="00DA36D6"/>
    <w:rsid w:val="00DA3BBF"/>
    <w:rsid w:val="00DA4090"/>
    <w:rsid w:val="00DA5160"/>
    <w:rsid w:val="00DA5EEC"/>
    <w:rsid w:val="00DA6D40"/>
    <w:rsid w:val="00DA7424"/>
    <w:rsid w:val="00DA7497"/>
    <w:rsid w:val="00DA78BC"/>
    <w:rsid w:val="00DA7ED8"/>
    <w:rsid w:val="00DB02BC"/>
    <w:rsid w:val="00DB042E"/>
    <w:rsid w:val="00DB067B"/>
    <w:rsid w:val="00DB1ACC"/>
    <w:rsid w:val="00DB1C35"/>
    <w:rsid w:val="00DB21F7"/>
    <w:rsid w:val="00DB22F2"/>
    <w:rsid w:val="00DB232C"/>
    <w:rsid w:val="00DB2525"/>
    <w:rsid w:val="00DB3614"/>
    <w:rsid w:val="00DB3EAE"/>
    <w:rsid w:val="00DB4386"/>
    <w:rsid w:val="00DB493C"/>
    <w:rsid w:val="00DB4DA7"/>
    <w:rsid w:val="00DB4EE8"/>
    <w:rsid w:val="00DB52D3"/>
    <w:rsid w:val="00DB71C1"/>
    <w:rsid w:val="00DB7DE4"/>
    <w:rsid w:val="00DC1498"/>
    <w:rsid w:val="00DC1B53"/>
    <w:rsid w:val="00DC2A83"/>
    <w:rsid w:val="00DC2BF5"/>
    <w:rsid w:val="00DC2D48"/>
    <w:rsid w:val="00DC2E61"/>
    <w:rsid w:val="00DC30E0"/>
    <w:rsid w:val="00DC31B4"/>
    <w:rsid w:val="00DC31FB"/>
    <w:rsid w:val="00DC339C"/>
    <w:rsid w:val="00DC33C6"/>
    <w:rsid w:val="00DC37DA"/>
    <w:rsid w:val="00DC4573"/>
    <w:rsid w:val="00DC46A6"/>
    <w:rsid w:val="00DC49DB"/>
    <w:rsid w:val="00DC4D8F"/>
    <w:rsid w:val="00DC4EF1"/>
    <w:rsid w:val="00DC5102"/>
    <w:rsid w:val="00DC61C5"/>
    <w:rsid w:val="00DC6360"/>
    <w:rsid w:val="00DC7349"/>
    <w:rsid w:val="00DC7DD1"/>
    <w:rsid w:val="00DD0D6B"/>
    <w:rsid w:val="00DD128B"/>
    <w:rsid w:val="00DD19ED"/>
    <w:rsid w:val="00DD1C48"/>
    <w:rsid w:val="00DD1D83"/>
    <w:rsid w:val="00DD27DC"/>
    <w:rsid w:val="00DD3428"/>
    <w:rsid w:val="00DD34B1"/>
    <w:rsid w:val="00DD4260"/>
    <w:rsid w:val="00DD4ABC"/>
    <w:rsid w:val="00DD4B25"/>
    <w:rsid w:val="00DD5079"/>
    <w:rsid w:val="00DD54FB"/>
    <w:rsid w:val="00DD575C"/>
    <w:rsid w:val="00DD63E3"/>
    <w:rsid w:val="00DD791C"/>
    <w:rsid w:val="00DD79D6"/>
    <w:rsid w:val="00DE0E99"/>
    <w:rsid w:val="00DE15F2"/>
    <w:rsid w:val="00DE1C00"/>
    <w:rsid w:val="00DE1F82"/>
    <w:rsid w:val="00DE1FFB"/>
    <w:rsid w:val="00DE2485"/>
    <w:rsid w:val="00DE25A7"/>
    <w:rsid w:val="00DE2E09"/>
    <w:rsid w:val="00DE3149"/>
    <w:rsid w:val="00DE357F"/>
    <w:rsid w:val="00DE4050"/>
    <w:rsid w:val="00DE4090"/>
    <w:rsid w:val="00DE4966"/>
    <w:rsid w:val="00DE4ADE"/>
    <w:rsid w:val="00DE512D"/>
    <w:rsid w:val="00DE5278"/>
    <w:rsid w:val="00DE547C"/>
    <w:rsid w:val="00DE54FE"/>
    <w:rsid w:val="00DE5681"/>
    <w:rsid w:val="00DE5AB1"/>
    <w:rsid w:val="00DE655C"/>
    <w:rsid w:val="00DE6B54"/>
    <w:rsid w:val="00DE786A"/>
    <w:rsid w:val="00DF0427"/>
    <w:rsid w:val="00DF060E"/>
    <w:rsid w:val="00DF06D7"/>
    <w:rsid w:val="00DF17AB"/>
    <w:rsid w:val="00DF191E"/>
    <w:rsid w:val="00DF196C"/>
    <w:rsid w:val="00DF26E9"/>
    <w:rsid w:val="00DF3544"/>
    <w:rsid w:val="00DF36AA"/>
    <w:rsid w:val="00DF4087"/>
    <w:rsid w:val="00DF419A"/>
    <w:rsid w:val="00DF4638"/>
    <w:rsid w:val="00DF4D9E"/>
    <w:rsid w:val="00DF53F6"/>
    <w:rsid w:val="00DF6486"/>
    <w:rsid w:val="00DF73AE"/>
    <w:rsid w:val="00DF7CD6"/>
    <w:rsid w:val="00E0016D"/>
    <w:rsid w:val="00E00B11"/>
    <w:rsid w:val="00E00C1C"/>
    <w:rsid w:val="00E00DB1"/>
    <w:rsid w:val="00E013C8"/>
    <w:rsid w:val="00E0151B"/>
    <w:rsid w:val="00E01679"/>
    <w:rsid w:val="00E0183D"/>
    <w:rsid w:val="00E01A05"/>
    <w:rsid w:val="00E01A1D"/>
    <w:rsid w:val="00E01D9E"/>
    <w:rsid w:val="00E01F3C"/>
    <w:rsid w:val="00E02DB7"/>
    <w:rsid w:val="00E0352A"/>
    <w:rsid w:val="00E039EB"/>
    <w:rsid w:val="00E03B03"/>
    <w:rsid w:val="00E03E65"/>
    <w:rsid w:val="00E040B6"/>
    <w:rsid w:val="00E046B1"/>
    <w:rsid w:val="00E05042"/>
    <w:rsid w:val="00E05C1F"/>
    <w:rsid w:val="00E11002"/>
    <w:rsid w:val="00E112DC"/>
    <w:rsid w:val="00E114A1"/>
    <w:rsid w:val="00E1179C"/>
    <w:rsid w:val="00E1184C"/>
    <w:rsid w:val="00E118A5"/>
    <w:rsid w:val="00E11974"/>
    <w:rsid w:val="00E11C79"/>
    <w:rsid w:val="00E1271A"/>
    <w:rsid w:val="00E135E0"/>
    <w:rsid w:val="00E13A08"/>
    <w:rsid w:val="00E13BC5"/>
    <w:rsid w:val="00E14430"/>
    <w:rsid w:val="00E145A7"/>
    <w:rsid w:val="00E145E9"/>
    <w:rsid w:val="00E1514F"/>
    <w:rsid w:val="00E15495"/>
    <w:rsid w:val="00E154CD"/>
    <w:rsid w:val="00E15831"/>
    <w:rsid w:val="00E15A84"/>
    <w:rsid w:val="00E160E5"/>
    <w:rsid w:val="00E16758"/>
    <w:rsid w:val="00E17253"/>
    <w:rsid w:val="00E176D4"/>
    <w:rsid w:val="00E17E0C"/>
    <w:rsid w:val="00E202E8"/>
    <w:rsid w:val="00E2037E"/>
    <w:rsid w:val="00E20652"/>
    <w:rsid w:val="00E206F0"/>
    <w:rsid w:val="00E2109A"/>
    <w:rsid w:val="00E21647"/>
    <w:rsid w:val="00E21B92"/>
    <w:rsid w:val="00E21BAD"/>
    <w:rsid w:val="00E22117"/>
    <w:rsid w:val="00E2241A"/>
    <w:rsid w:val="00E23711"/>
    <w:rsid w:val="00E24289"/>
    <w:rsid w:val="00E2454A"/>
    <w:rsid w:val="00E2456F"/>
    <w:rsid w:val="00E24F2E"/>
    <w:rsid w:val="00E25692"/>
    <w:rsid w:val="00E265F7"/>
    <w:rsid w:val="00E2682A"/>
    <w:rsid w:val="00E26DCC"/>
    <w:rsid w:val="00E273C6"/>
    <w:rsid w:val="00E27426"/>
    <w:rsid w:val="00E27907"/>
    <w:rsid w:val="00E27EDB"/>
    <w:rsid w:val="00E27FBB"/>
    <w:rsid w:val="00E3072C"/>
    <w:rsid w:val="00E30F19"/>
    <w:rsid w:val="00E31617"/>
    <w:rsid w:val="00E31BE8"/>
    <w:rsid w:val="00E3212C"/>
    <w:rsid w:val="00E32424"/>
    <w:rsid w:val="00E324FA"/>
    <w:rsid w:val="00E328F8"/>
    <w:rsid w:val="00E32B2A"/>
    <w:rsid w:val="00E33951"/>
    <w:rsid w:val="00E33F52"/>
    <w:rsid w:val="00E33F65"/>
    <w:rsid w:val="00E34124"/>
    <w:rsid w:val="00E34AD1"/>
    <w:rsid w:val="00E34C67"/>
    <w:rsid w:val="00E34DBD"/>
    <w:rsid w:val="00E3500F"/>
    <w:rsid w:val="00E3520F"/>
    <w:rsid w:val="00E36856"/>
    <w:rsid w:val="00E36CD3"/>
    <w:rsid w:val="00E36F7A"/>
    <w:rsid w:val="00E36FA0"/>
    <w:rsid w:val="00E374C2"/>
    <w:rsid w:val="00E37931"/>
    <w:rsid w:val="00E379DD"/>
    <w:rsid w:val="00E37D80"/>
    <w:rsid w:val="00E37DB2"/>
    <w:rsid w:val="00E37DD8"/>
    <w:rsid w:val="00E406AB"/>
    <w:rsid w:val="00E40A51"/>
    <w:rsid w:val="00E40B49"/>
    <w:rsid w:val="00E40F14"/>
    <w:rsid w:val="00E41215"/>
    <w:rsid w:val="00E41773"/>
    <w:rsid w:val="00E41D23"/>
    <w:rsid w:val="00E41EAB"/>
    <w:rsid w:val="00E424F9"/>
    <w:rsid w:val="00E42B42"/>
    <w:rsid w:val="00E4369D"/>
    <w:rsid w:val="00E44A9B"/>
    <w:rsid w:val="00E44F4A"/>
    <w:rsid w:val="00E455B1"/>
    <w:rsid w:val="00E4596F"/>
    <w:rsid w:val="00E45C01"/>
    <w:rsid w:val="00E464C7"/>
    <w:rsid w:val="00E4652A"/>
    <w:rsid w:val="00E46612"/>
    <w:rsid w:val="00E46754"/>
    <w:rsid w:val="00E46C13"/>
    <w:rsid w:val="00E4772C"/>
    <w:rsid w:val="00E5019B"/>
    <w:rsid w:val="00E50A83"/>
    <w:rsid w:val="00E50CB7"/>
    <w:rsid w:val="00E51099"/>
    <w:rsid w:val="00E51240"/>
    <w:rsid w:val="00E515B6"/>
    <w:rsid w:val="00E52166"/>
    <w:rsid w:val="00E5224E"/>
    <w:rsid w:val="00E52AF6"/>
    <w:rsid w:val="00E52B14"/>
    <w:rsid w:val="00E52D17"/>
    <w:rsid w:val="00E531D4"/>
    <w:rsid w:val="00E53836"/>
    <w:rsid w:val="00E53B66"/>
    <w:rsid w:val="00E53C22"/>
    <w:rsid w:val="00E53E96"/>
    <w:rsid w:val="00E54100"/>
    <w:rsid w:val="00E54394"/>
    <w:rsid w:val="00E54D1A"/>
    <w:rsid w:val="00E55747"/>
    <w:rsid w:val="00E56419"/>
    <w:rsid w:val="00E564DB"/>
    <w:rsid w:val="00E56734"/>
    <w:rsid w:val="00E5683C"/>
    <w:rsid w:val="00E56937"/>
    <w:rsid w:val="00E569FE"/>
    <w:rsid w:val="00E56DB5"/>
    <w:rsid w:val="00E56F8C"/>
    <w:rsid w:val="00E571D3"/>
    <w:rsid w:val="00E57CF0"/>
    <w:rsid w:val="00E60902"/>
    <w:rsid w:val="00E61402"/>
    <w:rsid w:val="00E61FE2"/>
    <w:rsid w:val="00E62335"/>
    <w:rsid w:val="00E626E6"/>
    <w:rsid w:val="00E627CE"/>
    <w:rsid w:val="00E628FE"/>
    <w:rsid w:val="00E62A9A"/>
    <w:rsid w:val="00E630B8"/>
    <w:rsid w:val="00E631CC"/>
    <w:rsid w:val="00E63253"/>
    <w:rsid w:val="00E6363B"/>
    <w:rsid w:val="00E6375F"/>
    <w:rsid w:val="00E64581"/>
    <w:rsid w:val="00E64EC5"/>
    <w:rsid w:val="00E65372"/>
    <w:rsid w:val="00E65940"/>
    <w:rsid w:val="00E65A2E"/>
    <w:rsid w:val="00E66EAA"/>
    <w:rsid w:val="00E66F35"/>
    <w:rsid w:val="00E70921"/>
    <w:rsid w:val="00E70C84"/>
    <w:rsid w:val="00E712BF"/>
    <w:rsid w:val="00E71506"/>
    <w:rsid w:val="00E720C3"/>
    <w:rsid w:val="00E732F3"/>
    <w:rsid w:val="00E734B1"/>
    <w:rsid w:val="00E747D9"/>
    <w:rsid w:val="00E74FDF"/>
    <w:rsid w:val="00E76523"/>
    <w:rsid w:val="00E766EC"/>
    <w:rsid w:val="00E767EC"/>
    <w:rsid w:val="00E76AEF"/>
    <w:rsid w:val="00E76F4F"/>
    <w:rsid w:val="00E77203"/>
    <w:rsid w:val="00E7748C"/>
    <w:rsid w:val="00E77531"/>
    <w:rsid w:val="00E777C4"/>
    <w:rsid w:val="00E7788B"/>
    <w:rsid w:val="00E77D93"/>
    <w:rsid w:val="00E80831"/>
    <w:rsid w:val="00E82297"/>
    <w:rsid w:val="00E825AF"/>
    <w:rsid w:val="00E826DC"/>
    <w:rsid w:val="00E8327E"/>
    <w:rsid w:val="00E83EF7"/>
    <w:rsid w:val="00E843D2"/>
    <w:rsid w:val="00E84493"/>
    <w:rsid w:val="00E8462A"/>
    <w:rsid w:val="00E849F8"/>
    <w:rsid w:val="00E8549C"/>
    <w:rsid w:val="00E85D87"/>
    <w:rsid w:val="00E8653B"/>
    <w:rsid w:val="00E866FF"/>
    <w:rsid w:val="00E86A26"/>
    <w:rsid w:val="00E87427"/>
    <w:rsid w:val="00E874BA"/>
    <w:rsid w:val="00E87661"/>
    <w:rsid w:val="00E9093B"/>
    <w:rsid w:val="00E90A1C"/>
    <w:rsid w:val="00E917F7"/>
    <w:rsid w:val="00E91B4B"/>
    <w:rsid w:val="00E9318C"/>
    <w:rsid w:val="00E93960"/>
    <w:rsid w:val="00E93E1C"/>
    <w:rsid w:val="00E94201"/>
    <w:rsid w:val="00E94F0B"/>
    <w:rsid w:val="00E95482"/>
    <w:rsid w:val="00E95934"/>
    <w:rsid w:val="00E96158"/>
    <w:rsid w:val="00E9685F"/>
    <w:rsid w:val="00E9760C"/>
    <w:rsid w:val="00E976DD"/>
    <w:rsid w:val="00E97AB6"/>
    <w:rsid w:val="00E97BA9"/>
    <w:rsid w:val="00E97BC2"/>
    <w:rsid w:val="00EA066B"/>
    <w:rsid w:val="00EA1204"/>
    <w:rsid w:val="00EA1B51"/>
    <w:rsid w:val="00EA2446"/>
    <w:rsid w:val="00EA245B"/>
    <w:rsid w:val="00EA269C"/>
    <w:rsid w:val="00EA28B1"/>
    <w:rsid w:val="00EA3994"/>
    <w:rsid w:val="00EA3B3B"/>
    <w:rsid w:val="00EA4D4B"/>
    <w:rsid w:val="00EA5555"/>
    <w:rsid w:val="00EA55E6"/>
    <w:rsid w:val="00EA5616"/>
    <w:rsid w:val="00EA678D"/>
    <w:rsid w:val="00EA694A"/>
    <w:rsid w:val="00EA7D4E"/>
    <w:rsid w:val="00EB1B96"/>
    <w:rsid w:val="00EB2914"/>
    <w:rsid w:val="00EB2C7D"/>
    <w:rsid w:val="00EB2D2D"/>
    <w:rsid w:val="00EB4B15"/>
    <w:rsid w:val="00EB4DDE"/>
    <w:rsid w:val="00EB4E2F"/>
    <w:rsid w:val="00EB50AE"/>
    <w:rsid w:val="00EB55DF"/>
    <w:rsid w:val="00EB5F53"/>
    <w:rsid w:val="00EB6CA2"/>
    <w:rsid w:val="00EB6FEE"/>
    <w:rsid w:val="00EB74A2"/>
    <w:rsid w:val="00EB7722"/>
    <w:rsid w:val="00EB7799"/>
    <w:rsid w:val="00EC02ED"/>
    <w:rsid w:val="00EC0A3F"/>
    <w:rsid w:val="00EC0ABD"/>
    <w:rsid w:val="00EC0D18"/>
    <w:rsid w:val="00EC115F"/>
    <w:rsid w:val="00EC18DE"/>
    <w:rsid w:val="00EC1F46"/>
    <w:rsid w:val="00EC25A7"/>
    <w:rsid w:val="00EC27EC"/>
    <w:rsid w:val="00EC2C0F"/>
    <w:rsid w:val="00EC2FAD"/>
    <w:rsid w:val="00EC3699"/>
    <w:rsid w:val="00EC39EC"/>
    <w:rsid w:val="00EC3BD1"/>
    <w:rsid w:val="00EC4125"/>
    <w:rsid w:val="00EC4F67"/>
    <w:rsid w:val="00EC4FEE"/>
    <w:rsid w:val="00EC52DC"/>
    <w:rsid w:val="00EC62F5"/>
    <w:rsid w:val="00EC63AF"/>
    <w:rsid w:val="00EC6B48"/>
    <w:rsid w:val="00EC6CD9"/>
    <w:rsid w:val="00EC6EA7"/>
    <w:rsid w:val="00EC722C"/>
    <w:rsid w:val="00EC73B8"/>
    <w:rsid w:val="00EC7586"/>
    <w:rsid w:val="00EC75B1"/>
    <w:rsid w:val="00EC764F"/>
    <w:rsid w:val="00ED0C0E"/>
    <w:rsid w:val="00ED17DD"/>
    <w:rsid w:val="00ED2B53"/>
    <w:rsid w:val="00ED30F1"/>
    <w:rsid w:val="00ED38A5"/>
    <w:rsid w:val="00ED3D17"/>
    <w:rsid w:val="00ED401D"/>
    <w:rsid w:val="00ED4B7A"/>
    <w:rsid w:val="00ED4E62"/>
    <w:rsid w:val="00ED4F56"/>
    <w:rsid w:val="00ED50B8"/>
    <w:rsid w:val="00ED56F1"/>
    <w:rsid w:val="00ED570F"/>
    <w:rsid w:val="00ED5A2E"/>
    <w:rsid w:val="00ED5BC5"/>
    <w:rsid w:val="00ED5DDC"/>
    <w:rsid w:val="00ED5F02"/>
    <w:rsid w:val="00ED6534"/>
    <w:rsid w:val="00ED669E"/>
    <w:rsid w:val="00ED694D"/>
    <w:rsid w:val="00ED6AFB"/>
    <w:rsid w:val="00ED709A"/>
    <w:rsid w:val="00ED76DA"/>
    <w:rsid w:val="00EE0017"/>
    <w:rsid w:val="00EE0035"/>
    <w:rsid w:val="00EE0502"/>
    <w:rsid w:val="00EE09CF"/>
    <w:rsid w:val="00EE1322"/>
    <w:rsid w:val="00EE1662"/>
    <w:rsid w:val="00EE1893"/>
    <w:rsid w:val="00EE1CB4"/>
    <w:rsid w:val="00EE1E4D"/>
    <w:rsid w:val="00EE2183"/>
    <w:rsid w:val="00EE22E6"/>
    <w:rsid w:val="00EE286C"/>
    <w:rsid w:val="00EE3360"/>
    <w:rsid w:val="00EE3594"/>
    <w:rsid w:val="00EE543C"/>
    <w:rsid w:val="00EE5D76"/>
    <w:rsid w:val="00EE6AC6"/>
    <w:rsid w:val="00EE6DCF"/>
    <w:rsid w:val="00EE72CE"/>
    <w:rsid w:val="00EE745C"/>
    <w:rsid w:val="00EE78CA"/>
    <w:rsid w:val="00EE79D8"/>
    <w:rsid w:val="00EE7E86"/>
    <w:rsid w:val="00EF088C"/>
    <w:rsid w:val="00EF0B68"/>
    <w:rsid w:val="00EF0B94"/>
    <w:rsid w:val="00EF0E40"/>
    <w:rsid w:val="00EF1240"/>
    <w:rsid w:val="00EF1F44"/>
    <w:rsid w:val="00EF296A"/>
    <w:rsid w:val="00EF34B2"/>
    <w:rsid w:val="00EF3771"/>
    <w:rsid w:val="00EF383E"/>
    <w:rsid w:val="00EF39D1"/>
    <w:rsid w:val="00EF46EA"/>
    <w:rsid w:val="00EF5289"/>
    <w:rsid w:val="00EF579F"/>
    <w:rsid w:val="00EF61E9"/>
    <w:rsid w:val="00EF696B"/>
    <w:rsid w:val="00EF71C1"/>
    <w:rsid w:val="00EF780D"/>
    <w:rsid w:val="00F002C7"/>
    <w:rsid w:val="00F00353"/>
    <w:rsid w:val="00F008DD"/>
    <w:rsid w:val="00F0159C"/>
    <w:rsid w:val="00F016A5"/>
    <w:rsid w:val="00F02232"/>
    <w:rsid w:val="00F02328"/>
    <w:rsid w:val="00F02364"/>
    <w:rsid w:val="00F02A87"/>
    <w:rsid w:val="00F02C45"/>
    <w:rsid w:val="00F02F1C"/>
    <w:rsid w:val="00F03263"/>
    <w:rsid w:val="00F03422"/>
    <w:rsid w:val="00F03A97"/>
    <w:rsid w:val="00F03CDE"/>
    <w:rsid w:val="00F043AC"/>
    <w:rsid w:val="00F044AD"/>
    <w:rsid w:val="00F045CE"/>
    <w:rsid w:val="00F04BE6"/>
    <w:rsid w:val="00F04C30"/>
    <w:rsid w:val="00F0591B"/>
    <w:rsid w:val="00F05974"/>
    <w:rsid w:val="00F06173"/>
    <w:rsid w:val="00F06270"/>
    <w:rsid w:val="00F06884"/>
    <w:rsid w:val="00F06BB8"/>
    <w:rsid w:val="00F06CD4"/>
    <w:rsid w:val="00F06EAE"/>
    <w:rsid w:val="00F06F0A"/>
    <w:rsid w:val="00F07236"/>
    <w:rsid w:val="00F07290"/>
    <w:rsid w:val="00F07B06"/>
    <w:rsid w:val="00F07B1D"/>
    <w:rsid w:val="00F07DBD"/>
    <w:rsid w:val="00F10179"/>
    <w:rsid w:val="00F103CD"/>
    <w:rsid w:val="00F104FE"/>
    <w:rsid w:val="00F1148B"/>
    <w:rsid w:val="00F11A95"/>
    <w:rsid w:val="00F11B52"/>
    <w:rsid w:val="00F11E41"/>
    <w:rsid w:val="00F12705"/>
    <w:rsid w:val="00F12A2B"/>
    <w:rsid w:val="00F12E80"/>
    <w:rsid w:val="00F12FD3"/>
    <w:rsid w:val="00F13075"/>
    <w:rsid w:val="00F1337B"/>
    <w:rsid w:val="00F1349D"/>
    <w:rsid w:val="00F13894"/>
    <w:rsid w:val="00F13988"/>
    <w:rsid w:val="00F13A7B"/>
    <w:rsid w:val="00F14023"/>
    <w:rsid w:val="00F140A0"/>
    <w:rsid w:val="00F142A5"/>
    <w:rsid w:val="00F14637"/>
    <w:rsid w:val="00F148D4"/>
    <w:rsid w:val="00F14E59"/>
    <w:rsid w:val="00F15968"/>
    <w:rsid w:val="00F15972"/>
    <w:rsid w:val="00F15C43"/>
    <w:rsid w:val="00F160DB"/>
    <w:rsid w:val="00F16112"/>
    <w:rsid w:val="00F166E7"/>
    <w:rsid w:val="00F166F2"/>
    <w:rsid w:val="00F168BF"/>
    <w:rsid w:val="00F17132"/>
    <w:rsid w:val="00F17776"/>
    <w:rsid w:val="00F17B09"/>
    <w:rsid w:val="00F17BC2"/>
    <w:rsid w:val="00F17CC5"/>
    <w:rsid w:val="00F20664"/>
    <w:rsid w:val="00F20AAF"/>
    <w:rsid w:val="00F21321"/>
    <w:rsid w:val="00F21962"/>
    <w:rsid w:val="00F22558"/>
    <w:rsid w:val="00F22723"/>
    <w:rsid w:val="00F22F61"/>
    <w:rsid w:val="00F235FB"/>
    <w:rsid w:val="00F237AC"/>
    <w:rsid w:val="00F23A28"/>
    <w:rsid w:val="00F248A1"/>
    <w:rsid w:val="00F2497D"/>
    <w:rsid w:val="00F2507A"/>
    <w:rsid w:val="00F25AB9"/>
    <w:rsid w:val="00F2646C"/>
    <w:rsid w:val="00F269F2"/>
    <w:rsid w:val="00F26B0B"/>
    <w:rsid w:val="00F26F19"/>
    <w:rsid w:val="00F271AC"/>
    <w:rsid w:val="00F2739C"/>
    <w:rsid w:val="00F2743D"/>
    <w:rsid w:val="00F27531"/>
    <w:rsid w:val="00F307EA"/>
    <w:rsid w:val="00F31FCD"/>
    <w:rsid w:val="00F322A8"/>
    <w:rsid w:val="00F32700"/>
    <w:rsid w:val="00F3300E"/>
    <w:rsid w:val="00F33052"/>
    <w:rsid w:val="00F3327B"/>
    <w:rsid w:val="00F33638"/>
    <w:rsid w:val="00F33E00"/>
    <w:rsid w:val="00F33F49"/>
    <w:rsid w:val="00F34173"/>
    <w:rsid w:val="00F344A7"/>
    <w:rsid w:val="00F348BA"/>
    <w:rsid w:val="00F34D51"/>
    <w:rsid w:val="00F35264"/>
    <w:rsid w:val="00F35774"/>
    <w:rsid w:val="00F358D6"/>
    <w:rsid w:val="00F35DC7"/>
    <w:rsid w:val="00F360C2"/>
    <w:rsid w:val="00F364BC"/>
    <w:rsid w:val="00F368B1"/>
    <w:rsid w:val="00F3701E"/>
    <w:rsid w:val="00F3723E"/>
    <w:rsid w:val="00F373DA"/>
    <w:rsid w:val="00F3778B"/>
    <w:rsid w:val="00F37B20"/>
    <w:rsid w:val="00F37B67"/>
    <w:rsid w:val="00F40533"/>
    <w:rsid w:val="00F40568"/>
    <w:rsid w:val="00F40B02"/>
    <w:rsid w:val="00F40C45"/>
    <w:rsid w:val="00F41B24"/>
    <w:rsid w:val="00F42169"/>
    <w:rsid w:val="00F4271E"/>
    <w:rsid w:val="00F42AB5"/>
    <w:rsid w:val="00F42E43"/>
    <w:rsid w:val="00F42F82"/>
    <w:rsid w:val="00F42FB7"/>
    <w:rsid w:val="00F43089"/>
    <w:rsid w:val="00F43B63"/>
    <w:rsid w:val="00F44AEF"/>
    <w:rsid w:val="00F44B04"/>
    <w:rsid w:val="00F44D5D"/>
    <w:rsid w:val="00F45072"/>
    <w:rsid w:val="00F45258"/>
    <w:rsid w:val="00F452E5"/>
    <w:rsid w:val="00F4575A"/>
    <w:rsid w:val="00F45C1E"/>
    <w:rsid w:val="00F462B6"/>
    <w:rsid w:val="00F46B94"/>
    <w:rsid w:val="00F47963"/>
    <w:rsid w:val="00F5027A"/>
    <w:rsid w:val="00F504CE"/>
    <w:rsid w:val="00F50A6F"/>
    <w:rsid w:val="00F513EC"/>
    <w:rsid w:val="00F51617"/>
    <w:rsid w:val="00F51ED3"/>
    <w:rsid w:val="00F5209C"/>
    <w:rsid w:val="00F5295A"/>
    <w:rsid w:val="00F52E9C"/>
    <w:rsid w:val="00F530E9"/>
    <w:rsid w:val="00F53575"/>
    <w:rsid w:val="00F54AFB"/>
    <w:rsid w:val="00F550D5"/>
    <w:rsid w:val="00F55521"/>
    <w:rsid w:val="00F55A94"/>
    <w:rsid w:val="00F55C9F"/>
    <w:rsid w:val="00F56B9D"/>
    <w:rsid w:val="00F570DD"/>
    <w:rsid w:val="00F57B2A"/>
    <w:rsid w:val="00F60631"/>
    <w:rsid w:val="00F61F9F"/>
    <w:rsid w:val="00F62063"/>
    <w:rsid w:val="00F624BC"/>
    <w:rsid w:val="00F6266E"/>
    <w:rsid w:val="00F629FB"/>
    <w:rsid w:val="00F6333F"/>
    <w:rsid w:val="00F6344D"/>
    <w:rsid w:val="00F6366A"/>
    <w:rsid w:val="00F63773"/>
    <w:rsid w:val="00F6386F"/>
    <w:rsid w:val="00F639D9"/>
    <w:rsid w:val="00F63FF7"/>
    <w:rsid w:val="00F6414B"/>
    <w:rsid w:val="00F641D4"/>
    <w:rsid w:val="00F6482A"/>
    <w:rsid w:val="00F64964"/>
    <w:rsid w:val="00F64DD1"/>
    <w:rsid w:val="00F64E16"/>
    <w:rsid w:val="00F65279"/>
    <w:rsid w:val="00F652A4"/>
    <w:rsid w:val="00F657B9"/>
    <w:rsid w:val="00F65B4D"/>
    <w:rsid w:val="00F660C0"/>
    <w:rsid w:val="00F66110"/>
    <w:rsid w:val="00F66C7F"/>
    <w:rsid w:val="00F67878"/>
    <w:rsid w:val="00F67DB2"/>
    <w:rsid w:val="00F67EFF"/>
    <w:rsid w:val="00F70057"/>
    <w:rsid w:val="00F7076C"/>
    <w:rsid w:val="00F718C3"/>
    <w:rsid w:val="00F722D9"/>
    <w:rsid w:val="00F72796"/>
    <w:rsid w:val="00F73107"/>
    <w:rsid w:val="00F73161"/>
    <w:rsid w:val="00F7351E"/>
    <w:rsid w:val="00F735EB"/>
    <w:rsid w:val="00F73C6C"/>
    <w:rsid w:val="00F74681"/>
    <w:rsid w:val="00F746D5"/>
    <w:rsid w:val="00F74DAE"/>
    <w:rsid w:val="00F75215"/>
    <w:rsid w:val="00F755F5"/>
    <w:rsid w:val="00F75FDE"/>
    <w:rsid w:val="00F76A98"/>
    <w:rsid w:val="00F76C2A"/>
    <w:rsid w:val="00F76EAC"/>
    <w:rsid w:val="00F76FB8"/>
    <w:rsid w:val="00F7734B"/>
    <w:rsid w:val="00F80019"/>
    <w:rsid w:val="00F81677"/>
    <w:rsid w:val="00F820EB"/>
    <w:rsid w:val="00F826AA"/>
    <w:rsid w:val="00F82809"/>
    <w:rsid w:val="00F82A31"/>
    <w:rsid w:val="00F82E08"/>
    <w:rsid w:val="00F82FD0"/>
    <w:rsid w:val="00F83325"/>
    <w:rsid w:val="00F8350C"/>
    <w:rsid w:val="00F83D5F"/>
    <w:rsid w:val="00F83EE3"/>
    <w:rsid w:val="00F8562F"/>
    <w:rsid w:val="00F862B0"/>
    <w:rsid w:val="00F8675C"/>
    <w:rsid w:val="00F867AD"/>
    <w:rsid w:val="00F870A8"/>
    <w:rsid w:val="00F915AD"/>
    <w:rsid w:val="00F91F05"/>
    <w:rsid w:val="00F92044"/>
    <w:rsid w:val="00F9260B"/>
    <w:rsid w:val="00F92E61"/>
    <w:rsid w:val="00F92EFC"/>
    <w:rsid w:val="00F935D8"/>
    <w:rsid w:val="00F93D02"/>
    <w:rsid w:val="00F945FB"/>
    <w:rsid w:val="00F9480E"/>
    <w:rsid w:val="00F9652F"/>
    <w:rsid w:val="00F968F2"/>
    <w:rsid w:val="00F969AE"/>
    <w:rsid w:val="00F96C65"/>
    <w:rsid w:val="00F96CAD"/>
    <w:rsid w:val="00F97C0B"/>
    <w:rsid w:val="00FA0105"/>
    <w:rsid w:val="00FA0575"/>
    <w:rsid w:val="00FA1251"/>
    <w:rsid w:val="00FA1692"/>
    <w:rsid w:val="00FA22AE"/>
    <w:rsid w:val="00FA23D8"/>
    <w:rsid w:val="00FA2504"/>
    <w:rsid w:val="00FA27BE"/>
    <w:rsid w:val="00FA2CF1"/>
    <w:rsid w:val="00FA31FA"/>
    <w:rsid w:val="00FA399B"/>
    <w:rsid w:val="00FA492C"/>
    <w:rsid w:val="00FA54B1"/>
    <w:rsid w:val="00FA574E"/>
    <w:rsid w:val="00FA5778"/>
    <w:rsid w:val="00FA59FD"/>
    <w:rsid w:val="00FA628C"/>
    <w:rsid w:val="00FA6714"/>
    <w:rsid w:val="00FA6856"/>
    <w:rsid w:val="00FA6C37"/>
    <w:rsid w:val="00FA710B"/>
    <w:rsid w:val="00FA7B1F"/>
    <w:rsid w:val="00FB075E"/>
    <w:rsid w:val="00FB101E"/>
    <w:rsid w:val="00FB17DC"/>
    <w:rsid w:val="00FB28D9"/>
    <w:rsid w:val="00FB2AED"/>
    <w:rsid w:val="00FB2BFD"/>
    <w:rsid w:val="00FB3757"/>
    <w:rsid w:val="00FB3B19"/>
    <w:rsid w:val="00FB42F4"/>
    <w:rsid w:val="00FB4AAB"/>
    <w:rsid w:val="00FB4FB4"/>
    <w:rsid w:val="00FB5492"/>
    <w:rsid w:val="00FB562E"/>
    <w:rsid w:val="00FB6067"/>
    <w:rsid w:val="00FB61AE"/>
    <w:rsid w:val="00FB6A6C"/>
    <w:rsid w:val="00FB6A97"/>
    <w:rsid w:val="00FB7032"/>
    <w:rsid w:val="00FB768F"/>
    <w:rsid w:val="00FB78E7"/>
    <w:rsid w:val="00FC030A"/>
    <w:rsid w:val="00FC0A01"/>
    <w:rsid w:val="00FC0A1B"/>
    <w:rsid w:val="00FC0DC5"/>
    <w:rsid w:val="00FC0E4D"/>
    <w:rsid w:val="00FC1033"/>
    <w:rsid w:val="00FC215E"/>
    <w:rsid w:val="00FC2435"/>
    <w:rsid w:val="00FC2618"/>
    <w:rsid w:val="00FC314C"/>
    <w:rsid w:val="00FC36A3"/>
    <w:rsid w:val="00FC3A50"/>
    <w:rsid w:val="00FC3C78"/>
    <w:rsid w:val="00FC3ED3"/>
    <w:rsid w:val="00FC4C87"/>
    <w:rsid w:val="00FC4D80"/>
    <w:rsid w:val="00FC56B8"/>
    <w:rsid w:val="00FC5B73"/>
    <w:rsid w:val="00FC665E"/>
    <w:rsid w:val="00FC718E"/>
    <w:rsid w:val="00FC76D2"/>
    <w:rsid w:val="00FC7D15"/>
    <w:rsid w:val="00FC7E88"/>
    <w:rsid w:val="00FC7E9D"/>
    <w:rsid w:val="00FD001E"/>
    <w:rsid w:val="00FD0484"/>
    <w:rsid w:val="00FD0875"/>
    <w:rsid w:val="00FD19EB"/>
    <w:rsid w:val="00FD1CCF"/>
    <w:rsid w:val="00FD2027"/>
    <w:rsid w:val="00FD3353"/>
    <w:rsid w:val="00FD3358"/>
    <w:rsid w:val="00FD4200"/>
    <w:rsid w:val="00FD4966"/>
    <w:rsid w:val="00FD540D"/>
    <w:rsid w:val="00FD54E8"/>
    <w:rsid w:val="00FD59A1"/>
    <w:rsid w:val="00FD645F"/>
    <w:rsid w:val="00FE00DC"/>
    <w:rsid w:val="00FE0167"/>
    <w:rsid w:val="00FE02B2"/>
    <w:rsid w:val="00FE0588"/>
    <w:rsid w:val="00FE06F3"/>
    <w:rsid w:val="00FE0968"/>
    <w:rsid w:val="00FE0BE8"/>
    <w:rsid w:val="00FE195C"/>
    <w:rsid w:val="00FE195F"/>
    <w:rsid w:val="00FE1DBD"/>
    <w:rsid w:val="00FE22F2"/>
    <w:rsid w:val="00FE2490"/>
    <w:rsid w:val="00FE2658"/>
    <w:rsid w:val="00FE27EF"/>
    <w:rsid w:val="00FE28FC"/>
    <w:rsid w:val="00FE2B99"/>
    <w:rsid w:val="00FE3068"/>
    <w:rsid w:val="00FE39F7"/>
    <w:rsid w:val="00FE3AED"/>
    <w:rsid w:val="00FE3C78"/>
    <w:rsid w:val="00FE3D58"/>
    <w:rsid w:val="00FE46E2"/>
    <w:rsid w:val="00FE4B66"/>
    <w:rsid w:val="00FE4D03"/>
    <w:rsid w:val="00FE5D50"/>
    <w:rsid w:val="00FE6AB5"/>
    <w:rsid w:val="00FE6B71"/>
    <w:rsid w:val="00FE6F39"/>
    <w:rsid w:val="00FE761A"/>
    <w:rsid w:val="00FE767B"/>
    <w:rsid w:val="00FE7AC9"/>
    <w:rsid w:val="00FF02A3"/>
    <w:rsid w:val="00FF0997"/>
    <w:rsid w:val="00FF0DB2"/>
    <w:rsid w:val="00FF17C0"/>
    <w:rsid w:val="00FF1C53"/>
    <w:rsid w:val="00FF1C95"/>
    <w:rsid w:val="00FF25B6"/>
    <w:rsid w:val="00FF26E3"/>
    <w:rsid w:val="00FF2B39"/>
    <w:rsid w:val="00FF2C1E"/>
    <w:rsid w:val="00FF2EDB"/>
    <w:rsid w:val="00FF300F"/>
    <w:rsid w:val="00FF3734"/>
    <w:rsid w:val="00FF37A8"/>
    <w:rsid w:val="00FF382E"/>
    <w:rsid w:val="00FF3A4D"/>
    <w:rsid w:val="00FF3D87"/>
    <w:rsid w:val="00FF3DA2"/>
    <w:rsid w:val="00FF3F54"/>
    <w:rsid w:val="00FF4BA9"/>
    <w:rsid w:val="00FF4C13"/>
    <w:rsid w:val="00FF5414"/>
    <w:rsid w:val="00FF5ADA"/>
    <w:rsid w:val="00FF5D43"/>
    <w:rsid w:val="00FF646E"/>
    <w:rsid w:val="00FF66A3"/>
    <w:rsid w:val="00FF6B78"/>
    <w:rsid w:val="00FF6D7F"/>
    <w:rsid w:val="00FF73EB"/>
    <w:rsid w:val="00FF79B5"/>
    <w:rsid w:val="00FF7ECC"/>
    <w:rsid w:val="00FF7F99"/>
    <w:rsid w:val="022601C7"/>
    <w:rsid w:val="02C17782"/>
    <w:rsid w:val="03076EF0"/>
    <w:rsid w:val="033F260A"/>
    <w:rsid w:val="03A833EB"/>
    <w:rsid w:val="03E62666"/>
    <w:rsid w:val="0427117D"/>
    <w:rsid w:val="05744C41"/>
    <w:rsid w:val="05F62C3F"/>
    <w:rsid w:val="06971EBA"/>
    <w:rsid w:val="06D23E0D"/>
    <w:rsid w:val="070A3F06"/>
    <w:rsid w:val="07F36D8D"/>
    <w:rsid w:val="081D7677"/>
    <w:rsid w:val="08501C7B"/>
    <w:rsid w:val="08560BD7"/>
    <w:rsid w:val="08FF661F"/>
    <w:rsid w:val="092C16B7"/>
    <w:rsid w:val="09603B45"/>
    <w:rsid w:val="0A273AD6"/>
    <w:rsid w:val="0A9D7935"/>
    <w:rsid w:val="0AD251AA"/>
    <w:rsid w:val="0AEA1B40"/>
    <w:rsid w:val="0B2327E2"/>
    <w:rsid w:val="0B2B50AD"/>
    <w:rsid w:val="0B872FF5"/>
    <w:rsid w:val="0C8962DC"/>
    <w:rsid w:val="0D4A0B2F"/>
    <w:rsid w:val="0E4502B3"/>
    <w:rsid w:val="0EAB1EE3"/>
    <w:rsid w:val="103A2EA9"/>
    <w:rsid w:val="10853B45"/>
    <w:rsid w:val="10C9163A"/>
    <w:rsid w:val="114C2E8E"/>
    <w:rsid w:val="117A5602"/>
    <w:rsid w:val="11824A08"/>
    <w:rsid w:val="11F57240"/>
    <w:rsid w:val="121731F6"/>
    <w:rsid w:val="122D3086"/>
    <w:rsid w:val="1413487F"/>
    <w:rsid w:val="14935610"/>
    <w:rsid w:val="153E4BCA"/>
    <w:rsid w:val="16BA0498"/>
    <w:rsid w:val="16D23A20"/>
    <w:rsid w:val="170F7767"/>
    <w:rsid w:val="17C90A7C"/>
    <w:rsid w:val="17EC6D88"/>
    <w:rsid w:val="180E389E"/>
    <w:rsid w:val="188A6ECA"/>
    <w:rsid w:val="193A341F"/>
    <w:rsid w:val="1B227E7B"/>
    <w:rsid w:val="1B5C7895"/>
    <w:rsid w:val="1B941AD4"/>
    <w:rsid w:val="1C331705"/>
    <w:rsid w:val="1C35224C"/>
    <w:rsid w:val="1D4F705C"/>
    <w:rsid w:val="1D5E077E"/>
    <w:rsid w:val="1EBA0450"/>
    <w:rsid w:val="1FBC2ABC"/>
    <w:rsid w:val="2041029A"/>
    <w:rsid w:val="20EF11E0"/>
    <w:rsid w:val="21182DC4"/>
    <w:rsid w:val="21545092"/>
    <w:rsid w:val="2302156A"/>
    <w:rsid w:val="23107476"/>
    <w:rsid w:val="238D359D"/>
    <w:rsid w:val="23D47E12"/>
    <w:rsid w:val="23FB7B30"/>
    <w:rsid w:val="2461192B"/>
    <w:rsid w:val="251330FF"/>
    <w:rsid w:val="25621CE3"/>
    <w:rsid w:val="25654058"/>
    <w:rsid w:val="25714B12"/>
    <w:rsid w:val="2574729E"/>
    <w:rsid w:val="25FC4352"/>
    <w:rsid w:val="26AC0FE3"/>
    <w:rsid w:val="276B057D"/>
    <w:rsid w:val="27C95B24"/>
    <w:rsid w:val="281D5E61"/>
    <w:rsid w:val="28675F60"/>
    <w:rsid w:val="28881AFA"/>
    <w:rsid w:val="28912F73"/>
    <w:rsid w:val="293E2A41"/>
    <w:rsid w:val="2B192361"/>
    <w:rsid w:val="2B28471E"/>
    <w:rsid w:val="2B33435A"/>
    <w:rsid w:val="2BF64366"/>
    <w:rsid w:val="2C861273"/>
    <w:rsid w:val="2D1226D8"/>
    <w:rsid w:val="2D37296B"/>
    <w:rsid w:val="2D461C5C"/>
    <w:rsid w:val="2E865209"/>
    <w:rsid w:val="2EF53BE9"/>
    <w:rsid w:val="2FC10A8E"/>
    <w:rsid w:val="310B6C23"/>
    <w:rsid w:val="318A4A14"/>
    <w:rsid w:val="31D66820"/>
    <w:rsid w:val="32A62DF3"/>
    <w:rsid w:val="33962999"/>
    <w:rsid w:val="33BA1E40"/>
    <w:rsid w:val="36961BA3"/>
    <w:rsid w:val="369A7E99"/>
    <w:rsid w:val="388C7A99"/>
    <w:rsid w:val="3A32545E"/>
    <w:rsid w:val="3A931F89"/>
    <w:rsid w:val="3C0311BA"/>
    <w:rsid w:val="3CE95B05"/>
    <w:rsid w:val="3DAC517E"/>
    <w:rsid w:val="3DDC3376"/>
    <w:rsid w:val="3DDE3CF5"/>
    <w:rsid w:val="3E131C35"/>
    <w:rsid w:val="3E6E529D"/>
    <w:rsid w:val="3EB513B7"/>
    <w:rsid w:val="3FD44611"/>
    <w:rsid w:val="3FFD2AA6"/>
    <w:rsid w:val="40686F24"/>
    <w:rsid w:val="408F0007"/>
    <w:rsid w:val="413264EC"/>
    <w:rsid w:val="4196758C"/>
    <w:rsid w:val="42F26B44"/>
    <w:rsid w:val="433137CC"/>
    <w:rsid w:val="439367BA"/>
    <w:rsid w:val="445352F5"/>
    <w:rsid w:val="447F27E4"/>
    <w:rsid w:val="4498224C"/>
    <w:rsid w:val="453B6FB5"/>
    <w:rsid w:val="45BB6370"/>
    <w:rsid w:val="46AA51C4"/>
    <w:rsid w:val="49930974"/>
    <w:rsid w:val="4A6E6946"/>
    <w:rsid w:val="4B2A252F"/>
    <w:rsid w:val="4B9C3AA9"/>
    <w:rsid w:val="4C1D5F09"/>
    <w:rsid w:val="4C932782"/>
    <w:rsid w:val="4CEA26A6"/>
    <w:rsid w:val="4DCA1959"/>
    <w:rsid w:val="4E223181"/>
    <w:rsid w:val="4E3C4330"/>
    <w:rsid w:val="4F6939F7"/>
    <w:rsid w:val="50093E70"/>
    <w:rsid w:val="511B2719"/>
    <w:rsid w:val="52005A19"/>
    <w:rsid w:val="532760A3"/>
    <w:rsid w:val="53685179"/>
    <w:rsid w:val="53BE3C22"/>
    <w:rsid w:val="53F817ED"/>
    <w:rsid w:val="54191F75"/>
    <w:rsid w:val="5419780A"/>
    <w:rsid w:val="55307398"/>
    <w:rsid w:val="564523C6"/>
    <w:rsid w:val="564D4072"/>
    <w:rsid w:val="564F5051"/>
    <w:rsid w:val="57024C68"/>
    <w:rsid w:val="587476B3"/>
    <w:rsid w:val="5A727056"/>
    <w:rsid w:val="5B3C2A80"/>
    <w:rsid w:val="5C3C5E9B"/>
    <w:rsid w:val="5C487AB3"/>
    <w:rsid w:val="5C7E0924"/>
    <w:rsid w:val="5D76062F"/>
    <w:rsid w:val="5E7F453A"/>
    <w:rsid w:val="5F487B2D"/>
    <w:rsid w:val="5F6D558B"/>
    <w:rsid w:val="5F7436FB"/>
    <w:rsid w:val="5FE70F2A"/>
    <w:rsid w:val="5FFB6779"/>
    <w:rsid w:val="604E7941"/>
    <w:rsid w:val="60844AAA"/>
    <w:rsid w:val="60C7094A"/>
    <w:rsid w:val="61147BD7"/>
    <w:rsid w:val="62D57469"/>
    <w:rsid w:val="6351712F"/>
    <w:rsid w:val="63894C35"/>
    <w:rsid w:val="63A22D4E"/>
    <w:rsid w:val="640530F6"/>
    <w:rsid w:val="6417515B"/>
    <w:rsid w:val="65302443"/>
    <w:rsid w:val="65411461"/>
    <w:rsid w:val="67A1118F"/>
    <w:rsid w:val="67FB322A"/>
    <w:rsid w:val="691738C8"/>
    <w:rsid w:val="696F1CF2"/>
    <w:rsid w:val="69912070"/>
    <w:rsid w:val="69F163D4"/>
    <w:rsid w:val="69FD46E9"/>
    <w:rsid w:val="6A726780"/>
    <w:rsid w:val="6AE06F91"/>
    <w:rsid w:val="6B583D2A"/>
    <w:rsid w:val="6BF47270"/>
    <w:rsid w:val="6C0D76E0"/>
    <w:rsid w:val="6CBA4FF8"/>
    <w:rsid w:val="6D773C65"/>
    <w:rsid w:val="6F7C47EF"/>
    <w:rsid w:val="701B08E6"/>
    <w:rsid w:val="70664983"/>
    <w:rsid w:val="71940528"/>
    <w:rsid w:val="71BF68BD"/>
    <w:rsid w:val="71CB0272"/>
    <w:rsid w:val="72E0674B"/>
    <w:rsid w:val="72F76CFD"/>
    <w:rsid w:val="734C3220"/>
    <w:rsid w:val="73E419D6"/>
    <w:rsid w:val="74B202A8"/>
    <w:rsid w:val="751F7C29"/>
    <w:rsid w:val="75461F61"/>
    <w:rsid w:val="75463C4A"/>
    <w:rsid w:val="763F199A"/>
    <w:rsid w:val="769D32E7"/>
    <w:rsid w:val="770519A8"/>
    <w:rsid w:val="770A2A27"/>
    <w:rsid w:val="77235C93"/>
    <w:rsid w:val="77CA58A8"/>
    <w:rsid w:val="77E1553E"/>
    <w:rsid w:val="792347AB"/>
    <w:rsid w:val="79793508"/>
    <w:rsid w:val="7A9B18C0"/>
    <w:rsid w:val="7AD845A1"/>
    <w:rsid w:val="7BE006A2"/>
    <w:rsid w:val="7CA638E3"/>
    <w:rsid w:val="7CE46395"/>
    <w:rsid w:val="7D3F758A"/>
    <w:rsid w:val="7E801D1D"/>
    <w:rsid w:val="7F423A86"/>
    <w:rsid w:val="7F425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24"/>
    <w:qFormat/>
    <w:uiPriority w:val="0"/>
    <w:pPr>
      <w:keepNext/>
      <w:jc w:val="center"/>
      <w:outlineLvl w:val="0"/>
    </w:pPr>
    <w:rPr>
      <w:sz w:val="28"/>
      <w:szCs w:val="20"/>
    </w:rPr>
  </w:style>
  <w:style w:type="paragraph" w:styleId="4">
    <w:name w:val="heading 2"/>
    <w:basedOn w:val="1"/>
    <w:next w:val="1"/>
    <w:link w:val="66"/>
    <w:qFormat/>
    <w:uiPriority w:val="0"/>
    <w:pPr>
      <w:keepNext/>
      <w:keepLines/>
      <w:spacing w:before="260" w:after="260" w:line="416" w:lineRule="auto"/>
      <w:outlineLvl w:val="1"/>
    </w:pPr>
    <w:rPr>
      <w:rFonts w:ascii="Arial" w:hAnsi="Arial" w:eastAsia="黑体"/>
      <w:b/>
      <w:sz w:val="32"/>
      <w:szCs w:val="20"/>
    </w:rPr>
  </w:style>
  <w:style w:type="paragraph" w:styleId="5">
    <w:name w:val="heading 3"/>
    <w:basedOn w:val="1"/>
    <w:next w:val="1"/>
    <w:link w:val="64"/>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226"/>
    <w:qFormat/>
    <w:uiPriority w:val="0"/>
    <w:pPr>
      <w:keepNext/>
      <w:keepLines/>
      <w:widowControl/>
      <w:tabs>
        <w:tab w:val="left" w:pos="377"/>
        <w:tab w:val="left" w:pos="1247"/>
      </w:tabs>
      <w:spacing w:before="100" w:beforeAutospacing="1" w:after="290" w:line="377" w:lineRule="auto"/>
      <w:ind w:left="1077" w:hanging="1020"/>
      <w:outlineLvl w:val="4"/>
    </w:pPr>
    <w:rPr>
      <w:rFonts w:eastAsia="黑体"/>
      <w:bCs/>
      <w:kern w:val="0"/>
      <w:sz w:val="28"/>
      <w:szCs w:val="28"/>
    </w:rPr>
  </w:style>
  <w:style w:type="paragraph" w:styleId="8">
    <w:name w:val="heading 6"/>
    <w:basedOn w:val="1"/>
    <w:next w:val="1"/>
    <w:link w:val="227"/>
    <w:qFormat/>
    <w:uiPriority w:val="0"/>
    <w:pPr>
      <w:keepNext/>
      <w:keepLines/>
      <w:widowControl/>
      <w:tabs>
        <w:tab w:val="left" w:pos="377"/>
        <w:tab w:val="left" w:pos="737"/>
      </w:tabs>
      <w:spacing w:before="240" w:after="64" w:line="319" w:lineRule="auto"/>
      <w:ind w:left="737" w:hanging="510"/>
      <w:outlineLvl w:val="5"/>
    </w:pPr>
    <w:rPr>
      <w:rFonts w:eastAsia="黑体"/>
      <w:bCs/>
      <w:kern w:val="0"/>
      <w:sz w:val="28"/>
      <w:szCs w:val="28"/>
    </w:rPr>
  </w:style>
  <w:style w:type="paragraph" w:styleId="9">
    <w:name w:val="heading 7"/>
    <w:basedOn w:val="1"/>
    <w:next w:val="1"/>
    <w:qFormat/>
    <w:uiPriority w:val="0"/>
    <w:pPr>
      <w:keepNext/>
      <w:keepLines/>
      <w:spacing w:before="240" w:after="64" w:line="320" w:lineRule="auto"/>
      <w:outlineLvl w:val="6"/>
    </w:pPr>
    <w:rPr>
      <w:b/>
      <w:bCs/>
      <w:sz w:val="24"/>
    </w:rPr>
  </w:style>
  <w:style w:type="paragraph" w:styleId="10">
    <w:name w:val="heading 8"/>
    <w:basedOn w:val="1"/>
    <w:next w:val="1"/>
    <w:link w:val="228"/>
    <w:qFormat/>
    <w:uiPriority w:val="0"/>
    <w:pPr>
      <w:keepNext/>
      <w:keepLines/>
      <w:widowControl/>
      <w:tabs>
        <w:tab w:val="left" w:pos="377"/>
        <w:tab w:val="left" w:pos="737"/>
      </w:tabs>
      <w:spacing w:before="240" w:after="64" w:line="319" w:lineRule="auto"/>
      <w:ind w:left="737" w:hanging="510"/>
      <w:outlineLvl w:val="7"/>
    </w:pPr>
    <w:rPr>
      <w:rFonts w:eastAsia="黑体"/>
      <w:kern w:val="0"/>
      <w:sz w:val="28"/>
      <w:szCs w:val="28"/>
    </w:rPr>
  </w:style>
  <w:style w:type="paragraph" w:styleId="11">
    <w:name w:val="heading 9"/>
    <w:basedOn w:val="1"/>
    <w:next w:val="1"/>
    <w:link w:val="229"/>
    <w:qFormat/>
    <w:uiPriority w:val="0"/>
    <w:pPr>
      <w:keepNext/>
      <w:keepLines/>
      <w:tabs>
        <w:tab w:val="left" w:pos="1584"/>
      </w:tabs>
      <w:snapToGrid w:val="0"/>
      <w:spacing w:before="240" w:after="64" w:line="360" w:lineRule="auto"/>
      <w:ind w:left="1584" w:hanging="1584"/>
      <w:outlineLvl w:val="8"/>
    </w:pPr>
    <w:rPr>
      <w:sz w:val="24"/>
      <w:szCs w:val="28"/>
    </w:rPr>
  </w:style>
  <w:style w:type="character" w:default="1" w:styleId="54">
    <w:name w:val="Default Paragraph Font"/>
    <w:semiHidden/>
    <w:unhideWhenUsed/>
    <w:qFormat/>
    <w:uiPriority w:val="1"/>
  </w:style>
  <w:style w:type="table" w:default="1" w:styleId="5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Default"/>
    <w:link w:val="274"/>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2">
    <w:name w:val="toc 7"/>
    <w:basedOn w:val="1"/>
    <w:next w:val="1"/>
    <w:qFormat/>
    <w:uiPriority w:val="0"/>
    <w:pPr>
      <w:ind w:left="2520" w:leftChars="1200"/>
    </w:pPr>
    <w:rPr>
      <w:rFonts w:ascii="宋体"/>
    </w:rPr>
  </w:style>
  <w:style w:type="paragraph" w:styleId="13">
    <w:name w:val="Note Heading"/>
    <w:basedOn w:val="1"/>
    <w:next w:val="1"/>
    <w:link w:val="241"/>
    <w:qFormat/>
    <w:uiPriority w:val="0"/>
    <w:pPr>
      <w:jc w:val="center"/>
    </w:pPr>
    <w:rPr>
      <w:rFonts w:ascii="宋体"/>
      <w:szCs w:val="21"/>
    </w:rPr>
  </w:style>
  <w:style w:type="paragraph" w:styleId="14">
    <w:name w:val="index 8"/>
    <w:basedOn w:val="1"/>
    <w:next w:val="1"/>
    <w:qFormat/>
    <w:uiPriority w:val="0"/>
    <w:pPr>
      <w:ind w:left="1400" w:leftChars="1400"/>
    </w:pPr>
    <w:rPr>
      <w:szCs w:val="20"/>
    </w:rPr>
  </w:style>
  <w:style w:type="paragraph" w:styleId="15">
    <w:name w:val="Normal Indent"/>
    <w:basedOn w:val="1"/>
    <w:link w:val="225"/>
    <w:qFormat/>
    <w:uiPriority w:val="0"/>
    <w:pPr>
      <w:ind w:firstLine="420" w:firstLineChars="200"/>
    </w:pPr>
  </w:style>
  <w:style w:type="paragraph" w:styleId="16">
    <w:name w:val="index 5"/>
    <w:basedOn w:val="1"/>
    <w:next w:val="1"/>
    <w:qFormat/>
    <w:uiPriority w:val="0"/>
    <w:pPr>
      <w:ind w:left="800" w:leftChars="800"/>
    </w:pPr>
    <w:rPr>
      <w:szCs w:val="20"/>
    </w:rPr>
  </w:style>
  <w:style w:type="paragraph" w:styleId="17">
    <w:name w:val="Document Map"/>
    <w:basedOn w:val="1"/>
    <w:semiHidden/>
    <w:qFormat/>
    <w:uiPriority w:val="0"/>
    <w:pPr>
      <w:shd w:val="clear" w:color="auto" w:fill="000080"/>
    </w:pPr>
  </w:style>
  <w:style w:type="paragraph" w:styleId="18">
    <w:name w:val="annotation text"/>
    <w:basedOn w:val="1"/>
    <w:link w:val="246"/>
    <w:qFormat/>
    <w:uiPriority w:val="0"/>
    <w:pPr>
      <w:widowControl/>
      <w:tabs>
        <w:tab w:val="left" w:pos="377"/>
      </w:tabs>
      <w:spacing w:line="360" w:lineRule="auto"/>
      <w:jc w:val="left"/>
    </w:pPr>
    <w:rPr>
      <w:rFonts w:ascii="宋体"/>
      <w:kern w:val="0"/>
      <w:sz w:val="24"/>
    </w:rPr>
  </w:style>
  <w:style w:type="paragraph" w:styleId="19">
    <w:name w:val="index 6"/>
    <w:basedOn w:val="1"/>
    <w:next w:val="1"/>
    <w:qFormat/>
    <w:uiPriority w:val="0"/>
    <w:pPr>
      <w:ind w:left="1000" w:leftChars="1000"/>
    </w:pPr>
    <w:rPr>
      <w:szCs w:val="20"/>
    </w:rPr>
  </w:style>
  <w:style w:type="paragraph" w:styleId="20">
    <w:name w:val="Salutation"/>
    <w:basedOn w:val="1"/>
    <w:next w:val="1"/>
    <w:qFormat/>
    <w:uiPriority w:val="0"/>
    <w:rPr>
      <w:sz w:val="24"/>
      <w:szCs w:val="20"/>
    </w:rPr>
  </w:style>
  <w:style w:type="paragraph" w:styleId="21">
    <w:name w:val="Body Text 3"/>
    <w:basedOn w:val="1"/>
    <w:qFormat/>
    <w:uiPriority w:val="0"/>
    <w:pPr>
      <w:spacing w:line="360" w:lineRule="auto"/>
    </w:pPr>
    <w:rPr>
      <w:sz w:val="24"/>
    </w:rPr>
  </w:style>
  <w:style w:type="paragraph" w:styleId="22">
    <w:name w:val="Body Text"/>
    <w:basedOn w:val="1"/>
    <w:link w:val="233"/>
    <w:qFormat/>
    <w:uiPriority w:val="0"/>
    <w:pPr>
      <w:spacing w:after="120"/>
    </w:pPr>
  </w:style>
  <w:style w:type="paragraph" w:styleId="23">
    <w:name w:val="Body Text Indent"/>
    <w:basedOn w:val="1"/>
    <w:next w:val="15"/>
    <w:qFormat/>
    <w:uiPriority w:val="0"/>
    <w:pPr>
      <w:ind w:firstLine="538" w:firstLineChars="192"/>
    </w:pPr>
    <w:rPr>
      <w:rFonts w:ascii="宋体" w:hAnsi="宋体"/>
      <w:color w:val="FF0000"/>
      <w:sz w:val="28"/>
      <w:szCs w:val="28"/>
    </w:rPr>
  </w:style>
  <w:style w:type="paragraph" w:styleId="24">
    <w:name w:val="Block Text"/>
    <w:basedOn w:val="1"/>
    <w:qFormat/>
    <w:uiPriority w:val="0"/>
    <w:pPr>
      <w:adjustRightInd w:val="0"/>
      <w:spacing w:line="360" w:lineRule="auto"/>
      <w:ind w:left="57" w:right="57" w:firstLine="539"/>
      <w:textAlignment w:val="baseline"/>
    </w:pPr>
    <w:rPr>
      <w:spacing w:val="20"/>
      <w:kern w:val="0"/>
      <w:sz w:val="24"/>
      <w:szCs w:val="20"/>
    </w:rPr>
  </w:style>
  <w:style w:type="paragraph" w:styleId="25">
    <w:name w:val="index 4"/>
    <w:basedOn w:val="1"/>
    <w:next w:val="1"/>
    <w:qFormat/>
    <w:uiPriority w:val="0"/>
    <w:pPr>
      <w:ind w:left="600" w:leftChars="600"/>
    </w:pPr>
    <w:rPr>
      <w:szCs w:val="20"/>
    </w:rPr>
  </w:style>
  <w:style w:type="paragraph" w:styleId="26">
    <w:name w:val="toc 5"/>
    <w:basedOn w:val="1"/>
    <w:next w:val="1"/>
    <w:qFormat/>
    <w:uiPriority w:val="0"/>
    <w:pPr>
      <w:ind w:left="840"/>
      <w:jc w:val="left"/>
    </w:pPr>
    <w:rPr>
      <w:sz w:val="18"/>
      <w:szCs w:val="18"/>
    </w:rPr>
  </w:style>
  <w:style w:type="paragraph" w:styleId="27">
    <w:name w:val="toc 3"/>
    <w:basedOn w:val="1"/>
    <w:next w:val="1"/>
    <w:qFormat/>
    <w:uiPriority w:val="39"/>
    <w:pPr>
      <w:ind w:left="840" w:leftChars="400"/>
    </w:pPr>
  </w:style>
  <w:style w:type="paragraph" w:styleId="28">
    <w:name w:val="Plain Text"/>
    <w:basedOn w:val="1"/>
    <w:link w:val="232"/>
    <w:qFormat/>
    <w:uiPriority w:val="0"/>
    <w:rPr>
      <w:rFonts w:ascii="宋体" w:hAnsi="Courier New"/>
      <w:szCs w:val="20"/>
    </w:rPr>
  </w:style>
  <w:style w:type="paragraph" w:styleId="29">
    <w:name w:val="toc 8"/>
    <w:basedOn w:val="1"/>
    <w:next w:val="1"/>
    <w:qFormat/>
    <w:uiPriority w:val="0"/>
    <w:pPr>
      <w:ind w:left="1470"/>
      <w:jc w:val="left"/>
    </w:pPr>
    <w:rPr>
      <w:sz w:val="18"/>
      <w:szCs w:val="18"/>
    </w:rPr>
  </w:style>
  <w:style w:type="paragraph" w:styleId="30">
    <w:name w:val="index 3"/>
    <w:basedOn w:val="1"/>
    <w:next w:val="1"/>
    <w:qFormat/>
    <w:uiPriority w:val="0"/>
    <w:pPr>
      <w:ind w:left="400" w:leftChars="400"/>
    </w:pPr>
    <w:rPr>
      <w:szCs w:val="20"/>
    </w:rPr>
  </w:style>
  <w:style w:type="paragraph" w:styleId="31">
    <w:name w:val="Date"/>
    <w:basedOn w:val="1"/>
    <w:next w:val="1"/>
    <w:qFormat/>
    <w:uiPriority w:val="0"/>
    <w:pPr>
      <w:adjustRightInd w:val="0"/>
      <w:spacing w:line="360" w:lineRule="auto"/>
      <w:textAlignment w:val="baseline"/>
    </w:pPr>
    <w:rPr>
      <w:rFonts w:ascii="宋体"/>
      <w:spacing w:val="10"/>
      <w:kern w:val="0"/>
      <w:sz w:val="28"/>
      <w:szCs w:val="20"/>
    </w:rPr>
  </w:style>
  <w:style w:type="paragraph" w:styleId="32">
    <w:name w:val="Body Text Indent 2"/>
    <w:basedOn w:val="1"/>
    <w:qFormat/>
    <w:uiPriority w:val="0"/>
    <w:pPr>
      <w:spacing w:after="120" w:line="480" w:lineRule="auto"/>
      <w:ind w:left="420" w:leftChars="200"/>
    </w:pPr>
  </w:style>
  <w:style w:type="paragraph" w:styleId="33">
    <w:name w:val="Balloon Text"/>
    <w:basedOn w:val="1"/>
    <w:link w:val="238"/>
    <w:qFormat/>
    <w:uiPriority w:val="0"/>
    <w:rPr>
      <w:sz w:val="18"/>
      <w:szCs w:val="18"/>
    </w:rPr>
  </w:style>
  <w:style w:type="paragraph" w:styleId="34">
    <w:name w:val="footer"/>
    <w:basedOn w:val="1"/>
    <w:link w:val="231"/>
    <w:qFormat/>
    <w:uiPriority w:val="0"/>
    <w:pPr>
      <w:tabs>
        <w:tab w:val="center" w:pos="4153"/>
        <w:tab w:val="right" w:pos="8306"/>
      </w:tabs>
      <w:snapToGrid w:val="0"/>
      <w:jc w:val="left"/>
    </w:pPr>
    <w:rPr>
      <w:sz w:val="18"/>
      <w:szCs w:val="18"/>
    </w:rPr>
  </w:style>
  <w:style w:type="paragraph" w:styleId="35">
    <w:name w:val="header"/>
    <w:basedOn w:val="1"/>
    <w:link w:val="230"/>
    <w:qFormat/>
    <w:uiPriority w:val="0"/>
    <w:pPr>
      <w:pBdr>
        <w:bottom w:val="single" w:color="auto" w:sz="6" w:space="1"/>
      </w:pBdr>
      <w:tabs>
        <w:tab w:val="center" w:pos="4153"/>
        <w:tab w:val="right" w:pos="8306"/>
      </w:tabs>
      <w:snapToGrid w:val="0"/>
      <w:jc w:val="center"/>
    </w:pPr>
    <w:rPr>
      <w:sz w:val="18"/>
      <w:szCs w:val="18"/>
    </w:rPr>
  </w:style>
  <w:style w:type="paragraph" w:styleId="36">
    <w:name w:val="toc 1"/>
    <w:basedOn w:val="1"/>
    <w:next w:val="1"/>
    <w:qFormat/>
    <w:uiPriority w:val="39"/>
    <w:pPr>
      <w:tabs>
        <w:tab w:val="right" w:leader="dot" w:pos="8302"/>
      </w:tabs>
      <w:adjustRightInd w:val="0"/>
      <w:snapToGrid w:val="0"/>
    </w:pPr>
    <w:rPr>
      <w:sz w:val="28"/>
    </w:rPr>
  </w:style>
  <w:style w:type="paragraph" w:styleId="37">
    <w:name w:val="toc 4"/>
    <w:basedOn w:val="1"/>
    <w:next w:val="1"/>
    <w:qFormat/>
    <w:uiPriority w:val="0"/>
    <w:pPr>
      <w:ind w:left="630"/>
      <w:jc w:val="left"/>
    </w:pPr>
    <w:rPr>
      <w:sz w:val="18"/>
      <w:szCs w:val="18"/>
    </w:rPr>
  </w:style>
  <w:style w:type="paragraph" w:styleId="38">
    <w:name w:val="toc 6"/>
    <w:basedOn w:val="1"/>
    <w:next w:val="1"/>
    <w:qFormat/>
    <w:uiPriority w:val="0"/>
    <w:pPr>
      <w:ind w:left="2100" w:leftChars="1000"/>
    </w:pPr>
    <w:rPr>
      <w:rFonts w:ascii="宋体"/>
    </w:rPr>
  </w:style>
  <w:style w:type="paragraph" w:styleId="39">
    <w:name w:val="Body Text Indent 3"/>
    <w:basedOn w:val="1"/>
    <w:qFormat/>
    <w:uiPriority w:val="0"/>
    <w:pPr>
      <w:spacing w:after="120"/>
      <w:ind w:left="420" w:leftChars="200"/>
    </w:pPr>
    <w:rPr>
      <w:sz w:val="16"/>
      <w:szCs w:val="16"/>
    </w:rPr>
  </w:style>
  <w:style w:type="paragraph" w:styleId="40">
    <w:name w:val="index 7"/>
    <w:basedOn w:val="1"/>
    <w:next w:val="1"/>
    <w:qFormat/>
    <w:uiPriority w:val="0"/>
    <w:pPr>
      <w:ind w:left="1200" w:leftChars="1200"/>
    </w:pPr>
    <w:rPr>
      <w:szCs w:val="20"/>
    </w:rPr>
  </w:style>
  <w:style w:type="paragraph" w:styleId="41">
    <w:name w:val="index 9"/>
    <w:basedOn w:val="1"/>
    <w:next w:val="1"/>
    <w:qFormat/>
    <w:uiPriority w:val="0"/>
    <w:pPr>
      <w:ind w:left="1600" w:leftChars="1600"/>
    </w:pPr>
    <w:rPr>
      <w:szCs w:val="20"/>
    </w:rPr>
  </w:style>
  <w:style w:type="paragraph" w:styleId="42">
    <w:name w:val="toc 2"/>
    <w:basedOn w:val="1"/>
    <w:next w:val="1"/>
    <w:qFormat/>
    <w:uiPriority w:val="39"/>
    <w:pPr>
      <w:tabs>
        <w:tab w:val="right" w:leader="dot" w:pos="8296"/>
      </w:tabs>
      <w:adjustRightInd w:val="0"/>
      <w:snapToGrid w:val="0"/>
      <w:spacing w:line="300" w:lineRule="auto"/>
      <w:ind w:left="200" w:leftChars="200"/>
    </w:pPr>
    <w:rPr>
      <w:bCs/>
      <w:sz w:val="24"/>
      <w:szCs w:val="28"/>
    </w:rPr>
  </w:style>
  <w:style w:type="paragraph" w:styleId="43">
    <w:name w:val="toc 9"/>
    <w:basedOn w:val="1"/>
    <w:next w:val="1"/>
    <w:qFormat/>
    <w:uiPriority w:val="0"/>
    <w:pPr>
      <w:ind w:left="1680"/>
      <w:jc w:val="left"/>
    </w:pPr>
    <w:rPr>
      <w:sz w:val="18"/>
      <w:szCs w:val="18"/>
    </w:rPr>
  </w:style>
  <w:style w:type="paragraph" w:styleId="44">
    <w:name w:val="Body Text 2"/>
    <w:basedOn w:val="1"/>
    <w:qFormat/>
    <w:uiPriority w:val="0"/>
    <w:rPr>
      <w:rFonts w:ascii="宋体" w:hAnsi="宋体"/>
      <w:sz w:val="24"/>
      <w:szCs w:val="21"/>
    </w:rPr>
  </w:style>
  <w:style w:type="paragraph" w:styleId="4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6">
    <w:name w:val="index 1"/>
    <w:basedOn w:val="1"/>
    <w:next w:val="1"/>
    <w:semiHidden/>
    <w:qFormat/>
    <w:uiPriority w:val="0"/>
    <w:pPr>
      <w:spacing w:line="360" w:lineRule="exact"/>
    </w:pPr>
    <w:rPr>
      <w:szCs w:val="20"/>
    </w:rPr>
  </w:style>
  <w:style w:type="paragraph" w:styleId="47">
    <w:name w:val="index 2"/>
    <w:basedOn w:val="1"/>
    <w:next w:val="1"/>
    <w:qFormat/>
    <w:uiPriority w:val="0"/>
    <w:pPr>
      <w:ind w:left="200" w:leftChars="200"/>
    </w:pPr>
    <w:rPr>
      <w:szCs w:val="20"/>
    </w:rPr>
  </w:style>
  <w:style w:type="paragraph" w:styleId="48">
    <w:name w:val="Title"/>
    <w:basedOn w:val="1"/>
    <w:link w:val="276"/>
    <w:qFormat/>
    <w:uiPriority w:val="0"/>
    <w:pPr>
      <w:spacing w:line="360" w:lineRule="auto"/>
      <w:jc w:val="center"/>
      <w:outlineLvl w:val="0"/>
    </w:pPr>
    <w:rPr>
      <w:rFonts w:ascii="宋体" w:hAnsi="Arial" w:cs="Arial"/>
      <w:b/>
      <w:bCs/>
      <w:sz w:val="32"/>
      <w:szCs w:val="18"/>
    </w:rPr>
  </w:style>
  <w:style w:type="paragraph" w:styleId="49">
    <w:name w:val="annotation subject"/>
    <w:basedOn w:val="18"/>
    <w:next w:val="18"/>
    <w:link w:val="247"/>
    <w:qFormat/>
    <w:uiPriority w:val="0"/>
    <w:rPr>
      <w:b/>
      <w:bCs/>
    </w:rPr>
  </w:style>
  <w:style w:type="paragraph" w:styleId="50">
    <w:name w:val="Body Text First Indent"/>
    <w:basedOn w:val="22"/>
    <w:qFormat/>
    <w:uiPriority w:val="0"/>
    <w:pPr>
      <w:spacing w:line="440" w:lineRule="atLeast"/>
      <w:ind w:firstLine="493"/>
    </w:pPr>
    <w:rPr>
      <w:spacing w:val="6"/>
      <w:w w:val="92"/>
      <w:kern w:val="24"/>
      <w:sz w:val="26"/>
      <w:szCs w:val="20"/>
    </w:rPr>
  </w:style>
  <w:style w:type="paragraph" w:styleId="51">
    <w:name w:val="Body Text First Indent 2"/>
    <w:basedOn w:val="23"/>
    <w:qFormat/>
    <w:uiPriority w:val="0"/>
    <w:pPr>
      <w:ind w:firstLine="420" w:firstLineChars="200"/>
    </w:pPr>
  </w:style>
  <w:style w:type="table" w:styleId="53">
    <w:name w:val="Table Grid"/>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5">
    <w:name w:val="Strong"/>
    <w:qFormat/>
    <w:uiPriority w:val="0"/>
    <w:rPr>
      <w:b/>
      <w:bCs/>
    </w:rPr>
  </w:style>
  <w:style w:type="character" w:styleId="56">
    <w:name w:val="page number"/>
    <w:basedOn w:val="54"/>
    <w:qFormat/>
    <w:uiPriority w:val="0"/>
  </w:style>
  <w:style w:type="character" w:styleId="57">
    <w:name w:val="FollowedHyperlink"/>
    <w:qFormat/>
    <w:uiPriority w:val="99"/>
    <w:rPr>
      <w:color w:val="800080"/>
      <w:u w:val="single"/>
    </w:rPr>
  </w:style>
  <w:style w:type="character" w:styleId="58">
    <w:name w:val="Emphasis"/>
    <w:basedOn w:val="54"/>
    <w:qFormat/>
    <w:uiPriority w:val="0"/>
    <w:rPr>
      <w:i/>
    </w:rPr>
  </w:style>
  <w:style w:type="character" w:styleId="59">
    <w:name w:val="Hyperlink"/>
    <w:qFormat/>
    <w:uiPriority w:val="99"/>
    <w:rPr>
      <w:color w:val="0000FF"/>
      <w:u w:val="single"/>
    </w:rPr>
  </w:style>
  <w:style w:type="character" w:styleId="60">
    <w:name w:val="annotation reference"/>
    <w:qFormat/>
    <w:uiPriority w:val="0"/>
    <w:rPr>
      <w:sz w:val="21"/>
      <w:szCs w:val="21"/>
    </w:rPr>
  </w:style>
  <w:style w:type="paragraph" w:customStyle="1" w:styleId="61">
    <w:name w:val="正文样式"/>
    <w:basedOn w:val="1"/>
    <w:link w:val="272"/>
    <w:qFormat/>
    <w:uiPriority w:val="0"/>
    <w:pPr>
      <w:adjustRightInd w:val="0"/>
      <w:snapToGrid w:val="0"/>
      <w:spacing w:line="520" w:lineRule="exact"/>
      <w:ind w:firstLine="562"/>
    </w:pPr>
    <w:rPr>
      <w:color w:val="000000"/>
      <w:sz w:val="28"/>
      <w:szCs w:val="28"/>
    </w:rPr>
  </w:style>
  <w:style w:type="paragraph" w:customStyle="1" w:styleId="62">
    <w:name w:val="Normal Indent1"/>
    <w:basedOn w:val="1"/>
    <w:link w:val="275"/>
    <w:qFormat/>
    <w:uiPriority w:val="0"/>
    <w:pPr>
      <w:ind w:firstLine="420" w:firstLineChars="200"/>
    </w:pPr>
  </w:style>
  <w:style w:type="paragraph" w:customStyle="1" w:styleId="63">
    <w:name w:val="样式1"/>
    <w:basedOn w:val="22"/>
    <w:qFormat/>
    <w:uiPriority w:val="0"/>
    <w:pPr>
      <w:tabs>
        <w:tab w:val="left" w:pos="567"/>
      </w:tabs>
      <w:spacing w:line="360" w:lineRule="auto"/>
      <w:jc w:val="center"/>
    </w:pPr>
    <w:rPr>
      <w:sz w:val="24"/>
      <w:szCs w:val="20"/>
    </w:rPr>
  </w:style>
  <w:style w:type="character" w:customStyle="1" w:styleId="64">
    <w:name w:val="标题 3 字符"/>
    <w:link w:val="5"/>
    <w:qFormat/>
    <w:uiPriority w:val="0"/>
    <w:rPr>
      <w:b/>
      <w:bCs/>
      <w:kern w:val="2"/>
      <w:sz w:val="32"/>
      <w:szCs w:val="32"/>
    </w:rPr>
  </w:style>
  <w:style w:type="paragraph" w:customStyle="1" w:styleId="65">
    <w:name w:val="li_正文"/>
    <w:basedOn w:val="1"/>
    <w:link w:val="273"/>
    <w:qFormat/>
    <w:uiPriority w:val="0"/>
    <w:pPr>
      <w:tabs>
        <w:tab w:val="left" w:pos="2574"/>
      </w:tabs>
      <w:overflowPunct w:val="0"/>
      <w:topLinePunct/>
      <w:ind w:firstLine="480" w:firstLineChars="200"/>
      <w:jc w:val="left"/>
    </w:pPr>
    <w:rPr>
      <w:kern w:val="2"/>
      <w:sz w:val="28"/>
      <w:szCs w:val="28"/>
    </w:rPr>
  </w:style>
  <w:style w:type="character" w:customStyle="1" w:styleId="66">
    <w:name w:val="标题 2 字符"/>
    <w:link w:val="4"/>
    <w:qFormat/>
    <w:uiPriority w:val="0"/>
    <w:rPr>
      <w:rFonts w:ascii="Arial" w:hAnsi="Arial" w:eastAsia="黑体"/>
      <w:b/>
      <w:kern w:val="2"/>
      <w:sz w:val="32"/>
      <w:lang w:val="en-US" w:eastAsia="zh-CN" w:bidi="ar-SA"/>
    </w:rPr>
  </w:style>
  <w:style w:type="paragraph" w:customStyle="1" w:styleId="67">
    <w:name w:val="Char"/>
    <w:basedOn w:val="1"/>
    <w:link w:val="264"/>
    <w:qFormat/>
    <w:uiPriority w:val="0"/>
    <w:pPr>
      <w:spacing w:line="360" w:lineRule="auto"/>
    </w:pPr>
    <w:rPr>
      <w:sz w:val="24"/>
    </w:rPr>
  </w:style>
  <w:style w:type="paragraph" w:customStyle="1" w:styleId="68">
    <w:name w:val="In Table"/>
    <w:basedOn w:val="1"/>
    <w:qFormat/>
    <w:uiPriority w:val="0"/>
    <w:pPr>
      <w:tabs>
        <w:tab w:val="left" w:pos="2200"/>
        <w:tab w:val="left" w:pos="3960"/>
        <w:tab w:val="left" w:pos="5280"/>
      </w:tabs>
      <w:spacing w:before="96" w:after="96" w:line="0" w:lineRule="atLeast"/>
      <w:jc w:val="center"/>
    </w:pPr>
    <w:rPr>
      <w:rFonts w:ascii="Tahoma" w:hAnsi="Tahoma" w:eastAsia="华文中宋"/>
      <w:szCs w:val="20"/>
    </w:rPr>
  </w:style>
  <w:style w:type="paragraph" w:customStyle="1" w:styleId="69">
    <w:name w:val="表格内"/>
    <w:basedOn w:val="1"/>
    <w:qFormat/>
    <w:uiPriority w:val="0"/>
    <w:pPr>
      <w:adjustRightInd w:val="0"/>
      <w:spacing w:line="240" w:lineRule="atLeast"/>
      <w:jc w:val="center"/>
      <w:textAlignment w:val="baseline"/>
    </w:pPr>
    <w:rPr>
      <w:rFonts w:ascii="宋体"/>
      <w:kern w:val="0"/>
      <w:sz w:val="28"/>
      <w:szCs w:val="20"/>
    </w:rPr>
  </w:style>
  <w:style w:type="paragraph" w:customStyle="1" w:styleId="70">
    <w:name w:val="font5"/>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71">
    <w:name w:val="表格1"/>
    <w:basedOn w:val="1"/>
    <w:qFormat/>
    <w:uiPriority w:val="0"/>
    <w:pPr>
      <w:adjustRightInd w:val="0"/>
      <w:jc w:val="center"/>
      <w:textAlignment w:val="baseline"/>
    </w:pPr>
    <w:rPr>
      <w:rFonts w:ascii="宋体"/>
      <w:kern w:val="0"/>
      <w:sz w:val="24"/>
      <w:szCs w:val="20"/>
    </w:rPr>
  </w:style>
  <w:style w:type="paragraph" w:customStyle="1" w:styleId="72">
    <w:name w:val="表格2"/>
    <w:basedOn w:val="1"/>
    <w:qFormat/>
    <w:uiPriority w:val="0"/>
    <w:pPr>
      <w:adjustRightInd w:val="0"/>
      <w:jc w:val="center"/>
      <w:textAlignment w:val="baseline"/>
    </w:pPr>
    <w:rPr>
      <w:rFonts w:ascii="宋体"/>
      <w:kern w:val="0"/>
      <w:szCs w:val="20"/>
    </w:rPr>
  </w:style>
  <w:style w:type="paragraph" w:customStyle="1" w:styleId="73">
    <w:name w:val="xl23"/>
    <w:basedOn w:val="1"/>
    <w:qFormat/>
    <w:uiPriority w:val="0"/>
    <w:pPr>
      <w:widowControl/>
      <w:spacing w:before="100" w:after="100"/>
      <w:jc w:val="center"/>
    </w:pPr>
    <w:rPr>
      <w:rFonts w:ascii="宋体" w:hAnsi="宋体"/>
      <w:kern w:val="0"/>
      <w:sz w:val="24"/>
      <w:szCs w:val="20"/>
    </w:rPr>
  </w:style>
  <w:style w:type="paragraph" w:customStyle="1" w:styleId="74">
    <w:name w:val="表内文字"/>
    <w:basedOn w:val="1"/>
    <w:qFormat/>
    <w:uiPriority w:val="0"/>
    <w:pPr>
      <w:widowControl/>
      <w:adjustRightInd w:val="0"/>
      <w:snapToGrid w:val="0"/>
      <w:jc w:val="center"/>
    </w:pPr>
    <w:rPr>
      <w:kern w:val="0"/>
      <w:sz w:val="24"/>
      <w:szCs w:val="20"/>
    </w:rPr>
  </w:style>
  <w:style w:type="paragraph" w:customStyle="1" w:styleId="75">
    <w:name w:val="BIG BOLD"/>
    <w:basedOn w:val="1"/>
    <w:qFormat/>
    <w:uiPriority w:val="0"/>
    <w:pPr>
      <w:tabs>
        <w:tab w:val="left" w:leader="underscore" w:pos="1134"/>
      </w:tabs>
    </w:pPr>
    <w:rPr>
      <w:szCs w:val="20"/>
    </w:rPr>
  </w:style>
  <w:style w:type="paragraph" w:customStyle="1" w:styleId="76">
    <w:name w:val="表内5"/>
    <w:basedOn w:val="15"/>
    <w:link w:val="234"/>
    <w:qFormat/>
    <w:uiPriority w:val="0"/>
    <w:pPr>
      <w:adjustRightInd w:val="0"/>
      <w:snapToGrid w:val="0"/>
      <w:ind w:firstLine="0" w:firstLineChars="0"/>
      <w:jc w:val="center"/>
    </w:pPr>
    <w:rPr>
      <w:rFonts w:ascii="宋体" w:hAnsi="宋体"/>
      <w:kern w:val="0"/>
      <w:szCs w:val="21"/>
    </w:rPr>
  </w:style>
  <w:style w:type="paragraph" w:customStyle="1" w:styleId="77">
    <w:name w:val="燕山正文"/>
    <w:basedOn w:val="1"/>
    <w:link w:val="235"/>
    <w:qFormat/>
    <w:uiPriority w:val="0"/>
    <w:pPr>
      <w:tabs>
        <w:tab w:val="left" w:pos="4680"/>
      </w:tabs>
      <w:adjustRightInd w:val="0"/>
      <w:snapToGrid w:val="0"/>
      <w:spacing w:line="360" w:lineRule="auto"/>
      <w:ind w:firstLine="560" w:firstLineChars="200"/>
    </w:pPr>
    <w:rPr>
      <w:rFonts w:ascii="宋体" w:hAnsi="宋体"/>
      <w:color w:val="000000"/>
      <w:sz w:val="28"/>
      <w:szCs w:val="28"/>
    </w:rPr>
  </w:style>
  <w:style w:type="paragraph" w:customStyle="1" w:styleId="78">
    <w:name w:val="安评节"/>
    <w:basedOn w:val="4"/>
    <w:qFormat/>
    <w:uiPriority w:val="0"/>
    <w:pPr>
      <w:tabs>
        <w:tab w:val="left" w:pos="567"/>
      </w:tabs>
      <w:overflowPunct w:val="0"/>
      <w:autoSpaceDE w:val="0"/>
      <w:autoSpaceDN w:val="0"/>
      <w:adjustRightInd w:val="0"/>
      <w:spacing w:before="120" w:after="120" w:line="360" w:lineRule="auto"/>
      <w:ind w:firstLine="200" w:firstLineChars="200"/>
      <w:jc w:val="center"/>
      <w:textAlignment w:val="baseline"/>
    </w:pPr>
    <w:rPr>
      <w:rFonts w:ascii="黑体" w:hAnsi="宋体" w:eastAsia="楷体_GB2312"/>
      <w:kern w:val="16"/>
      <w:szCs w:val="32"/>
    </w:rPr>
  </w:style>
  <w:style w:type="paragraph" w:customStyle="1" w:styleId="79">
    <w:name w:val="安评章"/>
    <w:basedOn w:val="3"/>
    <w:qFormat/>
    <w:uiPriority w:val="0"/>
    <w:pPr>
      <w:keepLines/>
      <w:tabs>
        <w:tab w:val="left" w:pos="567"/>
      </w:tabs>
      <w:overflowPunct w:val="0"/>
      <w:autoSpaceDE w:val="0"/>
      <w:autoSpaceDN w:val="0"/>
      <w:adjustRightInd w:val="0"/>
      <w:spacing w:before="100" w:after="100" w:line="360" w:lineRule="auto"/>
      <w:ind w:firstLine="562" w:firstLineChars="200"/>
      <w:textAlignment w:val="baseline"/>
    </w:pPr>
    <w:rPr>
      <w:rFonts w:ascii="宋体" w:hAnsi="宋体" w:eastAsia="黑体"/>
      <w:b/>
      <w:spacing w:val="20"/>
      <w:kern w:val="16"/>
      <w:sz w:val="32"/>
    </w:rPr>
  </w:style>
  <w:style w:type="paragraph" w:customStyle="1" w:styleId="80">
    <w:name w:val="节下项目标题"/>
    <w:basedOn w:val="1"/>
    <w:next w:val="1"/>
    <w:link w:val="236"/>
    <w:qFormat/>
    <w:uiPriority w:val="0"/>
    <w:pPr>
      <w:spacing w:line="360" w:lineRule="auto"/>
      <w:ind w:firstLine="200" w:firstLineChars="200"/>
      <w:jc w:val="left"/>
    </w:pPr>
    <w:rPr>
      <w:rFonts w:ascii="宋体" w:hAnsi="宋体" w:eastAsia="黑体"/>
      <w:b/>
      <w:sz w:val="28"/>
    </w:rPr>
  </w:style>
  <w:style w:type="paragraph" w:customStyle="1" w:styleId="81">
    <w:name w:val="表内序号"/>
    <w:basedOn w:val="1"/>
    <w:qFormat/>
    <w:uiPriority w:val="0"/>
    <w:pPr>
      <w:adjustRightInd w:val="0"/>
      <w:snapToGrid w:val="0"/>
      <w:spacing w:before="20" w:after="20"/>
      <w:jc w:val="center"/>
    </w:pPr>
    <w:rPr>
      <w:szCs w:val="20"/>
    </w:rPr>
  </w:style>
  <w:style w:type="paragraph" w:customStyle="1" w:styleId="82">
    <w:name w:val="表格标题"/>
    <w:basedOn w:val="1"/>
    <w:link w:val="237"/>
    <w:qFormat/>
    <w:uiPriority w:val="0"/>
    <w:pPr>
      <w:spacing w:line="360" w:lineRule="auto"/>
      <w:ind w:firstLine="200" w:firstLineChars="200"/>
      <w:jc w:val="center"/>
    </w:pPr>
    <w:rPr>
      <w:rFonts w:ascii="宋体" w:hAnsi="宋体"/>
      <w:spacing w:val="20"/>
      <w:sz w:val="24"/>
      <w:szCs w:val="20"/>
    </w:rPr>
  </w:style>
  <w:style w:type="paragraph" w:customStyle="1" w:styleId="83">
    <w:name w:val="标题1"/>
    <w:basedOn w:val="3"/>
    <w:link w:val="277"/>
    <w:qFormat/>
    <w:uiPriority w:val="0"/>
    <w:pPr>
      <w:keepLines/>
      <w:snapToGrid w:val="0"/>
      <w:spacing w:before="50" w:beforeLines="50" w:after="50" w:afterLines="50" w:line="360" w:lineRule="auto"/>
      <w:jc w:val="left"/>
    </w:pPr>
    <w:rPr>
      <w:rFonts w:eastAsia="黑体" w:cs="宋体"/>
      <w:b/>
      <w:kern w:val="44"/>
      <w:sz w:val="32"/>
    </w:rPr>
  </w:style>
  <w:style w:type="paragraph" w:customStyle="1" w:styleId="84">
    <w:name w:val="Char Char Char Char Char Char1 Char"/>
    <w:basedOn w:val="1"/>
    <w:link w:val="278"/>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5">
    <w:name w:val="1"/>
    <w:basedOn w:val="1"/>
    <w:next w:val="28"/>
    <w:qFormat/>
    <w:uiPriority w:val="0"/>
    <w:rPr>
      <w:rFonts w:ascii="宋体" w:hAnsi="Courier New"/>
      <w:szCs w:val="21"/>
    </w:rPr>
  </w:style>
  <w:style w:type="paragraph" w:customStyle="1" w:styleId="86">
    <w:name w:val="样式 样式 首行缩进:  0.99 厘米 行距: 最小值 23 磅 + 行距: 最小值 24 磅"/>
    <w:basedOn w:val="1"/>
    <w:qFormat/>
    <w:uiPriority w:val="0"/>
    <w:pPr>
      <w:snapToGrid w:val="0"/>
      <w:spacing w:line="520" w:lineRule="atLeast"/>
      <w:ind w:firstLine="680"/>
    </w:pPr>
    <w:rPr>
      <w:spacing w:val="12"/>
      <w:kern w:val="24"/>
      <w:sz w:val="28"/>
      <w:szCs w:val="28"/>
    </w:rPr>
  </w:style>
  <w:style w:type="paragraph" w:customStyle="1" w:styleId="87">
    <w:name w:val="xl32"/>
    <w:basedOn w:val="1"/>
    <w:qFormat/>
    <w:uiPriority w:val="0"/>
    <w:pPr>
      <w:widowControl/>
      <w:pBdr>
        <w:left w:val="single" w:color="auto" w:sz="4" w:space="0"/>
      </w:pBdr>
      <w:tabs>
        <w:tab w:val="left" w:pos="720"/>
      </w:tabs>
      <w:adjustRightInd w:val="0"/>
      <w:snapToGrid w:val="0"/>
      <w:spacing w:before="100" w:after="100" w:line="360" w:lineRule="atLeast"/>
      <w:jc w:val="center"/>
      <w:textAlignment w:val="center"/>
    </w:pPr>
    <w:rPr>
      <w:rFonts w:ascii="Arial" w:hAnsi="Arial" w:eastAsia="Arial Unicode MS"/>
      <w:kern w:val="0"/>
      <w:sz w:val="24"/>
      <w:szCs w:val="20"/>
    </w:rPr>
  </w:style>
  <w:style w:type="paragraph" w:customStyle="1" w:styleId="88">
    <w:name w:val="表格"/>
    <w:basedOn w:val="1"/>
    <w:qFormat/>
    <w:uiPriority w:val="0"/>
    <w:pPr>
      <w:widowControl/>
      <w:jc w:val="center"/>
    </w:pPr>
    <w:rPr>
      <w:rFonts w:ascii="宋体" w:hAnsi="宋体"/>
      <w:snapToGrid w:val="0"/>
      <w:kern w:val="0"/>
      <w:sz w:val="24"/>
      <w:szCs w:val="21"/>
    </w:rPr>
  </w:style>
  <w:style w:type="paragraph" w:customStyle="1" w:styleId="89">
    <w:name w:val="样式3"/>
    <w:basedOn w:val="1"/>
    <w:qFormat/>
    <w:uiPriority w:val="0"/>
    <w:pPr>
      <w:adjustRightInd w:val="0"/>
      <w:spacing w:before="240" w:line="460" w:lineRule="exact"/>
      <w:jc w:val="left"/>
      <w:textAlignment w:val="baseline"/>
    </w:pPr>
    <w:rPr>
      <w:rFonts w:ascii="黑体" w:eastAsia="黑体"/>
      <w:kern w:val="0"/>
      <w:sz w:val="28"/>
      <w:szCs w:val="20"/>
    </w:rPr>
  </w:style>
  <w:style w:type="paragraph" w:customStyle="1" w:styleId="90">
    <w:name w:val="p1"/>
    <w:basedOn w:val="1"/>
    <w:qFormat/>
    <w:uiPriority w:val="0"/>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91">
    <w:name w:val="标三"/>
    <w:basedOn w:val="5"/>
    <w:qFormat/>
    <w:uiPriority w:val="0"/>
    <w:pPr>
      <w:spacing w:before="0" w:after="0" w:line="240" w:lineRule="auto"/>
      <w:jc w:val="center"/>
    </w:pPr>
    <w:rPr>
      <w:b w:val="0"/>
      <w:sz w:val="24"/>
      <w:szCs w:val="24"/>
    </w:rPr>
  </w:style>
  <w:style w:type="paragraph" w:customStyle="1" w:styleId="92">
    <w:name w:val="默认段落字体 Para Char Char Char Char Char Char Char"/>
    <w:basedOn w:val="1"/>
    <w:qFormat/>
    <w:uiPriority w:val="0"/>
    <w:pPr>
      <w:spacing w:line="360" w:lineRule="auto"/>
    </w:pPr>
    <w:rPr>
      <w:sz w:val="24"/>
    </w:rPr>
  </w:style>
  <w:style w:type="paragraph" w:customStyle="1" w:styleId="93">
    <w:name w:val="Char Char Char Char Char Char Char"/>
    <w:basedOn w:val="1"/>
    <w:qFormat/>
    <w:uiPriority w:val="0"/>
  </w:style>
  <w:style w:type="paragraph" w:customStyle="1" w:styleId="94">
    <w:name w:val="样式 正文 首行缩进:  2 字符 SL CON + (符号) 宋体 首行缩进:  2 字符"/>
    <w:basedOn w:val="1"/>
    <w:qFormat/>
    <w:uiPriority w:val="0"/>
    <w:pPr>
      <w:widowControl/>
      <w:tabs>
        <w:tab w:val="left" w:pos="377"/>
      </w:tabs>
      <w:spacing w:line="360" w:lineRule="auto"/>
      <w:ind w:firstLine="200" w:firstLineChars="200"/>
    </w:pPr>
    <w:rPr>
      <w:rFonts w:ascii="宋体" w:hAnsi="宋体" w:cs="宋体"/>
      <w:kern w:val="0"/>
      <w:sz w:val="28"/>
      <w:szCs w:val="20"/>
    </w:rPr>
  </w:style>
  <w:style w:type="paragraph" w:customStyle="1" w:styleId="95">
    <w:name w:val="样式 正文 首行缩进:  2 字符 SL CON + 首行缩进:  2 字符 + 首行缩进:  2 字符 + 首行缩..."/>
    <w:basedOn w:val="1"/>
    <w:qFormat/>
    <w:uiPriority w:val="0"/>
    <w:pPr>
      <w:widowControl/>
      <w:tabs>
        <w:tab w:val="left" w:pos="377"/>
      </w:tabs>
      <w:spacing w:line="360" w:lineRule="auto"/>
      <w:ind w:firstLine="560" w:firstLineChars="200"/>
    </w:pPr>
    <w:rPr>
      <w:rFonts w:ascii="宋体" w:cs="宋体"/>
      <w:kern w:val="0"/>
      <w:sz w:val="28"/>
      <w:szCs w:val="20"/>
    </w:rPr>
  </w:style>
  <w:style w:type="paragraph" w:customStyle="1" w:styleId="96">
    <w:name w:val="主标题 样式 小一 加粗 居中(SL CON)"/>
    <w:basedOn w:val="1"/>
    <w:qFormat/>
    <w:uiPriority w:val="0"/>
    <w:pPr>
      <w:widowControl/>
      <w:tabs>
        <w:tab w:val="left" w:pos="377"/>
      </w:tabs>
      <w:spacing w:line="360" w:lineRule="auto"/>
      <w:jc w:val="center"/>
    </w:pPr>
    <w:rPr>
      <w:rFonts w:ascii="宋体" w:cs="宋体"/>
      <w:b/>
      <w:bCs/>
      <w:kern w:val="0"/>
      <w:sz w:val="48"/>
      <w:szCs w:val="20"/>
    </w:rPr>
  </w:style>
  <w:style w:type="paragraph" w:customStyle="1" w:styleId="97">
    <w:name w:val="报告的名称 样式 宋体 小初号 加粗 居中(SL CON)"/>
    <w:basedOn w:val="1"/>
    <w:qFormat/>
    <w:uiPriority w:val="0"/>
    <w:pPr>
      <w:widowControl/>
      <w:tabs>
        <w:tab w:val="left" w:pos="377"/>
      </w:tabs>
      <w:spacing w:line="360" w:lineRule="auto"/>
      <w:jc w:val="center"/>
    </w:pPr>
    <w:rPr>
      <w:rFonts w:ascii="宋体" w:hAnsi="宋体" w:eastAsia="黑体" w:cs="宋体"/>
      <w:b/>
      <w:bCs/>
      <w:kern w:val="0"/>
      <w:sz w:val="72"/>
      <w:szCs w:val="20"/>
    </w:rPr>
  </w:style>
  <w:style w:type="paragraph" w:customStyle="1" w:styleId="98">
    <w:name w:val="日期时间 样式 四号 居中 行距: 1.5 倍行距(SL CON)"/>
    <w:basedOn w:val="1"/>
    <w:qFormat/>
    <w:uiPriority w:val="0"/>
    <w:pPr>
      <w:widowControl/>
      <w:tabs>
        <w:tab w:val="left" w:pos="377"/>
      </w:tabs>
      <w:spacing w:line="360" w:lineRule="auto"/>
      <w:jc w:val="center"/>
    </w:pPr>
    <w:rPr>
      <w:rFonts w:ascii="宋体" w:cs="宋体"/>
      <w:kern w:val="0"/>
      <w:sz w:val="28"/>
      <w:szCs w:val="28"/>
    </w:rPr>
  </w:style>
  <w:style w:type="paragraph" w:customStyle="1" w:styleId="99">
    <w:name w:val="样式 首行缩进:  1.7 厘米 行距: 1.5 倍行距"/>
    <w:basedOn w:val="1"/>
    <w:qFormat/>
    <w:uiPriority w:val="0"/>
    <w:pPr>
      <w:widowControl/>
      <w:tabs>
        <w:tab w:val="left" w:pos="377"/>
      </w:tabs>
      <w:spacing w:line="360" w:lineRule="auto"/>
      <w:ind w:firstLine="963"/>
    </w:pPr>
    <w:rPr>
      <w:rFonts w:ascii="宋体" w:cs="宋体"/>
      <w:kern w:val="0"/>
      <w:sz w:val="32"/>
      <w:szCs w:val="20"/>
    </w:rPr>
  </w:style>
  <w:style w:type="paragraph" w:customStyle="1" w:styleId="100">
    <w:name w:val="SL CON-项目编号"/>
    <w:basedOn w:val="1"/>
    <w:qFormat/>
    <w:uiPriority w:val="0"/>
    <w:pPr>
      <w:adjustRightInd w:val="0"/>
      <w:spacing w:line="360" w:lineRule="auto"/>
      <w:jc w:val="center"/>
      <w:textAlignment w:val="baseline"/>
    </w:pPr>
    <w:rPr>
      <w:rFonts w:ascii="宋体" w:cs="宋体"/>
      <w:kern w:val="0"/>
      <w:sz w:val="34"/>
      <w:szCs w:val="20"/>
    </w:rPr>
  </w:style>
  <w:style w:type="paragraph" w:customStyle="1" w:styleId="101">
    <w:name w:val="标题 2 SL CON"/>
    <w:basedOn w:val="1"/>
    <w:next w:val="1"/>
    <w:qFormat/>
    <w:uiPriority w:val="0"/>
    <w:pPr>
      <w:widowControl/>
      <w:tabs>
        <w:tab w:val="left" w:pos="377"/>
        <w:tab w:val="left" w:pos="794"/>
      </w:tabs>
      <w:spacing w:before="100" w:beforeAutospacing="1" w:line="360" w:lineRule="auto"/>
      <w:ind w:left="794" w:hanging="681"/>
      <w:outlineLvl w:val="1"/>
    </w:pPr>
    <w:rPr>
      <w:rFonts w:ascii="黑体" w:eastAsia="黑体" w:cs="宋体"/>
      <w:kern w:val="0"/>
      <w:sz w:val="30"/>
    </w:rPr>
  </w:style>
  <w:style w:type="paragraph" w:customStyle="1" w:styleId="102">
    <w:name w:val="图样式 居中 SL CON"/>
    <w:basedOn w:val="1"/>
    <w:qFormat/>
    <w:uiPriority w:val="0"/>
    <w:pPr>
      <w:widowControl/>
      <w:tabs>
        <w:tab w:val="left" w:pos="377"/>
      </w:tabs>
      <w:spacing w:line="360" w:lineRule="auto"/>
      <w:jc w:val="center"/>
    </w:pPr>
    <w:rPr>
      <w:rFonts w:ascii="宋体" w:cs="宋体"/>
      <w:kern w:val="0"/>
      <w:sz w:val="24"/>
      <w:szCs w:val="20"/>
    </w:rPr>
  </w:style>
  <w:style w:type="paragraph" w:customStyle="1" w:styleId="103">
    <w:name w:val="表（或图）标题 样式 宋体 小四号 居中 SL CON"/>
    <w:basedOn w:val="1"/>
    <w:qFormat/>
    <w:uiPriority w:val="0"/>
    <w:pPr>
      <w:widowControl/>
      <w:tabs>
        <w:tab w:val="left" w:pos="377"/>
      </w:tabs>
      <w:spacing w:before="100" w:beforeAutospacing="1" w:line="360" w:lineRule="auto"/>
      <w:jc w:val="center"/>
    </w:pPr>
    <w:rPr>
      <w:rFonts w:ascii="宋体" w:hAnsi="宋体" w:cs="宋体"/>
      <w:b/>
      <w:kern w:val="0"/>
      <w:sz w:val="24"/>
      <w:szCs w:val="20"/>
    </w:rPr>
  </w:style>
  <w:style w:type="paragraph" w:customStyle="1" w:styleId="104">
    <w:name w:val="正文 首行缩进:  2 字符 SL CON"/>
    <w:basedOn w:val="1"/>
    <w:qFormat/>
    <w:uiPriority w:val="0"/>
    <w:pPr>
      <w:widowControl/>
      <w:tabs>
        <w:tab w:val="left" w:pos="377"/>
      </w:tabs>
      <w:spacing w:line="360" w:lineRule="auto"/>
      <w:ind w:firstLine="200" w:firstLineChars="200"/>
    </w:pPr>
    <w:rPr>
      <w:rFonts w:ascii="宋体" w:cs="宋体"/>
      <w:kern w:val="0"/>
      <w:sz w:val="28"/>
    </w:rPr>
  </w:style>
  <w:style w:type="paragraph" w:customStyle="1" w:styleId="105">
    <w:name w:val="表内文字 样式 小四号 居中 行距: 单倍行距 SL CON"/>
    <w:basedOn w:val="1"/>
    <w:qFormat/>
    <w:uiPriority w:val="0"/>
    <w:pPr>
      <w:widowControl/>
      <w:tabs>
        <w:tab w:val="left" w:pos="377"/>
      </w:tabs>
      <w:jc w:val="center"/>
    </w:pPr>
    <w:rPr>
      <w:rFonts w:ascii="宋体" w:cs="宋体"/>
      <w:kern w:val="0"/>
      <w:sz w:val="24"/>
      <w:szCs w:val="21"/>
    </w:rPr>
  </w:style>
  <w:style w:type="paragraph" w:customStyle="1" w:styleId="106">
    <w:name w:val="公式书写 居中 段前: 6 磅 段后: 6 磅 SL CON"/>
    <w:basedOn w:val="1"/>
    <w:link w:val="243"/>
    <w:qFormat/>
    <w:uiPriority w:val="0"/>
    <w:pPr>
      <w:widowControl/>
      <w:tabs>
        <w:tab w:val="left" w:pos="377"/>
      </w:tabs>
      <w:spacing w:before="120" w:after="120" w:line="360" w:lineRule="auto"/>
      <w:jc w:val="center"/>
    </w:pPr>
    <w:rPr>
      <w:rFonts w:ascii="宋体" w:cs="宋体"/>
      <w:kern w:val="0"/>
      <w:sz w:val="24"/>
      <w:szCs w:val="20"/>
    </w:rPr>
  </w:style>
  <w:style w:type="paragraph" w:customStyle="1" w:styleId="107">
    <w:name w:val="公式书写（编号） 居中 段前: 6 磅 段后: 6 磅 SL CON + (符号) 宋体"/>
    <w:basedOn w:val="106"/>
    <w:link w:val="244"/>
    <w:qFormat/>
    <w:uiPriority w:val="0"/>
  </w:style>
  <w:style w:type="paragraph" w:customStyle="1" w:styleId="108">
    <w:name w:val="样式 (符号) 宋体"/>
    <w:basedOn w:val="1"/>
    <w:qFormat/>
    <w:uiPriority w:val="0"/>
    <w:pPr>
      <w:widowControl/>
      <w:tabs>
        <w:tab w:val="left" w:pos="377"/>
      </w:tabs>
      <w:spacing w:line="360" w:lineRule="auto"/>
      <w:ind w:firstLine="480" w:firstLineChars="200"/>
    </w:pPr>
    <w:rPr>
      <w:rFonts w:ascii="宋体" w:hAnsi="宋体" w:cs="宋体"/>
      <w:kern w:val="0"/>
      <w:sz w:val="28"/>
      <w:szCs w:val="20"/>
    </w:rPr>
  </w:style>
  <w:style w:type="paragraph" w:customStyle="1" w:styleId="109">
    <w:name w:val="样式 正文 首行缩进:  2 字符 SL CON + 首行缩进:  2 字符"/>
    <w:basedOn w:val="104"/>
    <w:qFormat/>
    <w:uiPriority w:val="0"/>
    <w:rPr>
      <w:szCs w:val="20"/>
    </w:rPr>
  </w:style>
  <w:style w:type="paragraph" w:customStyle="1" w:styleId="110">
    <w:name w:val="样式 样式 正文 首行缩进:  2 字符 SL CON + 首行缩进:  2 字符 + 首行缩进:  2 字符"/>
    <w:basedOn w:val="109"/>
    <w:qFormat/>
    <w:uiPriority w:val="0"/>
  </w:style>
  <w:style w:type="paragraph" w:customStyle="1" w:styleId="111">
    <w:name w:val="样式 标题 3 SL CON + 段前: 0.5 行"/>
    <w:basedOn w:val="1"/>
    <w:qFormat/>
    <w:uiPriority w:val="0"/>
    <w:pPr>
      <w:keepNext/>
      <w:keepLines/>
      <w:widowControl/>
      <w:tabs>
        <w:tab w:val="left" w:pos="377"/>
        <w:tab w:val="left" w:pos="907"/>
      </w:tabs>
      <w:spacing w:before="100" w:beforeAutospacing="1" w:line="360" w:lineRule="auto"/>
      <w:ind w:left="907" w:hanging="794"/>
      <w:outlineLvl w:val="2"/>
    </w:pPr>
    <w:rPr>
      <w:rFonts w:ascii="黑体" w:eastAsia="黑体" w:cs="宋体"/>
      <w:bCs/>
      <w:kern w:val="0"/>
      <w:sz w:val="28"/>
      <w:szCs w:val="20"/>
    </w:rPr>
  </w:style>
  <w:style w:type="paragraph" w:customStyle="1" w:styleId="112">
    <w:name w:val="Char Char Char Char Char Char Char Char Char Char"/>
    <w:basedOn w:val="1"/>
    <w:qFormat/>
    <w:uiPriority w:val="0"/>
    <w:pPr>
      <w:spacing w:line="360" w:lineRule="auto"/>
    </w:pPr>
    <w:rPr>
      <w:sz w:val="24"/>
    </w:rPr>
  </w:style>
  <w:style w:type="paragraph" w:customStyle="1" w:styleId="113">
    <w:name w:val="Char Char Char2 Char"/>
    <w:basedOn w:val="1"/>
    <w:qFormat/>
    <w:uiPriority w:val="0"/>
    <w:rPr>
      <w:rFonts w:ascii="Tahoma" w:hAnsi="Tahoma"/>
      <w:sz w:val="24"/>
      <w:szCs w:val="20"/>
    </w:rPr>
  </w:style>
  <w:style w:type="paragraph" w:customStyle="1" w:styleId="114">
    <w:name w:val="表内文字 SL CON + (符号)"/>
    <w:basedOn w:val="1"/>
    <w:qFormat/>
    <w:uiPriority w:val="0"/>
    <w:pPr>
      <w:widowControl/>
      <w:tabs>
        <w:tab w:val="left" w:pos="377"/>
      </w:tabs>
      <w:jc w:val="center"/>
    </w:pPr>
    <w:rPr>
      <w:rFonts w:ascii="宋体" w:cs="宋体"/>
      <w:kern w:val="0"/>
      <w:sz w:val="24"/>
      <w:szCs w:val="21"/>
    </w:rPr>
  </w:style>
  <w:style w:type="paragraph" w:customStyle="1" w:styleId="115">
    <w:name w:val="Char1 Char Char Char"/>
    <w:basedOn w:val="1"/>
    <w:qFormat/>
    <w:uiPriority w:val="0"/>
    <w:pPr>
      <w:spacing w:line="360" w:lineRule="auto"/>
    </w:pPr>
    <w:rPr>
      <w:sz w:val="24"/>
    </w:rPr>
  </w:style>
  <w:style w:type="paragraph" w:customStyle="1" w:styleId="116">
    <w:name w:val="样式 正文 首行缩进 SL CON"/>
    <w:basedOn w:val="110"/>
    <w:qFormat/>
    <w:uiPriority w:val="0"/>
    <w:pPr>
      <w:ind w:firstLine="560"/>
    </w:pPr>
  </w:style>
  <w:style w:type="paragraph" w:customStyle="1" w:styleId="117">
    <w:name w:val="标题 3 SL CON"/>
    <w:basedOn w:val="1"/>
    <w:next w:val="1"/>
    <w:qFormat/>
    <w:uiPriority w:val="0"/>
    <w:pPr>
      <w:keepNext/>
      <w:keepLines/>
      <w:widowControl/>
      <w:tabs>
        <w:tab w:val="left" w:pos="377"/>
        <w:tab w:val="left" w:pos="960"/>
        <w:tab w:val="left" w:pos="1036"/>
      </w:tabs>
      <w:spacing w:before="100" w:beforeAutospacing="1" w:line="360" w:lineRule="auto"/>
      <w:ind w:left="1036" w:hanging="964"/>
      <w:outlineLvl w:val="2"/>
    </w:pPr>
    <w:rPr>
      <w:rFonts w:ascii="黑体" w:eastAsia="黑体" w:cs="宋体"/>
      <w:kern w:val="0"/>
      <w:sz w:val="28"/>
      <w:szCs w:val="20"/>
    </w:rPr>
  </w:style>
  <w:style w:type="paragraph" w:customStyle="1" w:styleId="118">
    <w:name w:val="Char Char Char Char"/>
    <w:basedOn w:val="1"/>
    <w:semiHidden/>
    <w:qFormat/>
    <w:uiPriority w:val="0"/>
  </w:style>
  <w:style w:type="paragraph" w:customStyle="1" w:styleId="119">
    <w:name w:val="Char Char Char Char Char Char Char Char Char Char5"/>
    <w:basedOn w:val="1"/>
    <w:qFormat/>
    <w:uiPriority w:val="0"/>
    <w:pPr>
      <w:spacing w:line="360" w:lineRule="auto"/>
    </w:pPr>
    <w:rPr>
      <w:sz w:val="24"/>
    </w:rPr>
  </w:style>
  <w:style w:type="paragraph" w:customStyle="1" w:styleId="120">
    <w:name w:val="Char Char Char Char Char Char Char Char Char Char4"/>
    <w:basedOn w:val="1"/>
    <w:qFormat/>
    <w:uiPriority w:val="0"/>
    <w:pPr>
      <w:spacing w:line="360" w:lineRule="auto"/>
    </w:pPr>
    <w:rPr>
      <w:sz w:val="24"/>
    </w:rPr>
  </w:style>
  <w:style w:type="paragraph" w:customStyle="1" w:styleId="121">
    <w:name w:val="正文首行缩进1"/>
    <w:basedOn w:val="1"/>
    <w:qFormat/>
    <w:uiPriority w:val="0"/>
    <w:pPr>
      <w:spacing w:line="500" w:lineRule="exact"/>
      <w:ind w:firstLine="520" w:firstLineChars="200"/>
    </w:pPr>
    <w:rPr>
      <w:sz w:val="26"/>
    </w:rPr>
  </w:style>
  <w:style w:type="paragraph" w:customStyle="1" w:styleId="122">
    <w:name w:val="Char Char Char Char Char Char Char Char Char Char3"/>
    <w:basedOn w:val="1"/>
    <w:qFormat/>
    <w:uiPriority w:val="0"/>
    <w:pPr>
      <w:spacing w:line="360" w:lineRule="auto"/>
    </w:pPr>
    <w:rPr>
      <w:sz w:val="24"/>
    </w:rPr>
  </w:style>
  <w:style w:type="paragraph" w:customStyle="1" w:styleId="123">
    <w:name w:val="表（或图）标题 样式 宋体 五号 居中 SL CON"/>
    <w:basedOn w:val="1"/>
    <w:qFormat/>
    <w:uiPriority w:val="0"/>
    <w:pPr>
      <w:widowControl/>
      <w:tabs>
        <w:tab w:val="left" w:pos="377"/>
      </w:tabs>
      <w:spacing w:before="100" w:beforeAutospacing="1" w:line="360" w:lineRule="auto"/>
      <w:jc w:val="center"/>
    </w:pPr>
    <w:rPr>
      <w:rFonts w:ascii="宋体" w:hAnsi="宋体" w:cs="宋体"/>
      <w:b/>
      <w:kern w:val="0"/>
      <w:szCs w:val="20"/>
    </w:rPr>
  </w:style>
  <w:style w:type="paragraph" w:customStyle="1" w:styleId="124">
    <w:name w:val="Char Char Char Char Char Char Char Char Char Char2"/>
    <w:basedOn w:val="1"/>
    <w:qFormat/>
    <w:uiPriority w:val="0"/>
    <w:pPr>
      <w:spacing w:line="360" w:lineRule="auto"/>
    </w:pPr>
    <w:rPr>
      <w:sz w:val="24"/>
    </w:rPr>
  </w:style>
  <w:style w:type="paragraph" w:customStyle="1" w:styleId="125">
    <w:name w:val="Char Char Char Char Char Char Char Char Char Char1"/>
    <w:basedOn w:val="1"/>
    <w:qFormat/>
    <w:uiPriority w:val="0"/>
    <w:pPr>
      <w:spacing w:line="360" w:lineRule="auto"/>
    </w:pPr>
    <w:rPr>
      <w:sz w:val="24"/>
    </w:rPr>
  </w:style>
  <w:style w:type="paragraph" w:customStyle="1" w:styleId="126">
    <w:name w:val="列出段落1"/>
    <w:basedOn w:val="1"/>
    <w:qFormat/>
    <w:uiPriority w:val="0"/>
    <w:pPr>
      <w:ind w:firstLine="420" w:firstLineChars="200"/>
    </w:pPr>
  </w:style>
  <w:style w:type="paragraph" w:customStyle="1" w:styleId="127">
    <w:name w:val="样式2"/>
    <w:basedOn w:val="1"/>
    <w:qFormat/>
    <w:uiPriority w:val="0"/>
    <w:rPr>
      <w:rFonts w:ascii="宋体"/>
      <w:sz w:val="28"/>
      <w:szCs w:val="20"/>
    </w:rPr>
  </w:style>
  <w:style w:type="paragraph" w:customStyle="1" w:styleId="128">
    <w:name w:val="正文1"/>
    <w:basedOn w:val="1"/>
    <w:qFormat/>
    <w:uiPriority w:val="0"/>
    <w:pPr>
      <w:adjustRightInd w:val="0"/>
      <w:spacing w:after="120" w:line="360" w:lineRule="atLeast"/>
      <w:jc w:val="center"/>
      <w:textAlignment w:val="baseline"/>
    </w:pPr>
    <w:rPr>
      <w:kern w:val="0"/>
      <w:sz w:val="24"/>
      <w:szCs w:val="20"/>
    </w:rPr>
  </w:style>
  <w:style w:type="paragraph" w:customStyle="1" w:styleId="129">
    <w:name w:val="条(三级)"/>
    <w:basedOn w:val="1"/>
    <w:next w:val="1"/>
    <w:qFormat/>
    <w:uiPriority w:val="0"/>
    <w:pPr>
      <w:keepNext/>
      <w:keepLines/>
      <w:adjustRightInd w:val="0"/>
      <w:spacing w:line="460" w:lineRule="exact"/>
      <w:jc w:val="left"/>
      <w:textAlignment w:val="baseline"/>
    </w:pPr>
    <w:rPr>
      <w:rFonts w:hAnsi="Arial"/>
      <w:spacing w:val="3"/>
      <w:kern w:val="24"/>
      <w:sz w:val="24"/>
      <w:szCs w:val="20"/>
    </w:rPr>
  </w:style>
  <w:style w:type="paragraph" w:customStyle="1" w:styleId="130">
    <w:name w:val="Achievement"/>
    <w:basedOn w:val="22"/>
    <w:qFormat/>
    <w:uiPriority w:val="0"/>
    <w:pPr>
      <w:widowControl/>
      <w:numPr>
        <w:ilvl w:val="0"/>
        <w:numId w:val="1"/>
      </w:numPr>
      <w:spacing w:after="60" w:line="220" w:lineRule="atLeast"/>
      <w:ind w:right="-360"/>
      <w:jc w:val="left"/>
    </w:pPr>
    <w:rPr>
      <w:kern w:val="0"/>
      <w:sz w:val="20"/>
      <w:szCs w:val="20"/>
    </w:rPr>
  </w:style>
  <w:style w:type="paragraph" w:customStyle="1" w:styleId="131">
    <w:name w:val="Personal Info"/>
    <w:basedOn w:val="130"/>
    <w:qFormat/>
    <w:uiPriority w:val="0"/>
    <w:pPr>
      <w:spacing w:before="220"/>
    </w:pPr>
  </w:style>
  <w:style w:type="paragraph" w:customStyle="1" w:styleId="132">
    <w:name w:val="Address 1"/>
    <w:basedOn w:val="1"/>
    <w:qFormat/>
    <w:uiPriority w:val="0"/>
    <w:pPr>
      <w:framePr w:w="2400" w:wrap="notBeside" w:vAnchor="page" w:hAnchor="page" w:x="8065" w:y="1009" w:anchorLock="1"/>
      <w:widowControl/>
      <w:spacing w:line="200" w:lineRule="atLeast"/>
      <w:jc w:val="left"/>
    </w:pPr>
    <w:rPr>
      <w:kern w:val="0"/>
      <w:sz w:val="16"/>
      <w:szCs w:val="20"/>
    </w:rPr>
  </w:style>
  <w:style w:type="paragraph" w:customStyle="1" w:styleId="133">
    <w:name w:val="Address 2"/>
    <w:basedOn w:val="1"/>
    <w:qFormat/>
    <w:uiPriority w:val="0"/>
    <w:pPr>
      <w:framePr w:w="2405" w:wrap="notBeside" w:vAnchor="page" w:hAnchor="page" w:x="5761" w:y="1009" w:anchorLock="1"/>
      <w:widowControl/>
      <w:spacing w:line="200" w:lineRule="atLeast"/>
      <w:jc w:val="left"/>
    </w:pPr>
    <w:rPr>
      <w:kern w:val="0"/>
      <w:sz w:val="16"/>
      <w:szCs w:val="20"/>
    </w:rPr>
  </w:style>
  <w:style w:type="paragraph" w:customStyle="1" w:styleId="134">
    <w:name w:val="City/State"/>
    <w:basedOn w:val="22"/>
    <w:next w:val="22"/>
    <w:qFormat/>
    <w:uiPriority w:val="0"/>
    <w:pPr>
      <w:keepNext/>
      <w:widowControl/>
      <w:spacing w:after="220" w:line="220" w:lineRule="atLeast"/>
      <w:ind w:right="-360"/>
      <w:jc w:val="left"/>
    </w:pPr>
    <w:rPr>
      <w:kern w:val="0"/>
      <w:sz w:val="20"/>
      <w:szCs w:val="20"/>
    </w:rPr>
  </w:style>
  <w:style w:type="paragraph" w:customStyle="1" w:styleId="135">
    <w:name w:val="Company Name"/>
    <w:basedOn w:val="1"/>
    <w:next w:val="1"/>
    <w:qFormat/>
    <w:uiPriority w:val="0"/>
    <w:pPr>
      <w:widowControl/>
      <w:tabs>
        <w:tab w:val="left" w:pos="2160"/>
        <w:tab w:val="right" w:pos="6480"/>
      </w:tabs>
      <w:spacing w:before="220" w:after="40" w:line="220" w:lineRule="atLeast"/>
      <w:ind w:right="-360"/>
      <w:jc w:val="left"/>
    </w:pPr>
    <w:rPr>
      <w:kern w:val="0"/>
      <w:sz w:val="20"/>
      <w:szCs w:val="20"/>
    </w:rPr>
  </w:style>
  <w:style w:type="paragraph" w:customStyle="1" w:styleId="136">
    <w:name w:val="Company Name One"/>
    <w:basedOn w:val="135"/>
    <w:next w:val="1"/>
    <w:qFormat/>
    <w:uiPriority w:val="0"/>
  </w:style>
  <w:style w:type="paragraph" w:customStyle="1" w:styleId="137">
    <w:name w:val="Document Label"/>
    <w:basedOn w:val="1"/>
    <w:next w:val="1"/>
    <w:qFormat/>
    <w:uiPriority w:val="0"/>
    <w:pPr>
      <w:widowControl/>
      <w:spacing w:after="220"/>
      <w:ind w:right="-360"/>
      <w:jc w:val="left"/>
    </w:pPr>
    <w:rPr>
      <w:spacing w:val="-20"/>
      <w:kern w:val="0"/>
      <w:sz w:val="48"/>
      <w:szCs w:val="20"/>
    </w:rPr>
  </w:style>
  <w:style w:type="paragraph" w:customStyle="1" w:styleId="138">
    <w:name w:val="Header Base"/>
    <w:basedOn w:val="1"/>
    <w:qFormat/>
    <w:uiPriority w:val="0"/>
    <w:pPr>
      <w:widowControl/>
      <w:ind w:right="-360"/>
      <w:jc w:val="left"/>
    </w:pPr>
    <w:rPr>
      <w:kern w:val="0"/>
      <w:sz w:val="20"/>
      <w:szCs w:val="20"/>
    </w:rPr>
  </w:style>
  <w:style w:type="paragraph" w:customStyle="1" w:styleId="139">
    <w:name w:val="Heading Base"/>
    <w:basedOn w:val="22"/>
    <w:next w:val="22"/>
    <w:qFormat/>
    <w:uiPriority w:val="0"/>
    <w:pPr>
      <w:keepNext/>
      <w:keepLines/>
      <w:widowControl/>
      <w:spacing w:after="0" w:line="220" w:lineRule="atLeast"/>
      <w:ind w:right="-360"/>
      <w:jc w:val="left"/>
    </w:pPr>
    <w:rPr>
      <w:rFonts w:ascii="Arial" w:hAnsi="Arial"/>
      <w:spacing w:val="-4"/>
      <w:kern w:val="0"/>
      <w:sz w:val="18"/>
      <w:szCs w:val="20"/>
    </w:rPr>
  </w:style>
  <w:style w:type="paragraph" w:customStyle="1" w:styleId="140">
    <w:name w:val="Institution"/>
    <w:basedOn w:val="1"/>
    <w:next w:val="130"/>
    <w:qFormat/>
    <w:uiPriority w:val="0"/>
    <w:pPr>
      <w:widowControl/>
      <w:tabs>
        <w:tab w:val="left" w:pos="2160"/>
        <w:tab w:val="right" w:pos="6480"/>
      </w:tabs>
      <w:spacing w:before="220" w:after="60" w:line="220" w:lineRule="atLeast"/>
      <w:ind w:right="-360"/>
      <w:jc w:val="left"/>
    </w:pPr>
    <w:rPr>
      <w:kern w:val="0"/>
      <w:sz w:val="20"/>
      <w:szCs w:val="20"/>
    </w:rPr>
  </w:style>
  <w:style w:type="paragraph" w:customStyle="1" w:styleId="141">
    <w:name w:val="Job Title"/>
    <w:next w:val="130"/>
    <w:qFormat/>
    <w:uiPriority w:val="0"/>
    <w:pPr>
      <w:spacing w:after="40" w:line="220" w:lineRule="atLeast"/>
    </w:pPr>
    <w:rPr>
      <w:rFonts w:ascii="Arial" w:hAnsi="Arial" w:eastAsia="宋体" w:cs="Times New Roman"/>
      <w:b/>
      <w:spacing w:val="-10"/>
      <w:lang w:val="en-US" w:eastAsia="zh-CN" w:bidi="ar-SA"/>
    </w:rPr>
  </w:style>
  <w:style w:type="paragraph" w:customStyle="1" w:styleId="142">
    <w:name w:val="Name"/>
    <w:basedOn w:val="1"/>
    <w:next w:val="1"/>
    <w:qFormat/>
    <w:uiPriority w:val="0"/>
    <w:pPr>
      <w:widowControl/>
      <w:spacing w:after="440" w:line="240" w:lineRule="atLeast"/>
      <w:ind w:left="2160"/>
      <w:jc w:val="left"/>
    </w:pPr>
    <w:rPr>
      <w:spacing w:val="-20"/>
      <w:kern w:val="0"/>
      <w:sz w:val="48"/>
      <w:szCs w:val="20"/>
    </w:rPr>
  </w:style>
  <w:style w:type="paragraph" w:customStyle="1" w:styleId="143">
    <w:name w:val="No Title"/>
    <w:basedOn w:val="1"/>
    <w:qFormat/>
    <w:uiPriority w:val="0"/>
    <w:pPr>
      <w:widowControl/>
      <w:pBdr>
        <w:top w:val="single" w:color="FFFFFF" w:sz="6" w:space="2"/>
        <w:left w:val="single" w:color="FFFFFF" w:sz="6" w:space="2"/>
        <w:bottom w:val="single" w:color="FFFFFF" w:sz="6" w:space="2"/>
        <w:right w:val="single" w:color="FFFFFF" w:sz="6" w:space="2"/>
      </w:pBdr>
      <w:spacing w:before="120" w:line="280" w:lineRule="atLeast"/>
      <w:jc w:val="left"/>
    </w:pPr>
    <w:rPr>
      <w:rFonts w:ascii="Arial" w:hAnsi="Arial"/>
      <w:b/>
      <w:spacing w:val="-10"/>
      <w:kern w:val="0"/>
      <w:position w:val="7"/>
      <w:sz w:val="20"/>
      <w:szCs w:val="20"/>
    </w:rPr>
  </w:style>
  <w:style w:type="paragraph" w:customStyle="1" w:styleId="144">
    <w:name w:val="Objective"/>
    <w:basedOn w:val="1"/>
    <w:next w:val="22"/>
    <w:qFormat/>
    <w:uiPriority w:val="0"/>
    <w:pPr>
      <w:widowControl/>
      <w:spacing w:before="220" w:after="220" w:line="220" w:lineRule="atLeast"/>
      <w:jc w:val="left"/>
    </w:pPr>
    <w:rPr>
      <w:kern w:val="0"/>
      <w:sz w:val="20"/>
      <w:szCs w:val="20"/>
    </w:rPr>
  </w:style>
  <w:style w:type="paragraph" w:customStyle="1" w:styleId="145">
    <w:name w:val="Section Title"/>
    <w:basedOn w:val="1"/>
    <w:next w:val="1"/>
    <w:qFormat/>
    <w:uiPriority w:val="0"/>
    <w:pPr>
      <w:widowControl/>
      <w:pBdr>
        <w:top w:val="single" w:color="FFFFFF" w:sz="6" w:space="2"/>
        <w:left w:val="single" w:color="FFFFFF" w:sz="6" w:space="2"/>
        <w:bottom w:val="single" w:color="FFFFFF" w:sz="6" w:space="2"/>
        <w:right w:val="single" w:color="FFFFFF" w:sz="6" w:space="2"/>
      </w:pBdr>
      <w:shd w:val="pct10" w:color="auto" w:fill="auto"/>
      <w:spacing w:before="120" w:line="280" w:lineRule="atLeast"/>
      <w:jc w:val="left"/>
    </w:pPr>
    <w:rPr>
      <w:rFonts w:ascii="Arial" w:hAnsi="Arial"/>
      <w:b/>
      <w:spacing w:val="-10"/>
      <w:kern w:val="0"/>
      <w:position w:val="7"/>
      <w:sz w:val="20"/>
      <w:szCs w:val="20"/>
    </w:rPr>
  </w:style>
  <w:style w:type="paragraph" w:customStyle="1" w:styleId="146">
    <w:name w:val="Section Subtitle"/>
    <w:basedOn w:val="145"/>
    <w:next w:val="1"/>
    <w:qFormat/>
    <w:uiPriority w:val="0"/>
    <w:pPr>
      <w:pBdr>
        <w:top w:val="none" w:color="auto" w:sz="0" w:space="0"/>
      </w:pBdr>
    </w:pPr>
    <w:rPr>
      <w:b w:val="0"/>
      <w:spacing w:val="0"/>
      <w:position w:val="6"/>
    </w:rPr>
  </w:style>
  <w:style w:type="paragraph" w:customStyle="1" w:styleId="147">
    <w:name w:val="正文文本 21"/>
    <w:basedOn w:val="1"/>
    <w:qFormat/>
    <w:uiPriority w:val="0"/>
    <w:pPr>
      <w:adjustRightInd w:val="0"/>
      <w:ind w:firstLine="425"/>
      <w:textAlignment w:val="baseline"/>
    </w:pPr>
    <w:rPr>
      <w:szCs w:val="20"/>
    </w:rPr>
  </w:style>
  <w:style w:type="paragraph" w:customStyle="1" w:styleId="148">
    <w:name w:val="条(二级)"/>
    <w:basedOn w:val="4"/>
    <w:next w:val="129"/>
    <w:qFormat/>
    <w:uiPriority w:val="0"/>
    <w:pPr>
      <w:adjustRightInd w:val="0"/>
      <w:spacing w:before="0" w:after="0" w:line="460" w:lineRule="exact"/>
      <w:jc w:val="left"/>
      <w:textAlignment w:val="baseline"/>
      <w:outlineLvl w:val="9"/>
    </w:pPr>
    <w:rPr>
      <w:rFonts w:ascii="宋体" w:eastAsia="宋体"/>
      <w:spacing w:val="3"/>
      <w:kern w:val="24"/>
      <w:sz w:val="24"/>
    </w:rPr>
  </w:style>
  <w:style w:type="paragraph" w:customStyle="1" w:styleId="149">
    <w:name w:val="条(四级)"/>
    <w:basedOn w:val="129"/>
    <w:next w:val="1"/>
    <w:qFormat/>
    <w:uiPriority w:val="0"/>
  </w:style>
  <w:style w:type="paragraph" w:customStyle="1" w:styleId="150">
    <w:name w:val="条文1"/>
    <w:basedOn w:val="151"/>
    <w:qFormat/>
    <w:uiPriority w:val="0"/>
    <w:pPr>
      <w:numPr>
        <w:ilvl w:val="0"/>
        <w:numId w:val="2"/>
      </w:numPr>
      <w:ind w:left="907" w:hanging="425"/>
    </w:pPr>
  </w:style>
  <w:style w:type="paragraph" w:customStyle="1" w:styleId="151">
    <w:name w:val="段"/>
    <w:basedOn w:val="1"/>
    <w:qFormat/>
    <w:uiPriority w:val="0"/>
    <w:pPr>
      <w:adjustRightInd w:val="0"/>
      <w:spacing w:line="460" w:lineRule="exact"/>
      <w:ind w:firstLine="482"/>
      <w:jc w:val="left"/>
      <w:textAlignment w:val="baseline"/>
    </w:pPr>
    <w:rPr>
      <w:rFonts w:hAnsi="Arial"/>
      <w:spacing w:val="3"/>
      <w:kern w:val="24"/>
      <w:sz w:val="24"/>
      <w:szCs w:val="20"/>
    </w:rPr>
  </w:style>
  <w:style w:type="paragraph" w:customStyle="1" w:styleId="152">
    <w:name w:val="页号"/>
    <w:basedOn w:val="34"/>
    <w:qFormat/>
    <w:uiPriority w:val="0"/>
    <w:pPr>
      <w:tabs>
        <w:tab w:val="center" w:pos="4320"/>
        <w:tab w:val="right" w:pos="8640"/>
        <w:tab w:val="clear" w:pos="4153"/>
        <w:tab w:val="clear" w:pos="8306"/>
      </w:tabs>
      <w:adjustRightInd w:val="0"/>
      <w:snapToGrid/>
      <w:jc w:val="center"/>
      <w:textAlignment w:val="baseline"/>
    </w:pPr>
    <w:rPr>
      <w:rFonts w:hAnsi="Arial"/>
      <w:spacing w:val="3"/>
      <w:kern w:val="24"/>
      <w:sz w:val="24"/>
      <w:szCs w:val="20"/>
    </w:rPr>
  </w:style>
  <w:style w:type="paragraph" w:customStyle="1" w:styleId="153">
    <w:name w:val="列表延续 2"/>
    <w:basedOn w:val="1"/>
    <w:qFormat/>
    <w:uiPriority w:val="0"/>
    <w:pPr>
      <w:autoSpaceDE w:val="0"/>
      <w:autoSpaceDN w:val="0"/>
      <w:adjustRightInd w:val="0"/>
      <w:spacing w:line="360" w:lineRule="atLeast"/>
      <w:ind w:left="420" w:hanging="420"/>
      <w:jc w:val="left"/>
    </w:pPr>
    <w:rPr>
      <w:rFonts w:ascii="宋体" w:hAnsi="Tms Rmn"/>
      <w:spacing w:val="20"/>
      <w:kern w:val="0"/>
      <w:sz w:val="24"/>
      <w:szCs w:val="20"/>
    </w:rPr>
  </w:style>
  <w:style w:type="paragraph" w:customStyle="1" w:styleId="154">
    <w:name w:val="列表延续 21"/>
    <w:basedOn w:val="1"/>
    <w:qFormat/>
    <w:uiPriority w:val="0"/>
    <w:pPr>
      <w:autoSpaceDE w:val="0"/>
      <w:autoSpaceDN w:val="0"/>
      <w:adjustRightInd w:val="0"/>
      <w:spacing w:line="360" w:lineRule="atLeast"/>
      <w:ind w:left="840" w:hanging="420"/>
      <w:jc w:val="left"/>
    </w:pPr>
    <w:rPr>
      <w:rFonts w:ascii="宋体" w:hAnsi="Tms Rmn"/>
      <w:spacing w:val="20"/>
      <w:kern w:val="0"/>
      <w:sz w:val="24"/>
      <w:szCs w:val="20"/>
    </w:rPr>
  </w:style>
  <w:style w:type="paragraph" w:customStyle="1" w:styleId="155">
    <w:name w:val="章(一级)"/>
    <w:basedOn w:val="3"/>
    <w:next w:val="148"/>
    <w:qFormat/>
    <w:uiPriority w:val="0"/>
    <w:pPr>
      <w:tabs>
        <w:tab w:val="left" w:pos="915"/>
      </w:tabs>
      <w:adjustRightInd w:val="0"/>
      <w:spacing w:line="360" w:lineRule="auto"/>
      <w:jc w:val="left"/>
      <w:textAlignment w:val="baseline"/>
      <w:outlineLvl w:val="9"/>
    </w:pPr>
    <w:rPr>
      <w:rFonts w:ascii="宋体"/>
      <w:b/>
      <w:spacing w:val="20"/>
      <w:kern w:val="0"/>
      <w:sz w:val="24"/>
    </w:rPr>
  </w:style>
  <w:style w:type="paragraph" w:customStyle="1" w:styleId="156">
    <w:name w:val="条文2"/>
    <w:basedOn w:val="151"/>
    <w:qFormat/>
    <w:uiPriority w:val="0"/>
    <w:pPr>
      <w:ind w:left="1151" w:hanging="425"/>
    </w:pPr>
    <w:rPr>
      <w:rFonts w:ascii="宋体"/>
    </w:rPr>
  </w:style>
  <w:style w:type="paragraph" w:customStyle="1" w:styleId="157">
    <w:name w:val="档案号"/>
    <w:basedOn w:val="35"/>
    <w:qFormat/>
    <w:uiPriority w:val="0"/>
    <w:pPr>
      <w:pBdr>
        <w:bottom w:val="none" w:color="auto" w:sz="0" w:space="0"/>
      </w:pBdr>
      <w:tabs>
        <w:tab w:val="center" w:pos="4320"/>
        <w:tab w:val="right" w:pos="8640"/>
        <w:tab w:val="clear" w:pos="4153"/>
        <w:tab w:val="clear" w:pos="8306"/>
      </w:tabs>
      <w:adjustRightInd w:val="0"/>
      <w:snapToGrid/>
      <w:spacing w:line="460" w:lineRule="exact"/>
      <w:jc w:val="right"/>
      <w:textAlignment w:val="baseline"/>
    </w:pPr>
    <w:rPr>
      <w:rFonts w:ascii="宋体" w:hAnsi="Arial"/>
      <w:spacing w:val="3"/>
      <w:kern w:val="24"/>
      <w:sz w:val="24"/>
      <w:szCs w:val="20"/>
    </w:rPr>
  </w:style>
  <w:style w:type="paragraph" w:customStyle="1" w:styleId="158">
    <w:name w:val="正文2"/>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159">
    <w:name w:val="标题4"/>
    <w:basedOn w:val="5"/>
    <w:qFormat/>
    <w:uiPriority w:val="0"/>
    <w:pPr>
      <w:widowControl/>
      <w:adjustRightInd w:val="0"/>
      <w:snapToGrid w:val="0"/>
      <w:spacing w:before="0" w:after="0" w:line="360" w:lineRule="auto"/>
      <w:jc w:val="left"/>
    </w:pPr>
    <w:rPr>
      <w:b w:val="0"/>
      <w:bCs w:val="0"/>
      <w:snapToGrid w:val="0"/>
      <w:color w:val="000000"/>
      <w:spacing w:val="40"/>
      <w:kern w:val="0"/>
      <w:sz w:val="24"/>
      <w:szCs w:val="20"/>
    </w:rPr>
  </w:style>
  <w:style w:type="paragraph" w:customStyle="1" w:styleId="160">
    <w:name w:val="标题5"/>
    <w:basedOn w:val="159"/>
    <w:qFormat/>
    <w:uiPriority w:val="0"/>
    <w:pPr>
      <w:spacing w:line="240" w:lineRule="auto"/>
    </w:pPr>
    <w:rPr>
      <w:i/>
      <w:spacing w:val="0"/>
    </w:rPr>
  </w:style>
  <w:style w:type="paragraph" w:customStyle="1" w:styleId="161">
    <w:name w:val="普通 (Web)"/>
    <w:basedOn w:val="1"/>
    <w:qFormat/>
    <w:uiPriority w:val="0"/>
    <w:rPr>
      <w:sz w:val="24"/>
    </w:rPr>
  </w:style>
  <w:style w:type="paragraph" w:customStyle="1" w:styleId="162">
    <w:name w:val="xl24"/>
    <w:basedOn w:val="1"/>
    <w:qFormat/>
    <w:uiPriority w:val="0"/>
    <w:pPr>
      <w:widowControl/>
      <w:pBdr>
        <w:right w:val="single" w:color="auto" w:sz="4" w:space="0"/>
      </w:pBdr>
      <w:spacing w:before="100" w:after="100"/>
      <w:jc w:val="center"/>
    </w:pPr>
    <w:rPr>
      <w:rFonts w:ascii="Arial Unicode MS" w:hAnsi="Arial Unicode MS" w:eastAsia="Arial Unicode MS"/>
      <w:kern w:val="0"/>
      <w:sz w:val="24"/>
      <w:szCs w:val="20"/>
    </w:rPr>
  </w:style>
  <w:style w:type="paragraph" w:customStyle="1" w:styleId="163">
    <w:name w:val="样式4"/>
    <w:basedOn w:val="35"/>
    <w:qFormat/>
    <w:uiPriority w:val="0"/>
    <w:pPr>
      <w:pBdr>
        <w:bottom w:val="single" w:color="auto" w:sz="6" w:space="0"/>
      </w:pBdr>
      <w:tabs>
        <w:tab w:val="clear" w:pos="4153"/>
      </w:tabs>
    </w:pPr>
    <w:rPr>
      <w:szCs w:val="21"/>
    </w:rPr>
  </w:style>
  <w:style w:type="paragraph" w:customStyle="1" w:styleId="164">
    <w:name w:val="样式5"/>
    <w:basedOn w:val="1"/>
    <w:qFormat/>
    <w:uiPriority w:val="0"/>
    <w:pPr>
      <w:spacing w:line="400" w:lineRule="exact"/>
      <w:jc w:val="center"/>
    </w:pPr>
    <w:rPr>
      <w:rFonts w:ascii="宋体"/>
      <w:szCs w:val="21"/>
    </w:rPr>
  </w:style>
  <w:style w:type="paragraph" w:customStyle="1" w:styleId="165">
    <w:name w:val="样式6"/>
    <w:basedOn w:val="1"/>
    <w:qFormat/>
    <w:uiPriority w:val="0"/>
    <w:pPr>
      <w:spacing w:line="400" w:lineRule="exact"/>
      <w:jc w:val="center"/>
    </w:pPr>
    <w:rPr>
      <w:rFonts w:ascii="宋体"/>
      <w:szCs w:val="21"/>
    </w:rPr>
  </w:style>
  <w:style w:type="paragraph" w:customStyle="1" w:styleId="166">
    <w:name w:val="缩进正文"/>
    <w:basedOn w:val="23"/>
    <w:qFormat/>
    <w:uiPriority w:val="0"/>
    <w:pPr>
      <w:adjustRightInd w:val="0"/>
      <w:snapToGrid w:val="0"/>
      <w:spacing w:line="300" w:lineRule="auto"/>
      <w:ind w:firstLine="200" w:firstLineChars="200"/>
    </w:pPr>
    <w:rPr>
      <w:rFonts w:hAnsi="Times New Roman"/>
      <w:color w:val="auto"/>
      <w:szCs w:val="20"/>
    </w:rPr>
  </w:style>
  <w:style w:type="paragraph" w:customStyle="1" w:styleId="167">
    <w:name w:val="标准小四"/>
    <w:basedOn w:val="1"/>
    <w:qFormat/>
    <w:uiPriority w:val="0"/>
    <w:pPr>
      <w:spacing w:line="360" w:lineRule="auto"/>
      <w:ind w:firstLine="480" w:firstLineChars="200"/>
    </w:pPr>
    <w:rPr>
      <w:sz w:val="24"/>
      <w:szCs w:val="21"/>
    </w:rPr>
  </w:style>
  <w:style w:type="paragraph" w:customStyle="1" w:styleId="168">
    <w:name w:val="基准页眉样式"/>
    <w:basedOn w:val="22"/>
    <w:qFormat/>
    <w:uiPriority w:val="0"/>
    <w:pPr>
      <w:keepLines/>
      <w:widowControl/>
      <w:tabs>
        <w:tab w:val="center" w:pos="-18551"/>
        <w:tab w:val="right" w:pos="4320"/>
      </w:tabs>
      <w:spacing w:after="0" w:line="240" w:lineRule="atLeast"/>
      <w:jc w:val="center"/>
    </w:pPr>
    <w:rPr>
      <w:rFonts w:ascii="Garamond" w:hAnsi="Garamond"/>
      <w:smallCaps/>
      <w:spacing w:val="15"/>
      <w:kern w:val="0"/>
    </w:rPr>
  </w:style>
  <w:style w:type="paragraph" w:customStyle="1" w:styleId="169">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70">
    <w:name w:val="font0"/>
    <w:basedOn w:val="1"/>
    <w:qFormat/>
    <w:uiPriority w:val="0"/>
    <w:pPr>
      <w:widowControl/>
      <w:spacing w:before="100" w:beforeAutospacing="1" w:after="100" w:afterAutospacing="1"/>
      <w:jc w:val="left"/>
    </w:pPr>
    <w:rPr>
      <w:rFonts w:ascii="宋体" w:hAnsi="宋体"/>
      <w:kern w:val="0"/>
      <w:sz w:val="24"/>
    </w:rPr>
  </w:style>
  <w:style w:type="paragraph" w:customStyle="1" w:styleId="171">
    <w:name w:val="Char1"/>
    <w:basedOn w:val="1"/>
    <w:qFormat/>
    <w:uiPriority w:val="0"/>
  </w:style>
  <w:style w:type="paragraph" w:customStyle="1" w:styleId="172">
    <w:name w:val="表中字"/>
    <w:basedOn w:val="1"/>
    <w:qFormat/>
    <w:uiPriority w:val="0"/>
    <w:pPr>
      <w:ind w:left="-109" w:leftChars="-52" w:firstLine="42"/>
      <w:jc w:val="left"/>
      <w:textAlignment w:val="center"/>
    </w:pPr>
    <w:rPr>
      <w:rFonts w:ascii="宋体" w:hAnsi="宋体"/>
      <w:color w:val="000000"/>
      <w:kern w:val="0"/>
      <w:sz w:val="24"/>
      <w:szCs w:val="20"/>
    </w:rPr>
  </w:style>
  <w:style w:type="paragraph" w:customStyle="1" w:styleId="173">
    <w:name w:val="Char Char Char Char Char Char Char1"/>
    <w:basedOn w:val="1"/>
    <w:qFormat/>
    <w:uiPriority w:val="99"/>
    <w:pPr>
      <w:widowControl/>
      <w:spacing w:after="160" w:line="240" w:lineRule="exact"/>
      <w:jc w:val="left"/>
    </w:pPr>
    <w:rPr>
      <w:rFonts w:ascii="Verdana" w:hAnsi="Verdana"/>
      <w:kern w:val="0"/>
      <w:sz w:val="20"/>
      <w:szCs w:val="20"/>
      <w:lang w:eastAsia="en-US"/>
    </w:rPr>
  </w:style>
  <w:style w:type="paragraph" w:customStyle="1" w:styleId="174">
    <w:name w:val="样式 正文首缩2 + 首行缩进:  2 字符"/>
    <w:basedOn w:val="1"/>
    <w:qFormat/>
    <w:uiPriority w:val="0"/>
    <w:pPr>
      <w:spacing w:line="360" w:lineRule="auto"/>
      <w:jc w:val="center"/>
    </w:pPr>
    <w:rPr>
      <w:rFonts w:hAnsi="宋体"/>
      <w:b/>
      <w:kern w:val="0"/>
      <w:szCs w:val="21"/>
    </w:rPr>
  </w:style>
  <w:style w:type="paragraph" w:customStyle="1" w:styleId="175">
    <w:name w:val="正文缩进2字符"/>
    <w:basedOn w:val="1"/>
    <w:qFormat/>
    <w:uiPriority w:val="0"/>
    <w:pPr>
      <w:adjustRightInd w:val="0"/>
      <w:snapToGrid w:val="0"/>
      <w:spacing w:line="300" w:lineRule="auto"/>
      <w:ind w:firstLine="480" w:firstLineChars="200"/>
      <w:jc w:val="left"/>
    </w:pPr>
    <w:rPr>
      <w:snapToGrid w:val="0"/>
      <w:kern w:val="0"/>
      <w:sz w:val="24"/>
    </w:rPr>
  </w:style>
  <w:style w:type="paragraph" w:customStyle="1" w:styleId="176">
    <w:name w:val="样式 标题 2二级标题 + 黑体 四号 居中 右侧:  -0.12 厘米 行距: 1.5 倍行距"/>
    <w:basedOn w:val="4"/>
    <w:qFormat/>
    <w:uiPriority w:val="0"/>
    <w:pPr>
      <w:spacing w:before="240" w:after="240" w:line="360" w:lineRule="auto"/>
      <w:ind w:right="-70"/>
      <w:jc w:val="center"/>
    </w:pPr>
    <w:rPr>
      <w:rFonts w:ascii="宋体" w:hAnsi="宋体" w:eastAsia="宋体" w:cs="宋体"/>
      <w:sz w:val="24"/>
      <w:szCs w:val="24"/>
      <w:lang w:val="zh-CN"/>
    </w:rPr>
  </w:style>
  <w:style w:type="paragraph" w:customStyle="1" w:styleId="177">
    <w:name w:val="表"/>
    <w:basedOn w:val="1"/>
    <w:qFormat/>
    <w:uiPriority w:val="0"/>
    <w:pPr>
      <w:spacing w:line="300" w:lineRule="auto"/>
    </w:pPr>
    <w:rPr>
      <w:rFonts w:eastAsia="仿宋_GB2312"/>
      <w:bCs/>
      <w:sz w:val="24"/>
    </w:rPr>
  </w:style>
  <w:style w:type="paragraph" w:customStyle="1" w:styleId="178">
    <w:name w:val="表内正文"/>
    <w:basedOn w:val="1"/>
    <w:qFormat/>
    <w:uiPriority w:val="0"/>
    <w:rPr>
      <w:sz w:val="24"/>
      <w:szCs w:val="20"/>
    </w:rPr>
  </w:style>
  <w:style w:type="paragraph" w:customStyle="1" w:styleId="179">
    <w:name w:val="简单回函地址"/>
    <w:basedOn w:val="1"/>
    <w:qFormat/>
    <w:uiPriority w:val="0"/>
  </w:style>
  <w:style w:type="paragraph" w:customStyle="1" w:styleId="180">
    <w:name w:val="Char Char Char"/>
    <w:basedOn w:val="1"/>
    <w:qFormat/>
    <w:uiPriority w:val="0"/>
    <w:pPr>
      <w:autoSpaceDE w:val="0"/>
      <w:autoSpaceDN w:val="0"/>
      <w:adjustRightInd w:val="0"/>
      <w:snapToGrid w:val="0"/>
      <w:spacing w:before="50" w:after="50" w:line="360" w:lineRule="auto"/>
      <w:ind w:firstLine="560" w:firstLineChars="200"/>
    </w:pPr>
    <w:rPr>
      <w:rFonts w:eastAsia="仿宋_GB2312"/>
      <w:color w:val="000000"/>
      <w:sz w:val="24"/>
      <w:szCs w:val="20"/>
    </w:rPr>
  </w:style>
  <w:style w:type="paragraph" w:customStyle="1" w:styleId="181">
    <w:name w:val="Char1 Char Char1 Char Char Char Char"/>
    <w:basedOn w:val="1"/>
    <w:qFormat/>
    <w:uiPriority w:val="0"/>
  </w:style>
  <w:style w:type="paragraph" w:customStyle="1" w:styleId="182">
    <w:name w:val="样式7"/>
    <w:basedOn w:val="1"/>
    <w:qFormat/>
    <w:uiPriority w:val="0"/>
    <w:pPr>
      <w:jc w:val="center"/>
    </w:pPr>
    <w:rPr>
      <w:szCs w:val="20"/>
    </w:rPr>
  </w:style>
  <w:style w:type="paragraph" w:customStyle="1" w:styleId="183">
    <w:name w:val="样式8"/>
    <w:basedOn w:val="1"/>
    <w:qFormat/>
    <w:uiPriority w:val="0"/>
    <w:pPr>
      <w:pBdr>
        <w:bottom w:val="single" w:color="auto" w:sz="4" w:space="1"/>
      </w:pBdr>
    </w:pPr>
    <w:rPr>
      <w:szCs w:val="20"/>
    </w:rPr>
  </w:style>
  <w:style w:type="paragraph" w:customStyle="1" w:styleId="184">
    <w:name w:val="样式9"/>
    <w:basedOn w:val="1"/>
    <w:qFormat/>
    <w:uiPriority w:val="0"/>
    <w:rPr>
      <w:szCs w:val="20"/>
    </w:rPr>
  </w:style>
  <w:style w:type="paragraph" w:customStyle="1" w:styleId="185">
    <w:name w:val="Char2"/>
    <w:basedOn w:val="1"/>
    <w:qFormat/>
    <w:uiPriority w:val="0"/>
  </w:style>
  <w:style w:type="paragraph" w:customStyle="1" w:styleId="186">
    <w:name w:val="图"/>
    <w:basedOn w:val="1"/>
    <w:qFormat/>
    <w:uiPriority w:val="0"/>
    <w:pPr>
      <w:spacing w:before="120" w:beforeLines="50" w:after="240" w:afterLines="100" w:line="360" w:lineRule="auto"/>
      <w:jc w:val="center"/>
    </w:pPr>
    <w:rPr>
      <w:b/>
      <w:szCs w:val="21"/>
    </w:rPr>
  </w:style>
  <w:style w:type="paragraph" w:customStyle="1" w:styleId="18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88">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89">
    <w:name w:val="xl9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2">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2"/>
      <w:szCs w:val="22"/>
    </w:rPr>
  </w:style>
  <w:style w:type="paragraph" w:customStyle="1" w:styleId="193">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4">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6">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7">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99">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黑体" w:hAnsi="黑体" w:eastAsia="黑体" w:cs="宋体"/>
      <w:color w:val="000000"/>
      <w:kern w:val="0"/>
      <w:sz w:val="20"/>
      <w:szCs w:val="20"/>
    </w:rPr>
  </w:style>
  <w:style w:type="paragraph" w:customStyle="1" w:styleId="200">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3">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4">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5">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kern w:val="0"/>
      <w:sz w:val="22"/>
      <w:szCs w:val="22"/>
    </w:rPr>
  </w:style>
  <w:style w:type="paragraph" w:customStyle="1" w:styleId="206">
    <w:name w:val="xl10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08">
    <w:name w:val="xl11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1">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3">
    <w:name w:val="xl11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4">
    <w:name w:val="xl11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5">
    <w:name w:val="xl11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6">
    <w:name w:val="xl11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7">
    <w:name w:val="Char3"/>
    <w:basedOn w:val="1"/>
    <w:qFormat/>
    <w:uiPriority w:val="0"/>
    <w:pPr>
      <w:widowControl/>
      <w:spacing w:after="160" w:line="240" w:lineRule="exact"/>
      <w:jc w:val="left"/>
    </w:pPr>
    <w:rPr>
      <w:szCs w:val="20"/>
    </w:rPr>
  </w:style>
  <w:style w:type="paragraph" w:customStyle="1" w:styleId="218">
    <w:name w:val="正文缩进2"/>
    <w:basedOn w:val="1"/>
    <w:qFormat/>
    <w:uiPriority w:val="0"/>
    <w:pPr>
      <w:ind w:firstLine="420" w:firstLineChars="200"/>
    </w:pPr>
  </w:style>
  <w:style w:type="paragraph" w:customStyle="1" w:styleId="219">
    <w:name w:val="注释标题1"/>
    <w:basedOn w:val="1"/>
    <w:next w:val="1"/>
    <w:qFormat/>
    <w:uiPriority w:val="0"/>
    <w:pPr>
      <w:jc w:val="center"/>
    </w:pPr>
    <w:rPr>
      <w:rFonts w:ascii="宋体"/>
      <w:szCs w:val="21"/>
    </w:rPr>
  </w:style>
  <w:style w:type="paragraph" w:customStyle="1" w:styleId="220">
    <w:name w:val="正文缩进3"/>
    <w:basedOn w:val="1"/>
    <w:qFormat/>
    <w:uiPriority w:val="0"/>
    <w:pPr>
      <w:ind w:firstLine="420" w:firstLineChars="200"/>
    </w:pPr>
  </w:style>
  <w:style w:type="paragraph" w:customStyle="1" w:styleId="221">
    <w:name w:val="批注主题1"/>
    <w:basedOn w:val="18"/>
    <w:next w:val="18"/>
    <w:qFormat/>
    <w:uiPriority w:val="0"/>
    <w:rPr>
      <w:b/>
      <w:bCs/>
    </w:rPr>
  </w:style>
  <w:style w:type="paragraph" w:customStyle="1" w:styleId="222">
    <w:name w:val="正文缩进4"/>
    <w:basedOn w:val="1"/>
    <w:qFormat/>
    <w:uiPriority w:val="0"/>
    <w:pPr>
      <w:ind w:firstLine="420" w:firstLineChars="200"/>
    </w:pPr>
  </w:style>
  <w:style w:type="paragraph" w:customStyle="1" w:styleId="223">
    <w:name w:val="Char Char4"/>
    <w:basedOn w:val="1"/>
    <w:semiHidden/>
    <w:qFormat/>
    <w:uiPriority w:val="0"/>
    <w:pPr>
      <w:spacing w:line="360" w:lineRule="auto"/>
    </w:pPr>
    <w:rPr>
      <w:sz w:val="24"/>
    </w:rPr>
  </w:style>
  <w:style w:type="character" w:customStyle="1" w:styleId="224">
    <w:name w:val="标题 1 字符"/>
    <w:link w:val="3"/>
    <w:qFormat/>
    <w:uiPriority w:val="0"/>
    <w:rPr>
      <w:kern w:val="2"/>
      <w:sz w:val="28"/>
    </w:rPr>
  </w:style>
  <w:style w:type="character" w:customStyle="1" w:styleId="225">
    <w:name w:val="正文缩进 字符"/>
    <w:link w:val="15"/>
    <w:qFormat/>
    <w:locked/>
    <w:uiPriority w:val="0"/>
    <w:rPr>
      <w:kern w:val="2"/>
      <w:sz w:val="21"/>
      <w:szCs w:val="24"/>
    </w:rPr>
  </w:style>
  <w:style w:type="character" w:customStyle="1" w:styleId="226">
    <w:name w:val="标题 5 字符"/>
    <w:link w:val="7"/>
    <w:qFormat/>
    <w:uiPriority w:val="0"/>
    <w:rPr>
      <w:rFonts w:eastAsia="黑体"/>
      <w:bCs/>
      <w:sz w:val="28"/>
      <w:szCs w:val="28"/>
    </w:rPr>
  </w:style>
  <w:style w:type="character" w:customStyle="1" w:styleId="227">
    <w:name w:val="标题 6 字符"/>
    <w:link w:val="8"/>
    <w:qFormat/>
    <w:uiPriority w:val="0"/>
    <w:rPr>
      <w:rFonts w:eastAsia="黑体"/>
      <w:bCs/>
      <w:sz w:val="28"/>
      <w:szCs w:val="28"/>
    </w:rPr>
  </w:style>
  <w:style w:type="character" w:customStyle="1" w:styleId="228">
    <w:name w:val="标题 8 字符"/>
    <w:link w:val="10"/>
    <w:qFormat/>
    <w:uiPriority w:val="0"/>
    <w:rPr>
      <w:rFonts w:eastAsia="黑体"/>
      <w:sz w:val="28"/>
      <w:szCs w:val="28"/>
    </w:rPr>
  </w:style>
  <w:style w:type="character" w:customStyle="1" w:styleId="229">
    <w:name w:val="标题 9 字符"/>
    <w:link w:val="11"/>
    <w:qFormat/>
    <w:uiPriority w:val="0"/>
    <w:rPr>
      <w:kern w:val="2"/>
      <w:sz w:val="24"/>
      <w:szCs w:val="28"/>
    </w:rPr>
  </w:style>
  <w:style w:type="character" w:customStyle="1" w:styleId="230">
    <w:name w:val="页眉 字符"/>
    <w:link w:val="35"/>
    <w:qFormat/>
    <w:uiPriority w:val="0"/>
    <w:rPr>
      <w:kern w:val="2"/>
      <w:sz w:val="18"/>
      <w:szCs w:val="18"/>
    </w:rPr>
  </w:style>
  <w:style w:type="character" w:customStyle="1" w:styleId="231">
    <w:name w:val="页脚 字符"/>
    <w:link w:val="34"/>
    <w:qFormat/>
    <w:uiPriority w:val="0"/>
    <w:rPr>
      <w:kern w:val="2"/>
      <w:sz w:val="18"/>
      <w:szCs w:val="18"/>
    </w:rPr>
  </w:style>
  <w:style w:type="character" w:customStyle="1" w:styleId="232">
    <w:name w:val="纯文本 字符"/>
    <w:link w:val="28"/>
    <w:qFormat/>
    <w:uiPriority w:val="0"/>
    <w:rPr>
      <w:rFonts w:ascii="宋体" w:hAnsi="Courier New"/>
      <w:kern w:val="2"/>
      <w:sz w:val="21"/>
    </w:rPr>
  </w:style>
  <w:style w:type="character" w:customStyle="1" w:styleId="233">
    <w:name w:val="正文文本 字符"/>
    <w:link w:val="22"/>
    <w:qFormat/>
    <w:uiPriority w:val="0"/>
    <w:rPr>
      <w:kern w:val="2"/>
      <w:sz w:val="21"/>
      <w:szCs w:val="24"/>
    </w:rPr>
  </w:style>
  <w:style w:type="character" w:customStyle="1" w:styleId="234">
    <w:name w:val="表内5 Char"/>
    <w:link w:val="76"/>
    <w:qFormat/>
    <w:uiPriority w:val="0"/>
    <w:rPr>
      <w:rFonts w:ascii="宋体" w:hAnsi="宋体" w:eastAsia="宋体"/>
      <w:sz w:val="21"/>
      <w:szCs w:val="21"/>
      <w:lang w:val="en-US" w:eastAsia="zh-CN" w:bidi="ar-SA"/>
    </w:rPr>
  </w:style>
  <w:style w:type="character" w:customStyle="1" w:styleId="235">
    <w:name w:val="燕山正文 Char"/>
    <w:link w:val="77"/>
    <w:qFormat/>
    <w:uiPriority w:val="0"/>
    <w:rPr>
      <w:rFonts w:ascii="宋体" w:hAnsi="宋体" w:eastAsia="宋体"/>
      <w:color w:val="000000"/>
      <w:kern w:val="2"/>
      <w:sz w:val="28"/>
      <w:szCs w:val="28"/>
      <w:lang w:val="en-US" w:eastAsia="zh-CN" w:bidi="ar-SA"/>
    </w:rPr>
  </w:style>
  <w:style w:type="character" w:customStyle="1" w:styleId="236">
    <w:name w:val="节下项目标题 Char"/>
    <w:link w:val="80"/>
    <w:qFormat/>
    <w:uiPriority w:val="0"/>
    <w:rPr>
      <w:rFonts w:ascii="宋体" w:hAnsi="宋体" w:eastAsia="黑体"/>
      <w:b/>
      <w:kern w:val="2"/>
      <w:sz w:val="28"/>
      <w:szCs w:val="24"/>
      <w:lang w:val="en-US" w:eastAsia="zh-CN" w:bidi="ar-SA"/>
    </w:rPr>
  </w:style>
  <w:style w:type="character" w:customStyle="1" w:styleId="237">
    <w:name w:val="表格标题 Char"/>
    <w:link w:val="82"/>
    <w:qFormat/>
    <w:uiPriority w:val="0"/>
    <w:rPr>
      <w:rFonts w:ascii="宋体" w:hAnsi="宋体" w:eastAsia="宋体"/>
      <w:spacing w:val="20"/>
      <w:kern w:val="2"/>
      <w:sz w:val="24"/>
      <w:lang w:val="en-US" w:eastAsia="zh-CN" w:bidi="ar-SA"/>
    </w:rPr>
  </w:style>
  <w:style w:type="character" w:customStyle="1" w:styleId="238">
    <w:name w:val="批注框文本 字符"/>
    <w:link w:val="33"/>
    <w:qFormat/>
    <w:uiPriority w:val="0"/>
    <w:rPr>
      <w:kern w:val="2"/>
      <w:sz w:val="18"/>
      <w:szCs w:val="18"/>
    </w:rPr>
  </w:style>
  <w:style w:type="character" w:customStyle="1" w:styleId="239">
    <w:name w:val="已访问的超链接1"/>
    <w:qFormat/>
    <w:uiPriority w:val="0"/>
    <w:rPr>
      <w:color w:val="800080"/>
      <w:u w:val="single"/>
    </w:rPr>
  </w:style>
  <w:style w:type="character" w:customStyle="1" w:styleId="240">
    <w:name w:val="p11"/>
    <w:qFormat/>
    <w:uiPriority w:val="0"/>
    <w:rPr>
      <w:sz w:val="18"/>
      <w:szCs w:val="18"/>
    </w:rPr>
  </w:style>
  <w:style w:type="character" w:customStyle="1" w:styleId="241">
    <w:name w:val="注释标题 字符"/>
    <w:link w:val="13"/>
    <w:qFormat/>
    <w:uiPriority w:val="0"/>
    <w:rPr>
      <w:rFonts w:ascii="宋体" w:cs="宋体"/>
      <w:kern w:val="2"/>
      <w:sz w:val="21"/>
      <w:szCs w:val="21"/>
    </w:rPr>
  </w:style>
  <w:style w:type="character" w:customStyle="1" w:styleId="242">
    <w:name w:val="参考文献 黑体 小三 SL CON"/>
    <w:qFormat/>
    <w:uiPriority w:val="0"/>
    <w:rPr>
      <w:rFonts w:ascii="黑体" w:hAnsi="黑体" w:eastAsia="黑体"/>
      <w:sz w:val="30"/>
    </w:rPr>
  </w:style>
  <w:style w:type="character" w:customStyle="1" w:styleId="243">
    <w:name w:val="公式书写 居中 段前: 6 磅 段后: 6 磅 SL CON Char"/>
    <w:link w:val="106"/>
    <w:qFormat/>
    <w:uiPriority w:val="0"/>
    <w:rPr>
      <w:rFonts w:ascii="宋体" w:cs="宋体"/>
      <w:sz w:val="24"/>
    </w:rPr>
  </w:style>
  <w:style w:type="character" w:customStyle="1" w:styleId="244">
    <w:name w:val="公式书写（编号） 居中 段前: 6 磅 段后: 6 磅 SL CON + (符号) 宋体 Char"/>
    <w:link w:val="107"/>
    <w:qFormat/>
    <w:uiPriority w:val="0"/>
  </w:style>
  <w:style w:type="character" w:customStyle="1" w:styleId="245">
    <w:name w:val="style121"/>
    <w:qFormat/>
    <w:uiPriority w:val="0"/>
    <w:rPr>
      <w:rFonts w:hint="default" w:ascii="Arial" w:hAnsi="Arial" w:cs="Arial"/>
      <w:color w:val="333333"/>
      <w:sz w:val="23"/>
      <w:szCs w:val="23"/>
    </w:rPr>
  </w:style>
  <w:style w:type="character" w:customStyle="1" w:styleId="246">
    <w:name w:val="批注文字 字符"/>
    <w:link w:val="18"/>
    <w:qFormat/>
    <w:uiPriority w:val="0"/>
    <w:rPr>
      <w:rFonts w:ascii="宋体"/>
      <w:sz w:val="24"/>
      <w:szCs w:val="24"/>
    </w:rPr>
  </w:style>
  <w:style w:type="character" w:customStyle="1" w:styleId="247">
    <w:name w:val="批注主题 字符"/>
    <w:link w:val="49"/>
    <w:qFormat/>
    <w:uiPriority w:val="0"/>
    <w:rPr>
      <w:rFonts w:ascii="宋体"/>
      <w:b/>
      <w:bCs/>
      <w:sz w:val="24"/>
      <w:szCs w:val="24"/>
    </w:rPr>
  </w:style>
  <w:style w:type="character" w:customStyle="1" w:styleId="248">
    <w:name w:val="apple-style-span"/>
    <w:basedOn w:val="54"/>
    <w:qFormat/>
    <w:uiPriority w:val="0"/>
  </w:style>
  <w:style w:type="character" w:customStyle="1" w:styleId="249">
    <w:name w:val="纯文本 Char1"/>
    <w:qFormat/>
    <w:uiPriority w:val="0"/>
    <w:rPr>
      <w:rFonts w:ascii="宋体" w:hAnsi="Courier New"/>
      <w:kern w:val="2"/>
      <w:sz w:val="21"/>
    </w:rPr>
  </w:style>
  <w:style w:type="character" w:customStyle="1" w:styleId="250">
    <w:name w:val="Job"/>
    <w:basedOn w:val="54"/>
    <w:qFormat/>
    <w:uiPriority w:val="0"/>
  </w:style>
  <w:style w:type="character" w:customStyle="1" w:styleId="251">
    <w:name w:val="Lead-in Emphasis"/>
    <w:qFormat/>
    <w:uiPriority w:val="0"/>
    <w:rPr>
      <w:rFonts w:ascii="Arial" w:hAnsi="Arial"/>
      <w:b/>
      <w:spacing w:val="-8"/>
      <w:sz w:val="18"/>
    </w:rPr>
  </w:style>
  <w:style w:type="character" w:customStyle="1" w:styleId="252">
    <w:name w:val="label1"/>
    <w:basedOn w:val="54"/>
    <w:qFormat/>
    <w:uiPriority w:val="0"/>
  </w:style>
  <w:style w:type="character" w:customStyle="1" w:styleId="253">
    <w:name w:val="zw1"/>
    <w:qFormat/>
    <w:uiPriority w:val="0"/>
    <w:rPr>
      <w:rFonts w:hint="eastAsia" w:ascii="宋体" w:hAnsi="宋体" w:eastAsia="宋体"/>
      <w:sz w:val="22"/>
      <w:szCs w:val="22"/>
    </w:rPr>
  </w:style>
  <w:style w:type="character" w:customStyle="1" w:styleId="254">
    <w:name w:val="zw"/>
    <w:basedOn w:val="54"/>
    <w:qFormat/>
    <w:uiPriority w:val="0"/>
  </w:style>
  <w:style w:type="character" w:customStyle="1" w:styleId="255">
    <w:name w:val="bt21"/>
    <w:qFormat/>
    <w:uiPriority w:val="0"/>
    <w:rPr>
      <w:rFonts w:hint="eastAsia" w:ascii="黑体" w:eastAsia="黑体"/>
      <w:sz w:val="24"/>
      <w:szCs w:val="24"/>
    </w:rPr>
  </w:style>
  <w:style w:type="character" w:customStyle="1" w:styleId="256">
    <w:name w:val="newsitemtext1"/>
    <w:qFormat/>
    <w:uiPriority w:val="0"/>
    <w:rPr>
      <w:color w:val="000000"/>
      <w:sz w:val="28"/>
      <w:szCs w:val="28"/>
    </w:rPr>
  </w:style>
  <w:style w:type="character" w:customStyle="1" w:styleId="257">
    <w:name w:val="text1"/>
    <w:basedOn w:val="54"/>
    <w:qFormat/>
    <w:uiPriority w:val="0"/>
  </w:style>
  <w:style w:type="character" w:customStyle="1" w:styleId="258">
    <w:name w:val="style21"/>
    <w:qFormat/>
    <w:uiPriority w:val="0"/>
    <w:rPr>
      <w:b/>
      <w:bCs/>
      <w:sz w:val="27"/>
      <w:szCs w:val="27"/>
    </w:rPr>
  </w:style>
  <w:style w:type="character" w:customStyle="1" w:styleId="259">
    <w:name w:val="jian1"/>
    <w:basedOn w:val="54"/>
    <w:qFormat/>
    <w:uiPriority w:val="0"/>
  </w:style>
  <w:style w:type="paragraph" w:styleId="260">
    <w:name w:val="List Paragraph"/>
    <w:basedOn w:val="1"/>
    <w:link w:val="269"/>
    <w:qFormat/>
    <w:uiPriority w:val="34"/>
    <w:pPr>
      <w:ind w:firstLine="420" w:firstLineChars="200"/>
    </w:pPr>
    <w:rPr>
      <w:szCs w:val="20"/>
    </w:rPr>
  </w:style>
  <w:style w:type="paragraph" w:customStyle="1" w:styleId="261">
    <w:name w:val="列出段落2"/>
    <w:basedOn w:val="1"/>
    <w:qFormat/>
    <w:uiPriority w:val="34"/>
    <w:pPr>
      <w:ind w:firstLine="420" w:firstLineChars="200"/>
    </w:pPr>
    <w:rPr>
      <w:szCs w:val="20"/>
    </w:rPr>
  </w:style>
  <w:style w:type="character" w:customStyle="1" w:styleId="262">
    <w:name w:val="font01"/>
    <w:qFormat/>
    <w:uiPriority w:val="0"/>
    <w:rPr>
      <w:rFonts w:hint="eastAsia" w:ascii="宋体" w:hAnsi="宋体" w:eastAsia="宋体" w:cs="宋体"/>
      <w:color w:val="000000"/>
      <w:sz w:val="20"/>
      <w:szCs w:val="20"/>
      <w:u w:val="none"/>
    </w:rPr>
  </w:style>
  <w:style w:type="paragraph" w:customStyle="1" w:styleId="263">
    <w:name w:val="Char Char Char Char Char"/>
    <w:basedOn w:val="1"/>
    <w:qFormat/>
    <w:uiPriority w:val="0"/>
  </w:style>
  <w:style w:type="character" w:customStyle="1" w:styleId="264">
    <w:name w:val="Char Char1"/>
    <w:link w:val="67"/>
    <w:qFormat/>
    <w:uiPriority w:val="0"/>
    <w:rPr>
      <w:kern w:val="2"/>
      <w:sz w:val="24"/>
      <w:szCs w:val="24"/>
    </w:rPr>
  </w:style>
  <w:style w:type="paragraph" w:customStyle="1" w:styleId="265">
    <w:name w:val="正文缩进5"/>
    <w:basedOn w:val="1"/>
    <w:link w:val="266"/>
    <w:qFormat/>
    <w:uiPriority w:val="0"/>
    <w:pPr>
      <w:ind w:firstLine="420" w:firstLineChars="200"/>
    </w:pPr>
    <w:rPr>
      <w:lang w:val="zh-CN"/>
    </w:rPr>
  </w:style>
  <w:style w:type="character" w:customStyle="1" w:styleId="266">
    <w:name w:val="正文缩进 Char"/>
    <w:link w:val="265"/>
    <w:qFormat/>
    <w:uiPriority w:val="0"/>
    <w:rPr>
      <w:kern w:val="2"/>
      <w:sz w:val="21"/>
      <w:szCs w:val="24"/>
      <w:lang w:val="zh-CN" w:eastAsia="zh-CN"/>
    </w:rPr>
  </w:style>
  <w:style w:type="paragraph" w:customStyle="1" w:styleId="267">
    <w:name w:val="p0"/>
    <w:basedOn w:val="1"/>
    <w:qFormat/>
    <w:uiPriority w:val="0"/>
    <w:pPr>
      <w:widowControl/>
    </w:pPr>
    <w:rPr>
      <w:rFonts w:ascii="Calibri" w:hAnsi="Calibri" w:cs="Calibri"/>
      <w:kern w:val="0"/>
      <w:szCs w:val="21"/>
    </w:rPr>
  </w:style>
  <w:style w:type="paragraph" w:customStyle="1" w:styleId="268">
    <w:name w:val="p16"/>
    <w:basedOn w:val="1"/>
    <w:qFormat/>
    <w:uiPriority w:val="0"/>
    <w:pPr>
      <w:widowControl/>
      <w:jc w:val="center"/>
    </w:pPr>
    <w:rPr>
      <w:rFonts w:ascii="宋体" w:hAnsi="宋体" w:cs="宋体"/>
      <w:kern w:val="0"/>
      <w:szCs w:val="21"/>
    </w:rPr>
  </w:style>
  <w:style w:type="character" w:customStyle="1" w:styleId="269">
    <w:name w:val="列表段落 字符"/>
    <w:link w:val="260"/>
    <w:qFormat/>
    <w:uiPriority w:val="34"/>
    <w:rPr>
      <w:kern w:val="2"/>
      <w:sz w:val="21"/>
    </w:rPr>
  </w:style>
  <w:style w:type="table" w:customStyle="1" w:styleId="270">
    <w:name w:val="网格型1"/>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1">
    <w:name w:val="Table Paragraph"/>
    <w:basedOn w:val="1"/>
    <w:unhideWhenUsed/>
    <w:qFormat/>
    <w:uiPriority w:val="1"/>
    <w:pPr>
      <w:spacing w:beforeLines="0" w:afterLines="0"/>
    </w:pPr>
    <w:rPr>
      <w:rFonts w:hint="default"/>
      <w:sz w:val="24"/>
      <w:szCs w:val="24"/>
    </w:rPr>
  </w:style>
  <w:style w:type="character" w:customStyle="1" w:styleId="272">
    <w:name w:val="正文样式 Char"/>
    <w:link w:val="61"/>
    <w:qFormat/>
    <w:uiPriority w:val="0"/>
    <w:rPr>
      <w:color w:val="000000"/>
      <w:sz w:val="28"/>
      <w:szCs w:val="28"/>
    </w:rPr>
  </w:style>
  <w:style w:type="character" w:customStyle="1" w:styleId="273">
    <w:name w:val="li_正文 Char"/>
    <w:link w:val="65"/>
    <w:qFormat/>
    <w:uiPriority w:val="0"/>
    <w:rPr>
      <w:kern w:val="2"/>
      <w:sz w:val="28"/>
      <w:szCs w:val="28"/>
    </w:rPr>
  </w:style>
  <w:style w:type="character" w:customStyle="1" w:styleId="274">
    <w:name w:val="Default Char"/>
    <w:link w:val="2"/>
    <w:qFormat/>
    <w:uiPriority w:val="0"/>
    <w:rPr>
      <w:rFonts w:ascii="黑体" w:hAnsi="Calibri" w:eastAsia="黑体" w:cs="黑体"/>
      <w:color w:val="000000"/>
      <w:sz w:val="24"/>
      <w:szCs w:val="24"/>
      <w:lang w:val="en-US" w:eastAsia="zh-CN" w:bidi="ar-SA"/>
    </w:rPr>
  </w:style>
  <w:style w:type="character" w:customStyle="1" w:styleId="275">
    <w:name w:val="Normal Indent1 Char"/>
    <w:link w:val="62"/>
    <w:qFormat/>
    <w:uiPriority w:val="0"/>
  </w:style>
  <w:style w:type="character" w:customStyle="1" w:styleId="276">
    <w:name w:val="标题 Char"/>
    <w:link w:val="48"/>
    <w:qFormat/>
    <w:uiPriority w:val="0"/>
    <w:rPr>
      <w:rFonts w:ascii="宋体" w:hAnsi="Arial" w:cs="Arial"/>
      <w:b/>
      <w:bCs/>
      <w:sz w:val="32"/>
      <w:szCs w:val="18"/>
    </w:rPr>
  </w:style>
  <w:style w:type="character" w:customStyle="1" w:styleId="277">
    <w:name w:val="标题1 Char"/>
    <w:link w:val="83"/>
    <w:qFormat/>
    <w:uiPriority w:val="0"/>
    <w:rPr>
      <w:rFonts w:eastAsia="黑体" w:cs="宋体"/>
      <w:b/>
      <w:kern w:val="44"/>
      <w:sz w:val="32"/>
    </w:rPr>
  </w:style>
  <w:style w:type="character" w:customStyle="1" w:styleId="278">
    <w:name w:val="Char Char Char Char Char Char1 Char Char"/>
    <w:link w:val="84"/>
    <w:qFormat/>
    <w:uiPriority w:val="0"/>
    <w:rPr>
      <w:rFonts w:ascii="Arial" w:hAnsi="Arial" w:eastAsia="Times New Roman" w:cs="Verdana"/>
      <w:b/>
      <w:kern w:val="0"/>
      <w:sz w:val="24"/>
      <w:szCs w:val="20"/>
      <w:lang w:eastAsia="en-US"/>
    </w:rPr>
  </w:style>
  <w:style w:type="paragraph" w:customStyle="1" w:styleId="279">
    <w:name w:val="WordSection1_table_td_p"/>
    <w:basedOn w:val="1"/>
    <w:qFormat/>
    <w:uiPriority w:val="0"/>
    <w:rPr>
      <w:rFonts w:ascii="宋体" w:hAnsi="宋体" w:eastAsia="宋体" w:cs="宋体"/>
      <w:sz w:val="18"/>
      <w:szCs w:val="18"/>
    </w:rPr>
  </w:style>
  <w:style w:type="table" w:customStyle="1" w:styleId="280">
    <w:name w:val="table"/>
    <w:basedOn w:val="52"/>
    <w:qFormat/>
    <w:uiPriority w:val="0"/>
  </w:style>
  <w:style w:type="character" w:customStyle="1" w:styleId="281">
    <w:name w:val="WordSection1_table_td_p_span"/>
    <w:basedOn w:val="54"/>
    <w:qFormat/>
    <w:uiPriority w:val="0"/>
    <w:rPr>
      <w:rFonts w:ascii="宋体" w:hAnsi="宋体" w:eastAsia="宋体" w:cs="宋体"/>
      <w:sz w:val="18"/>
      <w:szCs w:val="18"/>
    </w:rPr>
  </w:style>
  <w:style w:type="character" w:customStyle="1" w:styleId="282">
    <w:name w:val="WordSection1_table_sup"/>
    <w:basedOn w:val="54"/>
    <w:qFormat/>
    <w:uiPriority w:val="0"/>
    <w:rPr>
      <w:rFonts w:ascii="宋体" w:hAnsi="宋体" w:eastAsia="宋体" w:cs="宋体"/>
      <w:color w:val="000000"/>
      <w:sz w:val="12"/>
      <w:szCs w:val="12"/>
    </w:rPr>
  </w:style>
  <w:style w:type="paragraph" w:customStyle="1" w:styleId="283">
    <w:name w:val="+正文"/>
    <w:basedOn w:val="1"/>
    <w:qFormat/>
    <w:uiPriority w:val="0"/>
    <w:pPr>
      <w:spacing w:before="120" w:beforeLines="50" w:line="360" w:lineRule="auto"/>
      <w:ind w:firstLine="560" w:firstLineChars="200"/>
      <w:jc w:val="left"/>
    </w:pPr>
    <w:rPr>
      <w:rFonts w:ascii="Times New Roman" w:hAnsi="Times New Roman" w:cs="Times New Roman"/>
      <w:sz w:val="28"/>
      <w:szCs w:val="28"/>
    </w:rPr>
  </w:style>
  <w:style w:type="character" w:customStyle="1" w:styleId="284">
    <w:name w:val="pic-number-div"/>
    <w:basedOn w:val="54"/>
    <w:qFormat/>
    <w:uiPriority w:val="0"/>
  </w:style>
  <w:style w:type="table" w:customStyle="1" w:styleId="28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customXml" Target="../customXml/item2.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0.jpeg"/><Relationship Id="rId23" Type="http://schemas.openxmlformats.org/officeDocument/2006/relationships/image" Target="media/image9.jpeg"/><Relationship Id="rId22" Type="http://schemas.openxmlformats.org/officeDocument/2006/relationships/image" Target="media/image8.jpeg"/><Relationship Id="rId21" Type="http://schemas.openxmlformats.org/officeDocument/2006/relationships/image" Target="media/image7.jpeg"/><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jpeg"/><Relationship Id="rId17" Type="http://schemas.openxmlformats.org/officeDocument/2006/relationships/image" Target="media/image3.jpeg"/><Relationship Id="rId16" Type="http://schemas.openxmlformats.org/officeDocument/2006/relationships/image" Target="media/image2.pn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800D7E-FFE7-49F9-ACF1-560430CB60D7}">
  <ds:schemaRefs/>
</ds:datastoreItem>
</file>

<file path=docProps/app.xml><?xml version="1.0" encoding="utf-8"?>
<Properties xmlns="http://schemas.openxmlformats.org/officeDocument/2006/extended-properties" xmlns:vt="http://schemas.openxmlformats.org/officeDocument/2006/docPropsVTypes">
  <Template>Normal.dotm</Template>
  <Company>sdip.com</Company>
  <Pages>149</Pages>
  <Words>75015</Words>
  <Characters>82647</Characters>
  <Lines>426</Lines>
  <Paragraphs>119</Paragraphs>
  <TotalTime>3</TotalTime>
  <ScaleCrop>false</ScaleCrop>
  <LinksUpToDate>false</LinksUpToDate>
  <CharactersWithSpaces>83347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2019-01-24T01:24:00Z</dcterms:created>
  <dc:creator>User</dc:creator>
  <cp:lastModifiedBy>Belle étoile</cp:lastModifiedBy>
  <cp:lastPrinted>2023-01-06T02:21:00Z</cp:lastPrinted>
  <dcterms:modified xsi:type="dcterms:W3CDTF">2023-02-23T08:04:38Z</dcterms:modified>
  <dc:title>前    言</dc:title>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0A754C4EB7674E71BF6966AE9B2D2100</vt:lpwstr>
  </property>
</Properties>
</file>