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eastAsia="华文中宋"/>
          <w:b/>
          <w:color w:val="000000" w:themeColor="text1"/>
          <w:spacing w:val="20"/>
          <w:kern w:val="0"/>
          <w:sz w:val="44"/>
          <w14:textFill>
            <w14:solidFill>
              <w14:schemeClr w14:val="tx1"/>
            </w14:solidFill>
          </w14:textFill>
        </w:rPr>
      </w:pPr>
    </w:p>
    <w:p>
      <w:pPr>
        <w:adjustRightInd w:val="0"/>
        <w:snapToGrid w:val="0"/>
        <w:spacing w:line="360" w:lineRule="auto"/>
        <w:jc w:val="center"/>
        <w:rPr>
          <w:rFonts w:eastAsia="华文中宋"/>
          <w:b/>
          <w:color w:val="000000" w:themeColor="text1"/>
          <w:spacing w:val="20"/>
          <w:kern w:val="0"/>
          <w:sz w:val="44"/>
          <w14:textFill>
            <w14:solidFill>
              <w14:schemeClr w14:val="tx1"/>
            </w14:solidFill>
          </w14:textFill>
        </w:rPr>
      </w:pPr>
    </w:p>
    <w:p>
      <w:pPr>
        <w:pStyle w:val="31"/>
        <w:snapToGrid w:val="0"/>
        <w:ind w:left="-424" w:leftChars="-202" w:right="-482" w:rightChars="-230"/>
        <w:jc w:val="center"/>
        <w:textAlignment w:val="auto"/>
        <w:rPr>
          <w:rFonts w:ascii="Times New Roman"/>
          <w:b/>
          <w:color w:val="000000" w:themeColor="text1"/>
          <w:spacing w:val="0"/>
          <w:kern w:val="2"/>
          <w:sz w:val="44"/>
          <w:szCs w:val="44"/>
          <w14:textFill>
            <w14:solidFill>
              <w14:schemeClr w14:val="tx1"/>
            </w14:solidFill>
          </w14:textFill>
        </w:rPr>
      </w:pPr>
    </w:p>
    <w:p>
      <w:pPr>
        <w:adjustRightInd w:val="0"/>
        <w:snapToGrid w:val="0"/>
        <w:spacing w:line="360" w:lineRule="auto"/>
        <w:jc w:val="center"/>
        <w:rPr>
          <w:b/>
          <w:color w:val="000000" w:themeColor="text1"/>
          <w:sz w:val="44"/>
          <w:szCs w:val="44"/>
          <w14:textFill>
            <w14:solidFill>
              <w14:schemeClr w14:val="tx1"/>
            </w14:solidFill>
          </w14:textFill>
        </w:rPr>
      </w:pPr>
      <w:r>
        <w:rPr>
          <w:rFonts w:hint="eastAsia"/>
          <w:b/>
          <w:color w:val="000000" w:themeColor="text1"/>
          <w:sz w:val="44"/>
          <w:szCs w:val="44"/>
          <w14:textFill>
            <w14:solidFill>
              <w14:schemeClr w14:val="tx1"/>
            </w14:solidFill>
          </w14:textFill>
        </w:rPr>
        <w:t>山东</w:t>
      </w:r>
      <w:r>
        <w:rPr>
          <w:b/>
          <w:color w:val="000000" w:themeColor="text1"/>
          <w:sz w:val="44"/>
          <w:szCs w:val="44"/>
          <w14:textFill>
            <w14:solidFill>
              <w14:schemeClr w14:val="tx1"/>
            </w14:solidFill>
          </w14:textFill>
        </w:rPr>
        <w:t>胜利油田</w:t>
      </w:r>
      <w:r>
        <w:rPr>
          <w:rFonts w:hint="eastAsia"/>
          <w:b/>
          <w:color w:val="000000" w:themeColor="text1"/>
          <w:sz w:val="44"/>
          <w:szCs w:val="44"/>
          <w14:textFill>
            <w14:solidFill>
              <w14:schemeClr w14:val="tx1"/>
            </w14:solidFill>
          </w14:textFill>
        </w:rPr>
        <w:t>鸿欣石油技术</w:t>
      </w:r>
      <w:r>
        <w:rPr>
          <w:b/>
          <w:color w:val="000000" w:themeColor="text1"/>
          <w:sz w:val="44"/>
          <w:szCs w:val="44"/>
          <w14:textFill>
            <w14:solidFill>
              <w14:schemeClr w14:val="tx1"/>
            </w14:solidFill>
          </w14:textFill>
        </w:rPr>
        <w:t>有限公司</w:t>
      </w:r>
    </w:p>
    <w:p>
      <w:pPr>
        <w:adjustRightInd w:val="0"/>
        <w:snapToGrid w:val="0"/>
        <w:spacing w:line="360" w:lineRule="auto"/>
        <w:jc w:val="center"/>
        <w:rPr>
          <w:b/>
          <w:color w:val="00B0F0"/>
          <w:sz w:val="44"/>
          <w:szCs w:val="44"/>
        </w:rPr>
      </w:pPr>
      <w:r>
        <w:rPr>
          <w:b/>
          <w:color w:val="000000" w:themeColor="text1"/>
          <w:sz w:val="44"/>
          <w:szCs w:val="44"/>
          <w14:textFill>
            <w14:solidFill>
              <w14:schemeClr w14:val="tx1"/>
            </w14:solidFill>
          </w14:textFill>
        </w:rPr>
        <w:t>井下作业项目</w:t>
      </w:r>
    </w:p>
    <w:p>
      <w:pPr>
        <w:adjustRightInd w:val="0"/>
        <w:snapToGrid w:val="0"/>
        <w:spacing w:line="360" w:lineRule="auto"/>
        <w:jc w:val="center"/>
        <w:rPr>
          <w:rFonts w:eastAsia="黑体"/>
          <w:b/>
          <w:bCs/>
          <w:color w:val="000000" w:themeColor="text1"/>
          <w:spacing w:val="11"/>
          <w:sz w:val="52"/>
          <w:szCs w:val="52"/>
          <w14:textFill>
            <w14:solidFill>
              <w14:schemeClr w14:val="tx1"/>
            </w14:solidFill>
          </w14:textFill>
        </w:rPr>
      </w:pPr>
      <w:r>
        <w:rPr>
          <w:rFonts w:eastAsia="黑体"/>
          <w:b/>
          <w:bCs/>
          <w:color w:val="000000" w:themeColor="text1"/>
          <w:spacing w:val="11"/>
          <w:sz w:val="52"/>
          <w:szCs w:val="52"/>
          <w14:textFill>
            <w14:solidFill>
              <w14:schemeClr w14:val="tx1"/>
            </w14:solidFill>
          </w14:textFill>
        </w:rPr>
        <w:t>安全现状评价报告</w:t>
      </w:r>
    </w:p>
    <w:p>
      <w:pPr>
        <w:adjustRightInd w:val="0"/>
        <w:snapToGrid w:val="0"/>
        <w:spacing w:line="360" w:lineRule="auto"/>
        <w:jc w:val="center"/>
        <w:rPr>
          <w:rFonts w:eastAsia="仿宋_GB2312"/>
          <w:b/>
          <w:bCs/>
          <w:color w:val="000000" w:themeColor="text1"/>
          <w:kern w:val="0"/>
          <w:sz w:val="5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pStyle w:val="64"/>
        <w:ind w:firstLine="643"/>
        <w:rPr>
          <w:rFonts w:eastAsia="仿宋_GB2312"/>
          <w:b/>
          <w:bCs/>
          <w:color w:val="000000" w:themeColor="text1"/>
          <w:kern w:val="0"/>
          <w:sz w:val="32"/>
          <w14:textFill>
            <w14:solidFill>
              <w14:schemeClr w14:val="tx1"/>
            </w14:solidFill>
          </w14:textFill>
        </w:rPr>
      </w:pPr>
    </w:p>
    <w:p>
      <w:pPr>
        <w:pStyle w:val="64"/>
        <w:ind w:firstLine="643"/>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12" w:lineRule="auto"/>
        <w:jc w:val="center"/>
        <w:rPr>
          <w:rFonts w:eastAsia="仿宋_GB2312"/>
          <w:b/>
          <w:bCs/>
          <w:color w:val="000000" w:themeColor="text1"/>
          <w:kern w:val="0"/>
          <w:sz w:val="44"/>
          <w14:textFill>
            <w14:solidFill>
              <w14:schemeClr w14:val="tx1"/>
            </w14:solidFill>
          </w14:textFill>
        </w:rPr>
      </w:pPr>
      <w:r>
        <w:rPr>
          <w:rFonts w:eastAsia="仿宋_GB2312"/>
          <w:b/>
          <w:bCs/>
          <w:color w:val="000000" w:themeColor="text1"/>
          <w:kern w:val="0"/>
          <w:sz w:val="44"/>
          <w14:textFill>
            <w14:solidFill>
              <w14:schemeClr w14:val="tx1"/>
            </w14:solidFill>
          </w14:textFill>
        </w:rPr>
        <w:t>山东实华安全技术有限公司</w:t>
      </w:r>
    </w:p>
    <w:p>
      <w:pPr>
        <w:adjustRightInd w:val="0"/>
        <w:snapToGrid w:val="0"/>
        <w:spacing w:line="312" w:lineRule="auto"/>
        <w:jc w:val="center"/>
        <w:rPr>
          <w:rFonts w:eastAsia="仿宋_GB2312"/>
          <w:b/>
          <w:bCs/>
          <w:color w:val="000000" w:themeColor="text1"/>
          <w:kern w:val="0"/>
          <w:sz w:val="36"/>
          <w:szCs w:val="28"/>
          <w14:textFill>
            <w14:solidFill>
              <w14:schemeClr w14:val="tx1"/>
            </w14:solidFill>
          </w14:textFill>
        </w:rPr>
      </w:pPr>
      <w:r>
        <w:rPr>
          <w:rFonts w:eastAsia="仿宋_GB2312"/>
          <w:b/>
          <w:bCs/>
          <w:color w:val="000000" w:themeColor="text1"/>
          <w:kern w:val="0"/>
          <w:sz w:val="36"/>
          <w:szCs w:val="36"/>
          <w14:textFill>
            <w14:solidFill>
              <w14:schemeClr w14:val="tx1"/>
            </w14:solidFill>
          </w14:textFill>
        </w:rPr>
        <w:t>APJ-（鲁）-013</w:t>
      </w:r>
    </w:p>
    <w:p>
      <w:pPr>
        <w:adjustRightInd w:val="0"/>
        <w:snapToGrid w:val="0"/>
        <w:spacing w:line="312" w:lineRule="auto"/>
        <w:jc w:val="center"/>
        <w:rPr>
          <w:rFonts w:eastAsia="仿宋_GB2312"/>
          <w:b/>
          <w:bCs/>
          <w:color w:val="000000" w:themeColor="text1"/>
          <w:kern w:val="0"/>
          <w:sz w:val="36"/>
          <w:szCs w:val="28"/>
          <w14:textFill>
            <w14:solidFill>
              <w14:schemeClr w14:val="tx1"/>
            </w14:solidFill>
          </w14:textFill>
        </w:rPr>
      </w:pPr>
      <w:r>
        <w:rPr>
          <w:rFonts w:eastAsia="仿宋_GB2312"/>
          <w:b/>
          <w:bCs/>
          <w:color w:val="000000" w:themeColor="text1"/>
          <w:kern w:val="0"/>
          <w:sz w:val="36"/>
          <w:szCs w:val="28"/>
          <w14:textFill>
            <w14:solidFill>
              <w14:schemeClr w14:val="tx1"/>
            </w14:solidFill>
          </w14:textFill>
        </w:rPr>
        <w:t>二〇二二年</w:t>
      </w:r>
      <w:r>
        <w:rPr>
          <w:rFonts w:hint="eastAsia" w:eastAsia="仿宋_GB2312"/>
          <w:b/>
          <w:bCs/>
          <w:color w:val="000000" w:themeColor="text1"/>
          <w:kern w:val="0"/>
          <w:sz w:val="36"/>
          <w:szCs w:val="28"/>
          <w:lang w:val="en-US" w:eastAsia="zh-CN"/>
          <w14:textFill>
            <w14:solidFill>
              <w14:schemeClr w14:val="tx1"/>
            </w14:solidFill>
          </w14:textFill>
        </w:rPr>
        <w:t>十一</w:t>
      </w:r>
      <w:r>
        <w:rPr>
          <w:rFonts w:eastAsia="仿宋_GB2312"/>
          <w:b/>
          <w:bCs/>
          <w:color w:val="000000" w:themeColor="text1"/>
          <w:kern w:val="0"/>
          <w:sz w:val="36"/>
          <w:szCs w:val="28"/>
          <w14:textFill>
            <w14:solidFill>
              <w14:schemeClr w14:val="tx1"/>
            </w14:solidFill>
          </w14:textFill>
        </w:rPr>
        <w:t>月</w:t>
      </w:r>
    </w:p>
    <w:p>
      <w:pPr>
        <w:rPr>
          <w:rFonts w:eastAsia="仿宋_GB2312"/>
          <w:b/>
          <w:bCs/>
          <w:color w:val="000000" w:themeColor="text1"/>
          <w:kern w:val="0"/>
          <w:sz w:val="36"/>
          <w:szCs w:val="28"/>
          <w14:textFill>
            <w14:solidFill>
              <w14:schemeClr w14:val="tx1"/>
            </w14:solidFill>
          </w14:textFill>
        </w:rPr>
      </w:pPr>
      <w:r>
        <w:rPr>
          <w:rFonts w:eastAsia="仿宋_GB2312"/>
          <w:b/>
          <w:bCs/>
          <w:color w:val="000000" w:themeColor="text1"/>
          <w:kern w:val="0"/>
          <w:sz w:val="36"/>
          <w:szCs w:val="28"/>
          <w14:textFill>
            <w14:solidFill>
              <w14:schemeClr w14:val="tx1"/>
            </w14:solidFill>
          </w14:textFill>
        </w:rPr>
        <w:br w:type="page"/>
      </w:r>
    </w:p>
    <w:p>
      <w:pPr>
        <w:pStyle w:val="2"/>
      </w:pPr>
    </w:p>
    <w:p>
      <w:pPr>
        <w:adjustRightInd w:val="0"/>
        <w:snapToGrid w:val="0"/>
        <w:spacing w:line="360" w:lineRule="auto"/>
        <w:jc w:val="center"/>
        <w:rPr>
          <w:b/>
          <w:bCs/>
          <w:color w:val="000000" w:themeColor="text1"/>
          <w:kern w:val="0"/>
          <w:sz w:val="32"/>
          <w14:textFill>
            <w14:solidFill>
              <w14:schemeClr w14:val="tx1"/>
            </w14:solidFill>
          </w14:textFill>
        </w:rPr>
      </w:pPr>
    </w:p>
    <w:p>
      <w:pPr>
        <w:adjustRightInd w:val="0"/>
        <w:snapToGrid w:val="0"/>
        <w:spacing w:line="360" w:lineRule="auto"/>
        <w:jc w:val="center"/>
        <w:rPr>
          <w:b/>
          <w:bCs/>
          <w:color w:val="000000" w:themeColor="text1"/>
          <w:kern w:val="0"/>
          <w:sz w:val="32"/>
          <w14:textFill>
            <w14:solidFill>
              <w14:schemeClr w14:val="tx1"/>
            </w14:solidFill>
          </w14:textFill>
        </w:rPr>
        <w:sectPr>
          <w:headerReference r:id="rId5" w:type="first"/>
          <w:footerReference r:id="rId7" w:type="first"/>
          <w:headerReference r:id="rId3" w:type="default"/>
          <w:headerReference r:id="rId4" w:type="even"/>
          <w:footerReference r:id="rId6" w:type="even"/>
          <w:type w:val="continuous"/>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b/>
          <w:color w:val="000000" w:themeColor="text1"/>
          <w:sz w:val="32"/>
          <w:szCs w:val="44"/>
          <w14:textFill>
            <w14:solidFill>
              <w14:schemeClr w14:val="tx1"/>
            </w14:solidFill>
          </w14:textFill>
        </w:rPr>
      </w:pPr>
      <w:r>
        <w:rPr>
          <w:rFonts w:hint="eastAsia"/>
          <w:b/>
          <w:color w:val="000000" w:themeColor="text1"/>
          <w:sz w:val="32"/>
          <w:szCs w:val="44"/>
          <w14:textFill>
            <w14:solidFill>
              <w14:schemeClr w14:val="tx1"/>
            </w14:solidFill>
          </w14:textFill>
        </w:rPr>
        <w:t>山东胜利油田鸿欣石油技术</w:t>
      </w:r>
      <w:r>
        <w:rPr>
          <w:b/>
          <w:color w:val="000000" w:themeColor="text1"/>
          <w:sz w:val="32"/>
          <w:szCs w:val="44"/>
          <w14:textFill>
            <w14:solidFill>
              <w14:schemeClr w14:val="tx1"/>
            </w14:solidFill>
          </w14:textFill>
        </w:rPr>
        <w:t>有限公司</w:t>
      </w:r>
    </w:p>
    <w:p>
      <w:pPr>
        <w:adjustRightInd w:val="0"/>
        <w:snapToGrid w:val="0"/>
        <w:spacing w:line="360" w:lineRule="auto"/>
        <w:jc w:val="center"/>
        <w:rPr>
          <w:b/>
          <w:color w:val="auto"/>
          <w:sz w:val="32"/>
          <w:szCs w:val="44"/>
        </w:rPr>
      </w:pPr>
      <w:r>
        <w:rPr>
          <w:b/>
          <w:color w:val="auto"/>
          <w:sz w:val="32"/>
          <w:szCs w:val="44"/>
        </w:rPr>
        <w:t>井下作业项目</w:t>
      </w:r>
    </w:p>
    <w:p>
      <w:pPr>
        <w:pStyle w:val="64"/>
        <w:ind w:firstLine="560"/>
        <w:rPr>
          <w:color w:val="000000" w:themeColor="text1"/>
          <w14:textFill>
            <w14:solidFill>
              <w14:schemeClr w14:val="tx1"/>
            </w14:solidFill>
          </w14:textFill>
        </w:rPr>
      </w:pPr>
    </w:p>
    <w:p>
      <w:pPr>
        <w:adjustRightInd w:val="0"/>
        <w:snapToGrid w:val="0"/>
        <w:spacing w:line="360" w:lineRule="auto"/>
        <w:jc w:val="center"/>
        <w:rPr>
          <w:b/>
          <w:bCs/>
          <w:color w:val="000000" w:themeColor="text1"/>
          <w:spacing w:val="60"/>
          <w:sz w:val="44"/>
          <w:szCs w:val="52"/>
          <w14:textFill>
            <w14:solidFill>
              <w14:schemeClr w14:val="tx1"/>
            </w14:solidFill>
          </w14:textFill>
        </w:rPr>
      </w:pPr>
      <w:r>
        <w:rPr>
          <w:b/>
          <w:bCs/>
          <w:color w:val="000000" w:themeColor="text1"/>
          <w:spacing w:val="60"/>
          <w:sz w:val="44"/>
          <w:szCs w:val="52"/>
          <w14:textFill>
            <w14:solidFill>
              <w14:schemeClr w14:val="tx1"/>
            </w14:solidFill>
          </w14:textFill>
        </w:rPr>
        <w:t>安全现状评价报告</w:t>
      </w:r>
    </w:p>
    <w:p>
      <w:pPr>
        <w:adjustRightInd w:val="0"/>
        <w:snapToGrid w:val="0"/>
        <w:spacing w:line="360" w:lineRule="auto"/>
        <w:rPr>
          <w:rFonts w:eastAsia="黑体"/>
          <w:b/>
          <w:bCs/>
          <w:color w:val="0070C0"/>
          <w:spacing w:val="60"/>
          <w:sz w:val="32"/>
          <w:szCs w:val="32"/>
        </w:rPr>
      </w:pPr>
    </w:p>
    <w:p>
      <w:pPr>
        <w:adjustRightInd w:val="0"/>
        <w:snapToGrid w:val="0"/>
        <w:spacing w:line="360" w:lineRule="auto"/>
        <w:rPr>
          <w:b/>
          <w:bCs/>
          <w:color w:val="0070C0"/>
          <w:sz w:val="13"/>
        </w:rPr>
      </w:pPr>
    </w:p>
    <w:p>
      <w:pPr>
        <w:adjustRightInd w:val="0"/>
        <w:snapToGrid w:val="0"/>
        <w:spacing w:line="360" w:lineRule="auto"/>
        <w:jc w:val="center"/>
        <w:rPr>
          <w:rFonts w:eastAsia="仿宋_GB2312"/>
          <w:b/>
          <w:bCs/>
          <w:color w:val="0070C0"/>
          <w:kern w:val="0"/>
          <w:sz w:val="28"/>
          <w:szCs w:val="28"/>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jc w:val="center"/>
        <w:rPr>
          <w:color w:val="000000" w:themeColor="text1"/>
          <w:kern w:val="0"/>
          <w:sz w:val="28"/>
          <w:szCs w:val="32"/>
          <w14:textFill>
            <w14:solidFill>
              <w14:schemeClr w14:val="tx1"/>
            </w14:solidFill>
          </w14:textFill>
        </w:rPr>
      </w:pPr>
      <w:r>
        <w:rPr>
          <w:color w:val="000000" w:themeColor="text1"/>
          <w:kern w:val="0"/>
          <w:sz w:val="28"/>
          <w:szCs w:val="32"/>
          <w14:textFill>
            <w14:solidFill>
              <w14:schemeClr w14:val="tx1"/>
            </w14:solidFill>
          </w14:textFill>
        </w:rPr>
        <w:t>法定代表人：任红艳</w:t>
      </w:r>
    </w:p>
    <w:p>
      <w:pPr>
        <w:adjustRightInd w:val="0"/>
        <w:snapToGrid w:val="0"/>
        <w:spacing w:line="360" w:lineRule="auto"/>
        <w:jc w:val="center"/>
        <w:rPr>
          <w:color w:val="000000" w:themeColor="text1"/>
          <w:kern w:val="0"/>
          <w:sz w:val="28"/>
          <w:szCs w:val="32"/>
          <w14:textFill>
            <w14:solidFill>
              <w14:schemeClr w14:val="tx1"/>
            </w14:solidFill>
          </w14:textFill>
        </w:rPr>
      </w:pPr>
      <w:r>
        <w:rPr>
          <w:color w:val="000000" w:themeColor="text1"/>
          <w:kern w:val="0"/>
          <w:sz w:val="28"/>
          <w:szCs w:val="32"/>
          <w14:textFill>
            <w14:solidFill>
              <w14:schemeClr w14:val="tx1"/>
            </w14:solidFill>
          </w14:textFill>
        </w:rPr>
        <w:t>技术负责人：吴佳东</w:t>
      </w:r>
    </w:p>
    <w:p>
      <w:pPr>
        <w:adjustRightInd w:val="0"/>
        <w:snapToGrid w:val="0"/>
        <w:spacing w:line="360" w:lineRule="auto"/>
        <w:jc w:val="center"/>
        <w:rPr>
          <w:color w:val="000000" w:themeColor="text1"/>
          <w:kern w:val="0"/>
          <w:sz w:val="28"/>
          <w:szCs w:val="32"/>
          <w14:textFill>
            <w14:solidFill>
              <w14:schemeClr w14:val="tx1"/>
            </w14:solidFill>
          </w14:textFill>
        </w:rPr>
      </w:pPr>
      <w:r>
        <w:rPr>
          <w:color w:val="000000" w:themeColor="text1"/>
          <w:kern w:val="0"/>
          <w:sz w:val="28"/>
          <w:szCs w:val="32"/>
          <w14:textFill>
            <w14:solidFill>
              <w14:schemeClr w14:val="tx1"/>
            </w14:solidFill>
          </w14:textFill>
        </w:rPr>
        <w:t>项目负责人：</w:t>
      </w:r>
      <w:r>
        <w:rPr>
          <w:rFonts w:hint="eastAsia"/>
          <w:color w:val="auto"/>
          <w:kern w:val="0"/>
          <w:sz w:val="28"/>
          <w:szCs w:val="32"/>
        </w:rPr>
        <w:t>周菲菲</w:t>
      </w:r>
    </w:p>
    <w:p>
      <w:pPr>
        <w:adjustRightInd w:val="0"/>
        <w:snapToGrid w:val="0"/>
        <w:spacing w:line="360" w:lineRule="auto"/>
        <w:rPr>
          <w:rFonts w:eastAsia="仿宋_GB2312"/>
          <w:color w:val="0070C0"/>
          <w:kern w:val="0"/>
          <w:sz w:val="32"/>
        </w:rPr>
      </w:pPr>
    </w:p>
    <w:p>
      <w:pPr>
        <w:adjustRightInd w:val="0"/>
        <w:snapToGrid w:val="0"/>
        <w:spacing w:line="360" w:lineRule="auto"/>
        <w:rPr>
          <w:rFonts w:eastAsia="仿宋_GB2312"/>
          <w:color w:val="0070C0"/>
          <w:kern w:val="0"/>
          <w:sz w:val="32"/>
        </w:rPr>
      </w:pPr>
    </w:p>
    <w:p>
      <w:pPr>
        <w:adjustRightInd w:val="0"/>
        <w:snapToGrid w:val="0"/>
        <w:spacing w:line="360" w:lineRule="auto"/>
        <w:jc w:val="center"/>
        <w:rPr>
          <w:b/>
          <w:bCs/>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报告完成日期：2022年</w:t>
      </w:r>
      <w:r>
        <w:rPr>
          <w:rFonts w:hint="eastAsia"/>
          <w:b/>
          <w:bCs/>
          <w:color w:val="000000" w:themeColor="text1"/>
          <w:kern w:val="0"/>
          <w:sz w:val="24"/>
          <w:lang w:val="en-US" w:eastAsia="zh-CN"/>
          <w14:textFill>
            <w14:solidFill>
              <w14:schemeClr w14:val="tx1"/>
            </w14:solidFill>
          </w14:textFill>
        </w:rPr>
        <w:t>11</w:t>
      </w:r>
      <w:r>
        <w:rPr>
          <w:b/>
          <w:bCs/>
          <w:color w:val="000000" w:themeColor="text1"/>
          <w:kern w:val="0"/>
          <w:sz w:val="24"/>
          <w14:textFill>
            <w14:solidFill>
              <w14:schemeClr w14:val="tx1"/>
            </w14:solidFill>
          </w14:textFill>
        </w:rPr>
        <w:t>月</w:t>
      </w:r>
      <w:r>
        <w:rPr>
          <w:rFonts w:hint="eastAsia"/>
          <w:b/>
          <w:bCs/>
          <w:color w:val="000000" w:themeColor="text1"/>
          <w:kern w:val="0"/>
          <w:sz w:val="24"/>
          <w:lang w:val="en-US" w:eastAsia="zh-CN"/>
          <w14:textFill>
            <w14:solidFill>
              <w14:schemeClr w14:val="tx1"/>
            </w14:solidFill>
          </w14:textFill>
        </w:rPr>
        <w:t>22</w:t>
      </w:r>
      <w:r>
        <w:rPr>
          <w:rFonts w:hint="eastAsia"/>
          <w:b/>
          <w:bCs/>
          <w:color w:val="000000" w:themeColor="text1"/>
          <w:kern w:val="0"/>
          <w:sz w:val="24"/>
          <w14:textFill>
            <w14:solidFill>
              <w14:schemeClr w14:val="tx1"/>
            </w14:solidFill>
          </w14:textFill>
        </w:rPr>
        <w:t>日</w:t>
      </w:r>
    </w:p>
    <w:p>
      <w:pPr>
        <w:adjustRightInd w:val="0"/>
        <w:snapToGrid w:val="0"/>
        <w:spacing w:line="360" w:lineRule="auto"/>
        <w:rPr>
          <w:color w:val="0070C0"/>
          <w:sz w:val="44"/>
          <w:szCs w:val="32"/>
        </w:rPr>
      </w:pPr>
    </w:p>
    <w:p>
      <w:pPr>
        <w:adjustRightInd w:val="0"/>
        <w:snapToGrid w:val="0"/>
        <w:spacing w:line="360" w:lineRule="auto"/>
        <w:rPr>
          <w:color w:val="0070C0"/>
          <w:sz w:val="44"/>
          <w:szCs w:val="32"/>
        </w:rPr>
      </w:pPr>
    </w:p>
    <w:p>
      <w:pPr>
        <w:adjustRightInd w:val="0"/>
        <w:snapToGrid w:val="0"/>
        <w:spacing w:line="360" w:lineRule="auto"/>
      </w:pPr>
    </w:p>
    <w:p>
      <w:pPr>
        <w:adjustRightInd w:val="0"/>
        <w:snapToGrid w:val="0"/>
        <w:spacing w:line="360" w:lineRule="auto"/>
        <w:ind w:firstLine="560" w:firstLineChars="200"/>
        <w:rPr>
          <w:color w:val="000000" w:themeColor="text1"/>
          <w:sz w:val="28"/>
          <w:szCs w:val="28"/>
          <w14:textFill>
            <w14:solidFill>
              <w14:schemeClr w14:val="tx1"/>
            </w14:solidFill>
          </w14:textFill>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eastAsia="黑体"/>
          <w:b/>
          <w:bCs/>
          <w:color w:val="000000" w:themeColor="text1"/>
          <w:kern w:val="44"/>
          <w:sz w:val="32"/>
          <w:szCs w:val="32"/>
          <w:lang w:eastAsia="zh-CN"/>
          <w14:textFill>
            <w14:solidFill>
              <w14:schemeClr w14:val="tx1"/>
            </w14:solidFill>
          </w14:textFill>
        </w:rPr>
      </w:pPr>
      <w:r>
        <w:rPr>
          <w:rFonts w:hint="eastAsia" w:eastAsia="黑体"/>
          <w:b/>
          <w:bCs/>
          <w:color w:val="000000" w:themeColor="text1"/>
          <w:kern w:val="44"/>
          <w:sz w:val="32"/>
          <w:szCs w:val="32"/>
          <w:lang w:eastAsia="zh-CN"/>
          <w14:textFill>
            <w14:solidFill>
              <w14:schemeClr w14:val="tx1"/>
            </w14:solidFill>
          </w14:textFill>
        </w:rPr>
        <w:drawing>
          <wp:anchor distT="0" distB="0" distL="114300" distR="114300" simplePos="0" relativeHeight="251664384" behindDoc="0" locked="0" layoutInCell="1" allowOverlap="1">
            <wp:simplePos x="0" y="0"/>
            <wp:positionH relativeFrom="column">
              <wp:posOffset>-29210</wp:posOffset>
            </wp:positionH>
            <wp:positionV relativeFrom="paragraph">
              <wp:posOffset>349885</wp:posOffset>
            </wp:positionV>
            <wp:extent cx="5507355" cy="7733030"/>
            <wp:effectExtent l="0" t="0" r="17145" b="1270"/>
            <wp:wrapSquare wrapText="bothSides"/>
            <wp:docPr id="10" name="图片 10" descr="25fc8e70b01803347e8f5a2202c66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5fc8e70b01803347e8f5a2202c66f5"/>
                    <pic:cNvPicPr>
                      <a:picLocks noChangeAspect="1"/>
                    </pic:cNvPicPr>
                  </pic:nvPicPr>
                  <pic:blipFill>
                    <a:blip r:embed="rId18"/>
                    <a:srcRect b="31826"/>
                    <a:stretch>
                      <a:fillRect/>
                    </a:stretch>
                  </pic:blipFill>
                  <pic:spPr>
                    <a:xfrm>
                      <a:off x="0" y="0"/>
                      <a:ext cx="5507355" cy="773303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eastAsia="黑体"/>
          <w:b/>
          <w:bCs/>
          <w:color w:val="000000" w:themeColor="text1"/>
          <w:kern w:val="44"/>
          <w:sz w:val="32"/>
          <w:szCs w:val="32"/>
          <w:lang w:eastAsia="zh-CN"/>
          <w14:textFill>
            <w14:solidFill>
              <w14:schemeClr w14:val="tx1"/>
            </w14:solidFill>
          </w14:textFill>
        </w:rPr>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eastAsia="黑体"/>
          <w:b/>
          <w:bCs/>
          <w:color w:val="000000" w:themeColor="text1"/>
          <w:kern w:val="44"/>
          <w:sz w:val="32"/>
          <w:szCs w:val="32"/>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eastAsia="黑体"/>
          <w:b/>
          <w:bCs/>
          <w:color w:val="000000" w:themeColor="text1"/>
          <w:kern w:val="44"/>
          <w:sz w:val="32"/>
          <w:szCs w:val="32"/>
          <w14:textFill>
            <w14:solidFill>
              <w14:schemeClr w14:val="tx1"/>
            </w14:solidFill>
          </w14:textFill>
        </w:rPr>
      </w:pPr>
      <w:r>
        <w:rPr>
          <w:rFonts w:eastAsia="黑体"/>
          <w:b/>
          <w:bCs/>
          <w:color w:val="000000" w:themeColor="text1"/>
          <w:kern w:val="44"/>
          <w:sz w:val="32"/>
          <w:szCs w:val="32"/>
          <w14:textFill>
            <w14:solidFill>
              <w14:schemeClr w14:val="tx1"/>
            </w14:solidFill>
          </w14:textFill>
        </w:rPr>
        <w:t>前  言</w:t>
      </w:r>
    </w:p>
    <w:p>
      <w:pPr>
        <w:pStyle w:val="218"/>
        <w:keepNext w:val="0"/>
        <w:keepLines w:val="0"/>
        <w:pageBreakBefore w:val="0"/>
        <w:widowControl w:val="0"/>
        <w:kinsoku/>
        <w:wordWrap/>
        <w:overflowPunct/>
        <w:topLinePunct w:val="0"/>
        <w:autoSpaceDE/>
        <w:autoSpaceDN/>
        <w:bidi w:val="0"/>
        <w:adjustRightInd w:val="0"/>
        <w:snapToGrid w:val="0"/>
        <w:spacing w:after="0" w:line="360" w:lineRule="auto"/>
        <w:ind w:firstLine="560" w:firstLineChars="200"/>
        <w:textAlignment w:val="auto"/>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山东胜利油田鸿欣石油技术</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有限公司（</w:t>
      </w:r>
      <w:r>
        <w:rPr>
          <w:rFonts w:hint="eastAsia"/>
          <w:sz w:val="28"/>
        </w:rPr>
        <w:t>2022年1月11日变更企业名称，原名</w:t>
      </w:r>
      <w:r>
        <w:rPr>
          <w:rFonts w:hint="eastAsia"/>
          <w:sz w:val="28"/>
          <w:szCs w:val="28"/>
        </w:rPr>
        <w:t>胜利油田康贝石油技术有限公司</w:t>
      </w:r>
      <w:r>
        <w:rPr>
          <w:rFonts w:hint="eastAsia"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以下简称为</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鸿欣</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公司）成立于20</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14</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年</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9</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月1</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9</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日，住所位于山东省东营市东营区</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胜利工业园</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嘉祥路51号，公司法定代表人</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张峰</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，注册资本</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叁</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仟万元整。公司主要经营范围为</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一般项目：石油天然气技术服务；技术服务、技术开发、技术咨询、技术交流、技术转让、技术推广；工程和技术研究和试验发展；工程技术服务（规划管理、勘察、设计、监理除外）；石油钻采专用设备制造；专用设备制造（不含许可类专业设备制造）；工程管理服务；专业设计服务；对外承包工程；机械设备租赁；化工产品销售（不含许可类化工产品）；地质</w:t>
      </w:r>
      <w:r>
        <w:rPr>
          <w:rFonts w:hint="eastAsia" w:cs="Times New Roman"/>
          <w:color w:val="000000" w:themeColor="text1"/>
          <w:kern w:val="2"/>
          <w:sz w:val="28"/>
          <w:szCs w:val="28"/>
          <w:lang w:val="en-US" w:eastAsia="zh-CN" w:bidi="ar-SA"/>
          <w14:textFill>
            <w14:solidFill>
              <w14:schemeClr w14:val="tx1"/>
            </w14:solidFill>
          </w14:textFill>
        </w:rPr>
        <w:t>勘查</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技术服务。（除依法须经批准的项目外，凭营业执照依法自主开展经营活动）。许可项目：矿产资源（非煤矿山）开采；各类工程建设活动；检验检测服务；建筑劳务分包。</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（依法须经批准的项目，经相关部门批准后方可开展经营活动</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，具体经营项目以相关部门批准文件或许可证件为准</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根据《中华人民共和国安全生产法》（中华人民共和国主席令[2014]第13号</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[20</w:t>
      </w:r>
      <w:r>
        <w:rPr>
          <w:rFonts w:hint="eastAsia"/>
          <w:color w:val="000000" w:themeColor="text1"/>
          <w:sz w:val="28"/>
          <w:szCs w:val="28"/>
          <w14:textFill>
            <w14:solidFill>
              <w14:schemeClr w14:val="tx1"/>
            </w14:solidFill>
          </w14:textFill>
        </w:rPr>
        <w:t>21</w:t>
      </w:r>
      <w:r>
        <w:rPr>
          <w:color w:val="000000" w:themeColor="text1"/>
          <w:sz w:val="28"/>
          <w:szCs w:val="28"/>
          <w14:textFill>
            <w14:solidFill>
              <w14:schemeClr w14:val="tx1"/>
            </w14:solidFill>
          </w14:textFill>
        </w:rPr>
        <w:t>]第</w:t>
      </w:r>
      <w:r>
        <w:rPr>
          <w:rFonts w:hint="eastAsia"/>
          <w:color w:val="000000" w:themeColor="text1"/>
          <w:sz w:val="28"/>
          <w:szCs w:val="28"/>
          <w14:textFill>
            <w14:solidFill>
              <w14:schemeClr w14:val="tx1"/>
            </w14:solidFill>
          </w14:textFill>
        </w:rPr>
        <w:t>88号令修订</w:t>
      </w:r>
      <w:r>
        <w:rPr>
          <w:color w:val="000000" w:themeColor="text1"/>
          <w:sz w:val="28"/>
          <w:szCs w:val="28"/>
          <w14:textFill>
            <w14:solidFill>
              <w14:schemeClr w14:val="tx1"/>
            </w14:solidFill>
          </w14:textFill>
        </w:rPr>
        <w:t>）、《安全生产许可证条例》（国务院令[2004]第397号，2014修订版）、《非煤矿矿山企业安全生产许可证实施办法》（国家安全生产监督管理总局令[2009]第20号，2015修订版）、《山东省非煤矿矿山企业安全生产许可证实施方案》（鲁安监发[2009]133号）</w:t>
      </w:r>
      <w:r>
        <w:rPr>
          <w:rFonts w:hint="eastAsia"/>
          <w:color w:val="000000" w:themeColor="text1"/>
          <w:sz w:val="28"/>
          <w:szCs w:val="28"/>
          <w:lang w:eastAsia="zh-CN"/>
          <w14:textFill>
            <w14:solidFill>
              <w14:schemeClr w14:val="tx1"/>
            </w14:solidFill>
          </w14:textFill>
        </w:rPr>
        <w:t>、</w:t>
      </w:r>
      <w:r>
        <w:rPr>
          <w:color w:val="000000" w:themeColor="text1"/>
          <w:sz w:val="28"/>
          <w:szCs w:val="28"/>
          <w14:textFill>
            <w14:solidFill>
              <w14:schemeClr w14:val="tx1"/>
            </w14:solidFill>
          </w14:textFill>
        </w:rPr>
        <w:t>《关于对钻井、物探、测井、录井、井下作业、油建企业实施安全生产许可的通知》（鲁应急函[2021]86号）、《东营市应急管理局关于进一步规范非煤矿矿山《安全生产许可证》颁发管理有关问题的函》（东应急函字[2021]50号）等文件要求，</w:t>
      </w:r>
      <w:r>
        <w:rPr>
          <w:rFonts w:hint="eastAsia"/>
          <w:color w:val="000000" w:themeColor="text1"/>
          <w:sz w:val="28"/>
          <w:szCs w:val="28"/>
          <w14:textFill>
            <w14:solidFill>
              <w14:schemeClr w14:val="tx1"/>
            </w14:solidFill>
          </w14:textFill>
        </w:rPr>
        <w:t>山东胜利油田鸿欣石油技术有限公司</w:t>
      </w:r>
      <w:r>
        <w:rPr>
          <w:color w:val="000000" w:themeColor="text1"/>
          <w:sz w:val="28"/>
          <w:szCs w:val="28"/>
          <w14:textFill>
            <w14:solidFill>
              <w14:schemeClr w14:val="tx1"/>
            </w14:solidFill>
          </w14:textFill>
        </w:rPr>
        <w:t>现新申请安全生产许可证。为办理非煤矿矿山企业安全生产许可证，</w:t>
      </w:r>
      <w:r>
        <w:rPr>
          <w:rFonts w:hint="eastAsia"/>
          <w:color w:val="000000" w:themeColor="text1"/>
          <w:sz w:val="28"/>
          <w:szCs w:val="28"/>
          <w14:textFill>
            <w14:solidFill>
              <w14:schemeClr w14:val="tx1"/>
            </w14:solidFill>
          </w14:textFill>
        </w:rPr>
        <w:t>山东胜利油田鸿欣石油技术有限公司</w:t>
      </w:r>
      <w:r>
        <w:rPr>
          <w:color w:val="000000" w:themeColor="text1"/>
          <w:sz w:val="28"/>
          <w:szCs w:val="28"/>
          <w14:textFill>
            <w14:solidFill>
              <w14:schemeClr w14:val="tx1"/>
            </w14:solidFill>
          </w14:textFill>
        </w:rPr>
        <w:t>委托我公司对其</w:t>
      </w:r>
      <w:r>
        <w:rPr>
          <w:rFonts w:hint="eastAsia"/>
          <w:color w:val="000000" w:themeColor="text1"/>
          <w:sz w:val="28"/>
          <w:szCs w:val="28"/>
          <w14:textFill>
            <w14:solidFill>
              <w14:schemeClr w14:val="tx1"/>
            </w14:solidFill>
          </w14:textFill>
        </w:rPr>
        <w:t>井下作业</w:t>
      </w:r>
      <w:r>
        <w:rPr>
          <w:rFonts w:hint="eastAsia"/>
          <w:color w:val="000000" w:themeColor="text1"/>
          <w:sz w:val="28"/>
          <w:szCs w:val="28"/>
          <w:lang w:val="en-US" w:eastAsia="zh-CN"/>
          <w14:textFill>
            <w14:solidFill>
              <w14:schemeClr w14:val="tx1"/>
            </w14:solidFill>
          </w14:textFill>
        </w:rPr>
        <w:t>项目</w:t>
      </w:r>
      <w:r>
        <w:rPr>
          <w:color w:val="000000" w:themeColor="text1"/>
          <w:sz w:val="28"/>
          <w:szCs w:val="28"/>
          <w14:textFill>
            <w14:solidFill>
              <w14:schemeClr w14:val="tx1"/>
            </w14:solidFill>
          </w14:textFill>
        </w:rPr>
        <w:t>进行安全现状评价。</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我公司接到委托后，成立了评价项目组，按照《安全评价通则》（AQ8001-2007）</w:t>
      </w:r>
      <w:r>
        <w:rPr>
          <w:rFonts w:hint="eastAsia"/>
          <w:color w:val="000000" w:themeColor="text1"/>
          <w:sz w:val="28"/>
          <w:szCs w:val="28"/>
          <w:lang w:val="en-US" w:eastAsia="zh-CN"/>
          <w14:textFill>
            <w14:solidFill>
              <w14:schemeClr w14:val="tx1"/>
            </w14:solidFill>
          </w14:textFill>
        </w:rPr>
        <w:t>等</w:t>
      </w:r>
      <w:r>
        <w:rPr>
          <w:color w:val="000000" w:themeColor="text1"/>
          <w:sz w:val="28"/>
          <w:szCs w:val="28"/>
          <w14:textFill>
            <w14:solidFill>
              <w14:schemeClr w14:val="tx1"/>
            </w14:solidFill>
          </w14:textFill>
        </w:rPr>
        <w:t>的要求，进行了资料与标准收集、现场调研、工程分析、危险与有害因素分析、定性评价，并在此基础上提出了安全对策措施建议，最后编制完成了本安全现状评价报告。</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此次安全评价工作，自始至终都得到了</w:t>
      </w:r>
      <w:r>
        <w:rPr>
          <w:rFonts w:hint="eastAsia"/>
          <w:color w:val="000000" w:themeColor="text1"/>
          <w:sz w:val="28"/>
          <w:szCs w:val="28"/>
          <w14:textFill>
            <w14:solidFill>
              <w14:schemeClr w14:val="tx1"/>
            </w14:solidFill>
          </w14:textFill>
        </w:rPr>
        <w:t>山东胜利油田鸿欣石油技术有限公司</w:t>
      </w:r>
      <w:r>
        <w:rPr>
          <w:color w:val="000000" w:themeColor="text1"/>
          <w:sz w:val="28"/>
          <w:szCs w:val="28"/>
          <w14:textFill>
            <w14:solidFill>
              <w14:schemeClr w14:val="tx1"/>
            </w14:solidFill>
          </w14:textFill>
        </w:rPr>
        <w:t>领导和员工的大力支持和配合，在此表示衷心的感谢！</w:t>
      </w:r>
    </w:p>
    <w:p>
      <w:pPr>
        <w:adjustRightInd w:val="0"/>
        <w:snapToGrid w:val="0"/>
        <w:spacing w:line="360" w:lineRule="auto"/>
        <w:ind w:firstLine="560" w:firstLineChars="200"/>
        <w:jc w:val="righ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评价项目组</w:t>
      </w:r>
    </w:p>
    <w:p>
      <w:pPr>
        <w:adjustRightInd w:val="0"/>
        <w:snapToGrid w:val="0"/>
        <w:spacing w:line="360" w:lineRule="auto"/>
        <w:ind w:firstLine="560" w:firstLineChars="200"/>
        <w:jc w:val="righ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2022年</w:t>
      </w:r>
      <w:r>
        <w:rPr>
          <w:rFonts w:hint="eastAsia"/>
          <w:color w:val="000000" w:themeColor="text1"/>
          <w:sz w:val="28"/>
          <w:szCs w:val="28"/>
          <w:lang w:val="en-US" w:eastAsia="zh-CN"/>
          <w14:textFill>
            <w14:solidFill>
              <w14:schemeClr w14:val="tx1"/>
            </w14:solidFill>
          </w14:textFill>
        </w:rPr>
        <w:t>11</w:t>
      </w:r>
      <w:r>
        <w:rPr>
          <w:color w:val="000000" w:themeColor="text1"/>
          <w:sz w:val="28"/>
          <w:szCs w:val="28"/>
          <w14:textFill>
            <w14:solidFill>
              <w14:schemeClr w14:val="tx1"/>
            </w14:solidFill>
          </w14:textFill>
        </w:rPr>
        <w:t>月</w:t>
      </w:r>
    </w:p>
    <w:p>
      <w:pPr>
        <w:adjustRightInd w:val="0"/>
        <w:snapToGrid w:val="0"/>
        <w:spacing w:line="360" w:lineRule="auto"/>
        <w:ind w:firstLine="640" w:firstLineChars="200"/>
        <w:jc w:val="center"/>
        <w:rPr>
          <w:b/>
          <w:bCs/>
          <w:color w:val="000000" w:themeColor="text1"/>
          <w:kern w:val="0"/>
          <w:sz w:val="32"/>
          <w:szCs w:val="32"/>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eastAsia="黑体"/>
          <w:b/>
          <w:bCs/>
          <w:color w:val="000000" w:themeColor="text1"/>
          <w:kern w:val="44"/>
          <w:sz w:val="36"/>
          <w:szCs w:val="36"/>
          <w14:textFill>
            <w14:solidFill>
              <w14:schemeClr w14:val="tx1"/>
            </w14:solidFill>
          </w14:textFill>
        </w:rPr>
      </w:pPr>
      <w:r>
        <w:rPr>
          <w:rFonts w:eastAsia="黑体"/>
          <w:b/>
          <w:bCs/>
          <w:color w:val="000000" w:themeColor="text1"/>
          <w:kern w:val="44"/>
          <w:sz w:val="36"/>
          <w:szCs w:val="36"/>
          <w14:textFill>
            <w14:solidFill>
              <w14:schemeClr w14:val="tx1"/>
            </w14:solidFill>
          </w14:textFill>
        </w:rPr>
        <w:t>目   录</w:t>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 w:val="24"/>
          <w:szCs w:val="24"/>
        </w:rPr>
        <w:fldChar w:fldCharType="begin"/>
      </w:r>
      <w:r>
        <w:rPr>
          <w:color w:val="0070C0"/>
          <w:sz w:val="24"/>
          <w:szCs w:val="24"/>
        </w:rPr>
        <w:instrText xml:space="preserve"> TOC \o "1-2" \h \z \u </w:instrText>
      </w:r>
      <w:r>
        <w:rPr>
          <w:color w:val="0070C0"/>
          <w:sz w:val="24"/>
          <w:szCs w:val="24"/>
        </w:rPr>
        <w:fldChar w:fldCharType="separate"/>
      </w:r>
      <w:r>
        <w:rPr>
          <w:color w:val="0070C0"/>
          <w:szCs w:val="24"/>
        </w:rPr>
        <w:fldChar w:fldCharType="begin"/>
      </w:r>
      <w:r>
        <w:rPr>
          <w:szCs w:val="24"/>
        </w:rPr>
        <w:instrText xml:space="preserve"> HYPERLINK \l _Toc30461 </w:instrText>
      </w:r>
      <w:r>
        <w:rPr>
          <w:szCs w:val="24"/>
        </w:rPr>
        <w:fldChar w:fldCharType="separate"/>
      </w:r>
      <w:r>
        <w:rPr>
          <w:rFonts w:eastAsia="楷体_GB2312"/>
          <w:szCs w:val="36"/>
        </w:rPr>
        <w:t>1 总则</w:t>
      </w:r>
      <w:r>
        <w:tab/>
      </w:r>
      <w:r>
        <w:fldChar w:fldCharType="begin"/>
      </w:r>
      <w:r>
        <w:instrText xml:space="preserve"> PAGEREF _Toc30461 \h </w:instrText>
      </w:r>
      <w:r>
        <w:fldChar w:fldCharType="separate"/>
      </w:r>
      <w:r>
        <w:t>1</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_Toc7711 </w:instrText>
      </w:r>
      <w:r>
        <w:rPr>
          <w:szCs w:val="24"/>
        </w:rPr>
        <w:fldChar w:fldCharType="separate"/>
      </w:r>
      <w:r>
        <w:rPr>
          <w:rFonts w:ascii="Times New Roman" w:hAnsi="Times New Roman"/>
          <w:bCs/>
          <w:szCs w:val="32"/>
        </w:rPr>
        <w:t>1.1 评价目的</w:t>
      </w:r>
      <w:r>
        <w:tab/>
      </w:r>
      <w:r>
        <w:fldChar w:fldCharType="begin"/>
      </w:r>
      <w:r>
        <w:instrText xml:space="preserve"> PAGEREF _Toc7711 \h </w:instrText>
      </w:r>
      <w:r>
        <w:fldChar w:fldCharType="separate"/>
      </w:r>
      <w:r>
        <w:t>1</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_Toc28279 </w:instrText>
      </w:r>
      <w:r>
        <w:rPr>
          <w:szCs w:val="24"/>
        </w:rPr>
        <w:fldChar w:fldCharType="separate"/>
      </w:r>
      <w:r>
        <w:rPr>
          <w:rFonts w:ascii="Times New Roman" w:hAnsi="Times New Roman"/>
          <w:bCs/>
          <w:szCs w:val="32"/>
        </w:rPr>
        <w:t>1.2 评价依据</w:t>
      </w:r>
      <w:r>
        <w:tab/>
      </w:r>
      <w:r>
        <w:fldChar w:fldCharType="begin"/>
      </w:r>
      <w:r>
        <w:instrText xml:space="preserve"> PAGEREF _Toc28279 \h </w:instrText>
      </w:r>
      <w:r>
        <w:fldChar w:fldCharType="separate"/>
      </w:r>
      <w:r>
        <w:t>1</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_Toc2597 </w:instrText>
      </w:r>
      <w:r>
        <w:rPr>
          <w:szCs w:val="24"/>
        </w:rPr>
        <w:fldChar w:fldCharType="separate"/>
      </w:r>
      <w:r>
        <w:rPr>
          <w:rFonts w:ascii="Times New Roman" w:hAnsi="Times New Roman"/>
          <w:bCs/>
          <w:szCs w:val="32"/>
        </w:rPr>
        <w:t>1.3 评价范围</w:t>
      </w:r>
      <w:r>
        <w:tab/>
      </w:r>
      <w:r>
        <w:fldChar w:fldCharType="begin"/>
      </w:r>
      <w:r>
        <w:instrText xml:space="preserve"> PAGEREF _Toc2597 \h </w:instrText>
      </w:r>
      <w:r>
        <w:fldChar w:fldCharType="separate"/>
      </w:r>
      <w:r>
        <w:t>10</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_Toc14126 </w:instrText>
      </w:r>
      <w:r>
        <w:rPr>
          <w:szCs w:val="24"/>
        </w:rPr>
        <w:fldChar w:fldCharType="separate"/>
      </w:r>
      <w:r>
        <w:rPr>
          <w:rFonts w:ascii="Times New Roman" w:hAnsi="Times New Roman"/>
          <w:bCs/>
          <w:szCs w:val="32"/>
        </w:rPr>
        <w:t>1.4 评价程序</w:t>
      </w:r>
      <w:r>
        <w:tab/>
      </w:r>
      <w:r>
        <w:fldChar w:fldCharType="begin"/>
      </w:r>
      <w:r>
        <w:instrText xml:space="preserve"> PAGEREF _Toc14126 \h </w:instrText>
      </w:r>
      <w:r>
        <w:fldChar w:fldCharType="separate"/>
      </w:r>
      <w:r>
        <w:t>12</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_Toc32068 </w:instrText>
      </w:r>
      <w:r>
        <w:rPr>
          <w:szCs w:val="24"/>
        </w:rPr>
        <w:fldChar w:fldCharType="separate"/>
      </w:r>
      <w:r>
        <w:rPr>
          <w:rFonts w:eastAsia="楷体_GB2312"/>
          <w:szCs w:val="36"/>
        </w:rPr>
        <w:t>2 被评价单位基本情况</w:t>
      </w:r>
      <w:r>
        <w:tab/>
      </w:r>
      <w:r>
        <w:fldChar w:fldCharType="begin"/>
      </w:r>
      <w:r>
        <w:instrText xml:space="preserve"> PAGEREF _Toc32068 \h </w:instrText>
      </w:r>
      <w:r>
        <w:fldChar w:fldCharType="separate"/>
      </w:r>
      <w:r>
        <w:t>13</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_Toc6940 </w:instrText>
      </w:r>
      <w:r>
        <w:rPr>
          <w:szCs w:val="24"/>
        </w:rPr>
        <w:fldChar w:fldCharType="separate"/>
      </w:r>
      <w:r>
        <w:rPr>
          <w:rFonts w:ascii="Times New Roman" w:hAnsi="Times New Roman"/>
          <w:bCs/>
          <w:szCs w:val="32"/>
        </w:rPr>
        <w:t>2.1 企业概况</w:t>
      </w:r>
      <w:r>
        <w:tab/>
      </w:r>
      <w:r>
        <w:fldChar w:fldCharType="begin"/>
      </w:r>
      <w:r>
        <w:instrText xml:space="preserve"> PAGEREF _Toc6940 \h </w:instrText>
      </w:r>
      <w:r>
        <w:fldChar w:fldCharType="separate"/>
      </w:r>
      <w:r>
        <w:t>13</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_Toc10808 </w:instrText>
      </w:r>
      <w:r>
        <w:rPr>
          <w:szCs w:val="24"/>
        </w:rPr>
        <w:fldChar w:fldCharType="separate"/>
      </w:r>
      <w:r>
        <w:rPr>
          <w:rFonts w:ascii="Times New Roman" w:hAnsi="Times New Roman"/>
          <w:bCs/>
          <w:szCs w:val="32"/>
        </w:rPr>
        <w:t>2.2 机构设置</w:t>
      </w:r>
      <w:r>
        <w:tab/>
      </w:r>
      <w:r>
        <w:fldChar w:fldCharType="begin"/>
      </w:r>
      <w:r>
        <w:instrText xml:space="preserve"> PAGEREF _Toc10808 \h </w:instrText>
      </w:r>
      <w:r>
        <w:fldChar w:fldCharType="separate"/>
      </w:r>
      <w:r>
        <w:t>14</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_Toc22570 </w:instrText>
      </w:r>
      <w:r>
        <w:rPr>
          <w:szCs w:val="24"/>
        </w:rPr>
        <w:fldChar w:fldCharType="separate"/>
      </w:r>
      <w:r>
        <w:rPr>
          <w:rFonts w:ascii="Times New Roman" w:hAnsi="Times New Roman"/>
          <w:bCs/>
          <w:szCs w:val="32"/>
        </w:rPr>
        <w:t>2.3 主要装备、设施、作业场所概况</w:t>
      </w:r>
      <w:r>
        <w:tab/>
      </w:r>
      <w:r>
        <w:fldChar w:fldCharType="begin"/>
      </w:r>
      <w:r>
        <w:instrText xml:space="preserve"> PAGEREF _Toc22570 \h </w:instrText>
      </w:r>
      <w:r>
        <w:fldChar w:fldCharType="separate"/>
      </w:r>
      <w:r>
        <w:t>14</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_Toc15605 </w:instrText>
      </w:r>
      <w:r>
        <w:rPr>
          <w:szCs w:val="24"/>
        </w:rPr>
        <w:fldChar w:fldCharType="separate"/>
      </w:r>
      <w:r>
        <w:rPr>
          <w:rFonts w:ascii="Times New Roman" w:hAnsi="Times New Roman"/>
          <w:bCs/>
          <w:szCs w:val="32"/>
        </w:rPr>
        <w:t>2.4 安全生产管理机构的设置和安全生产管理人员的配备</w:t>
      </w:r>
      <w:r>
        <w:tab/>
      </w:r>
      <w:r>
        <w:fldChar w:fldCharType="begin"/>
      </w:r>
      <w:r>
        <w:instrText xml:space="preserve"> PAGEREF _Toc15605 \h </w:instrText>
      </w:r>
      <w:r>
        <w:fldChar w:fldCharType="separate"/>
      </w:r>
      <w:r>
        <w:t>40</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_Toc355 </w:instrText>
      </w:r>
      <w:r>
        <w:rPr>
          <w:szCs w:val="24"/>
        </w:rPr>
        <w:fldChar w:fldCharType="separate"/>
      </w:r>
      <w:r>
        <w:rPr>
          <w:rFonts w:ascii="Times New Roman" w:hAnsi="Times New Roman"/>
          <w:bCs/>
          <w:szCs w:val="32"/>
        </w:rPr>
        <w:t>2.5 安全生产规章制度及操作规程</w:t>
      </w:r>
      <w:r>
        <w:tab/>
      </w:r>
      <w:r>
        <w:fldChar w:fldCharType="begin"/>
      </w:r>
      <w:r>
        <w:instrText xml:space="preserve"> PAGEREF _Toc355 \h </w:instrText>
      </w:r>
      <w:r>
        <w:fldChar w:fldCharType="separate"/>
      </w:r>
      <w:r>
        <w:t>41</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_Toc24474 </w:instrText>
      </w:r>
      <w:r>
        <w:rPr>
          <w:szCs w:val="24"/>
        </w:rPr>
        <w:fldChar w:fldCharType="separate"/>
      </w:r>
      <w:r>
        <w:rPr>
          <w:rFonts w:ascii="Times New Roman" w:hAnsi="Times New Roman"/>
          <w:bCs/>
          <w:szCs w:val="32"/>
        </w:rPr>
        <w:t>2.6 安全投入情况</w:t>
      </w:r>
      <w:r>
        <w:tab/>
      </w:r>
      <w:r>
        <w:fldChar w:fldCharType="begin"/>
      </w:r>
      <w:r>
        <w:instrText xml:space="preserve"> PAGEREF _Toc24474 \h </w:instrText>
      </w:r>
      <w:r>
        <w:fldChar w:fldCharType="separate"/>
      </w:r>
      <w:r>
        <w:t>48</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_Toc30374 </w:instrText>
      </w:r>
      <w:r>
        <w:rPr>
          <w:szCs w:val="24"/>
        </w:rPr>
        <w:fldChar w:fldCharType="separate"/>
      </w:r>
      <w:r>
        <w:rPr>
          <w:rFonts w:ascii="Times New Roman" w:hAnsi="Times New Roman"/>
          <w:bCs/>
          <w:szCs w:val="32"/>
        </w:rPr>
        <w:t>2.7 安全教育培训及人员持证情况</w:t>
      </w:r>
      <w:r>
        <w:tab/>
      </w:r>
      <w:r>
        <w:fldChar w:fldCharType="begin"/>
      </w:r>
      <w:r>
        <w:instrText xml:space="preserve"> PAGEREF _Toc30374 \h </w:instrText>
      </w:r>
      <w:r>
        <w:fldChar w:fldCharType="separate"/>
      </w:r>
      <w:r>
        <w:t>49</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_Toc16346 </w:instrText>
      </w:r>
      <w:r>
        <w:rPr>
          <w:szCs w:val="24"/>
        </w:rPr>
        <w:fldChar w:fldCharType="separate"/>
      </w:r>
      <w:r>
        <w:rPr>
          <w:rFonts w:ascii="Times New Roman" w:hAnsi="Times New Roman"/>
          <w:bCs/>
          <w:szCs w:val="32"/>
        </w:rPr>
        <w:t>2.8 人员保险</w:t>
      </w:r>
      <w:r>
        <w:tab/>
      </w:r>
      <w:r>
        <w:fldChar w:fldCharType="begin"/>
      </w:r>
      <w:r>
        <w:instrText xml:space="preserve"> PAGEREF _Toc16346 \h </w:instrText>
      </w:r>
      <w:r>
        <w:fldChar w:fldCharType="separate"/>
      </w:r>
      <w:r>
        <w:t>55</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_Toc3809 </w:instrText>
      </w:r>
      <w:r>
        <w:rPr>
          <w:szCs w:val="24"/>
        </w:rPr>
        <w:fldChar w:fldCharType="separate"/>
      </w:r>
      <w:r>
        <w:rPr>
          <w:rFonts w:ascii="Times New Roman" w:hAnsi="Times New Roman"/>
          <w:bCs/>
          <w:szCs w:val="32"/>
        </w:rPr>
        <w:t>2.9 职业危害防护及劳保用品发放</w:t>
      </w:r>
      <w:r>
        <w:tab/>
      </w:r>
      <w:r>
        <w:fldChar w:fldCharType="begin"/>
      </w:r>
      <w:r>
        <w:instrText xml:space="preserve"> PAGEREF _Toc3809 \h </w:instrText>
      </w:r>
      <w:r>
        <w:fldChar w:fldCharType="separate"/>
      </w:r>
      <w:r>
        <w:t>55</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_Toc24787 </w:instrText>
      </w:r>
      <w:r>
        <w:rPr>
          <w:szCs w:val="24"/>
        </w:rPr>
        <w:fldChar w:fldCharType="separate"/>
      </w:r>
      <w:r>
        <w:rPr>
          <w:rFonts w:ascii="Times New Roman" w:hAnsi="Times New Roman"/>
          <w:bCs/>
          <w:szCs w:val="32"/>
        </w:rPr>
        <w:t>2.10 设备设施检测、检验情况</w:t>
      </w:r>
      <w:r>
        <w:tab/>
      </w:r>
      <w:r>
        <w:fldChar w:fldCharType="begin"/>
      </w:r>
      <w:r>
        <w:instrText xml:space="preserve"> PAGEREF _Toc24787 \h </w:instrText>
      </w:r>
      <w:r>
        <w:fldChar w:fldCharType="separate"/>
      </w:r>
      <w:r>
        <w:t>56</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_Toc12569 </w:instrText>
      </w:r>
      <w:r>
        <w:rPr>
          <w:szCs w:val="24"/>
        </w:rPr>
        <w:fldChar w:fldCharType="separate"/>
      </w:r>
      <w:r>
        <w:rPr>
          <w:rFonts w:ascii="Times New Roman" w:hAnsi="Times New Roman"/>
          <w:bCs/>
          <w:szCs w:val="32"/>
        </w:rPr>
        <w:t>2.11 事故应急救援预案及演练</w:t>
      </w:r>
      <w:r>
        <w:tab/>
      </w:r>
      <w:r>
        <w:fldChar w:fldCharType="begin"/>
      </w:r>
      <w:r>
        <w:instrText xml:space="preserve"> PAGEREF _Toc12569 \h </w:instrText>
      </w:r>
      <w:r>
        <w:fldChar w:fldCharType="separate"/>
      </w:r>
      <w:r>
        <w:t>66</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_Toc9319 </w:instrText>
      </w:r>
      <w:r>
        <w:rPr>
          <w:szCs w:val="24"/>
        </w:rPr>
        <w:fldChar w:fldCharType="separate"/>
      </w:r>
      <w:r>
        <w:rPr>
          <w:rFonts w:ascii="Times New Roman" w:hAnsi="Times New Roman"/>
          <w:bCs/>
          <w:szCs w:val="32"/>
        </w:rPr>
        <w:t>2.12安全生产标准化及双重预防体系的建设、运行情况</w:t>
      </w:r>
      <w:r>
        <w:tab/>
      </w:r>
      <w:r>
        <w:fldChar w:fldCharType="begin"/>
      </w:r>
      <w:r>
        <w:instrText xml:space="preserve"> PAGEREF _Toc9319 \h </w:instrText>
      </w:r>
      <w:r>
        <w:fldChar w:fldCharType="separate"/>
      </w:r>
      <w:r>
        <w:t>69</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_Toc15054 </w:instrText>
      </w:r>
      <w:r>
        <w:rPr>
          <w:szCs w:val="24"/>
        </w:rPr>
        <w:fldChar w:fldCharType="separate"/>
      </w:r>
      <w:r>
        <w:rPr>
          <w:rFonts w:hint="eastAsia" w:ascii="Times New Roman" w:hAnsi="Times New Roman"/>
          <w:bCs/>
          <w:szCs w:val="32"/>
          <w:lang w:val="en-US" w:eastAsia="zh-CN"/>
        </w:rPr>
        <w:t>2.13 承包商管理</w:t>
      </w:r>
      <w:r>
        <w:tab/>
      </w:r>
      <w:r>
        <w:fldChar w:fldCharType="begin"/>
      </w:r>
      <w:r>
        <w:instrText xml:space="preserve"> PAGEREF _Toc15054 \h </w:instrText>
      </w:r>
      <w:r>
        <w:fldChar w:fldCharType="separate"/>
      </w:r>
      <w:r>
        <w:t>69</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_Toc4243 </w:instrText>
      </w:r>
      <w:r>
        <w:rPr>
          <w:szCs w:val="24"/>
        </w:rPr>
        <w:fldChar w:fldCharType="separate"/>
      </w:r>
      <w:r>
        <w:rPr>
          <w:rFonts w:hint="default" w:ascii="Times New Roman" w:hAnsi="Times New Roman"/>
          <w:bCs/>
          <w:szCs w:val="32"/>
          <w:lang w:val="en-US" w:eastAsia="zh-CN"/>
        </w:rPr>
        <w:t>2.1</w:t>
      </w:r>
      <w:r>
        <w:rPr>
          <w:rFonts w:hint="eastAsia" w:ascii="Times New Roman" w:hAnsi="Times New Roman"/>
          <w:bCs/>
          <w:szCs w:val="32"/>
          <w:lang w:val="en-US" w:eastAsia="zh-CN"/>
        </w:rPr>
        <w:t>4</w:t>
      </w:r>
      <w:r>
        <w:rPr>
          <w:rFonts w:hint="default" w:ascii="Times New Roman" w:hAnsi="Times New Roman"/>
          <w:bCs/>
          <w:szCs w:val="32"/>
          <w:lang w:val="en-US" w:eastAsia="zh-CN"/>
        </w:rPr>
        <w:t xml:space="preserve"> 危险作业安全管理</w:t>
      </w:r>
      <w:r>
        <w:tab/>
      </w:r>
      <w:r>
        <w:fldChar w:fldCharType="begin"/>
      </w:r>
      <w:r>
        <w:instrText xml:space="preserve"> PAGEREF _Toc4243 \h </w:instrText>
      </w:r>
      <w:r>
        <w:fldChar w:fldCharType="separate"/>
      </w:r>
      <w:r>
        <w:t>70</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_Toc18054 </w:instrText>
      </w:r>
      <w:r>
        <w:rPr>
          <w:szCs w:val="24"/>
        </w:rPr>
        <w:fldChar w:fldCharType="separate"/>
      </w:r>
      <w:r>
        <w:rPr>
          <w:rFonts w:hint="default" w:ascii="Times New Roman" w:hAnsi="Times New Roman"/>
          <w:bCs/>
          <w:szCs w:val="32"/>
          <w:lang w:val="en-US" w:eastAsia="zh-CN"/>
        </w:rPr>
        <w:t>2.1</w:t>
      </w:r>
      <w:r>
        <w:rPr>
          <w:rFonts w:hint="eastAsia" w:ascii="Times New Roman" w:hAnsi="Times New Roman"/>
          <w:bCs/>
          <w:szCs w:val="32"/>
          <w:lang w:val="en-US" w:eastAsia="zh-CN"/>
        </w:rPr>
        <w:t>5</w:t>
      </w:r>
      <w:r>
        <w:rPr>
          <w:rFonts w:hint="default" w:ascii="Times New Roman" w:hAnsi="Times New Roman"/>
          <w:bCs/>
          <w:szCs w:val="32"/>
          <w:lang w:val="en-US" w:eastAsia="zh-CN"/>
        </w:rPr>
        <w:t xml:space="preserve"> 变更安全管理</w:t>
      </w:r>
      <w:r>
        <w:tab/>
      </w:r>
      <w:r>
        <w:fldChar w:fldCharType="begin"/>
      </w:r>
      <w:r>
        <w:instrText xml:space="preserve"> PAGEREF _Toc18054 \h </w:instrText>
      </w:r>
      <w:r>
        <w:fldChar w:fldCharType="separate"/>
      </w:r>
      <w:r>
        <w:t>70</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_Toc14430 </w:instrText>
      </w:r>
      <w:r>
        <w:rPr>
          <w:szCs w:val="24"/>
        </w:rPr>
        <w:fldChar w:fldCharType="separate"/>
      </w:r>
      <w:r>
        <w:rPr>
          <w:rFonts w:hint="default" w:ascii="Times New Roman" w:hAnsi="Times New Roman"/>
          <w:bCs/>
          <w:szCs w:val="32"/>
          <w:lang w:val="en-US" w:eastAsia="zh-CN"/>
        </w:rPr>
        <w:t>2.1</w:t>
      </w:r>
      <w:r>
        <w:rPr>
          <w:rFonts w:hint="eastAsia" w:ascii="Times New Roman" w:hAnsi="Times New Roman"/>
          <w:bCs/>
          <w:szCs w:val="32"/>
          <w:lang w:val="en-US" w:eastAsia="zh-CN"/>
        </w:rPr>
        <w:t>6</w:t>
      </w:r>
      <w:r>
        <w:rPr>
          <w:rFonts w:hint="default" w:ascii="Times New Roman" w:hAnsi="Times New Roman"/>
          <w:bCs/>
          <w:szCs w:val="32"/>
          <w:lang w:val="en-US" w:eastAsia="zh-CN"/>
        </w:rPr>
        <w:t xml:space="preserve"> </w:t>
      </w:r>
      <w:r>
        <w:rPr>
          <w:rFonts w:hint="eastAsia" w:ascii="Times New Roman" w:hAnsi="Times New Roman"/>
          <w:bCs/>
          <w:szCs w:val="32"/>
          <w:lang w:val="en-US" w:eastAsia="zh-CN"/>
        </w:rPr>
        <w:t>井控及交叉作业</w:t>
      </w:r>
      <w:r>
        <w:rPr>
          <w:rFonts w:hint="default" w:ascii="Times New Roman" w:hAnsi="Times New Roman"/>
          <w:bCs/>
          <w:szCs w:val="32"/>
          <w:lang w:val="en-US" w:eastAsia="zh-CN"/>
        </w:rPr>
        <w:t>管理</w:t>
      </w:r>
      <w:r>
        <w:tab/>
      </w:r>
      <w:r>
        <w:fldChar w:fldCharType="begin"/>
      </w:r>
      <w:r>
        <w:instrText xml:space="preserve"> PAGEREF _Toc14430 \h </w:instrText>
      </w:r>
      <w:r>
        <w:fldChar w:fldCharType="separate"/>
      </w:r>
      <w:r>
        <w:t>70</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_Toc15218 </w:instrText>
      </w:r>
      <w:r>
        <w:rPr>
          <w:szCs w:val="24"/>
        </w:rPr>
        <w:fldChar w:fldCharType="separate"/>
      </w:r>
      <w:r>
        <w:rPr>
          <w:rFonts w:hint="default" w:ascii="Times New Roman" w:hAnsi="Times New Roman"/>
          <w:bCs/>
          <w:szCs w:val="32"/>
          <w:lang w:val="en-US" w:eastAsia="zh-CN"/>
        </w:rPr>
        <w:t>2.1</w:t>
      </w:r>
      <w:r>
        <w:rPr>
          <w:rFonts w:hint="eastAsia" w:ascii="Times New Roman" w:hAnsi="Times New Roman"/>
          <w:bCs/>
          <w:szCs w:val="32"/>
          <w:lang w:val="en-US" w:eastAsia="zh-CN"/>
        </w:rPr>
        <w:t>7</w:t>
      </w:r>
      <w:r>
        <w:rPr>
          <w:rFonts w:hint="default" w:ascii="Times New Roman" w:hAnsi="Times New Roman"/>
          <w:bCs/>
          <w:szCs w:val="32"/>
          <w:lang w:val="en-US" w:eastAsia="zh-CN"/>
        </w:rPr>
        <w:t xml:space="preserve"> 生产安全事故管理</w:t>
      </w:r>
      <w:r>
        <w:tab/>
      </w:r>
      <w:r>
        <w:fldChar w:fldCharType="begin"/>
      </w:r>
      <w:r>
        <w:instrText xml:space="preserve"> PAGEREF _Toc15218 \h </w:instrText>
      </w:r>
      <w:r>
        <w:fldChar w:fldCharType="separate"/>
      </w:r>
      <w:r>
        <w:t>71</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_Toc11600 </w:instrText>
      </w:r>
      <w:r>
        <w:rPr>
          <w:szCs w:val="24"/>
        </w:rPr>
        <w:fldChar w:fldCharType="separate"/>
      </w:r>
      <w:r>
        <w:rPr>
          <w:rFonts w:eastAsia="楷体_GB2312"/>
          <w:szCs w:val="36"/>
        </w:rPr>
        <w:t>3 主要危险、有害因素分析</w:t>
      </w:r>
      <w:r>
        <w:tab/>
      </w:r>
      <w:r>
        <w:fldChar w:fldCharType="begin"/>
      </w:r>
      <w:r>
        <w:instrText xml:space="preserve"> PAGEREF _Toc11600 \h </w:instrText>
      </w:r>
      <w:r>
        <w:fldChar w:fldCharType="separate"/>
      </w:r>
      <w:r>
        <w:t>72</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_Toc6037 </w:instrText>
      </w:r>
      <w:r>
        <w:rPr>
          <w:szCs w:val="24"/>
        </w:rPr>
        <w:fldChar w:fldCharType="separate"/>
      </w:r>
      <w:r>
        <w:rPr>
          <w:rFonts w:ascii="Times New Roman" w:hAnsi="Times New Roman"/>
          <w:bCs/>
          <w:szCs w:val="32"/>
        </w:rPr>
        <w:t>3.1 主要危险有害物质分析</w:t>
      </w:r>
      <w:r>
        <w:tab/>
      </w:r>
      <w:r>
        <w:fldChar w:fldCharType="begin"/>
      </w:r>
      <w:r>
        <w:instrText xml:space="preserve"> PAGEREF _Toc6037 \h </w:instrText>
      </w:r>
      <w:r>
        <w:fldChar w:fldCharType="separate"/>
      </w:r>
      <w:r>
        <w:t>72</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_Toc17813 </w:instrText>
      </w:r>
      <w:r>
        <w:rPr>
          <w:szCs w:val="24"/>
        </w:rPr>
        <w:fldChar w:fldCharType="separate"/>
      </w:r>
      <w:r>
        <w:rPr>
          <w:rFonts w:ascii="Times New Roman" w:hAnsi="Times New Roman"/>
          <w:bCs/>
          <w:szCs w:val="32"/>
        </w:rPr>
        <w:t>3.2 主要作业流程及设备设施危险性分析</w:t>
      </w:r>
      <w:r>
        <w:tab/>
      </w:r>
      <w:r>
        <w:fldChar w:fldCharType="begin"/>
      </w:r>
      <w:r>
        <w:instrText xml:space="preserve"> PAGEREF _Toc17813 \h </w:instrText>
      </w:r>
      <w:r>
        <w:fldChar w:fldCharType="separate"/>
      </w:r>
      <w:r>
        <w:t>83</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_Toc12250 </w:instrText>
      </w:r>
      <w:r>
        <w:rPr>
          <w:szCs w:val="24"/>
        </w:rPr>
        <w:fldChar w:fldCharType="separate"/>
      </w:r>
      <w:r>
        <w:rPr>
          <w:rFonts w:ascii="Times New Roman" w:hAnsi="Times New Roman"/>
          <w:bCs/>
          <w:szCs w:val="32"/>
        </w:rPr>
        <w:t>3.3 主要危险因素分析</w:t>
      </w:r>
      <w:r>
        <w:tab/>
      </w:r>
      <w:r>
        <w:fldChar w:fldCharType="begin"/>
      </w:r>
      <w:r>
        <w:instrText xml:space="preserve"> PAGEREF _Toc12250 \h </w:instrText>
      </w:r>
      <w:r>
        <w:fldChar w:fldCharType="separate"/>
      </w:r>
      <w:r>
        <w:t>88</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_Toc9265 </w:instrText>
      </w:r>
      <w:r>
        <w:rPr>
          <w:szCs w:val="24"/>
        </w:rPr>
        <w:fldChar w:fldCharType="separate"/>
      </w:r>
      <w:r>
        <w:rPr>
          <w:rFonts w:ascii="Times New Roman" w:hAnsi="Times New Roman"/>
          <w:bCs/>
          <w:szCs w:val="32"/>
        </w:rPr>
        <w:t>3.4 主要有害因素辨识</w:t>
      </w:r>
      <w:r>
        <w:tab/>
      </w:r>
      <w:r>
        <w:fldChar w:fldCharType="begin"/>
      </w:r>
      <w:r>
        <w:instrText xml:space="preserve"> PAGEREF _Toc9265 \h </w:instrText>
      </w:r>
      <w:r>
        <w:fldChar w:fldCharType="separate"/>
      </w:r>
      <w:r>
        <w:t>95</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_Toc15849 </w:instrText>
      </w:r>
      <w:r>
        <w:rPr>
          <w:szCs w:val="24"/>
        </w:rPr>
        <w:fldChar w:fldCharType="separate"/>
      </w:r>
      <w:r>
        <w:rPr>
          <w:rFonts w:ascii="Times New Roman" w:hAnsi="Times New Roman"/>
          <w:bCs/>
          <w:szCs w:val="32"/>
        </w:rPr>
        <w:t>3.5 自然灾害的影响</w:t>
      </w:r>
      <w:r>
        <w:tab/>
      </w:r>
      <w:r>
        <w:fldChar w:fldCharType="begin"/>
      </w:r>
      <w:r>
        <w:instrText xml:space="preserve"> PAGEREF _Toc15849 \h </w:instrText>
      </w:r>
      <w:r>
        <w:fldChar w:fldCharType="separate"/>
      </w:r>
      <w:r>
        <w:t>96</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_Toc7161 </w:instrText>
      </w:r>
      <w:r>
        <w:rPr>
          <w:szCs w:val="24"/>
        </w:rPr>
        <w:fldChar w:fldCharType="separate"/>
      </w:r>
      <w:r>
        <w:rPr>
          <w:rFonts w:ascii="Times New Roman" w:hAnsi="Times New Roman"/>
          <w:bCs/>
          <w:szCs w:val="32"/>
        </w:rPr>
        <w:t>3.</w:t>
      </w:r>
      <w:r>
        <w:rPr>
          <w:rFonts w:hint="eastAsia" w:ascii="Times New Roman" w:hAnsi="Times New Roman"/>
          <w:bCs/>
          <w:szCs w:val="32"/>
          <w:lang w:val="en-US" w:eastAsia="zh-CN"/>
        </w:rPr>
        <w:t>6</w:t>
      </w:r>
      <w:r>
        <w:rPr>
          <w:rFonts w:ascii="Times New Roman" w:hAnsi="Times New Roman"/>
          <w:bCs/>
          <w:szCs w:val="32"/>
        </w:rPr>
        <w:t xml:space="preserve"> </w:t>
      </w:r>
      <w:r>
        <w:rPr>
          <w:rFonts w:hint="eastAsia" w:ascii="Times New Roman" w:hAnsi="Times New Roman"/>
          <w:bCs/>
          <w:szCs w:val="32"/>
          <w:lang w:val="en-US" w:eastAsia="zh-CN"/>
        </w:rPr>
        <w:t>人的不安全行为和安全管理缺陷</w:t>
      </w:r>
      <w:r>
        <w:tab/>
      </w:r>
      <w:r>
        <w:fldChar w:fldCharType="begin"/>
      </w:r>
      <w:r>
        <w:instrText xml:space="preserve"> PAGEREF _Toc7161 \h </w:instrText>
      </w:r>
      <w:r>
        <w:fldChar w:fldCharType="separate"/>
      </w:r>
      <w:r>
        <w:t>97</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_Toc4559 </w:instrText>
      </w:r>
      <w:r>
        <w:rPr>
          <w:szCs w:val="24"/>
        </w:rPr>
        <w:fldChar w:fldCharType="separate"/>
      </w:r>
      <w:r>
        <w:rPr>
          <w:rFonts w:ascii="Times New Roman" w:hAnsi="Times New Roman"/>
          <w:bCs/>
          <w:szCs w:val="32"/>
        </w:rPr>
        <w:t>3.</w:t>
      </w:r>
      <w:r>
        <w:rPr>
          <w:rFonts w:hint="eastAsia" w:ascii="Times New Roman" w:hAnsi="Times New Roman"/>
          <w:bCs/>
          <w:szCs w:val="32"/>
          <w:lang w:val="en-US" w:eastAsia="zh-CN"/>
        </w:rPr>
        <w:t>7</w:t>
      </w:r>
      <w:r>
        <w:rPr>
          <w:rFonts w:ascii="Times New Roman" w:hAnsi="Times New Roman"/>
          <w:bCs/>
          <w:szCs w:val="32"/>
        </w:rPr>
        <w:t xml:space="preserve"> 重大危险源辨识</w:t>
      </w:r>
      <w:r>
        <w:tab/>
      </w:r>
      <w:r>
        <w:fldChar w:fldCharType="begin"/>
      </w:r>
      <w:r>
        <w:instrText xml:space="preserve"> PAGEREF _Toc4559 \h </w:instrText>
      </w:r>
      <w:r>
        <w:fldChar w:fldCharType="separate"/>
      </w:r>
      <w:r>
        <w:t>99</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_Toc2859 </w:instrText>
      </w:r>
      <w:r>
        <w:rPr>
          <w:szCs w:val="24"/>
        </w:rPr>
        <w:fldChar w:fldCharType="separate"/>
      </w:r>
      <w:r>
        <w:rPr>
          <w:rFonts w:ascii="Times New Roman" w:hAnsi="Times New Roman"/>
          <w:bCs/>
          <w:szCs w:val="32"/>
        </w:rPr>
        <w:t>3.</w:t>
      </w:r>
      <w:r>
        <w:rPr>
          <w:rFonts w:hint="eastAsia" w:ascii="Times New Roman" w:hAnsi="Times New Roman"/>
          <w:bCs/>
          <w:szCs w:val="32"/>
          <w:lang w:val="en-US" w:eastAsia="zh-CN"/>
        </w:rPr>
        <w:t>8</w:t>
      </w:r>
      <w:r>
        <w:rPr>
          <w:rFonts w:ascii="Times New Roman" w:hAnsi="Times New Roman"/>
          <w:bCs/>
          <w:szCs w:val="32"/>
        </w:rPr>
        <w:t xml:space="preserve"> </w:t>
      </w:r>
      <w:r>
        <w:rPr>
          <w:rFonts w:hint="eastAsia" w:ascii="Times New Roman" w:hAnsi="Times New Roman"/>
          <w:bCs/>
          <w:szCs w:val="32"/>
        </w:rPr>
        <w:t>事故案例分析</w:t>
      </w:r>
      <w:r>
        <w:tab/>
      </w:r>
      <w:r>
        <w:fldChar w:fldCharType="begin"/>
      </w:r>
      <w:r>
        <w:instrText xml:space="preserve"> PAGEREF _Toc2859 \h </w:instrText>
      </w:r>
      <w:r>
        <w:fldChar w:fldCharType="separate"/>
      </w:r>
      <w:r>
        <w:t>100</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_Toc11694 </w:instrText>
      </w:r>
      <w:r>
        <w:rPr>
          <w:szCs w:val="24"/>
        </w:rPr>
        <w:fldChar w:fldCharType="separate"/>
      </w:r>
      <w:r>
        <w:rPr>
          <w:rFonts w:ascii="Times New Roman" w:hAnsi="Times New Roman"/>
          <w:bCs/>
          <w:szCs w:val="32"/>
        </w:rPr>
        <w:t>3.</w:t>
      </w:r>
      <w:r>
        <w:rPr>
          <w:rFonts w:hint="eastAsia" w:ascii="Times New Roman" w:hAnsi="Times New Roman"/>
          <w:bCs/>
          <w:szCs w:val="32"/>
          <w:lang w:val="en-US" w:eastAsia="zh-CN"/>
        </w:rPr>
        <w:t>9</w:t>
      </w:r>
      <w:r>
        <w:rPr>
          <w:rFonts w:ascii="Times New Roman" w:hAnsi="Times New Roman"/>
          <w:bCs/>
          <w:szCs w:val="32"/>
        </w:rPr>
        <w:t xml:space="preserve"> 主要危险、有害因素分析结论</w:t>
      </w:r>
      <w:r>
        <w:tab/>
      </w:r>
      <w:r>
        <w:fldChar w:fldCharType="begin"/>
      </w:r>
      <w:r>
        <w:instrText xml:space="preserve"> PAGEREF _Toc11694 \h </w:instrText>
      </w:r>
      <w:r>
        <w:fldChar w:fldCharType="separate"/>
      </w:r>
      <w:r>
        <w:t>102</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_Toc31955 </w:instrText>
      </w:r>
      <w:r>
        <w:rPr>
          <w:szCs w:val="24"/>
        </w:rPr>
        <w:fldChar w:fldCharType="separate"/>
      </w:r>
      <w:r>
        <w:rPr>
          <w:rFonts w:eastAsia="楷体_GB2312"/>
          <w:szCs w:val="36"/>
        </w:rPr>
        <w:t>4 评价单元划分及评价方法选择</w:t>
      </w:r>
      <w:r>
        <w:tab/>
      </w:r>
      <w:r>
        <w:fldChar w:fldCharType="begin"/>
      </w:r>
      <w:r>
        <w:instrText xml:space="preserve"> PAGEREF _Toc31955 \h </w:instrText>
      </w:r>
      <w:r>
        <w:fldChar w:fldCharType="separate"/>
      </w:r>
      <w:r>
        <w:t>104</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_Toc1033 </w:instrText>
      </w:r>
      <w:r>
        <w:rPr>
          <w:szCs w:val="24"/>
        </w:rPr>
        <w:fldChar w:fldCharType="separate"/>
      </w:r>
      <w:r>
        <w:rPr>
          <w:rFonts w:ascii="Times New Roman" w:hAnsi="Times New Roman"/>
          <w:bCs/>
          <w:szCs w:val="32"/>
        </w:rPr>
        <w:t>4.1 评价单元划分</w:t>
      </w:r>
      <w:r>
        <w:tab/>
      </w:r>
      <w:r>
        <w:fldChar w:fldCharType="begin"/>
      </w:r>
      <w:r>
        <w:instrText xml:space="preserve"> PAGEREF _Toc1033 \h </w:instrText>
      </w:r>
      <w:r>
        <w:fldChar w:fldCharType="separate"/>
      </w:r>
      <w:r>
        <w:t>104</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_Toc1642 </w:instrText>
      </w:r>
      <w:r>
        <w:rPr>
          <w:szCs w:val="24"/>
        </w:rPr>
        <w:fldChar w:fldCharType="separate"/>
      </w:r>
      <w:r>
        <w:rPr>
          <w:rFonts w:ascii="Times New Roman" w:hAnsi="Times New Roman"/>
          <w:bCs/>
          <w:szCs w:val="32"/>
        </w:rPr>
        <w:t>4.2 评价方法选择</w:t>
      </w:r>
      <w:r>
        <w:tab/>
      </w:r>
      <w:r>
        <w:fldChar w:fldCharType="begin"/>
      </w:r>
      <w:r>
        <w:instrText xml:space="preserve"> PAGEREF _Toc1642 \h </w:instrText>
      </w:r>
      <w:r>
        <w:fldChar w:fldCharType="separate"/>
      </w:r>
      <w:r>
        <w:t>104</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_Toc5489 </w:instrText>
      </w:r>
      <w:r>
        <w:rPr>
          <w:szCs w:val="24"/>
        </w:rPr>
        <w:fldChar w:fldCharType="separate"/>
      </w:r>
      <w:r>
        <w:rPr>
          <w:rFonts w:eastAsia="楷体_GB2312"/>
          <w:szCs w:val="36"/>
        </w:rPr>
        <w:t xml:space="preserve">5 </w:t>
      </w:r>
      <w:r>
        <w:rPr>
          <w:rFonts w:hint="eastAsia" w:eastAsia="楷体_GB2312"/>
          <w:szCs w:val="36"/>
        </w:rPr>
        <w:t>定性定量</w:t>
      </w:r>
      <w:r>
        <w:rPr>
          <w:rFonts w:eastAsia="楷体_GB2312"/>
          <w:szCs w:val="36"/>
        </w:rPr>
        <w:t>评价</w:t>
      </w:r>
      <w:r>
        <w:tab/>
      </w:r>
      <w:r>
        <w:fldChar w:fldCharType="begin"/>
      </w:r>
      <w:r>
        <w:instrText xml:space="preserve"> PAGEREF _Toc5489 \h </w:instrText>
      </w:r>
      <w:r>
        <w:fldChar w:fldCharType="separate"/>
      </w:r>
      <w:r>
        <w:t>108</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_Toc19274 </w:instrText>
      </w:r>
      <w:r>
        <w:rPr>
          <w:szCs w:val="24"/>
        </w:rPr>
        <w:fldChar w:fldCharType="separate"/>
      </w:r>
      <w:r>
        <w:rPr>
          <w:rFonts w:ascii="Times New Roman" w:hAnsi="Times New Roman"/>
          <w:bCs/>
          <w:szCs w:val="32"/>
        </w:rPr>
        <w:t>5.1 生产单元安全检查表</w:t>
      </w:r>
      <w:r>
        <w:tab/>
      </w:r>
      <w:r>
        <w:fldChar w:fldCharType="begin"/>
      </w:r>
      <w:r>
        <w:instrText xml:space="preserve"> PAGEREF _Toc19274 \h </w:instrText>
      </w:r>
      <w:r>
        <w:fldChar w:fldCharType="separate"/>
      </w:r>
      <w:r>
        <w:t>108</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_Toc20639 </w:instrText>
      </w:r>
      <w:r>
        <w:rPr>
          <w:szCs w:val="24"/>
        </w:rPr>
        <w:fldChar w:fldCharType="separate"/>
      </w:r>
      <w:r>
        <w:rPr>
          <w:rFonts w:ascii="Times New Roman" w:hAnsi="Times New Roman"/>
          <w:bCs/>
          <w:szCs w:val="32"/>
        </w:rPr>
        <w:t>5.2 管理单元安全检查表</w:t>
      </w:r>
      <w:r>
        <w:tab/>
      </w:r>
      <w:r>
        <w:fldChar w:fldCharType="begin"/>
      </w:r>
      <w:r>
        <w:instrText xml:space="preserve"> PAGEREF _Toc20639 \h </w:instrText>
      </w:r>
      <w:r>
        <w:fldChar w:fldCharType="separate"/>
      </w:r>
      <w:r>
        <w:t>139</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_Toc7410 </w:instrText>
      </w:r>
      <w:r>
        <w:rPr>
          <w:szCs w:val="24"/>
        </w:rPr>
        <w:fldChar w:fldCharType="separate"/>
      </w:r>
      <w:r>
        <w:rPr>
          <w:rFonts w:hint="eastAsia" w:ascii="Times New Roman" w:hAnsi="Times New Roman"/>
          <w:bCs/>
          <w:szCs w:val="32"/>
        </w:rPr>
        <w:t>5.3 作业条件危险性评价</w:t>
      </w:r>
      <w:r>
        <w:tab/>
      </w:r>
      <w:r>
        <w:fldChar w:fldCharType="begin"/>
      </w:r>
      <w:r>
        <w:instrText xml:space="preserve"> PAGEREF _Toc7410 \h </w:instrText>
      </w:r>
      <w:r>
        <w:fldChar w:fldCharType="separate"/>
      </w:r>
      <w:r>
        <w:t>149</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_Toc28725 </w:instrText>
      </w:r>
      <w:r>
        <w:rPr>
          <w:szCs w:val="24"/>
        </w:rPr>
        <w:fldChar w:fldCharType="separate"/>
      </w:r>
      <w:r>
        <w:rPr>
          <w:rFonts w:eastAsia="楷体_GB2312"/>
          <w:szCs w:val="36"/>
        </w:rPr>
        <w:t>6 安全对策措施与管理建议</w:t>
      </w:r>
      <w:r>
        <w:tab/>
      </w:r>
      <w:r>
        <w:fldChar w:fldCharType="begin"/>
      </w:r>
      <w:r>
        <w:instrText xml:space="preserve"> PAGEREF _Toc28725 \h </w:instrText>
      </w:r>
      <w:r>
        <w:fldChar w:fldCharType="separate"/>
      </w:r>
      <w:r>
        <w:t>151</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_Toc9769 </w:instrText>
      </w:r>
      <w:r>
        <w:rPr>
          <w:szCs w:val="24"/>
        </w:rPr>
        <w:fldChar w:fldCharType="separate"/>
      </w:r>
      <w:r>
        <w:rPr>
          <w:rFonts w:ascii="Times New Roman" w:hAnsi="Times New Roman"/>
          <w:bCs/>
          <w:szCs w:val="32"/>
        </w:rPr>
        <w:t>6.1 安全对策措施</w:t>
      </w:r>
      <w:r>
        <w:tab/>
      </w:r>
      <w:r>
        <w:fldChar w:fldCharType="begin"/>
      </w:r>
      <w:r>
        <w:instrText xml:space="preserve"> PAGEREF _Toc9769 \h </w:instrText>
      </w:r>
      <w:r>
        <w:fldChar w:fldCharType="separate"/>
      </w:r>
      <w:r>
        <w:t>151</w:t>
      </w:r>
      <w:r>
        <w:fldChar w:fldCharType="end"/>
      </w:r>
      <w:r>
        <w:rPr>
          <w:color w:val="0070C0"/>
          <w:szCs w:val="24"/>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_Toc11202 </w:instrText>
      </w:r>
      <w:r>
        <w:rPr>
          <w:szCs w:val="24"/>
        </w:rPr>
        <w:fldChar w:fldCharType="separate"/>
      </w:r>
      <w:r>
        <w:rPr>
          <w:rFonts w:ascii="Times New Roman" w:hAnsi="Times New Roman"/>
          <w:bCs/>
          <w:szCs w:val="32"/>
        </w:rPr>
        <w:t>6.2 安全管理建议</w:t>
      </w:r>
      <w:r>
        <w:tab/>
      </w:r>
      <w:r>
        <w:fldChar w:fldCharType="begin"/>
      </w:r>
      <w:r>
        <w:instrText xml:space="preserve"> PAGEREF _Toc11202 \h </w:instrText>
      </w:r>
      <w:r>
        <w:fldChar w:fldCharType="separate"/>
      </w:r>
      <w:r>
        <w:t>152</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_Toc16518 </w:instrText>
      </w:r>
      <w:r>
        <w:rPr>
          <w:szCs w:val="24"/>
        </w:rPr>
        <w:fldChar w:fldCharType="separate"/>
      </w:r>
      <w:r>
        <w:rPr>
          <w:rFonts w:eastAsia="楷体_GB2312"/>
          <w:szCs w:val="36"/>
        </w:rPr>
        <w:t>7 隐患整改复查情况</w:t>
      </w:r>
      <w:r>
        <w:tab/>
      </w:r>
      <w:r>
        <w:fldChar w:fldCharType="begin"/>
      </w:r>
      <w:r>
        <w:instrText xml:space="preserve"> PAGEREF _Toc16518 \h </w:instrText>
      </w:r>
      <w:r>
        <w:fldChar w:fldCharType="separate"/>
      </w:r>
      <w:r>
        <w:t>155</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_Toc32195 </w:instrText>
      </w:r>
      <w:r>
        <w:rPr>
          <w:szCs w:val="24"/>
        </w:rPr>
        <w:fldChar w:fldCharType="separate"/>
      </w:r>
      <w:r>
        <w:rPr>
          <w:rFonts w:eastAsia="楷体_GB2312"/>
          <w:szCs w:val="36"/>
        </w:rPr>
        <w:t>8 安全生产条件分析评价</w:t>
      </w:r>
      <w:r>
        <w:tab/>
      </w:r>
      <w:r>
        <w:fldChar w:fldCharType="begin"/>
      </w:r>
      <w:r>
        <w:instrText xml:space="preserve"> PAGEREF _Toc32195 \h </w:instrText>
      </w:r>
      <w:r>
        <w:fldChar w:fldCharType="separate"/>
      </w:r>
      <w:r>
        <w:t>158</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_Toc20195 </w:instrText>
      </w:r>
      <w:r>
        <w:rPr>
          <w:szCs w:val="24"/>
        </w:rPr>
        <w:fldChar w:fldCharType="separate"/>
      </w:r>
      <w:r>
        <w:rPr>
          <w:rFonts w:eastAsia="楷体_GB2312"/>
          <w:szCs w:val="36"/>
        </w:rPr>
        <w:t>9 安全现状评价结论</w:t>
      </w:r>
      <w:r>
        <w:tab/>
      </w:r>
      <w:r>
        <w:fldChar w:fldCharType="begin"/>
      </w:r>
      <w:r>
        <w:instrText xml:space="preserve"> PAGEREF _Toc20195 \h </w:instrText>
      </w:r>
      <w:r>
        <w:fldChar w:fldCharType="separate"/>
      </w:r>
      <w:r>
        <w:t>163</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_Toc3755 </w:instrText>
      </w:r>
      <w:r>
        <w:rPr>
          <w:szCs w:val="24"/>
        </w:rPr>
        <w:fldChar w:fldCharType="separate"/>
      </w:r>
      <w:r>
        <w:rPr>
          <w:rFonts w:eastAsia="楷体"/>
          <w:bCs/>
          <w:szCs w:val="36"/>
        </w:rPr>
        <w:t>附件1 营业执照复印件</w:t>
      </w:r>
      <w:r>
        <w:tab/>
      </w:r>
      <w:r>
        <w:fldChar w:fldCharType="begin"/>
      </w:r>
      <w:r>
        <w:instrText xml:space="preserve"> PAGEREF _Toc3755 \h </w:instrText>
      </w:r>
      <w:r>
        <w:fldChar w:fldCharType="separate"/>
      </w:r>
      <w:r>
        <w:t>165</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_Toc3272 </w:instrText>
      </w:r>
      <w:r>
        <w:rPr>
          <w:szCs w:val="24"/>
        </w:rPr>
        <w:fldChar w:fldCharType="separate"/>
      </w:r>
      <w:r>
        <w:rPr>
          <w:rFonts w:eastAsia="楷体"/>
          <w:bCs/>
          <w:szCs w:val="36"/>
        </w:rPr>
        <w:t>附件</w:t>
      </w:r>
      <w:r>
        <w:rPr>
          <w:rFonts w:hint="eastAsia" w:eastAsia="楷体"/>
          <w:bCs/>
          <w:szCs w:val="36"/>
          <w:lang w:val="en-US" w:eastAsia="zh-CN"/>
        </w:rPr>
        <w:t>2</w:t>
      </w:r>
      <w:r>
        <w:rPr>
          <w:rFonts w:eastAsia="楷体"/>
          <w:bCs/>
          <w:szCs w:val="36"/>
        </w:rPr>
        <w:t xml:space="preserve"> </w:t>
      </w:r>
      <w:r>
        <w:rPr>
          <w:rFonts w:hint="eastAsia" w:eastAsia="楷体"/>
          <w:bCs/>
          <w:szCs w:val="36"/>
        </w:rPr>
        <w:t>成立安全管理机构及安全管理人员的文件</w:t>
      </w:r>
      <w:r>
        <w:tab/>
      </w:r>
      <w:r>
        <w:fldChar w:fldCharType="begin"/>
      </w:r>
      <w:r>
        <w:instrText xml:space="preserve"> PAGEREF _Toc3272 \h </w:instrText>
      </w:r>
      <w:r>
        <w:fldChar w:fldCharType="separate"/>
      </w:r>
      <w:r>
        <w:t>166</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_Toc5441 </w:instrText>
      </w:r>
      <w:r>
        <w:rPr>
          <w:szCs w:val="24"/>
        </w:rPr>
        <w:fldChar w:fldCharType="separate"/>
      </w:r>
      <w:r>
        <w:rPr>
          <w:rFonts w:eastAsia="楷体"/>
          <w:bCs/>
          <w:szCs w:val="36"/>
        </w:rPr>
        <w:t>附件</w:t>
      </w:r>
      <w:r>
        <w:rPr>
          <w:rFonts w:hint="eastAsia" w:eastAsia="楷体"/>
          <w:bCs/>
          <w:szCs w:val="36"/>
          <w:lang w:val="en-US" w:eastAsia="zh-CN"/>
        </w:rPr>
        <w:t>3</w:t>
      </w:r>
      <w:r>
        <w:rPr>
          <w:rFonts w:eastAsia="楷体"/>
          <w:bCs/>
          <w:szCs w:val="36"/>
        </w:rPr>
        <w:t xml:space="preserve"> </w:t>
      </w:r>
      <w:r>
        <w:rPr>
          <w:rFonts w:hint="eastAsia" w:eastAsia="楷体"/>
          <w:bCs/>
          <w:szCs w:val="36"/>
        </w:rPr>
        <w:t>安全总监任命及备案文件</w:t>
      </w:r>
      <w:r>
        <w:tab/>
      </w:r>
      <w:r>
        <w:fldChar w:fldCharType="begin"/>
      </w:r>
      <w:r>
        <w:instrText xml:space="preserve"> PAGEREF _Toc5441 \h </w:instrText>
      </w:r>
      <w:r>
        <w:fldChar w:fldCharType="separate"/>
      </w:r>
      <w:r>
        <w:t>169</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_Toc469 </w:instrText>
      </w:r>
      <w:r>
        <w:rPr>
          <w:szCs w:val="24"/>
        </w:rPr>
        <w:fldChar w:fldCharType="separate"/>
      </w:r>
      <w:r>
        <w:rPr>
          <w:rFonts w:eastAsia="楷体"/>
          <w:bCs/>
          <w:szCs w:val="36"/>
        </w:rPr>
        <w:t>附件</w:t>
      </w:r>
      <w:r>
        <w:rPr>
          <w:rFonts w:hint="eastAsia" w:eastAsia="楷体"/>
          <w:bCs/>
          <w:szCs w:val="36"/>
          <w:lang w:val="en-US" w:eastAsia="zh-CN"/>
        </w:rPr>
        <w:t>4</w:t>
      </w:r>
      <w:r>
        <w:rPr>
          <w:rFonts w:eastAsia="楷体"/>
          <w:bCs/>
          <w:szCs w:val="36"/>
        </w:rPr>
        <w:t xml:space="preserve"> </w:t>
      </w:r>
      <w:r>
        <w:rPr>
          <w:rFonts w:hint="eastAsia" w:eastAsia="楷体"/>
          <w:bCs/>
          <w:szCs w:val="36"/>
        </w:rPr>
        <w:t>注册安全工程师证书</w:t>
      </w:r>
      <w:r>
        <w:tab/>
      </w:r>
      <w:r>
        <w:fldChar w:fldCharType="begin"/>
      </w:r>
      <w:r>
        <w:instrText xml:space="preserve"> PAGEREF _Toc469 \h </w:instrText>
      </w:r>
      <w:r>
        <w:fldChar w:fldCharType="separate"/>
      </w:r>
      <w:r>
        <w:t>177</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_Toc16082 </w:instrText>
      </w:r>
      <w:r>
        <w:rPr>
          <w:szCs w:val="24"/>
        </w:rPr>
        <w:fldChar w:fldCharType="separate"/>
      </w:r>
      <w:r>
        <w:rPr>
          <w:rFonts w:eastAsia="楷体"/>
          <w:bCs/>
          <w:szCs w:val="36"/>
        </w:rPr>
        <w:t>附件</w:t>
      </w:r>
      <w:r>
        <w:rPr>
          <w:rFonts w:hint="eastAsia" w:eastAsia="楷体"/>
          <w:bCs/>
          <w:szCs w:val="36"/>
          <w:lang w:val="en-US" w:eastAsia="zh-CN"/>
        </w:rPr>
        <w:t>5</w:t>
      </w:r>
      <w:r>
        <w:rPr>
          <w:rFonts w:eastAsia="楷体"/>
          <w:bCs/>
          <w:szCs w:val="36"/>
        </w:rPr>
        <w:t xml:space="preserve"> </w:t>
      </w:r>
      <w:r>
        <w:rPr>
          <w:rFonts w:hint="eastAsia" w:eastAsia="楷体"/>
          <w:bCs/>
          <w:szCs w:val="36"/>
        </w:rPr>
        <w:t>主要负责人、安全管理人员合格证及复审情况</w:t>
      </w:r>
      <w:r>
        <w:tab/>
      </w:r>
      <w:r>
        <w:fldChar w:fldCharType="begin"/>
      </w:r>
      <w:r>
        <w:instrText xml:space="preserve"> PAGEREF _Toc16082 \h </w:instrText>
      </w:r>
      <w:r>
        <w:fldChar w:fldCharType="separate"/>
      </w:r>
      <w:r>
        <w:t>179</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_Toc419 </w:instrText>
      </w:r>
      <w:r>
        <w:rPr>
          <w:szCs w:val="24"/>
        </w:rPr>
        <w:fldChar w:fldCharType="separate"/>
      </w:r>
      <w:r>
        <w:rPr>
          <w:rFonts w:eastAsia="楷体"/>
          <w:bCs/>
          <w:szCs w:val="36"/>
        </w:rPr>
        <w:t>附件</w:t>
      </w:r>
      <w:r>
        <w:rPr>
          <w:rFonts w:hint="eastAsia" w:eastAsia="楷体"/>
          <w:bCs/>
          <w:szCs w:val="36"/>
          <w:lang w:val="en-US" w:eastAsia="zh-CN"/>
        </w:rPr>
        <w:t>6</w:t>
      </w:r>
      <w:r>
        <w:rPr>
          <w:rFonts w:eastAsia="楷体"/>
          <w:bCs/>
          <w:szCs w:val="36"/>
        </w:rPr>
        <w:t xml:space="preserve"> </w:t>
      </w:r>
      <w:r>
        <w:rPr>
          <w:rFonts w:hint="eastAsia" w:eastAsia="楷体"/>
          <w:bCs/>
          <w:szCs w:val="36"/>
        </w:rPr>
        <w:t>特种作业人员</w:t>
      </w:r>
      <w:r>
        <w:rPr>
          <w:rFonts w:hint="eastAsia" w:eastAsia="楷体"/>
          <w:bCs/>
          <w:szCs w:val="36"/>
          <w:lang w:val="en-US" w:eastAsia="zh-CN"/>
        </w:rPr>
        <w:t>及</w:t>
      </w:r>
      <w:r>
        <w:rPr>
          <w:rFonts w:hint="eastAsia" w:eastAsia="楷体"/>
          <w:bCs/>
          <w:szCs w:val="36"/>
        </w:rPr>
        <w:t>特种设备安全管理</w:t>
      </w:r>
      <w:r>
        <w:rPr>
          <w:rFonts w:hint="eastAsia" w:eastAsia="楷体"/>
          <w:bCs/>
          <w:szCs w:val="36"/>
          <w:lang w:val="en-US" w:eastAsia="zh-CN"/>
        </w:rPr>
        <w:t>等证件</w:t>
      </w:r>
      <w:r>
        <w:tab/>
      </w:r>
      <w:r>
        <w:fldChar w:fldCharType="begin"/>
      </w:r>
      <w:r>
        <w:instrText xml:space="preserve"> PAGEREF _Toc419 \h </w:instrText>
      </w:r>
      <w:r>
        <w:fldChar w:fldCharType="separate"/>
      </w:r>
      <w:r>
        <w:t>180</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_Toc1542 </w:instrText>
      </w:r>
      <w:r>
        <w:rPr>
          <w:szCs w:val="24"/>
        </w:rPr>
        <w:fldChar w:fldCharType="separate"/>
      </w:r>
      <w:r>
        <w:rPr>
          <w:rFonts w:eastAsia="楷体"/>
          <w:szCs w:val="36"/>
          <w:shd w:val="clear" w:fill="FFFFFF" w:themeFill="background1"/>
        </w:rPr>
        <w:t>附件</w:t>
      </w:r>
      <w:r>
        <w:rPr>
          <w:rFonts w:hint="eastAsia" w:eastAsia="楷体"/>
          <w:szCs w:val="36"/>
          <w:shd w:val="clear" w:fill="FFFFFF" w:themeFill="background1"/>
          <w:lang w:val="en-US" w:eastAsia="zh-CN"/>
        </w:rPr>
        <w:t>7</w:t>
      </w:r>
      <w:r>
        <w:rPr>
          <w:rFonts w:hint="eastAsia" w:eastAsia="楷体"/>
          <w:szCs w:val="36"/>
          <w:shd w:val="clear" w:fill="FFFFFF" w:themeFill="background1"/>
        </w:rPr>
        <w:t xml:space="preserve"> </w:t>
      </w:r>
      <w:r>
        <w:rPr>
          <w:rFonts w:eastAsia="楷体"/>
          <w:szCs w:val="36"/>
          <w:shd w:val="clear" w:fill="FFFFFF" w:themeFill="background1"/>
        </w:rPr>
        <w:t>三小证</w:t>
      </w:r>
      <w:r>
        <w:rPr>
          <w:rFonts w:hint="eastAsia" w:eastAsia="楷体"/>
          <w:szCs w:val="36"/>
          <w:shd w:val="clear" w:fill="FFFFFF" w:themeFill="background1"/>
        </w:rPr>
        <w:t>台账及</w:t>
      </w:r>
      <w:r>
        <w:rPr>
          <w:rFonts w:eastAsia="楷体"/>
          <w:szCs w:val="36"/>
          <w:shd w:val="clear" w:fill="FFFFFF" w:themeFill="background1"/>
        </w:rPr>
        <w:t>部分证书复印件</w:t>
      </w:r>
      <w:r>
        <w:tab/>
      </w:r>
      <w:r>
        <w:fldChar w:fldCharType="begin"/>
      </w:r>
      <w:r>
        <w:instrText xml:space="preserve"> PAGEREF _Toc1542 \h </w:instrText>
      </w:r>
      <w:r>
        <w:fldChar w:fldCharType="separate"/>
      </w:r>
      <w:r>
        <w:t>184</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_Toc9162 </w:instrText>
      </w:r>
      <w:r>
        <w:rPr>
          <w:szCs w:val="24"/>
        </w:rPr>
        <w:fldChar w:fldCharType="separate"/>
      </w:r>
      <w:r>
        <w:rPr>
          <w:rFonts w:eastAsia="楷体"/>
          <w:szCs w:val="36"/>
          <w:highlight w:val="none"/>
          <w:shd w:val="clear"/>
        </w:rPr>
        <w:t>附件</w:t>
      </w:r>
      <w:r>
        <w:rPr>
          <w:rFonts w:hint="eastAsia" w:eastAsia="楷体"/>
          <w:szCs w:val="36"/>
          <w:highlight w:val="none"/>
          <w:shd w:val="clear"/>
          <w:lang w:val="en-US" w:eastAsia="zh-CN"/>
        </w:rPr>
        <w:t>8</w:t>
      </w:r>
      <w:r>
        <w:rPr>
          <w:rFonts w:eastAsia="楷体"/>
          <w:szCs w:val="36"/>
          <w:highlight w:val="none"/>
          <w:shd w:val="clear"/>
        </w:rPr>
        <w:t xml:space="preserve"> 单位工伤保险参保证明</w:t>
      </w:r>
      <w:r>
        <w:tab/>
      </w:r>
      <w:r>
        <w:fldChar w:fldCharType="begin"/>
      </w:r>
      <w:r>
        <w:instrText xml:space="preserve"> PAGEREF _Toc9162 \h </w:instrText>
      </w:r>
      <w:r>
        <w:fldChar w:fldCharType="separate"/>
      </w:r>
      <w:r>
        <w:t>193</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_Toc21857 </w:instrText>
      </w:r>
      <w:r>
        <w:rPr>
          <w:szCs w:val="24"/>
        </w:rPr>
        <w:fldChar w:fldCharType="separate"/>
      </w:r>
      <w:r>
        <w:rPr>
          <w:rFonts w:eastAsia="楷体"/>
          <w:szCs w:val="36"/>
        </w:rPr>
        <w:t>附件</w:t>
      </w:r>
      <w:r>
        <w:rPr>
          <w:rFonts w:hint="eastAsia" w:eastAsia="楷体"/>
          <w:szCs w:val="36"/>
          <w:lang w:val="en-US" w:eastAsia="zh-CN"/>
        </w:rPr>
        <w:t>9</w:t>
      </w:r>
      <w:r>
        <w:rPr>
          <w:rFonts w:eastAsia="楷体"/>
          <w:szCs w:val="36"/>
        </w:rPr>
        <w:t xml:space="preserve"> 安全生产责任保险的有关证明</w:t>
      </w:r>
      <w:r>
        <w:tab/>
      </w:r>
      <w:r>
        <w:fldChar w:fldCharType="begin"/>
      </w:r>
      <w:r>
        <w:instrText xml:space="preserve"> PAGEREF _Toc21857 \h </w:instrText>
      </w:r>
      <w:r>
        <w:fldChar w:fldCharType="separate"/>
      </w:r>
      <w:r>
        <w:t>198</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_Toc15590 </w:instrText>
      </w:r>
      <w:r>
        <w:rPr>
          <w:szCs w:val="24"/>
        </w:rPr>
        <w:fldChar w:fldCharType="separate"/>
      </w:r>
      <w:r>
        <w:rPr>
          <w:rFonts w:eastAsia="楷体"/>
          <w:szCs w:val="36"/>
        </w:rPr>
        <w:t>附件</w:t>
      </w:r>
      <w:r>
        <w:rPr>
          <w:rFonts w:hint="eastAsia" w:eastAsia="楷体"/>
          <w:szCs w:val="36"/>
          <w:lang w:val="en-US" w:eastAsia="zh-CN"/>
        </w:rPr>
        <w:t>10</w:t>
      </w:r>
      <w:r>
        <w:rPr>
          <w:rFonts w:eastAsia="楷体"/>
          <w:szCs w:val="36"/>
        </w:rPr>
        <w:t xml:space="preserve"> </w:t>
      </w:r>
      <w:r>
        <w:rPr>
          <w:rFonts w:eastAsia="楷体"/>
          <w:szCs w:val="36"/>
          <w:shd w:val="clear"/>
        </w:rPr>
        <w:t>生产安全事故应急预案</w:t>
      </w:r>
      <w:r>
        <w:rPr>
          <w:rFonts w:hint="eastAsia" w:eastAsia="楷体"/>
          <w:szCs w:val="36"/>
          <w:shd w:val="clear"/>
          <w:lang w:val="en-US" w:eastAsia="zh-CN"/>
        </w:rPr>
        <w:t>及</w:t>
      </w:r>
      <w:r>
        <w:rPr>
          <w:rFonts w:eastAsia="楷体"/>
          <w:szCs w:val="36"/>
          <w:shd w:val="clear"/>
        </w:rPr>
        <w:t>备案登记表</w:t>
      </w:r>
      <w:r>
        <w:tab/>
      </w:r>
      <w:r>
        <w:fldChar w:fldCharType="begin"/>
      </w:r>
      <w:r>
        <w:instrText xml:space="preserve"> PAGEREF _Toc15590 \h </w:instrText>
      </w:r>
      <w:r>
        <w:fldChar w:fldCharType="separate"/>
      </w:r>
      <w:r>
        <w:t>203</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_Toc31405 </w:instrText>
      </w:r>
      <w:r>
        <w:rPr>
          <w:szCs w:val="24"/>
        </w:rPr>
        <w:fldChar w:fldCharType="separate"/>
      </w:r>
      <w:r>
        <w:rPr>
          <w:rFonts w:eastAsia="楷体"/>
          <w:szCs w:val="36"/>
        </w:rPr>
        <w:t>附件</w:t>
      </w:r>
      <w:r>
        <w:rPr>
          <w:rFonts w:hint="eastAsia" w:eastAsia="楷体"/>
          <w:szCs w:val="36"/>
          <w:lang w:val="en-US" w:eastAsia="zh-CN"/>
        </w:rPr>
        <w:t>11</w:t>
      </w:r>
      <w:r>
        <w:rPr>
          <w:rFonts w:eastAsia="楷体"/>
          <w:szCs w:val="36"/>
        </w:rPr>
        <w:t xml:space="preserve"> 成立应急组织机构</w:t>
      </w:r>
      <w:r>
        <w:rPr>
          <w:rFonts w:hint="eastAsia" w:eastAsia="楷体"/>
          <w:szCs w:val="36"/>
        </w:rPr>
        <w:t>文件</w:t>
      </w:r>
      <w:r>
        <w:tab/>
      </w:r>
      <w:r>
        <w:fldChar w:fldCharType="begin"/>
      </w:r>
      <w:r>
        <w:instrText xml:space="preserve"> PAGEREF _Toc31405 \h </w:instrText>
      </w:r>
      <w:r>
        <w:fldChar w:fldCharType="separate"/>
      </w:r>
      <w:r>
        <w:t>207</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_Toc26820 </w:instrText>
      </w:r>
      <w:r>
        <w:rPr>
          <w:szCs w:val="24"/>
        </w:rPr>
        <w:fldChar w:fldCharType="separate"/>
      </w:r>
      <w:r>
        <w:rPr>
          <w:rFonts w:eastAsia="楷体"/>
          <w:szCs w:val="36"/>
        </w:rPr>
        <w:t>附件1</w:t>
      </w:r>
      <w:r>
        <w:rPr>
          <w:rFonts w:hint="eastAsia" w:eastAsia="楷体"/>
          <w:szCs w:val="36"/>
          <w:lang w:val="en-US" w:eastAsia="zh-CN"/>
        </w:rPr>
        <w:t>2</w:t>
      </w:r>
      <w:r>
        <w:rPr>
          <w:rFonts w:eastAsia="楷体"/>
          <w:szCs w:val="36"/>
        </w:rPr>
        <w:t xml:space="preserve"> 应急演练</w:t>
      </w:r>
      <w:r>
        <w:rPr>
          <w:rFonts w:hint="eastAsia" w:eastAsia="楷体"/>
          <w:szCs w:val="36"/>
        </w:rPr>
        <w:t>计划及演练</w:t>
      </w:r>
      <w:r>
        <w:rPr>
          <w:rFonts w:eastAsia="楷体"/>
          <w:szCs w:val="36"/>
        </w:rPr>
        <w:t>记录</w:t>
      </w:r>
      <w:r>
        <w:tab/>
      </w:r>
      <w:r>
        <w:fldChar w:fldCharType="begin"/>
      </w:r>
      <w:r>
        <w:instrText xml:space="preserve"> PAGEREF _Toc26820 \h </w:instrText>
      </w:r>
      <w:r>
        <w:fldChar w:fldCharType="separate"/>
      </w:r>
      <w:r>
        <w:t>214</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_Toc23272 </w:instrText>
      </w:r>
      <w:r>
        <w:rPr>
          <w:szCs w:val="24"/>
        </w:rPr>
        <w:fldChar w:fldCharType="separate"/>
      </w:r>
      <w:r>
        <w:rPr>
          <w:rFonts w:eastAsia="楷体"/>
          <w:szCs w:val="36"/>
        </w:rPr>
        <w:t>附件1</w:t>
      </w:r>
      <w:r>
        <w:rPr>
          <w:rFonts w:hint="eastAsia" w:eastAsia="楷体"/>
          <w:szCs w:val="36"/>
          <w:lang w:val="en-US" w:eastAsia="zh-CN"/>
        </w:rPr>
        <w:t>3</w:t>
      </w:r>
      <w:r>
        <w:rPr>
          <w:rFonts w:eastAsia="楷体"/>
          <w:szCs w:val="36"/>
        </w:rPr>
        <w:t xml:space="preserve"> 应急</w:t>
      </w:r>
      <w:r>
        <w:rPr>
          <w:rFonts w:hint="eastAsia" w:eastAsia="楷体"/>
          <w:szCs w:val="36"/>
        </w:rPr>
        <w:t>救援协议</w:t>
      </w:r>
      <w:r>
        <w:tab/>
      </w:r>
      <w:r>
        <w:fldChar w:fldCharType="begin"/>
      </w:r>
      <w:r>
        <w:instrText xml:space="preserve"> PAGEREF _Toc23272 \h </w:instrText>
      </w:r>
      <w:r>
        <w:fldChar w:fldCharType="separate"/>
      </w:r>
      <w:r>
        <w:t>222</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_Toc30513 </w:instrText>
      </w:r>
      <w:r>
        <w:rPr>
          <w:szCs w:val="24"/>
        </w:rPr>
        <w:fldChar w:fldCharType="separate"/>
      </w:r>
      <w:r>
        <w:rPr>
          <w:rFonts w:eastAsia="楷体"/>
          <w:szCs w:val="36"/>
        </w:rPr>
        <w:t>附件1</w:t>
      </w:r>
      <w:r>
        <w:rPr>
          <w:rFonts w:hint="eastAsia" w:eastAsia="楷体"/>
          <w:szCs w:val="36"/>
          <w:lang w:val="en-US" w:eastAsia="zh-CN"/>
        </w:rPr>
        <w:t>4</w:t>
      </w:r>
      <w:r>
        <w:rPr>
          <w:rFonts w:eastAsia="楷体"/>
          <w:szCs w:val="36"/>
        </w:rPr>
        <w:t xml:space="preserve"> </w:t>
      </w:r>
      <w:r>
        <w:rPr>
          <w:rFonts w:hint="eastAsia" w:eastAsia="楷体"/>
          <w:szCs w:val="36"/>
          <w:lang w:val="en-US" w:eastAsia="zh-CN"/>
        </w:rPr>
        <w:t>设备设施</w:t>
      </w:r>
      <w:r>
        <w:rPr>
          <w:rFonts w:hint="eastAsia" w:eastAsia="楷体"/>
          <w:szCs w:val="36"/>
        </w:rPr>
        <w:t>台账</w:t>
      </w:r>
      <w:r>
        <w:rPr>
          <w:rFonts w:hint="eastAsia" w:eastAsia="楷体"/>
          <w:szCs w:val="36"/>
          <w:lang w:eastAsia="zh-CN"/>
        </w:rPr>
        <w:t>、</w:t>
      </w:r>
      <w:r>
        <w:rPr>
          <w:rFonts w:hint="eastAsia" w:eastAsia="楷体"/>
          <w:szCs w:val="36"/>
          <w:lang w:val="en-US" w:eastAsia="zh-CN"/>
        </w:rPr>
        <w:t>设备检测检验台账、</w:t>
      </w:r>
      <w:r>
        <w:rPr>
          <w:rFonts w:hint="eastAsia" w:eastAsia="楷体"/>
          <w:szCs w:val="36"/>
        </w:rPr>
        <w:t>特种设备登记证及部分检验检测报告</w:t>
      </w:r>
      <w:r>
        <w:tab/>
      </w:r>
      <w:r>
        <w:fldChar w:fldCharType="begin"/>
      </w:r>
      <w:r>
        <w:instrText xml:space="preserve"> PAGEREF _Toc30513 \h </w:instrText>
      </w:r>
      <w:r>
        <w:fldChar w:fldCharType="separate"/>
      </w:r>
      <w:r>
        <w:t>228</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_Toc4712 </w:instrText>
      </w:r>
      <w:r>
        <w:rPr>
          <w:szCs w:val="24"/>
        </w:rPr>
        <w:fldChar w:fldCharType="separate"/>
      </w:r>
      <w:r>
        <w:rPr>
          <w:rFonts w:eastAsia="楷体"/>
          <w:szCs w:val="36"/>
        </w:rPr>
        <w:t>附件</w:t>
      </w:r>
      <w:r>
        <w:rPr>
          <w:rFonts w:hint="eastAsia" w:eastAsia="楷体"/>
          <w:szCs w:val="36"/>
        </w:rPr>
        <w:t>1</w:t>
      </w:r>
      <w:r>
        <w:rPr>
          <w:rFonts w:hint="eastAsia" w:eastAsia="楷体"/>
          <w:szCs w:val="36"/>
          <w:lang w:val="en-US" w:eastAsia="zh-CN"/>
        </w:rPr>
        <w:t>5</w:t>
      </w:r>
      <w:r>
        <w:rPr>
          <w:rFonts w:eastAsia="楷体"/>
          <w:szCs w:val="36"/>
        </w:rPr>
        <w:t xml:space="preserve"> </w:t>
      </w:r>
      <w:r>
        <w:rPr>
          <w:rFonts w:hint="eastAsia" w:eastAsia="楷体"/>
          <w:szCs w:val="36"/>
        </w:rPr>
        <w:t>安全阀、压力表检验检测台账及部分检测检验报告</w:t>
      </w:r>
      <w:r>
        <w:tab/>
      </w:r>
      <w:r>
        <w:fldChar w:fldCharType="begin"/>
      </w:r>
      <w:r>
        <w:instrText xml:space="preserve"> PAGEREF _Toc4712 \h </w:instrText>
      </w:r>
      <w:r>
        <w:fldChar w:fldCharType="separate"/>
      </w:r>
      <w:r>
        <w:t>245</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_Toc22522 </w:instrText>
      </w:r>
      <w:r>
        <w:rPr>
          <w:szCs w:val="24"/>
        </w:rPr>
        <w:fldChar w:fldCharType="separate"/>
      </w:r>
      <w:r>
        <w:rPr>
          <w:rFonts w:eastAsia="楷体"/>
          <w:szCs w:val="36"/>
        </w:rPr>
        <w:t>附件</w:t>
      </w:r>
      <w:r>
        <w:rPr>
          <w:rFonts w:hint="eastAsia" w:eastAsia="楷体"/>
          <w:szCs w:val="36"/>
          <w:lang w:val="en-US" w:eastAsia="zh-CN"/>
        </w:rPr>
        <w:t>16</w:t>
      </w:r>
      <w:r>
        <w:rPr>
          <w:rFonts w:eastAsia="楷体"/>
          <w:szCs w:val="36"/>
        </w:rPr>
        <w:t xml:space="preserve"> </w:t>
      </w:r>
      <w:r>
        <w:rPr>
          <w:rFonts w:hint="eastAsia" w:eastAsia="楷体"/>
          <w:szCs w:val="36"/>
          <w:shd w:val="clear"/>
        </w:rPr>
        <w:t>空呼、气体检测报警仪检验检测台账及部分检测检验报告</w:t>
      </w:r>
      <w:r>
        <w:tab/>
      </w:r>
      <w:r>
        <w:fldChar w:fldCharType="begin"/>
      </w:r>
      <w:r>
        <w:instrText xml:space="preserve"> PAGEREF _Toc22522 \h </w:instrText>
      </w:r>
      <w:r>
        <w:fldChar w:fldCharType="separate"/>
      </w:r>
      <w:r>
        <w:t>253</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_Toc19282 </w:instrText>
      </w:r>
      <w:r>
        <w:rPr>
          <w:szCs w:val="24"/>
        </w:rPr>
        <w:fldChar w:fldCharType="separate"/>
      </w:r>
      <w:r>
        <w:rPr>
          <w:rFonts w:eastAsia="楷体"/>
          <w:szCs w:val="36"/>
        </w:rPr>
        <w:t>附件</w:t>
      </w:r>
      <w:r>
        <w:rPr>
          <w:rFonts w:hint="eastAsia" w:eastAsia="楷体"/>
          <w:szCs w:val="36"/>
          <w:lang w:val="en-US" w:eastAsia="zh-CN"/>
        </w:rPr>
        <w:t>17</w:t>
      </w:r>
      <w:r>
        <w:rPr>
          <w:rFonts w:eastAsia="楷体"/>
          <w:szCs w:val="36"/>
        </w:rPr>
        <w:t xml:space="preserve"> 安全教育培训资料</w:t>
      </w:r>
      <w:r>
        <w:tab/>
      </w:r>
      <w:r>
        <w:fldChar w:fldCharType="begin"/>
      </w:r>
      <w:r>
        <w:instrText xml:space="preserve"> PAGEREF _Toc19282 \h </w:instrText>
      </w:r>
      <w:r>
        <w:fldChar w:fldCharType="separate"/>
      </w:r>
      <w:r>
        <w:t>261</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_Toc18453 </w:instrText>
      </w:r>
      <w:r>
        <w:rPr>
          <w:szCs w:val="24"/>
        </w:rPr>
        <w:fldChar w:fldCharType="separate"/>
      </w:r>
      <w:r>
        <w:rPr>
          <w:rFonts w:eastAsia="楷体"/>
          <w:szCs w:val="36"/>
        </w:rPr>
        <w:t>附件</w:t>
      </w:r>
      <w:r>
        <w:rPr>
          <w:rFonts w:hint="eastAsia" w:eastAsia="楷体"/>
          <w:szCs w:val="36"/>
          <w:lang w:val="en-US" w:eastAsia="zh-CN"/>
        </w:rPr>
        <w:t>18</w:t>
      </w:r>
      <w:r>
        <w:rPr>
          <w:rFonts w:eastAsia="楷体"/>
          <w:szCs w:val="36"/>
        </w:rPr>
        <w:t xml:space="preserve"> 劳动防护用品发放记录</w:t>
      </w:r>
      <w:r>
        <w:tab/>
      </w:r>
      <w:r>
        <w:fldChar w:fldCharType="begin"/>
      </w:r>
      <w:r>
        <w:instrText xml:space="preserve"> PAGEREF _Toc18453 \h </w:instrText>
      </w:r>
      <w:r>
        <w:fldChar w:fldCharType="separate"/>
      </w:r>
      <w:r>
        <w:t>277</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_Toc9367 </w:instrText>
      </w:r>
      <w:r>
        <w:rPr>
          <w:szCs w:val="24"/>
        </w:rPr>
        <w:fldChar w:fldCharType="separate"/>
      </w:r>
      <w:r>
        <w:rPr>
          <w:rFonts w:hint="eastAsia" w:eastAsia="楷体"/>
          <w:szCs w:val="36"/>
        </w:rPr>
        <w:t>附件</w:t>
      </w:r>
      <w:r>
        <w:rPr>
          <w:rFonts w:hint="eastAsia" w:eastAsia="楷体"/>
          <w:szCs w:val="36"/>
          <w:lang w:val="en-US" w:eastAsia="zh-CN"/>
        </w:rPr>
        <w:t>19</w:t>
      </w:r>
      <w:r>
        <w:rPr>
          <w:rFonts w:hint="eastAsia" w:eastAsia="楷体"/>
          <w:szCs w:val="36"/>
        </w:rPr>
        <w:t xml:space="preserve"> </w:t>
      </w:r>
      <w:r>
        <w:rPr>
          <w:rFonts w:hint="eastAsia" w:eastAsia="楷体"/>
          <w:szCs w:val="36"/>
          <w:shd w:val="clear"/>
        </w:rPr>
        <w:t>安全</w:t>
      </w:r>
      <w:r>
        <w:rPr>
          <w:rFonts w:hint="eastAsia" w:eastAsia="楷体"/>
          <w:szCs w:val="36"/>
          <w:shd w:val="clear"/>
          <w:lang w:val="en-US" w:eastAsia="zh-CN"/>
        </w:rPr>
        <w:t>投入情况</w:t>
      </w:r>
      <w:r>
        <w:tab/>
      </w:r>
      <w:r>
        <w:fldChar w:fldCharType="begin"/>
      </w:r>
      <w:r>
        <w:instrText xml:space="preserve"> PAGEREF _Toc9367 \h </w:instrText>
      </w:r>
      <w:r>
        <w:fldChar w:fldCharType="separate"/>
      </w:r>
      <w:r>
        <w:t>282</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_Toc20765 </w:instrText>
      </w:r>
      <w:r>
        <w:rPr>
          <w:szCs w:val="24"/>
        </w:rPr>
        <w:fldChar w:fldCharType="separate"/>
      </w:r>
      <w:r>
        <w:rPr>
          <w:rFonts w:eastAsia="楷体"/>
          <w:szCs w:val="36"/>
        </w:rPr>
        <w:t>附件</w:t>
      </w:r>
      <w:r>
        <w:rPr>
          <w:rFonts w:hint="eastAsia" w:eastAsia="楷体"/>
          <w:szCs w:val="36"/>
          <w:lang w:val="en-US" w:eastAsia="zh-CN"/>
        </w:rPr>
        <w:t>20</w:t>
      </w:r>
      <w:r>
        <w:rPr>
          <w:rFonts w:hint="eastAsia" w:eastAsia="楷体"/>
          <w:szCs w:val="36"/>
          <w:shd w:val="clear"/>
        </w:rPr>
        <w:t xml:space="preserve"> </w:t>
      </w:r>
      <w:r>
        <w:rPr>
          <w:rFonts w:eastAsia="楷体"/>
          <w:szCs w:val="36"/>
          <w:shd w:val="clear"/>
        </w:rPr>
        <w:t>安全生产责任制封面及目录</w:t>
      </w:r>
      <w:r>
        <w:tab/>
      </w:r>
      <w:r>
        <w:fldChar w:fldCharType="begin"/>
      </w:r>
      <w:r>
        <w:instrText xml:space="preserve"> PAGEREF _Toc20765 \h </w:instrText>
      </w:r>
      <w:r>
        <w:fldChar w:fldCharType="separate"/>
      </w:r>
      <w:r>
        <w:t>290</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_Toc5656 </w:instrText>
      </w:r>
      <w:r>
        <w:rPr>
          <w:szCs w:val="24"/>
        </w:rPr>
        <w:fldChar w:fldCharType="separate"/>
      </w:r>
      <w:r>
        <w:rPr>
          <w:rFonts w:eastAsia="楷体"/>
          <w:szCs w:val="36"/>
          <w:shd w:val="clear"/>
        </w:rPr>
        <w:t>附件</w:t>
      </w:r>
      <w:r>
        <w:rPr>
          <w:rFonts w:hint="eastAsia" w:eastAsia="楷体"/>
          <w:szCs w:val="36"/>
          <w:shd w:val="clear"/>
          <w:lang w:val="en-US" w:eastAsia="zh-CN"/>
        </w:rPr>
        <w:t>21</w:t>
      </w:r>
      <w:r>
        <w:rPr>
          <w:rFonts w:hint="eastAsia" w:eastAsia="楷体"/>
          <w:szCs w:val="36"/>
          <w:shd w:val="clear"/>
        </w:rPr>
        <w:t xml:space="preserve"> </w:t>
      </w:r>
      <w:r>
        <w:rPr>
          <w:rFonts w:eastAsia="楷体"/>
          <w:szCs w:val="36"/>
          <w:shd w:val="clear"/>
        </w:rPr>
        <w:t>安全管理制度封面及目录</w:t>
      </w:r>
      <w:r>
        <w:tab/>
      </w:r>
      <w:r>
        <w:fldChar w:fldCharType="begin"/>
      </w:r>
      <w:r>
        <w:instrText xml:space="preserve"> PAGEREF _Toc5656 \h </w:instrText>
      </w:r>
      <w:r>
        <w:fldChar w:fldCharType="separate"/>
      </w:r>
      <w:r>
        <w:t>292</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_Toc30071 </w:instrText>
      </w:r>
      <w:r>
        <w:rPr>
          <w:szCs w:val="24"/>
        </w:rPr>
        <w:fldChar w:fldCharType="separate"/>
      </w:r>
      <w:r>
        <w:rPr>
          <w:rFonts w:eastAsia="楷体"/>
          <w:szCs w:val="44"/>
        </w:rPr>
        <w:t>附件</w:t>
      </w:r>
      <w:r>
        <w:rPr>
          <w:rFonts w:hint="eastAsia" w:eastAsia="楷体"/>
          <w:szCs w:val="44"/>
          <w:lang w:val="en-US" w:eastAsia="zh-CN"/>
        </w:rPr>
        <w:t>22</w:t>
      </w:r>
      <w:r>
        <w:rPr>
          <w:rFonts w:hint="eastAsia" w:eastAsia="楷体"/>
          <w:szCs w:val="44"/>
        </w:rPr>
        <w:t xml:space="preserve"> </w:t>
      </w:r>
      <w:r>
        <w:rPr>
          <w:rFonts w:eastAsia="楷体"/>
          <w:szCs w:val="44"/>
        </w:rPr>
        <w:t>操作规程封面及目录</w:t>
      </w:r>
      <w:r>
        <w:tab/>
      </w:r>
      <w:r>
        <w:fldChar w:fldCharType="begin"/>
      </w:r>
      <w:r>
        <w:instrText xml:space="preserve"> PAGEREF _Toc30071 \h </w:instrText>
      </w:r>
      <w:r>
        <w:fldChar w:fldCharType="separate"/>
      </w:r>
      <w:r>
        <w:t>294</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_Toc25242 </w:instrText>
      </w:r>
      <w:r>
        <w:rPr>
          <w:szCs w:val="24"/>
        </w:rPr>
        <w:fldChar w:fldCharType="separate"/>
      </w:r>
      <w:r>
        <w:rPr>
          <w:rFonts w:hint="eastAsia" w:eastAsia="楷体"/>
          <w:szCs w:val="36"/>
          <w:lang w:val="en-US" w:eastAsia="zh-CN"/>
        </w:rPr>
        <w:t>附件23 危险作业JSA分析记录及作业许可证详见报告</w:t>
      </w:r>
      <w:r>
        <w:tab/>
      </w:r>
      <w:r>
        <w:fldChar w:fldCharType="begin"/>
      </w:r>
      <w:r>
        <w:instrText xml:space="preserve"> PAGEREF _Toc25242 \h </w:instrText>
      </w:r>
      <w:r>
        <w:fldChar w:fldCharType="separate"/>
      </w:r>
      <w:r>
        <w:t>297</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_Toc30431 </w:instrText>
      </w:r>
      <w:r>
        <w:rPr>
          <w:szCs w:val="24"/>
        </w:rPr>
        <w:fldChar w:fldCharType="separate"/>
      </w:r>
      <w:r>
        <w:rPr>
          <w:rFonts w:hint="eastAsia" w:eastAsia="楷体"/>
          <w:szCs w:val="36"/>
          <w:lang w:val="en-US" w:eastAsia="zh-CN"/>
        </w:rPr>
        <w:t>附件24 承包商管理</w:t>
      </w:r>
      <w:r>
        <w:tab/>
      </w:r>
      <w:r>
        <w:fldChar w:fldCharType="begin"/>
      </w:r>
      <w:r>
        <w:instrText xml:space="preserve"> PAGEREF _Toc30431 \h </w:instrText>
      </w:r>
      <w:r>
        <w:fldChar w:fldCharType="separate"/>
      </w:r>
      <w:r>
        <w:t>299</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_Toc28340 </w:instrText>
      </w:r>
      <w:r>
        <w:rPr>
          <w:szCs w:val="24"/>
        </w:rPr>
        <w:fldChar w:fldCharType="separate"/>
      </w:r>
      <w:r>
        <w:rPr>
          <w:rFonts w:hint="eastAsia" w:eastAsia="楷体"/>
          <w:szCs w:val="36"/>
          <w:lang w:val="en-US" w:eastAsia="zh-CN"/>
        </w:rPr>
        <w:t>附件25 设备租赁合同</w:t>
      </w:r>
      <w:r>
        <w:tab/>
      </w:r>
      <w:r>
        <w:fldChar w:fldCharType="begin"/>
      </w:r>
      <w:r>
        <w:instrText xml:space="preserve"> PAGEREF _Toc28340 \h </w:instrText>
      </w:r>
      <w:r>
        <w:fldChar w:fldCharType="separate"/>
      </w:r>
      <w:r>
        <w:t>304</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pPr>
      <w:r>
        <w:rPr>
          <w:color w:val="0070C0"/>
          <w:szCs w:val="24"/>
        </w:rPr>
        <w:fldChar w:fldCharType="begin"/>
      </w:r>
      <w:r>
        <w:rPr>
          <w:szCs w:val="24"/>
        </w:rPr>
        <w:instrText xml:space="preserve"> HYPERLINK \l _Toc21045 </w:instrText>
      </w:r>
      <w:r>
        <w:rPr>
          <w:szCs w:val="24"/>
        </w:rPr>
        <w:fldChar w:fldCharType="separate"/>
      </w:r>
      <w:r>
        <w:rPr>
          <w:rFonts w:hint="eastAsia" w:eastAsia="楷体"/>
          <w:szCs w:val="36"/>
          <w:lang w:val="en-US" w:eastAsia="zh-CN"/>
        </w:rPr>
        <w:t>附件26 车辆出厂合格证及行驶证（部分）</w:t>
      </w:r>
      <w:r>
        <w:tab/>
      </w:r>
      <w:r>
        <w:fldChar w:fldCharType="begin"/>
      </w:r>
      <w:r>
        <w:instrText xml:space="preserve"> PAGEREF _Toc21045 \h </w:instrText>
      </w:r>
      <w:r>
        <w:fldChar w:fldCharType="separate"/>
      </w:r>
      <w:r>
        <w:t>324</w:t>
      </w:r>
      <w:r>
        <w:fldChar w:fldCharType="end"/>
      </w:r>
      <w:r>
        <w:rPr>
          <w:color w:val="0070C0"/>
          <w:szCs w:val="24"/>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hint="default" w:eastAsia="宋体"/>
          <w:color w:val="auto"/>
          <w:sz w:val="24"/>
          <w:szCs w:val="24"/>
          <w:lang w:val="en-US" w:eastAsia="zh-CN"/>
        </w:rPr>
      </w:pPr>
      <w:r>
        <w:rPr>
          <w:color w:val="0070C0"/>
          <w:szCs w:val="24"/>
        </w:rPr>
        <w:fldChar w:fldCharType="end"/>
      </w:r>
      <w:r>
        <w:rPr>
          <w:rFonts w:hint="eastAsia" w:eastAsia="楷体"/>
          <w:szCs w:val="36"/>
          <w:lang w:val="en-US" w:eastAsia="zh-CN"/>
        </w:rPr>
        <w:fldChar w:fldCharType="begin"/>
      </w:r>
      <w:r>
        <w:rPr>
          <w:rFonts w:hint="eastAsia" w:eastAsia="楷体"/>
          <w:szCs w:val="36"/>
          <w:lang w:val="en-US" w:eastAsia="zh-CN"/>
        </w:rPr>
        <w:instrText xml:space="preserve"> HYPERLINK \l _Toc8714 </w:instrText>
      </w:r>
      <w:r>
        <w:rPr>
          <w:rFonts w:hint="eastAsia" w:eastAsia="楷体"/>
          <w:szCs w:val="36"/>
          <w:lang w:val="en-US" w:eastAsia="zh-CN"/>
        </w:rPr>
        <w:fldChar w:fldCharType="separate"/>
      </w:r>
      <w:r>
        <w:rPr>
          <w:rFonts w:hint="eastAsia" w:eastAsia="楷体"/>
          <w:szCs w:val="36"/>
          <w:lang w:val="en-US" w:eastAsia="zh-CN"/>
        </w:rPr>
        <w:t>附件27 专家评审意见及报告修改说明</w:t>
      </w:r>
      <w:r>
        <w:rPr>
          <w:rFonts w:hint="eastAsia" w:eastAsia="楷体"/>
          <w:szCs w:val="36"/>
          <w:lang w:val="en-US" w:eastAsia="zh-CN"/>
        </w:rPr>
        <w:tab/>
      </w:r>
      <w:r>
        <w:rPr>
          <w:rFonts w:hint="eastAsia" w:eastAsia="楷体"/>
          <w:szCs w:val="36"/>
          <w:lang w:val="en-US" w:eastAsia="zh-CN"/>
        </w:rPr>
        <w:t>3</w:t>
      </w:r>
      <w:r>
        <w:rPr>
          <w:rFonts w:hint="eastAsia" w:eastAsia="楷体"/>
          <w:szCs w:val="36"/>
          <w:lang w:val="en-US" w:eastAsia="zh-CN"/>
        </w:rPr>
        <w:fldChar w:fldCharType="end"/>
      </w:r>
      <w:r>
        <w:rPr>
          <w:rFonts w:hint="eastAsia" w:eastAsia="楷体"/>
          <w:szCs w:val="36"/>
          <w:lang w:val="en-US" w:eastAsia="zh-CN"/>
        </w:rPr>
        <w:t>28</w:t>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hint="default"/>
          <w:sz w:val="24"/>
          <w:szCs w:val="24"/>
          <w:lang w:val="en-US" w:eastAsia="zh-CN"/>
        </w:rPr>
        <w:sectPr>
          <w:headerReference r:id="rId10" w:type="defaul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p>
    <w:p>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eastAsia="楷体_GB2312"/>
          <w:b/>
          <w:color w:val="000000" w:themeColor="text1"/>
          <w:sz w:val="36"/>
          <w:szCs w:val="36"/>
          <w14:textFill>
            <w14:solidFill>
              <w14:schemeClr w14:val="tx1"/>
            </w14:solidFill>
          </w14:textFill>
        </w:rPr>
      </w:pPr>
      <w:bookmarkStart w:id="0" w:name="_Toc30461"/>
      <w:r>
        <w:rPr>
          <w:rFonts w:eastAsia="楷体_GB2312"/>
          <w:b/>
          <w:color w:val="000000" w:themeColor="text1"/>
          <w:sz w:val="36"/>
          <w:szCs w:val="36"/>
          <w14:textFill>
            <w14:solidFill>
              <w14:schemeClr w14:val="tx1"/>
            </w14:solidFill>
          </w14:textFill>
        </w:rPr>
        <w:t>1 总则</w:t>
      </w:r>
      <w:bookmarkEnd w:id="0"/>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 w:name="_Toc202759398"/>
      <w:bookmarkStart w:id="2" w:name="_Toc7711"/>
      <w:r>
        <w:rPr>
          <w:rFonts w:ascii="Times New Roman" w:hAnsi="Times New Roman"/>
          <w:b w:val="0"/>
          <w:bCs/>
          <w:color w:val="000000" w:themeColor="text1"/>
          <w:szCs w:val="32"/>
          <w14:textFill>
            <w14:solidFill>
              <w14:schemeClr w14:val="tx1"/>
            </w14:solidFill>
          </w14:textFill>
        </w:rPr>
        <w:t>1.1 评价目的</w:t>
      </w:r>
      <w:bookmarkEnd w:id="1"/>
      <w:bookmarkEnd w:id="2"/>
    </w:p>
    <w:p>
      <w:p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按照《安全生产许可证条例》（国务院令[2004]第397号，2014修订版）、《非煤矿矿山企业安全生产许可证实施办法》（国家安全生产监督管理总局令[2009]第20号，2015修订版）的规定，陆上石油天然气企业必须进行安全现状评价，通过评价做出客观的评价结论，明确被评价单位是否具备陆上石油天然气企业的各项安全生产条件，为应急管理部门实施监督管理提供依据。</w:t>
      </w:r>
    </w:p>
    <w:p>
      <w:pPr>
        <w:adjustRightInd w:val="0"/>
        <w:snapToGrid w:val="0"/>
        <w:spacing w:line="360" w:lineRule="auto"/>
        <w:ind w:firstLine="560" w:firstLineChars="200"/>
        <w:rPr>
          <w:color w:val="000000" w:themeColor="text1"/>
          <w:kern w:val="0"/>
          <w:sz w:val="28"/>
          <w:szCs w:val="28"/>
          <w14:textFill>
            <w14:solidFill>
              <w14:schemeClr w14:val="tx1"/>
            </w14:solidFill>
          </w14:textFill>
        </w:rPr>
      </w:pP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通过对山东胜利油田鸿欣石油技术有限公司井下作业项目现有的生产设施、设备的实际运行状况及管理状况的调查、分析，识别作业</w:t>
      </w:r>
      <w:r>
        <w:rPr>
          <w:color w:val="000000" w:themeColor="text1"/>
          <w:kern w:val="0"/>
          <w:sz w:val="28"/>
          <w:szCs w:val="28"/>
          <w14:textFill>
            <w14:solidFill>
              <w14:schemeClr w14:val="tx1"/>
            </w14:solidFill>
          </w14:textFill>
        </w:rPr>
        <w:t>过程中存在的主要危险、有害因素，对企业在现场作业、安全管理方面与标准和法规的符合性进行评价，对不符合国家标准的</w:t>
      </w:r>
      <w:r>
        <w:rPr>
          <w:rFonts w:hint="eastAsia"/>
          <w:color w:val="000000" w:themeColor="text1"/>
          <w:kern w:val="0"/>
          <w:sz w:val="28"/>
          <w:szCs w:val="28"/>
          <w14:textFill>
            <w14:solidFill>
              <w14:schemeClr w14:val="tx1"/>
            </w14:solidFill>
          </w14:textFill>
        </w:rPr>
        <w:t>做</w:t>
      </w:r>
      <w:r>
        <w:rPr>
          <w:color w:val="000000" w:themeColor="text1"/>
          <w:kern w:val="0"/>
          <w:sz w:val="28"/>
          <w:szCs w:val="28"/>
          <w14:textFill>
            <w14:solidFill>
              <w14:schemeClr w14:val="tx1"/>
            </w14:solidFill>
          </w14:textFill>
        </w:rPr>
        <w:t>法提出整改建议并补充相应的安全对策措施。</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 w:name="_Toc28279"/>
      <w:r>
        <w:rPr>
          <w:rFonts w:ascii="Times New Roman" w:hAnsi="Times New Roman"/>
          <w:b w:val="0"/>
          <w:bCs/>
          <w:color w:val="000000" w:themeColor="text1"/>
          <w:szCs w:val="32"/>
          <w14:textFill>
            <w14:solidFill>
              <w14:schemeClr w14:val="tx1"/>
            </w14:solidFill>
          </w14:textFill>
        </w:rPr>
        <w:t>1.2 评价依据</w:t>
      </w:r>
      <w:bookmarkEnd w:id="3"/>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bookmarkStart w:id="4" w:name="_Toc215277128"/>
      <w:bookmarkStart w:id="5" w:name="_Toc215277127"/>
      <w:r>
        <w:rPr>
          <w:rFonts w:eastAsia="黑体"/>
          <w:b w:val="0"/>
          <w:snapToGrid w:val="0"/>
          <w:color w:val="000000" w:themeColor="text1"/>
          <w:kern w:val="0"/>
          <w:sz w:val="28"/>
          <w:szCs w:val="28"/>
          <w14:textFill>
            <w14:solidFill>
              <w14:schemeClr w14:val="tx1"/>
            </w14:solidFill>
          </w14:textFill>
        </w:rPr>
        <w:t>1.2.1 法律</w:t>
      </w:r>
    </w:p>
    <w:p>
      <w:pPr>
        <w:pStyle w:val="127"/>
        <w:numPr>
          <w:ilvl w:val="0"/>
          <w:numId w:val="3"/>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《中华人民共和国安全生产法》（2002年6月29日第九届</w:t>
      </w: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"https://baike.baidu.com/item/%E5%85%A8%E5%9B%BD%E4%BA%BA%E6%B0%91%E4%BB%A3%E8%A1%A8%E5%A4%A7%E4%BC%9A/117422" \t "https://baike.baidu.com/item/%E4%B8%AD%E5%8D%8E%E4%BA%BA%E6%B0%91%E5%85%B1%E5%92%8C%E5%9B%BD%E5%AE%89%E5%85%A8%E7%94%9F%E4%BA%A7%E6%B3%95/_blank"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全国人民代表大会</w:t>
      </w:r>
      <w:r>
        <w:rPr>
          <w:rFonts w:hint="default" w:ascii="Times New Roman" w:hAnsi="Times New Roman" w:eastAsia="宋体" w:cs="Times New Roman"/>
          <w:color w:val="auto"/>
          <w:sz w:val="28"/>
        </w:rPr>
        <w:fldChar w:fldCharType="end"/>
      </w:r>
      <w:r>
        <w:rPr>
          <w:rFonts w:hint="default" w:ascii="Times New Roman" w:hAnsi="Times New Roman" w:eastAsia="宋体" w:cs="Times New Roman"/>
          <w:color w:val="auto"/>
          <w:sz w:val="28"/>
        </w:rPr>
        <w:t>常务委员会第二十八次会议通过</w:t>
      </w:r>
      <w:r>
        <w:rPr>
          <w:rFonts w:hint="eastAsia" w:ascii="Times New Roman" w:hAnsi="Times New Roman" w:eastAsia="宋体" w:cs="Times New Roman"/>
          <w:color w:val="auto"/>
          <w:sz w:val="28"/>
        </w:rPr>
        <w:t>，</w:t>
      </w:r>
      <w:r>
        <w:rPr>
          <w:rFonts w:hint="default" w:ascii="Times New Roman" w:hAnsi="Times New Roman" w:eastAsia="宋体" w:cs="Times New Roman"/>
          <w:color w:val="auto"/>
          <w:sz w:val="28"/>
        </w:rPr>
        <w:t>2021年6月10日第十三届全国人民代表大会常务委员会第二十九次会议《关于修改&lt;中华人民共和国安全生产法&gt;的决定》第三次修正。）</w:t>
      </w:r>
    </w:p>
    <w:p>
      <w:pPr>
        <w:pStyle w:val="127"/>
        <w:numPr>
          <w:ilvl w:val="0"/>
          <w:numId w:val="3"/>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《中华人民共和国劳动法》（1994年7月5日</w:t>
      </w: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第八届全国人民代表大会常务委员会</w:t>
      </w:r>
      <w:r>
        <w:rPr>
          <w:rFonts w:hint="default" w:ascii="Times New Roman" w:hAnsi="Times New Roman" w:eastAsia="宋体" w:cs="Times New Roman"/>
          <w:color w:val="auto"/>
          <w:sz w:val="28"/>
        </w:rPr>
        <w:fldChar w:fldCharType="end"/>
      </w:r>
      <w:r>
        <w:rPr>
          <w:rFonts w:hint="default" w:ascii="Times New Roman" w:hAnsi="Times New Roman" w:eastAsia="宋体" w:cs="Times New Roman"/>
          <w:color w:val="auto"/>
          <w:sz w:val="28"/>
        </w:rPr>
        <w:t>第八次会议通过，根据2018年12月29日</w:t>
      </w: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第十三届全国人民代表大会常务委员会</w:t>
      </w:r>
      <w:r>
        <w:rPr>
          <w:rFonts w:hint="default" w:ascii="Times New Roman" w:hAnsi="Times New Roman" w:eastAsia="宋体" w:cs="Times New Roman"/>
          <w:color w:val="auto"/>
          <w:sz w:val="28"/>
        </w:rPr>
        <w:fldChar w:fldCharType="end"/>
      </w:r>
      <w:r>
        <w:rPr>
          <w:rFonts w:hint="default" w:ascii="Times New Roman" w:hAnsi="Times New Roman" w:eastAsia="宋体" w:cs="Times New Roman"/>
          <w:color w:val="auto"/>
          <w:sz w:val="28"/>
        </w:rPr>
        <w:t>第七次会议《关于修改〈中华人民共和国劳动法〉等七部法律的决定》第二次修正。）</w:t>
      </w:r>
    </w:p>
    <w:p>
      <w:pPr>
        <w:pStyle w:val="127"/>
        <w:numPr>
          <w:ilvl w:val="0"/>
          <w:numId w:val="3"/>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《中华人民共和国突发事件应对法》（主席令[2007]第69号</w:t>
      </w:r>
      <w:r>
        <w:rPr>
          <w:rFonts w:hint="eastAsia" w:ascii="Times New Roman" w:hAnsi="Times New Roman" w:eastAsia="宋体" w:cs="Times New Roman"/>
          <w:color w:val="auto"/>
          <w:sz w:val="28"/>
        </w:rPr>
        <w:t>，</w:t>
      </w: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"https://baike.baidu.com/item/%E4%B8%AD%E5%8D%8E%E4%BA%BA%E6%B0%91%E5%85%B1%E5%92%8C%E5%9B%BD%E7%AC%AC%E5%8D%81%E5%B1%8A%E5%85%A8%E5%9B%BD%E4%BA%BA%E6%B0%91%E4%BB%A3%E8%A1%A8%E5%A4%A7%E4%BC%9A" \t "https://baike.baidu.com/item/%E4%B8%AD%E5%8D%8E%E4%BA%BA%E6%B0%91%E5%85%B1%E5%92%8C%E5%9B%BD%E7%AA%81%E5%8F%91%E4%BA%8B%E4%BB%B6%E5%BA%94%E5%AF%B9%E6%B3%95/_blank"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中华人民共和国第十届全国人民代表大会</w:t>
      </w:r>
      <w:r>
        <w:rPr>
          <w:rFonts w:hint="default" w:ascii="Times New Roman" w:hAnsi="Times New Roman" w:eastAsia="宋体" w:cs="Times New Roman"/>
          <w:color w:val="auto"/>
          <w:sz w:val="28"/>
        </w:rPr>
        <w:fldChar w:fldCharType="end"/>
      </w:r>
      <w:r>
        <w:rPr>
          <w:rFonts w:hint="default" w:ascii="Times New Roman" w:hAnsi="Times New Roman" w:eastAsia="宋体" w:cs="Times New Roman"/>
          <w:color w:val="auto"/>
          <w:sz w:val="28"/>
        </w:rPr>
        <w:t>常务委员会第二十九次会议于2007年8月30日通过，自2007年11月1日起施行。）</w:t>
      </w:r>
    </w:p>
    <w:p>
      <w:pPr>
        <w:pStyle w:val="127"/>
        <w:numPr>
          <w:ilvl w:val="0"/>
          <w:numId w:val="3"/>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《中华人民共和国消防法》（1998年4月29日第九届全国人民代表大会常务委员会第二次会议通过，根据2021年4月29日第十三届全国人民代表大会常务委员会第二十八次会议《关于修改〈</w:t>
      </w: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"https://baike.baidu.com/item/%E4%B8%AD%E5%8D%8E%E4%BA%BA%E6%B0%91%E5%85%B1%E5%92%8C%E5%9B%BD%E9%81%93%E8%B7%AF%E4%BA%A4%E9%80%9A%E5%AE%89%E5%85%A8%E6%B3%95/149277" \t "https://baike.baidu.com/item/%E4%B8%AD%E5%8D%8E%E4%BA%BA%E6%B0%91%E5%85%B1%E5%92%8C%E5%9B%BD%E6%B6%88%E9%98%B2%E6%B3%95/_blank"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中华人民共和国道路交通安全法</w:t>
      </w:r>
      <w:r>
        <w:rPr>
          <w:rFonts w:hint="default" w:ascii="Times New Roman" w:hAnsi="Times New Roman" w:eastAsia="宋体" w:cs="Times New Roman"/>
          <w:color w:val="auto"/>
          <w:sz w:val="28"/>
        </w:rPr>
        <w:fldChar w:fldCharType="end"/>
      </w:r>
      <w:r>
        <w:rPr>
          <w:rFonts w:hint="default" w:ascii="Times New Roman" w:hAnsi="Times New Roman" w:eastAsia="宋体" w:cs="Times New Roman"/>
          <w:color w:val="auto"/>
          <w:sz w:val="28"/>
        </w:rPr>
        <w:t>〉等八部法律的决定》第二次修正。）</w:t>
      </w:r>
    </w:p>
    <w:p>
      <w:pPr>
        <w:pStyle w:val="127"/>
        <w:numPr>
          <w:ilvl w:val="0"/>
          <w:numId w:val="3"/>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《中华人民共和国防震减灾法》（第八届全国人民代表大会常务委员会第二十九次会议于1997年12月29日通过，</w:t>
      </w:r>
      <w:r>
        <w:rPr>
          <w:rFonts w:hint="eastAsia" w:ascii="Times New Roman" w:hAnsi="Times New Roman" w:eastAsia="宋体" w:cs="Times New Roman"/>
          <w:color w:val="auto"/>
          <w:sz w:val="28"/>
        </w:rPr>
        <w:t>2</w:t>
      </w:r>
      <w:r>
        <w:rPr>
          <w:rFonts w:hint="default" w:ascii="Times New Roman" w:hAnsi="Times New Roman" w:eastAsia="宋体" w:cs="Times New Roman"/>
          <w:color w:val="auto"/>
          <w:sz w:val="28"/>
        </w:rPr>
        <w:t>008年12月27日第十一届全国人民代表大会常务委员会第六次会议修订</w:t>
      </w:r>
      <w:r>
        <w:rPr>
          <w:rFonts w:hint="eastAsia" w:ascii="Times New Roman" w:hAnsi="Times New Roman" w:eastAsia="宋体" w:cs="Times New Roman"/>
          <w:color w:val="auto"/>
          <w:sz w:val="28"/>
        </w:rPr>
        <w:t>。</w:t>
      </w:r>
      <w:r>
        <w:rPr>
          <w:rFonts w:hint="default" w:ascii="Times New Roman" w:hAnsi="Times New Roman" w:eastAsia="宋体" w:cs="Times New Roman"/>
          <w:color w:val="auto"/>
          <w:sz w:val="28"/>
        </w:rPr>
        <w:t>）</w:t>
      </w:r>
    </w:p>
    <w:p>
      <w:pPr>
        <w:pStyle w:val="127"/>
        <w:numPr>
          <w:ilvl w:val="0"/>
          <w:numId w:val="3"/>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《中华人民共和国职业病防治法》（2001年10月27日第九届</w:t>
      </w: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"https://baike.baidu.com/item/%E5%85%A8%E5%9B%BD%E4%BA%BA%E6%B0%91%E4%BB%A3%E8%A1%A8%E5%A4%A7%E4%BC%9A/117422" \t "https://baike.baidu.com/item/%E4%B8%AD%E5%8D%8E%E4%BA%BA%E6%B0%91%E5%85%B1%E5%92%8C%E5%9B%BD%E8%81%8C%E4%B8%9A%E7%97%85%E9%98%B2%E6%B2%BB%E6%B3%95/_blank"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全国人民代表大会</w:t>
      </w:r>
      <w:r>
        <w:rPr>
          <w:rFonts w:hint="default" w:ascii="Times New Roman" w:hAnsi="Times New Roman" w:eastAsia="宋体" w:cs="Times New Roman"/>
          <w:color w:val="auto"/>
          <w:sz w:val="28"/>
        </w:rPr>
        <w:fldChar w:fldCharType="end"/>
      </w:r>
      <w:r>
        <w:rPr>
          <w:rFonts w:hint="default" w:ascii="Times New Roman" w:hAnsi="Times New Roman" w:eastAsia="宋体" w:cs="Times New Roman"/>
          <w:color w:val="auto"/>
          <w:sz w:val="28"/>
        </w:rPr>
        <w:t>常务委员会第二十四次会议通过，根据2018年12月29日第十三届全国人民代表大会常务委员会第七次会议《关于修改〈中华人民共和国劳动法〉等七部法律的决定》第四次修正。）</w:t>
      </w:r>
    </w:p>
    <w:p>
      <w:pPr>
        <w:pStyle w:val="127"/>
        <w:numPr>
          <w:ilvl w:val="0"/>
          <w:numId w:val="3"/>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《中华人民共和国特种设备安全法》（主席令[2013]第4号</w:t>
      </w:r>
      <w:r>
        <w:rPr>
          <w:rFonts w:hint="eastAsia" w:ascii="Times New Roman" w:hAnsi="Times New Roman" w:eastAsia="宋体" w:cs="Times New Roman"/>
          <w:color w:val="auto"/>
          <w:sz w:val="28"/>
        </w:rPr>
        <w:t>，</w:t>
      </w: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"https://baike.baidu.com/item/%E4%B8%AD%E5%8D%8E%E4%BA%BA%E6%B0%91%E5%85%B1%E5%92%8C%E5%9B%BD%E7%AC%AC%E5%8D%81%E4%BA%8C%E5%B1%8A%E5%85%A8%E5%9B%BD%E4%BA%BA%E6%B0%91%E4%BB%A3%E8%A1%A8%E5%A4%A7%E4%BC%9A%E5%B8%B8%E5%8A%A1%E5%A7%94%E5%91%98%E4%BC%9A/17653996" \t "https://baike.baidu.com/item/%E4%B8%AD%E5%8D%8E%E4%BA%BA%E6%B0%91%E5%85%B1%E5%92%8C%E5%9B%BD%E7%89%B9%E7%A7%8D%E8%AE%BE%E5%A4%87%E5%AE%89%E5%85%A8%E6%B3%95/_blank" </w:instrText>
      </w:r>
      <w:r>
        <w:rPr>
          <w:rFonts w:hint="default" w:ascii="Times New Roman" w:hAnsi="Times New Roman" w:eastAsia="宋体" w:cs="Times New Roman"/>
          <w:color w:val="auto"/>
          <w:sz w:val="28"/>
        </w:rPr>
        <w:fldChar w:fldCharType="separate"/>
      </w:r>
      <w:r>
        <w:rPr>
          <w:rFonts w:hint="eastAsia" w:ascii="Times New Roman" w:hAnsi="Times New Roman" w:eastAsia="宋体" w:cs="Times New Roman"/>
          <w:color w:val="auto"/>
          <w:sz w:val="28"/>
        </w:rPr>
        <w:t>中华人民共和国第十二届全国人民代表大会常务委员会</w:t>
      </w:r>
      <w:r>
        <w:rPr>
          <w:rFonts w:hint="eastAsia" w:ascii="Times New Roman" w:hAnsi="Times New Roman" w:eastAsia="宋体" w:cs="Times New Roman"/>
          <w:color w:val="auto"/>
          <w:sz w:val="28"/>
        </w:rPr>
        <w:fldChar w:fldCharType="end"/>
      </w:r>
      <w:r>
        <w:rPr>
          <w:rFonts w:hint="eastAsia" w:ascii="Times New Roman" w:hAnsi="Times New Roman" w:eastAsia="宋体" w:cs="Times New Roman"/>
          <w:color w:val="auto"/>
          <w:sz w:val="28"/>
        </w:rPr>
        <w:t>第三次会议于2013年6月29日通过，自2014年1月1日起施行。</w:t>
      </w:r>
      <w:r>
        <w:rPr>
          <w:rFonts w:hint="default" w:ascii="Times New Roman" w:hAnsi="Times New Roman" w:eastAsia="宋体" w:cs="Times New Roman"/>
          <w:color w:val="auto"/>
          <w:sz w:val="28"/>
        </w:rPr>
        <w:t>）</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1.2.2 行政法规</w:t>
      </w:r>
    </w:p>
    <w:p>
      <w:pPr>
        <w:pStyle w:val="127"/>
        <w:numPr>
          <w:ilvl w:val="0"/>
          <w:numId w:val="4"/>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《安全生产许可证条例》（</w:t>
      </w:r>
      <w:r>
        <w:rPr>
          <w:rFonts w:hint="eastAsia" w:ascii="Times New Roman" w:hAnsi="Times New Roman" w:eastAsia="宋体" w:cs="Times New Roman"/>
          <w:color w:val="auto"/>
          <w:sz w:val="28"/>
        </w:rPr>
        <w:t>国务院令[2004]第397号，[20</w:t>
      </w:r>
      <w:r>
        <w:rPr>
          <w:rFonts w:hint="eastAsia" w:ascii="Times New Roman" w:hAnsi="Times New Roman" w:eastAsia="宋体" w:cs="Times New Roman"/>
          <w:color w:val="auto"/>
          <w:sz w:val="28"/>
          <w:lang w:val="en-US" w:eastAsia="zh-CN"/>
        </w:rPr>
        <w:t>1</w:t>
      </w:r>
      <w:r>
        <w:rPr>
          <w:rFonts w:hint="eastAsia" w:ascii="Times New Roman" w:hAnsi="Times New Roman" w:eastAsia="宋体" w:cs="Times New Roman"/>
          <w:color w:val="auto"/>
          <w:sz w:val="28"/>
        </w:rPr>
        <w:t>4]第653号修订</w:t>
      </w:r>
      <w:r>
        <w:rPr>
          <w:rFonts w:hint="default" w:ascii="Times New Roman" w:hAnsi="Times New Roman" w:eastAsia="宋体" w:cs="Times New Roman"/>
          <w:color w:val="auto"/>
          <w:sz w:val="28"/>
        </w:rPr>
        <w:t>）</w:t>
      </w:r>
    </w:p>
    <w:p>
      <w:pPr>
        <w:pStyle w:val="127"/>
        <w:numPr>
          <w:ilvl w:val="0"/>
          <w:numId w:val="4"/>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《生产安全事故报告和调查处理条例》（国务院令[2007]第493号）</w:t>
      </w:r>
    </w:p>
    <w:p>
      <w:pPr>
        <w:pStyle w:val="127"/>
        <w:numPr>
          <w:ilvl w:val="0"/>
          <w:numId w:val="4"/>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《特种设备安全监察条例》（国务院令[2009]第549号）</w:t>
      </w:r>
    </w:p>
    <w:p>
      <w:pPr>
        <w:pStyle w:val="127"/>
        <w:numPr>
          <w:ilvl w:val="0"/>
          <w:numId w:val="4"/>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《工伤保险条例》（国务院令[2010]第586号）</w:t>
      </w:r>
    </w:p>
    <w:p>
      <w:pPr>
        <w:pStyle w:val="127"/>
        <w:numPr>
          <w:ilvl w:val="0"/>
          <w:numId w:val="4"/>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w:t>
      </w:r>
      <w:r>
        <w:rPr>
          <w:rFonts w:hint="eastAsia" w:ascii="Times New Roman" w:hAnsi="Times New Roman" w:eastAsia="宋体" w:cs="Times New Roman"/>
          <w:color w:val="auto"/>
          <w:sz w:val="28"/>
          <w:lang w:val="en-US" w:eastAsia="zh-CN"/>
        </w:rPr>
        <w:t>危险化学品管理安全管理条例》（国务院令[2013]第645号修订）</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1.2.3 地方性法规</w:t>
      </w:r>
    </w:p>
    <w:p>
      <w:pPr>
        <w:pStyle w:val="127"/>
        <w:numPr>
          <w:ilvl w:val="0"/>
          <w:numId w:val="5"/>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《山东省安全生产条例》（2021年12月3日山东省第十三届人民代表大会常务委员会第三十二次会议修订）</w:t>
      </w:r>
    </w:p>
    <w:p>
      <w:pPr>
        <w:pStyle w:val="127"/>
        <w:numPr>
          <w:ilvl w:val="0"/>
          <w:numId w:val="5"/>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《山东省消防条例》（山东省第十一届人大常委会第21次会议修订）</w:t>
      </w:r>
    </w:p>
    <w:p>
      <w:pPr>
        <w:pStyle w:val="5"/>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w:t>
      </w:r>
      <w:r>
        <w:rPr>
          <w:rFonts w:hint="eastAsia" w:ascii="Times New Roman" w:hAnsi="Times New Roman" w:eastAsia="宋体" w:cs="Times New Roman"/>
          <w:b w:val="0"/>
          <w:snapToGrid w:val="0"/>
          <w:color w:val="auto"/>
          <w:kern w:val="0"/>
          <w:sz w:val="28"/>
          <w:szCs w:val="28"/>
        </w:rPr>
        <w:t xml:space="preserve">.4 </w:t>
      </w:r>
      <w:r>
        <w:rPr>
          <w:rFonts w:hint="eastAsia" w:ascii="黑体" w:hAnsi="黑体" w:eastAsia="黑体" w:cs="黑体"/>
          <w:b w:val="0"/>
          <w:snapToGrid w:val="0"/>
          <w:color w:val="auto"/>
          <w:kern w:val="0"/>
          <w:sz w:val="28"/>
          <w:szCs w:val="28"/>
        </w:rPr>
        <w:t>部门规章</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《生产经营单位安全培训规定》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国家安全监督管理总局令[2006]第3号，</w:t>
      </w:r>
      <w:r>
        <w:rPr>
          <w:rFonts w:hint="eastAsia" w:ascii="Times New Roman" w:hAnsi="Times New Roman" w:eastAsia="宋体" w:cs="Times New Roman"/>
          <w:color w:val="auto"/>
          <w:sz w:val="28"/>
          <w:lang w:val="en-US" w:eastAsia="zh-CN"/>
        </w:rPr>
        <w:t>第80号</w:t>
      </w:r>
      <w:r>
        <w:rPr>
          <w:rFonts w:hint="eastAsia" w:ascii="Times New Roman" w:hAnsi="Times New Roman" w:eastAsia="宋体" w:cs="Times New Roman"/>
          <w:color w:val="auto"/>
          <w:sz w:val="28"/>
        </w:rPr>
        <w:t>修订</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《生产安全事故罚款处罚规定（试行）》</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国家安全生产监督管理总局令[2007]第13号，第42号</w:t>
      </w:r>
      <w:r>
        <w:rPr>
          <w:rFonts w:hint="default"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第77号修订</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《安全生产事故隐患排查治理暂行规定》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国家安全生产监督管理总局令[2007]第16号</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《非煤矿矿山企业安全生产许可证实施办法》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国家安全生产监督管理总局令[2009]第20号，第78号</w:t>
      </w:r>
      <w:r>
        <w:rPr>
          <w:rFonts w:hint="eastAsia" w:ascii="Times New Roman" w:hAnsi="Times New Roman" w:eastAsia="宋体" w:cs="Times New Roman"/>
          <w:color w:val="auto"/>
          <w:sz w:val="28"/>
          <w:lang w:val="en-US" w:eastAsia="zh-CN"/>
        </w:rPr>
        <w:t>修订</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《特种作业人员安全技术培训考核管理规定》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国家安全生产监督管理总局令[2010]第30号，</w:t>
      </w:r>
      <w:r>
        <w:rPr>
          <w:rFonts w:hint="eastAsia" w:ascii="Times New Roman" w:hAnsi="Times New Roman" w:eastAsia="宋体" w:cs="Times New Roman"/>
          <w:color w:val="auto"/>
          <w:sz w:val="28"/>
          <w:lang w:val="en-US" w:eastAsia="zh-CN"/>
        </w:rPr>
        <w:t>第80号令修订</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《危险化学品重大危险源监督管理暂行规定》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国家安全生产监督管理总局令[2011]第40号，</w:t>
      </w:r>
      <w:r>
        <w:rPr>
          <w:rFonts w:hint="eastAsia" w:ascii="Times New Roman" w:hAnsi="Times New Roman" w:eastAsia="宋体" w:cs="Times New Roman"/>
          <w:color w:val="auto"/>
          <w:sz w:val="28"/>
          <w:lang w:val="en-US" w:eastAsia="zh-CN"/>
        </w:rPr>
        <w:t>第79号</w:t>
      </w:r>
      <w:r>
        <w:rPr>
          <w:rFonts w:hint="eastAsia" w:ascii="Times New Roman" w:hAnsi="Times New Roman" w:eastAsia="宋体" w:cs="Times New Roman"/>
          <w:color w:val="auto"/>
          <w:sz w:val="28"/>
        </w:rPr>
        <w:t>修订版</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《企业安全生产费用提取和使用管理办法》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财企[2012]16号</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《安全生产培训管理办法》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国家安全生产监督管理总局令[2012]第44号，</w:t>
      </w:r>
      <w:r>
        <w:rPr>
          <w:rFonts w:hint="eastAsia" w:ascii="Times New Roman" w:hAnsi="Times New Roman" w:eastAsia="宋体" w:cs="Times New Roman"/>
          <w:color w:val="auto"/>
          <w:sz w:val="28"/>
          <w:lang w:val="en-US" w:eastAsia="zh-CN"/>
        </w:rPr>
        <w:t>第80号修订</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《防雷减灾管理办法》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中国气象局令[201</w:t>
      </w:r>
      <w:r>
        <w:rPr>
          <w:rFonts w:hint="eastAsia" w:ascii="Times New Roman" w:hAnsi="Times New Roman" w:eastAsia="宋体" w:cs="Times New Roman"/>
          <w:color w:val="auto"/>
          <w:sz w:val="28"/>
          <w:lang w:val="en-US" w:eastAsia="zh-CN"/>
        </w:rPr>
        <w:t>3</w:t>
      </w:r>
      <w:r>
        <w:rPr>
          <w:rFonts w:hint="eastAsia" w:ascii="Times New Roman" w:hAnsi="Times New Roman" w:eastAsia="宋体" w:cs="Times New Roman"/>
          <w:color w:val="auto"/>
          <w:sz w:val="28"/>
        </w:rPr>
        <w:t>]第</w:t>
      </w:r>
      <w:r>
        <w:rPr>
          <w:rFonts w:hint="eastAsia" w:ascii="Times New Roman" w:hAnsi="Times New Roman" w:eastAsia="宋体" w:cs="Times New Roman"/>
          <w:color w:val="auto"/>
          <w:sz w:val="28"/>
          <w:lang w:val="en-US" w:eastAsia="zh-CN"/>
        </w:rPr>
        <w:t>24</w:t>
      </w:r>
      <w:r>
        <w:rPr>
          <w:rFonts w:hint="eastAsia" w:ascii="Times New Roman" w:hAnsi="Times New Roman" w:eastAsia="宋体" w:cs="Times New Roman"/>
          <w:color w:val="auto"/>
          <w:sz w:val="28"/>
        </w:rPr>
        <w:t>号</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《非煤矿山外包工程安全管理暂行办法》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国家安全生产监督管理总局令[2013]第62号，第78号</w:t>
      </w:r>
      <w:r>
        <w:rPr>
          <w:rFonts w:hint="eastAsia" w:ascii="Times New Roman" w:hAnsi="Times New Roman" w:eastAsia="宋体" w:cs="Times New Roman"/>
          <w:color w:val="auto"/>
          <w:sz w:val="28"/>
          <w:lang w:val="en-US" w:eastAsia="zh-CN"/>
        </w:rPr>
        <w:t>修订</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《危险化学品目录（2015版）》</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安全监管总局、工业和信息化部、公安部、环境保护部、交通运输部、农业部、国家卫生计生委、质检总局、铁路局、民航局公告[2015]第5号</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《职业病危害因素分类目录》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国卫疾控发[2015]92号</w:t>
      </w:r>
      <w:r>
        <w:rPr>
          <w:rFonts w:hint="eastAsia"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《国家安全监管总局办公厅关于印发危险化学品目录（2015版）实施指南（试行）的通知》</w:t>
      </w:r>
    </w:p>
    <w:p>
      <w:pPr>
        <w:pStyle w:val="127"/>
        <w:numPr>
          <w:ilvl w:val="0"/>
          <w:numId w:val="6"/>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《生产安全事故应急预案管理办法》</w:t>
      </w:r>
      <w:r>
        <w:rPr>
          <w:rFonts w:hint="default" w:ascii="Times New Roman" w:hAnsi="Times New Roman" w:eastAsia="宋体" w:cs="Times New Roman"/>
          <w:color w:val="auto"/>
          <w:sz w:val="28"/>
          <w:lang w:eastAsia="zh-CN"/>
        </w:rPr>
        <w:t>（</w:t>
      </w:r>
      <w:r>
        <w:rPr>
          <w:rFonts w:hint="default" w:ascii="Times New Roman" w:hAnsi="Times New Roman" w:eastAsia="宋体" w:cs="Times New Roman"/>
          <w:color w:val="auto"/>
          <w:sz w:val="28"/>
        </w:rPr>
        <w:t>国家安全生产监督管理总局令[2016]第88号</w:t>
      </w:r>
      <w:r>
        <w:rPr>
          <w:rFonts w:hint="default" w:ascii="Times New Roman" w:hAnsi="Times New Roman" w:eastAsia="宋体" w:cs="Times New Roman"/>
          <w:color w:val="auto"/>
          <w:sz w:val="28"/>
          <w:lang w:val="en-US" w:eastAsia="zh-CN"/>
        </w:rPr>
        <w:t>，应急管理部第2号令修订</w:t>
      </w:r>
      <w:r>
        <w:rPr>
          <w:rFonts w:hint="default" w:ascii="Times New Roman" w:hAnsi="Times New Roman" w:eastAsia="宋体" w:cs="Times New Roman"/>
          <w:color w:val="auto"/>
          <w:sz w:val="28"/>
          <w:lang w:eastAsia="zh-CN"/>
        </w:rPr>
        <w:t>）</w:t>
      </w:r>
    </w:p>
    <w:p>
      <w:pPr>
        <w:pStyle w:val="127"/>
        <w:numPr>
          <w:ilvl w:val="0"/>
          <w:numId w:val="6"/>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《注册安全工程师分类管理办法》（安监总人事[2017]118号）</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default" w:ascii="Times New Roman" w:hAnsi="Times New Roman" w:eastAsia="宋体" w:cs="Times New Roman"/>
          <w:color w:val="auto"/>
          <w:sz w:val="28"/>
        </w:rPr>
        <w:t>《注册安全工程师职业</w:t>
      </w:r>
      <w:r>
        <w:rPr>
          <w:rFonts w:hint="eastAsia" w:ascii="Times New Roman" w:hAnsi="Times New Roman" w:eastAsia="宋体" w:cs="Times New Roman"/>
          <w:color w:val="auto"/>
          <w:sz w:val="28"/>
          <w:lang w:eastAsia="zh-CN"/>
        </w:rPr>
        <w:t>合格</w:t>
      </w:r>
      <w:r>
        <w:rPr>
          <w:rFonts w:hint="default" w:ascii="Times New Roman" w:hAnsi="Times New Roman" w:eastAsia="宋体" w:cs="Times New Roman"/>
          <w:color w:val="auto"/>
          <w:sz w:val="28"/>
        </w:rPr>
        <w:t>制度规定》（应急[2019]8号）</w:t>
      </w:r>
    </w:p>
    <w:p>
      <w:pPr>
        <w:pStyle w:val="127"/>
        <w:numPr>
          <w:ilvl w:val="0"/>
          <w:numId w:val="6"/>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《应急管理部办公厅关于石油天然气企业安全生产许可的复函》</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应急厅[2021]244号</w:t>
      </w:r>
      <w:r>
        <w:rPr>
          <w:rFonts w:hint="eastAsia" w:ascii="Times New Roman" w:hAnsi="Times New Roman" w:eastAsia="宋体" w:cs="Times New Roman"/>
          <w:color w:val="auto"/>
          <w:sz w:val="28"/>
          <w:lang w:eastAsia="zh-CN"/>
        </w:rPr>
        <w:t>）</w:t>
      </w:r>
    </w:p>
    <w:p>
      <w:pPr>
        <w:pStyle w:val="5"/>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w:t>
      </w:r>
      <w:r>
        <w:rPr>
          <w:rFonts w:hint="eastAsia" w:ascii="Times New Roman" w:hAnsi="Times New Roman" w:eastAsia="宋体" w:cs="Times New Roman"/>
          <w:b w:val="0"/>
          <w:snapToGrid w:val="0"/>
          <w:color w:val="auto"/>
          <w:kern w:val="0"/>
          <w:sz w:val="28"/>
          <w:szCs w:val="28"/>
        </w:rPr>
        <w:t xml:space="preserve">.5 </w:t>
      </w:r>
      <w:r>
        <w:rPr>
          <w:rFonts w:hint="eastAsia" w:ascii="黑体" w:hAnsi="黑体" w:eastAsia="黑体" w:cs="黑体"/>
          <w:b w:val="0"/>
          <w:snapToGrid w:val="0"/>
          <w:color w:val="auto"/>
          <w:kern w:val="0"/>
          <w:sz w:val="28"/>
          <w:szCs w:val="28"/>
        </w:rPr>
        <w:t>地方政府规章</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《山东省生产经营单位安全生产主体责任规定》（山东省人民政府令[2018]第311号修订）</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《山东省安全生产风险管控办法》（山东省人民政府令第331号）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《山东省生产安全事故应急办法》（山东省人民政府令第341号）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《山东省生产安全事故隐患排查治理办法》（山东省人民政府令第347号）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《山东省生产安全事故报告和调查处理办法》（山东省人民政府令第342号</w:t>
      </w:r>
      <w:r>
        <w:rPr>
          <w:rFonts w:hint="default" w:ascii="Times New Roman" w:hAnsi="Times New Roman" w:eastAsia="宋体" w:cs="Times New Roman"/>
          <w:color w:val="auto"/>
          <w:sz w:val="28"/>
          <w:lang w:eastAsia="zh-CN"/>
        </w:rPr>
        <w:t>，2022年4月25日，经山东省人民政府令第349号修订</w:t>
      </w:r>
      <w:r>
        <w:rPr>
          <w:rFonts w:hint="eastAsia" w:ascii="Times New Roman" w:hAnsi="Times New Roman" w:eastAsia="宋体" w:cs="Times New Roman"/>
          <w:color w:val="auto"/>
          <w:sz w:val="28"/>
          <w:lang w:val="en-US" w:eastAsia="zh-CN"/>
        </w:rPr>
        <w:t>）</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《硫化氢防护安全管理规定（试行）》（鲁安监发[2008]51号）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《山东省非煤矿矿山企业安全生产许可证实施方案》（鲁安监发[2009]133号）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《关于印发&lt;山东省非煤矿山重特大生产安全事故预防措施&gt;的通知》（鲁安监发[2010]43号）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《关于进一步加强非煤矿山安全生产工作的意见》（鲁安监发[2013]86号）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《关于进一步加强非煤矿山安全生产标准化建设工作的通知》（鲁安监发[2011]146号，2015修订版）</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《关于开展石油天然气企业安全生产标准化建设工作的通知》（鲁安监发[2013]77号，2015修订版）</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《关于认真落实国家安全监管总局62号令切实加强非煤矿山外包工程安全管理的通知》（鲁安监发[2014]28号，2015修订版）</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《关于印发&lt;山东省非煤矿山企业安全生产风险分级监管暂行办法&gt;和&lt;山东省非煤矿山企业安全生产风险分级标准（试行）&gt;的通知》（鲁安监发[2015]151号）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《关于印发山东省生产经营单位全员安全生产责任清单的通知》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鲁安办发[2021]50号</w:t>
      </w:r>
      <w:r>
        <w:rPr>
          <w:rFonts w:hint="eastAsia" w:cs="Times New Roman"/>
          <w:color w:val="auto"/>
          <w:sz w:val="28"/>
          <w:lang w:val="en-US" w:eastAsia="zh-CN"/>
        </w:rPr>
        <w:t>）</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《山东省人民政府办公厅关于印发山东省生产经营单位安全总监制度实施办法（试行）的通知》（鲁政办字[2021]60号）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《关于对钻井、物探、测井、录井、井下作业、油建企业实施安全生产许可的通知》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鲁应急函[2021]86号</w:t>
      </w:r>
      <w:r>
        <w:rPr>
          <w:rFonts w:hint="eastAsia" w:cs="Times New Roman"/>
          <w:color w:val="auto"/>
          <w:sz w:val="28"/>
          <w:lang w:val="en-US" w:eastAsia="zh-CN"/>
        </w:rPr>
        <w:t>）</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《山东省企业安全生产“晨会”制度规范（试行）》（鲁安发[2022]4号）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w:t>
      </w:r>
      <w:r>
        <w:rPr>
          <w:rFonts w:hint="eastAsia" w:cs="Times New Roman"/>
          <w:color w:val="auto"/>
          <w:sz w:val="28"/>
          <w:lang w:val="en-US" w:eastAsia="zh-CN"/>
        </w:rPr>
        <w:t>&lt;</w:t>
      </w:r>
      <w:r>
        <w:rPr>
          <w:rFonts w:hint="eastAsia" w:ascii="Times New Roman" w:hAnsi="Times New Roman" w:eastAsia="宋体" w:cs="Times New Roman"/>
          <w:color w:val="auto"/>
          <w:sz w:val="28"/>
          <w:lang w:val="en-US" w:eastAsia="zh-CN"/>
        </w:rPr>
        <w:t>关于规范和加强安全生产安全生产培训考核工作的实施意见</w:t>
      </w:r>
      <w:r>
        <w:rPr>
          <w:rFonts w:hint="eastAsia" w:cs="Times New Roman"/>
          <w:color w:val="auto"/>
          <w:sz w:val="28"/>
          <w:lang w:val="en-US" w:eastAsia="zh-CN"/>
        </w:rPr>
        <w:t>&gt;</w:t>
      </w:r>
      <w:r>
        <w:rPr>
          <w:rFonts w:hint="eastAsia" w:ascii="Times New Roman" w:hAnsi="Times New Roman" w:eastAsia="宋体" w:cs="Times New Roman"/>
          <w:color w:val="auto"/>
          <w:sz w:val="28"/>
          <w:lang w:val="en-US" w:eastAsia="zh-CN"/>
        </w:rPr>
        <w:t>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鲁应急发</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2022</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6号</w:t>
      </w:r>
      <w:r>
        <w:rPr>
          <w:rFonts w:hint="eastAsia" w:cs="Times New Roman"/>
          <w:color w:val="auto"/>
          <w:sz w:val="28"/>
          <w:lang w:val="en-US" w:eastAsia="zh-CN"/>
        </w:rPr>
        <w:t>）</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《山东省人民政府安全生产委员会办公室山东省应急管理厅关于印发&lt;山东省生产经营单位劳务派遣人员和灵活用工人员安全管理办法&gt;的通知》（鲁应急发[2022]7号）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《重点行业领域重大安全风险隐患清单》（鲁安发[2022]11号）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《山东省生产安全事故现场警示教育办法（试行）》的通知（鲁安办发〔2022〕9号）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《关于加强企业安全生产诊断工作的实施意见》</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鲁安发〔2022〕2号</w:t>
      </w:r>
      <w:r>
        <w:rPr>
          <w:rFonts w:hint="eastAsia" w:cs="Times New Roman"/>
          <w:color w:val="auto"/>
          <w:sz w:val="28"/>
          <w:lang w:val="en-US" w:eastAsia="zh-CN"/>
        </w:rPr>
        <w:t>）</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《关于转发省应急厅〈关于对钻井、物探、测井、录井、钻井作业、油建企业实施安全生产许可的通知〉的通知》（东应急函字</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2021</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49号）</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《东营市应急管理局关于进一步规范非煤矿矿山《安全生产许可证》颁发管理有关问题的函》</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东应急函字[2021]50号</w:t>
      </w:r>
      <w:r>
        <w:rPr>
          <w:rFonts w:hint="eastAsia" w:cs="Times New Roman"/>
          <w:color w:val="auto"/>
          <w:sz w:val="28"/>
          <w:lang w:val="en-US" w:eastAsia="zh-CN"/>
        </w:rPr>
        <w:t>）</w:t>
      </w:r>
    </w:p>
    <w:p>
      <w:pPr>
        <w:pStyle w:val="127"/>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关于印发《非煤矿矿山安全生产许可证申请自查要点》的通知（东应急函字[2022]13号）</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1.2.6 国家标准</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《企业职工伤亡事故分类》</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GB6441-1986</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《生产设备安全卫生设计总则》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GB5083-1999</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《工作场所职业病危害警示标识》</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GBZ158-2003</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w:t>
      </w:r>
      <w:r>
        <w:rPr>
          <w:rFonts w:hint="eastAsia"/>
          <w:color w:val="000000" w:themeColor="text1"/>
          <w:sz w:val="28"/>
          <w:lang w:val="en-US" w:eastAsia="zh-CN"/>
          <w14:textFill>
            <w14:solidFill>
              <w14:schemeClr w14:val="tx1"/>
            </w14:solidFill>
          </w14:textFill>
        </w:rPr>
        <w:t>建筑灭火器配置设计规范</w:t>
      </w:r>
      <w:r>
        <w:rPr>
          <w:rFonts w:hint="eastAsia"/>
          <w:color w:val="000000" w:themeColor="text1"/>
          <w:sz w:val="28"/>
          <w:lang w:eastAsia="zh-CN"/>
          <w14:textFill>
            <w14:solidFill>
              <w14:schemeClr w14:val="tx1"/>
            </w14:solidFill>
          </w14:textFill>
        </w:rPr>
        <w:t>》（</w:t>
      </w:r>
      <w:r>
        <w:rPr>
          <w:rFonts w:hint="eastAsia"/>
          <w:color w:val="000000" w:themeColor="text1"/>
          <w:sz w:val="28"/>
          <w:lang w:val="en-US" w:eastAsia="zh-CN"/>
          <w14:textFill>
            <w14:solidFill>
              <w14:schemeClr w14:val="tx1"/>
            </w14:solidFill>
          </w14:textFill>
        </w:rPr>
        <w:t>GB50140-2005</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《防止静电事故通用导则》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GB12158-2006</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《工作场所有害因素职业接触限值第2部分：物理因素》</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GBZ2.2-2007</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图形符号 安全色和安全标志 第5部分：安全标志使用原则与要求</w:t>
      </w:r>
      <w:r>
        <w:rPr>
          <w:rFonts w:hint="eastAsia"/>
          <w:color w:val="000000" w:themeColor="text1"/>
          <w:sz w:val="28"/>
          <w:lang w:eastAsia="zh-CN"/>
          <w14:textFill>
            <w14:solidFill>
              <w14:schemeClr w14:val="tx1"/>
            </w14:solidFill>
          </w14:textFill>
        </w:rPr>
        <w:t>》（GB/T 2893.5-2020）</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《生产过程安全卫生要求总则》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GB/T12801-2008</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《安全标志及其使用导则》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GB2894-2008</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《化学品分类和危险性公示通则》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GB13690-2009</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《石油与石油设施雷电安全规范》</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GB15599-2009</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《生产过程危险和有害因素分类与代码》</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GB/T13861-</w:t>
      </w:r>
      <w:r>
        <w:rPr>
          <w:rFonts w:hint="eastAsia"/>
          <w:color w:val="000000" w:themeColor="text1"/>
          <w:sz w:val="28"/>
          <w:lang w:val="en-US" w:eastAsia="zh-CN"/>
          <w14:textFill>
            <w14:solidFill>
              <w14:schemeClr w14:val="tx1"/>
            </w14:solidFill>
          </w14:textFill>
        </w:rPr>
        <w:t>2022</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供配电系统设计规范》</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GB50052-2009</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《职业性接触毒物危害程度分级》</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GBZ230-2010</w:t>
      </w:r>
      <w:r>
        <w:rPr>
          <w:rFonts w:hint="eastAsia"/>
          <w:color w:val="000000" w:themeColor="text1"/>
          <w:sz w:val="28"/>
          <w:lang w:val="en-US" w:eastAsia="zh-CN"/>
          <w14:textFill>
            <w14:solidFill>
              <w14:schemeClr w14:val="tx1"/>
            </w14:solidFill>
          </w14:textFill>
        </w:rPr>
        <w:t xml:space="preserve"> 国卫通[2016]24号</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《低压配电设计规范》</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GB50054-2011</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《危险货物品名表》</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GB12268-2012</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lang w:val="en-US" w:eastAsia="zh-CN"/>
          <w14:textFill>
            <w14:solidFill>
              <w14:schemeClr w14:val="tx1"/>
            </w14:solidFill>
          </w14:textFill>
        </w:rPr>
      </w:pPr>
      <w:r>
        <w:rPr>
          <w:rFonts w:hint="eastAsia"/>
          <w:color w:val="000000" w:themeColor="text1"/>
          <w:sz w:val="28"/>
          <w:lang w:val="en-US" w:eastAsia="zh-CN"/>
          <w14:textFill>
            <w14:solidFill>
              <w14:schemeClr w14:val="tx1"/>
            </w14:solidFill>
          </w14:textFill>
        </w:rPr>
        <w:t>《危险化学品单位应急救援物资配备要求》（GB30077-2013）</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《爆炸危险环境电力装置设计规范》</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GB50058-2014</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《电气装置安装工程 接地装置施工及验收规范》（</w:t>
      </w:r>
      <w:r>
        <w:rPr>
          <w:rFonts w:hint="eastAsia"/>
          <w:color w:val="000000" w:themeColor="text1"/>
          <w:sz w:val="28"/>
          <w14:textFill>
            <w14:solidFill>
              <w14:schemeClr w14:val="tx1"/>
            </w14:solidFill>
          </w14:textFill>
        </w:rPr>
        <w:t>GB 50169-2016</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《企业安全生产标准化基本规范》</w:t>
      </w:r>
      <w:r>
        <w:rPr>
          <w:rFonts w:hint="eastAsia"/>
          <w:color w:val="000000" w:themeColor="text1"/>
          <w:sz w:val="28"/>
          <w:lang w:eastAsia="zh-CN"/>
          <w14:textFill>
            <w14:solidFill>
              <w14:schemeClr w14:val="tx1"/>
            </w14:solidFill>
          </w14:textFill>
        </w:rPr>
        <w:t>（</w:t>
      </w:r>
      <w:r>
        <w:rPr>
          <w:color w:val="000000" w:themeColor="text1"/>
          <w:sz w:val="28"/>
          <w14:textFill>
            <w14:solidFill>
              <w14:schemeClr w14:val="tx1"/>
            </w14:solidFill>
          </w14:textFill>
        </w:rPr>
        <w:t>GB/T33000-2016</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《危险化学品重大危险源辨识》</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GB18218-20</w:t>
      </w:r>
      <w:r>
        <w:rPr>
          <w:color w:val="000000" w:themeColor="text1"/>
          <w:sz w:val="28"/>
          <w14:textFill>
            <w14:solidFill>
              <w14:schemeClr w14:val="tx1"/>
            </w14:solidFill>
          </w14:textFill>
        </w:rPr>
        <w:t>18</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《工作场所有害因素职业接触限值第1部分：化学有害因素》</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GBZ2.1-20</w:t>
      </w:r>
      <w:r>
        <w:rPr>
          <w:rFonts w:hint="eastAsia"/>
          <w:color w:val="000000" w:themeColor="text1"/>
          <w:sz w:val="28"/>
          <w:lang w:val="en-US" w:eastAsia="zh-CN"/>
          <w14:textFill>
            <w14:solidFill>
              <w14:schemeClr w14:val="tx1"/>
            </w14:solidFill>
          </w14:textFill>
        </w:rPr>
        <w:t>19</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《生产经营单位生产安全事故应急预案编制导则》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GB/T29639-20</w:t>
      </w:r>
      <w:r>
        <w:rPr>
          <w:rFonts w:hint="eastAsia"/>
          <w:color w:val="000000" w:themeColor="text1"/>
          <w:sz w:val="28"/>
          <w:lang w:val="en-US" w:eastAsia="zh-CN"/>
          <w14:textFill>
            <w14:solidFill>
              <w14:schemeClr w14:val="tx1"/>
            </w14:solidFill>
          </w14:textFill>
        </w:rPr>
        <w:t>20</w:t>
      </w:r>
      <w:r>
        <w:rPr>
          <w:rFonts w:hint="eastAsia"/>
          <w:color w:val="000000" w:themeColor="text1"/>
          <w:sz w:val="28"/>
          <w:lang w:eastAsia="zh-CN"/>
          <w14:textFill>
            <w14:solidFill>
              <w14:schemeClr w14:val="tx1"/>
            </w14:solidFill>
          </w14:textFill>
        </w:rPr>
        <w:t>）</w:t>
      </w:r>
    </w:p>
    <w:p>
      <w:pPr>
        <w:pStyle w:val="127"/>
        <w:numPr>
          <w:ilvl w:val="0"/>
          <w:numId w:val="8"/>
        </w:numPr>
        <w:adjustRightInd w:val="0"/>
        <w:snapToGrid w:val="0"/>
        <w:spacing w:line="360" w:lineRule="auto"/>
        <w:ind w:left="0" w:firstLine="560"/>
        <w:rPr>
          <w:rFonts w:hint="eastAsia"/>
          <w:color w:val="000000" w:themeColor="text1"/>
          <w:sz w:val="28"/>
          <w:lang w:val="en-US" w:eastAsia="zh-CN"/>
          <w14:textFill>
            <w14:solidFill>
              <w14:schemeClr w14:val="tx1"/>
            </w14:solidFill>
          </w14:textFill>
        </w:rPr>
      </w:pPr>
      <w:r>
        <w:rPr>
          <w:rFonts w:hint="eastAsia"/>
          <w:color w:val="000000" w:themeColor="text1"/>
          <w:sz w:val="28"/>
          <w:lang w:val="en-US" w:eastAsia="zh-CN"/>
          <w14:textFill>
            <w14:solidFill>
              <w14:schemeClr w14:val="tx1"/>
            </w14:solidFill>
          </w14:textFill>
        </w:rPr>
        <w:t>《个体防护装备配备规范 第2部分：石油、化工、天然气》（GB39800.2-2020）</w:t>
      </w:r>
    </w:p>
    <w:p>
      <w:pPr>
        <w:pStyle w:val="127"/>
        <w:numPr>
          <w:ilvl w:val="0"/>
          <w:numId w:val="8"/>
        </w:numPr>
        <w:adjustRightInd w:val="0"/>
        <w:snapToGrid w:val="0"/>
        <w:spacing w:line="360" w:lineRule="auto"/>
        <w:ind w:left="0" w:firstLine="560"/>
        <w:rPr>
          <w:rFonts w:hint="eastAsia"/>
          <w:color w:val="000000" w:themeColor="text1"/>
          <w:sz w:val="28"/>
          <w:lang w:val="en-US" w:eastAsia="zh-CN"/>
          <w14:textFill>
            <w14:solidFill>
              <w14:schemeClr w14:val="tx1"/>
            </w14:solidFill>
          </w14:textFill>
        </w:rPr>
      </w:pPr>
      <w:r>
        <w:rPr>
          <w:rFonts w:hint="eastAsia"/>
          <w:color w:val="000000" w:themeColor="text1"/>
          <w:sz w:val="28"/>
          <w:lang w:val="en-US" w:eastAsia="zh-CN"/>
          <w14:textFill>
            <w14:solidFill>
              <w14:schemeClr w14:val="tx1"/>
            </w14:solidFill>
          </w14:textFill>
        </w:rPr>
        <w:t>《石油天然气工业钻井和修井设备》（GB/T17744-2020）</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1.2.7 行业、地方标准</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《安全阀安全技术监察规程》（TSG ZF001-2006</w:t>
      </w:r>
      <w:r>
        <w:rPr>
          <w:rFonts w:hint="eastAsia" w:cs="Times New Roman"/>
          <w:color w:val="auto"/>
          <w:sz w:val="28"/>
          <w:lang w:val="en-US" w:eastAsia="zh-CN"/>
        </w:rPr>
        <w:t xml:space="preserve"> 2009第1号修改单</w:t>
      </w:r>
      <w:r>
        <w:rPr>
          <w:rFonts w:hint="default" w:ascii="Times New Roman" w:hAnsi="Times New Roman" w:eastAsia="宋体" w:cs="Times New Roman"/>
          <w:color w:val="auto"/>
          <w:sz w:val="28"/>
          <w:lang w:val="en-US" w:eastAsia="zh-CN"/>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《石油天然气安全规程》（AQ2012-2007）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《安全评价通则》（AQ8001-2007）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《山东省劳动防护用品配备标准》（DB37/1922-2011）</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《石油行业安全生产标准化井下作业实施规范》（AQ2041-2012）</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《石油天然气工业健康、安全与环境管理体系》（SY/T6276-2014）</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《生产安全事故应急演练评估规范》（AQ/T9009-2015）</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《防止静电、雷电和杂散电流引燃的措施》（SY/T6319-2016）</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《井下作业井控技术规程》（SY/T6690-2016）</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《石油天然气工程总图设计规范》（SY/T0048-2016）</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《硫化氢防护安全培训规范》（SY/T7356-2017）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《硫化氢环境井下作业场所作业安全规范》（SY/T6610-2017）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《石油天然气生产专用安全标志》（SY/T6355-2017）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《非煤矿山企业安全生产风险分级管控体系细则》（DB37/T2972-2017）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《非煤矿山企业生产安全事故隐患排查治理体系细则》（DB37/T3013-2017）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sz w:val="28"/>
          <w:szCs w:val="28"/>
        </w:rPr>
        <w:t>《陆上石油和天然气开采企业安全生产风险分级管控体系建设实施指南》（DB 37/T 3331-2018）</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sz w:val="28"/>
          <w:szCs w:val="28"/>
        </w:rPr>
        <w:t>《陆上石油和天然气开采企业生产安全事故隐患排查治理体系实施指南》（DB 37/T 3332-2018）</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sz w:val="28"/>
          <w:lang w:val="en-US" w:eastAsia="zh-CN"/>
        </w:rPr>
        <w:t>《石油天然气作业场所劳动防护用品配备规范》（SY/T6524-2017）</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《固定式压力容器安全技术监察规程》</w:t>
      </w:r>
      <w:r>
        <w:rPr>
          <w:rFonts w:hint="eastAsia" w:cs="Times New Roman"/>
          <w:color w:val="auto"/>
          <w:kern w:val="2"/>
          <w:sz w:val="28"/>
          <w:szCs w:val="24"/>
          <w:lang w:val="en-US" w:eastAsia="zh-CN" w:bidi="ar-SA"/>
        </w:rPr>
        <w:t>（TSG 21-2016第1号修改单）</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kern w:val="2"/>
          <w:sz w:val="28"/>
          <w:szCs w:val="24"/>
          <w:lang w:val="en-US" w:eastAsia="zh-CN" w:bidi="ar-SA"/>
        </w:rPr>
      </w:pPr>
      <w:r>
        <w:rPr>
          <w:rFonts w:hint="eastAsia" w:cs="Times New Roman"/>
          <w:color w:val="auto"/>
          <w:kern w:val="2"/>
          <w:sz w:val="28"/>
          <w:szCs w:val="24"/>
          <w:lang w:val="en-US" w:eastAsia="zh-CN" w:bidi="ar-SA"/>
        </w:rPr>
        <w:t>《弹性元件式一般压力表、压力真空表和真空表检定规程》（</w:t>
      </w:r>
      <w:r>
        <w:rPr>
          <w:rFonts w:hint="eastAsia" w:ascii="Times New Roman" w:hAnsi="Times New Roman" w:eastAsia="宋体" w:cs="Times New Roman"/>
          <w:color w:val="auto"/>
          <w:kern w:val="2"/>
          <w:sz w:val="28"/>
          <w:szCs w:val="24"/>
          <w:lang w:val="en-US" w:eastAsia="zh-CN" w:bidi="ar-SA"/>
        </w:rPr>
        <w:t>JJG 52-2013</w:t>
      </w:r>
      <w:r>
        <w:rPr>
          <w:rFonts w:hint="eastAsia" w:cs="Times New Roman"/>
          <w:color w:val="auto"/>
          <w:kern w:val="2"/>
          <w:sz w:val="28"/>
          <w:szCs w:val="24"/>
          <w:lang w:val="en-US" w:eastAsia="zh-CN" w:bidi="ar-SA"/>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《硫化氢环境人身防护规范》</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SY/T6277-2017</w:t>
      </w:r>
      <w:r>
        <w:rPr>
          <w:rFonts w:hint="eastAsia" w:cs="Times New Roman"/>
          <w:color w:val="auto"/>
          <w:kern w:val="2"/>
          <w:sz w:val="28"/>
          <w:szCs w:val="24"/>
          <w:lang w:val="en-US" w:eastAsia="zh-CN" w:bidi="ar-SA"/>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《生产安全事故应急演练基本规范》（AQ/T9007-2019）</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《生产经营单位生产安全事故应急预案评估指南》（AQ/T9011-2019）</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《石油天然气钻井、开发、储运防火防爆安全生产技术规程》 （SY/T5225-2019）</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《石油与天然气井井控安全技术考核管理规则》（SY/T5742-2019）</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《井下作业安全规程》（SY/T5727-2020）</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《石油天然气开发注二氧化碳安全规范》（SY/T6565-2018）</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《石油天然气钻采设备制氮注氮设备》（SY/T7425-2018）</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《油水井酸化设计、施工及评价规范》（SY/T6334-2013）</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《加固井壁和人工井壁防砂工艺作法》（SY/T 5338-2021）</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《油井堵水作业方法 水玻璃-氯化钙堵水及调剖工艺作法》（SY/T5923-2012）</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《液态二氧化碳吞吐推荐作法》</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SY/T 6487-20</w:t>
      </w:r>
      <w:r>
        <w:rPr>
          <w:rFonts w:hint="default" w:ascii="Times New Roman" w:hAnsi="Times New Roman" w:eastAsia="宋体" w:cs="Times New Roman"/>
          <w:color w:val="auto"/>
          <w:sz w:val="28"/>
          <w:lang w:val="en-US" w:eastAsia="zh-CN"/>
        </w:rPr>
        <w:t>18</w:t>
      </w:r>
      <w:r>
        <w:rPr>
          <w:rFonts w:hint="eastAsia" w:cs="Times New Roman"/>
          <w:color w:val="auto"/>
          <w:sz w:val="28"/>
          <w:lang w:val="en-US" w:eastAsia="zh-CN"/>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《常规修井作业规程　第4部分：找窜漏、封窜堵漏》</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SY/T 5587.4-2019</w:t>
      </w:r>
      <w:r>
        <w:rPr>
          <w:rFonts w:hint="eastAsia" w:cs="Times New Roman"/>
          <w:color w:val="auto"/>
          <w:sz w:val="28"/>
          <w:lang w:val="en-US" w:eastAsia="zh-CN"/>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《常规修井作业规程 第5部分：井下作业井筒准备》</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SY/T5587.5-2018</w:t>
      </w:r>
      <w:r>
        <w:rPr>
          <w:rFonts w:hint="eastAsia" w:cs="Times New Roman"/>
          <w:color w:val="auto"/>
          <w:sz w:val="28"/>
          <w:lang w:val="en-US" w:eastAsia="zh-CN"/>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《注水井调剖工艺及效果评价》</w:t>
      </w:r>
      <w:r>
        <w:rPr>
          <w:rFonts w:hint="eastAsia" w:cs="Times New Roman"/>
          <w:color w:val="auto"/>
          <w:sz w:val="28"/>
          <w:lang w:val="en-US" w:eastAsia="zh-CN"/>
        </w:rPr>
        <w:t>（</w:t>
      </w:r>
      <w:r>
        <w:rPr>
          <w:rFonts w:hint="default" w:ascii="Times New Roman" w:hAnsi="Times New Roman" w:eastAsia="宋体" w:cs="Times New Roman"/>
          <w:color w:val="auto"/>
          <w:sz w:val="28"/>
          <w:lang w:val="en-US" w:eastAsia="zh-CN"/>
        </w:rPr>
        <w:t>SY/T 5588</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2012</w:t>
      </w:r>
      <w:r>
        <w:rPr>
          <w:rFonts w:hint="eastAsia" w:cs="Times New Roman"/>
          <w:color w:val="auto"/>
          <w:sz w:val="28"/>
          <w:lang w:val="en-US" w:eastAsia="zh-CN"/>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《石油天然气工程项目安全现状评价报告编写规则》</w:t>
      </w:r>
      <w:r>
        <w:rPr>
          <w:rFonts w:hint="eastAsia" w:cs="Times New Roman"/>
          <w:color w:val="auto"/>
          <w:sz w:val="28"/>
          <w:lang w:val="en-US" w:eastAsia="zh-CN"/>
        </w:rPr>
        <w:t>（</w:t>
      </w:r>
      <w:r>
        <w:rPr>
          <w:rFonts w:hint="default" w:ascii="Times New Roman" w:hAnsi="Times New Roman" w:eastAsia="宋体" w:cs="Times New Roman"/>
          <w:color w:val="auto"/>
          <w:sz w:val="28"/>
          <w:lang w:val="en-US" w:eastAsia="zh-CN"/>
        </w:rPr>
        <w:t>SY/T6778-2010</w:t>
      </w:r>
      <w:r>
        <w:rPr>
          <w:rFonts w:hint="eastAsia" w:cs="Times New Roman"/>
          <w:color w:val="auto"/>
          <w:sz w:val="28"/>
          <w:lang w:val="en-US" w:eastAsia="zh-CN"/>
        </w:rPr>
        <w:t>）</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《套管补贴工艺作法》（SY/T5846-2020）</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《常规修井作业规程 第4部分：找窜漏、封窜堵漏》（SY/T 5587.4-2019）</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《常规修井作业规程</w:t>
      </w:r>
      <w:r>
        <w:rPr>
          <w:rFonts w:hint="eastAsia" w:cs="Times New Roman"/>
          <w:color w:val="auto"/>
          <w:sz w:val="28"/>
          <w:lang w:val="en-US" w:eastAsia="zh-CN"/>
        </w:rPr>
        <w:t xml:space="preserve"> </w:t>
      </w:r>
      <w:r>
        <w:rPr>
          <w:rFonts w:hint="default" w:ascii="Times New Roman" w:hAnsi="Times New Roman" w:eastAsia="宋体" w:cs="Times New Roman"/>
          <w:color w:val="auto"/>
          <w:sz w:val="28"/>
          <w:lang w:val="en-US" w:eastAsia="zh-CN"/>
        </w:rPr>
        <w:t>第14部分：注塞、钻塞》</w:t>
      </w:r>
      <w:r>
        <w:rPr>
          <w:rFonts w:hint="eastAsia" w:cs="Times New Roman"/>
          <w:color w:val="auto"/>
          <w:sz w:val="28"/>
          <w:lang w:val="en-US" w:eastAsia="zh-CN"/>
        </w:rPr>
        <w:t>（SY/T 5587.14-2013）</w:t>
      </w:r>
    </w:p>
    <w:p>
      <w:pPr>
        <w:pStyle w:val="127"/>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《常规修井作业规程 第5部分：井下作业井筒准备》（SY/T 5587.5-2018）</w:t>
      </w:r>
    </w:p>
    <w:bookmarkEnd w:id="4"/>
    <w:bookmarkEnd w:id="5"/>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bookmarkStart w:id="6" w:name="_Toc215277129"/>
      <w:r>
        <w:rPr>
          <w:rFonts w:eastAsia="黑体"/>
          <w:b w:val="0"/>
          <w:snapToGrid w:val="0"/>
          <w:color w:val="000000" w:themeColor="text1"/>
          <w:kern w:val="0"/>
          <w:sz w:val="28"/>
          <w:szCs w:val="28"/>
          <w14:textFill>
            <w14:solidFill>
              <w14:schemeClr w14:val="tx1"/>
            </w14:solidFill>
          </w14:textFill>
        </w:rPr>
        <w:t>1.2.8 工程有关技术文件</w:t>
      </w:r>
      <w:bookmarkEnd w:id="6"/>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1.</w:t>
      </w:r>
      <w:r>
        <w:rPr>
          <w:color w:val="000000" w:themeColor="text1"/>
          <w:sz w:val="28"/>
          <w:szCs w:val="28"/>
          <w14:textFill>
            <w14:solidFill>
              <w14:schemeClr w14:val="tx1"/>
            </w14:solidFill>
          </w14:textFill>
        </w:rPr>
        <w:t>山东胜利油田鸿欣石油技术有限公司井下作业项目安全现状评价技术服务合同</w:t>
      </w:r>
      <w:r>
        <w:rPr>
          <w:snapToGrid w:val="0"/>
          <w:color w:val="000000" w:themeColor="text1"/>
          <w:kern w:val="0"/>
          <w:sz w:val="28"/>
          <w14:textFill>
            <w14:solidFill>
              <w14:schemeClr w14:val="tx1"/>
            </w14:solidFill>
          </w14:textFill>
        </w:rPr>
        <w:t>。</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2.山东胜利油田鸿欣石油技术有限公司提供的有关文件、资料。</w:t>
      </w:r>
    </w:p>
    <w:p>
      <w:pPr>
        <w:tabs>
          <w:tab w:val="left" w:pos="6120"/>
        </w:tabs>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3.其他与该工程安全评价有关的技术资料。</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7" w:name="_Toc2597"/>
      <w:bookmarkStart w:id="8" w:name="_Toc202759399"/>
      <w:r>
        <w:rPr>
          <w:rFonts w:ascii="Times New Roman" w:hAnsi="Times New Roman"/>
          <w:b w:val="0"/>
          <w:bCs/>
          <w:color w:val="000000" w:themeColor="text1"/>
          <w:szCs w:val="32"/>
          <w14:textFill>
            <w14:solidFill>
              <w14:schemeClr w14:val="tx1"/>
            </w14:solidFill>
          </w14:textFill>
        </w:rPr>
        <w:t>1.3 评价范围</w:t>
      </w:r>
      <w:bookmarkEnd w:id="7"/>
      <w:bookmarkEnd w:id="8"/>
    </w:p>
    <w:p>
      <w:pPr>
        <w:adjustRightInd w:val="0"/>
        <w:snapToGrid w:val="0"/>
        <w:spacing w:line="360" w:lineRule="auto"/>
        <w:ind w:firstLine="57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根据企业石油天然气服务业务情况，并与企业协商确定，本次评价范围为</w:t>
      </w:r>
      <w:r>
        <w:rPr>
          <w:snapToGrid w:val="0"/>
          <w:color w:val="000000" w:themeColor="text1"/>
          <w:kern w:val="0"/>
          <w:sz w:val="28"/>
          <w14:textFill>
            <w14:solidFill>
              <w14:schemeClr w14:val="tx1"/>
            </w14:solidFill>
          </w14:textFill>
        </w:rPr>
        <w:t>山东胜利油田鸿欣石油技术有限公司</w:t>
      </w:r>
      <w:r>
        <w:rPr>
          <w:rFonts w:hint="eastAsia"/>
          <w:snapToGrid w:val="0"/>
          <w:color w:val="000000" w:themeColor="text1"/>
          <w:kern w:val="0"/>
          <w:sz w:val="28"/>
          <w:lang w:val="en-US" w:eastAsia="zh-CN"/>
          <w14:textFill>
            <w14:solidFill>
              <w14:schemeClr w14:val="tx1"/>
            </w14:solidFill>
          </w14:textFill>
        </w:rPr>
        <w:t>陆上石油天然气</w:t>
      </w:r>
      <w:r>
        <w:rPr>
          <w:rFonts w:hint="eastAsia"/>
          <w:snapToGrid w:val="0"/>
          <w:color w:val="000000" w:themeColor="text1"/>
          <w:kern w:val="0"/>
          <w:sz w:val="28"/>
          <w:lang w:eastAsia="zh-CN"/>
          <w14:textFill>
            <w14:solidFill>
              <w14:schemeClr w14:val="tx1"/>
            </w14:solidFill>
          </w14:textFill>
        </w:rPr>
        <w:t>（</w:t>
      </w:r>
      <w:r>
        <w:rPr>
          <w:rFonts w:hint="eastAsia"/>
          <w:snapToGrid w:val="0"/>
          <w:color w:val="000000" w:themeColor="text1"/>
          <w:kern w:val="0"/>
          <w:sz w:val="28"/>
          <w:lang w:val="en-US" w:eastAsia="zh-CN"/>
          <w14:textFill>
            <w14:solidFill>
              <w14:schemeClr w14:val="tx1"/>
            </w14:solidFill>
          </w14:textFill>
        </w:rPr>
        <w:t>不含海上</w:t>
      </w:r>
      <w:r>
        <w:rPr>
          <w:rFonts w:hint="eastAsia"/>
          <w:snapToGrid w:val="0"/>
          <w:color w:val="000000" w:themeColor="text1"/>
          <w:kern w:val="0"/>
          <w:sz w:val="28"/>
          <w:lang w:eastAsia="zh-CN"/>
          <w14:textFill>
            <w14:solidFill>
              <w14:schemeClr w14:val="tx1"/>
            </w14:solidFill>
          </w14:textFill>
        </w:rPr>
        <w:t>）</w:t>
      </w:r>
      <w:r>
        <w:rPr>
          <w:snapToGrid w:val="0"/>
          <w:color w:val="000000" w:themeColor="text1"/>
          <w:kern w:val="0"/>
          <w:sz w:val="28"/>
          <w14:textFill>
            <w14:solidFill>
              <w14:schemeClr w14:val="tx1"/>
            </w14:solidFill>
          </w14:textFill>
        </w:rPr>
        <w:t>井下作业</w:t>
      </w:r>
      <w:r>
        <w:rPr>
          <w:rFonts w:hint="eastAsia"/>
          <w:snapToGrid w:val="0"/>
          <w:color w:val="000000" w:themeColor="text1"/>
          <w:kern w:val="0"/>
          <w:sz w:val="28"/>
          <w14:textFill>
            <w14:solidFill>
              <w14:schemeClr w14:val="tx1"/>
            </w14:solidFill>
          </w14:textFill>
        </w:rPr>
        <w:t>-注气（二氧化碳、氮气）、酸化、防砂、堵水</w:t>
      </w:r>
      <w:r>
        <w:rPr>
          <w:rFonts w:hint="eastAsia"/>
          <w:snapToGrid w:val="0"/>
          <w:color w:val="000000" w:themeColor="text1"/>
          <w:kern w:val="0"/>
          <w:sz w:val="28"/>
          <w:lang w:val="en-US" w:eastAsia="zh-CN"/>
          <w14:textFill>
            <w14:solidFill>
              <w14:schemeClr w14:val="tx1"/>
            </w14:solidFill>
          </w14:textFill>
        </w:rPr>
        <w:t>/</w:t>
      </w:r>
      <w:r>
        <w:rPr>
          <w:rFonts w:hint="eastAsia"/>
          <w:snapToGrid w:val="0"/>
          <w:color w:val="000000" w:themeColor="text1"/>
          <w:kern w:val="0"/>
          <w:sz w:val="28"/>
          <w14:textFill>
            <w14:solidFill>
              <w14:schemeClr w14:val="tx1"/>
            </w14:solidFill>
          </w14:textFill>
        </w:rPr>
        <w:t>调剖、特殊工艺技术服务（套管补贴）、井下复杂情况处理（堵漏）项目</w:t>
      </w:r>
      <w:r>
        <w:rPr>
          <w:color w:val="000000" w:themeColor="text1"/>
          <w:sz w:val="28"/>
          <w:szCs w:val="28"/>
          <w14:textFill>
            <w14:solidFill>
              <w14:schemeClr w14:val="tx1"/>
            </w14:solidFill>
          </w14:textFill>
        </w:rPr>
        <w:t>有关的设施、设备的实际运行状况以及安全管理状况，</w:t>
      </w:r>
      <w:r>
        <w:rPr>
          <w:color w:val="000000" w:themeColor="text1"/>
          <w:kern w:val="0"/>
          <w:sz w:val="28"/>
          <w:szCs w:val="28"/>
          <w14:textFill>
            <w14:solidFill>
              <w14:schemeClr w14:val="tx1"/>
            </w14:solidFill>
          </w14:textFill>
        </w:rPr>
        <w:t>通过对危险有害因素和企业现有的安全技术设施的分析，确定公司是否具备从事</w:t>
      </w:r>
      <w:r>
        <w:rPr>
          <w:rFonts w:hint="eastAsia"/>
          <w:color w:val="000000" w:themeColor="text1"/>
          <w:sz w:val="28"/>
          <w:szCs w:val="28"/>
          <w:lang w:eastAsia="zh-CN"/>
          <w14:textFill>
            <w14:solidFill>
              <w14:schemeClr w14:val="tx1"/>
            </w14:solidFill>
          </w14:textFill>
        </w:rPr>
        <w:t>井下作业注气（二氧化碳、氮气）、酸化、防砂、堵水</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lang w:eastAsia="zh-CN"/>
          <w14:textFill>
            <w14:solidFill>
              <w14:schemeClr w14:val="tx1"/>
            </w14:solidFill>
          </w14:textFill>
        </w:rPr>
        <w:t>调剖、特殊工艺技术服务（套管补贴）、井下复杂情况处理（堵漏）项目</w:t>
      </w:r>
      <w:r>
        <w:rPr>
          <w:color w:val="000000" w:themeColor="text1"/>
          <w:kern w:val="0"/>
          <w:sz w:val="28"/>
          <w:szCs w:val="28"/>
          <w14:textFill>
            <w14:solidFill>
              <w14:schemeClr w14:val="tx1"/>
            </w14:solidFill>
          </w14:textFill>
        </w:rPr>
        <w:t>的各项安全生产条件</w:t>
      </w:r>
      <w:r>
        <w:rPr>
          <w:color w:val="000000" w:themeColor="text1"/>
          <w:sz w:val="28"/>
          <w:szCs w:val="28"/>
          <w14:textFill>
            <w14:solidFill>
              <w14:schemeClr w14:val="tx1"/>
            </w14:solidFill>
          </w14:textFill>
        </w:rPr>
        <w:t>。</w:t>
      </w:r>
    </w:p>
    <w:p>
      <w:pPr>
        <w:adjustRightInd w:val="0"/>
        <w:snapToGrid w:val="0"/>
        <w:spacing w:line="360" w:lineRule="auto"/>
        <w:ind w:firstLine="57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具体评价范围如表1-1所示：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73"/>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color w:val="000000" w:themeColor="text1"/>
          <w:sz w:val="28"/>
          <w:szCs w:val="28"/>
          <w14:textFill>
            <w14:solidFill>
              <w14:schemeClr w14:val="tx1"/>
            </w14:solidFill>
          </w14:textFill>
        </w:rPr>
        <w:t>凡涉及</w:t>
      </w:r>
      <w:r>
        <w:rPr>
          <w:rFonts w:hint="eastAsia" w:ascii="Times New Roman" w:hAnsi="Times New Roman" w:eastAsia="宋体" w:cs="Times New Roman"/>
          <w:color w:val="000000" w:themeColor="text1"/>
          <w:sz w:val="28"/>
          <w:szCs w:val="28"/>
          <w14:textFill>
            <w14:solidFill>
              <w14:schemeClr w14:val="tx1"/>
            </w14:solidFill>
          </w14:textFill>
        </w:rPr>
        <w:t>鸿欣</w:t>
      </w:r>
      <w:r>
        <w:rPr>
          <w:rFonts w:ascii="Times New Roman" w:hAnsi="Times New Roman" w:eastAsia="宋体" w:cs="Times New Roman"/>
          <w:color w:val="000000" w:themeColor="text1"/>
          <w:sz w:val="28"/>
          <w:szCs w:val="28"/>
          <w14:textFill>
            <w14:solidFill>
              <w14:schemeClr w14:val="tx1"/>
            </w14:solidFill>
          </w14:textFill>
        </w:rPr>
        <w:t>公司的环保问题、污水处理、职业卫生评价、办公生活设施等，则应执行国家有关规定和相关标准，不在本评价范围。</w:t>
      </w:r>
    </w:p>
    <w:p>
      <w:pPr>
        <w:adjustRightInd w:val="0"/>
        <w:snapToGrid w:val="0"/>
        <w:spacing w:line="360" w:lineRule="auto"/>
        <w:ind w:firstLine="57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根据《非煤矿矿山企业安全生产许可证实施办法》（国家安全生产监督管理总局令[2009]第20号，2015修订版）、《东营市应急管理局关于进一步规范非煤矿矿山《安全生产许可证》颁发管理有关问题的函》（东应急函字[2021]50号），企业安全生产许可证申请范围为：</w:t>
      </w:r>
      <w:r>
        <w:rPr>
          <w:rFonts w:hint="eastAsia"/>
          <w:color w:val="auto"/>
          <w:sz w:val="28"/>
          <w:szCs w:val="28"/>
        </w:rPr>
        <w:t>井下作业-注气（二氧化碳、氮气）、酸化、防砂、</w:t>
      </w:r>
      <w:r>
        <w:rPr>
          <w:rFonts w:hint="eastAsia"/>
          <w:color w:val="auto"/>
          <w:sz w:val="28"/>
          <w:szCs w:val="28"/>
          <w:lang w:eastAsia="zh-CN"/>
        </w:rPr>
        <w:t>堵水/调剖</w:t>
      </w:r>
      <w:r>
        <w:rPr>
          <w:rFonts w:hint="eastAsia"/>
          <w:color w:val="auto"/>
          <w:sz w:val="28"/>
          <w:szCs w:val="28"/>
        </w:rPr>
        <w:t>、特殊工艺技术服务（套管补贴）、井下复杂情况处理（堵漏）项目</w:t>
      </w:r>
      <w:r>
        <w:rPr>
          <w:color w:val="auto"/>
          <w:sz w:val="28"/>
          <w:szCs w:val="28"/>
        </w:rPr>
        <w:t>，</w:t>
      </w:r>
      <w:r>
        <w:rPr>
          <w:color w:val="000000" w:themeColor="text1"/>
          <w:sz w:val="28"/>
          <w:szCs w:val="28"/>
          <w14:textFill>
            <w14:solidFill>
              <w14:schemeClr w14:val="tx1"/>
            </w14:solidFill>
          </w14:textFill>
        </w:rPr>
        <w:t>本次安全评价范围与企业安全生产许可证申请范围一致。</w:t>
      </w:r>
    </w:p>
    <w:p>
      <w:pPr>
        <w:bidi w:val="0"/>
      </w:pPr>
      <w:bookmarkStart w:id="9" w:name="_Toc202759400"/>
    </w:p>
    <w:p>
      <w:pPr>
        <w:bidi w:val="0"/>
      </w:pP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0" w:name="_Toc14126"/>
      <w:r>
        <w:rPr>
          <w:rFonts w:ascii="Times New Roman" w:hAnsi="Times New Roman"/>
          <w:b w:val="0"/>
          <w:bCs/>
          <w:color w:val="000000" w:themeColor="text1"/>
          <w:szCs w:val="32"/>
          <w14:textFill>
            <w14:solidFill>
              <w14:schemeClr w14:val="tx1"/>
            </w14:solidFill>
          </w14:textFill>
        </w:rPr>
        <w:t>1.4 评价程序</w:t>
      </w:r>
      <w:bookmarkEnd w:id="9"/>
      <w:bookmarkEnd w:id="10"/>
    </w:p>
    <w:p>
      <w:pPr>
        <w:adjustRightInd w:val="0"/>
        <w:snapToGrid w:val="0"/>
        <w:spacing w:line="360" w:lineRule="auto"/>
        <w:ind w:firstLine="560" w:firstLineChars="200"/>
        <w:rPr>
          <w:color w:val="000000" w:themeColor="text1"/>
          <w:sz w:val="28"/>
          <w:szCs w:val="28"/>
          <w14:textFill>
            <w14:solidFill>
              <w14:schemeClr w14:val="tx1"/>
            </w14:solidFill>
          </w14:textFill>
        </w:rPr>
      </w:pPr>
      <w:bookmarkStart w:id="11" w:name="_Toc202759401"/>
      <w:r>
        <w:rPr>
          <w:color w:val="000000" w:themeColor="text1"/>
          <w:sz w:val="28"/>
          <w:szCs w:val="28"/>
          <w14:textFill>
            <w14:solidFill>
              <w14:schemeClr w14:val="tx1"/>
            </w14:solidFill>
          </w14:textFill>
        </w:rPr>
        <w:t>安全现状评价工作程序如下：</w:t>
      </w:r>
    </w:p>
    <w:p>
      <w:pPr>
        <w:numPr>
          <w:ilvl w:val="0"/>
          <w:numId w:val="10"/>
        </w:num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前期准备阶段：收集有关资料；</w:t>
      </w:r>
    </w:p>
    <w:p>
      <w:pPr>
        <w:numPr>
          <w:ilvl w:val="0"/>
          <w:numId w:val="10"/>
        </w:num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辨识与分析危险、有害因素；</w:t>
      </w:r>
    </w:p>
    <w:p>
      <w:pPr>
        <w:numPr>
          <w:ilvl w:val="0"/>
          <w:numId w:val="10"/>
        </w:num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划分评价单元，选择评价方法；</w:t>
      </w:r>
    </w:p>
    <w:p>
      <w:pPr>
        <w:numPr>
          <w:ilvl w:val="0"/>
          <w:numId w:val="10"/>
        </w:num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实施评价阶段：对作业情况及安全管理情况进行现场检查、调查，运用相应的评价方法进行定性定量评价； </w:t>
      </w:r>
    </w:p>
    <w:p>
      <w:pPr>
        <w:numPr>
          <w:ilvl w:val="0"/>
          <w:numId w:val="10"/>
        </w:num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提出安全对策措施及建议； </w:t>
      </w:r>
    </w:p>
    <w:p>
      <w:pPr>
        <w:numPr>
          <w:ilvl w:val="0"/>
          <w:numId w:val="10"/>
        </w:num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作出评价结论，编制完成安全现状评价报告。</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具体程序见下图1-1。</w:t>
      </w:r>
    </w:p>
    <w:p>
      <w:pPr>
        <w:keepNext w:val="0"/>
        <w:keepLines w:val="0"/>
        <w:pageBreakBefore w:val="0"/>
        <w:widowControl w:val="0"/>
        <w:kinsoku/>
        <w:wordWrap/>
        <w:overflowPunct/>
        <w:topLinePunct w:val="0"/>
        <w:autoSpaceDE/>
        <w:autoSpaceDN/>
        <w:bidi w:val="0"/>
        <w:adjustRightInd w:val="0"/>
        <w:snapToGrid w:val="0"/>
        <w:spacing w:before="156" w:beforeLines="50" w:line="360" w:lineRule="auto"/>
        <w:jc w:val="center"/>
        <w:textAlignment w:val="auto"/>
        <w:rPr>
          <w:b/>
          <w:color w:val="000000" w:themeColor="text1"/>
          <w:sz w:val="24"/>
          <w:szCs w:val="28"/>
          <w14:textFill>
            <w14:solidFill>
              <w14:schemeClr w14:val="tx1"/>
            </w14:solidFill>
          </w14:textFill>
        </w:rPr>
      </w:pPr>
      <w:r>
        <w:rPr>
          <w:rFonts w:hint="default" w:ascii="Times New Roman" w:hAnsi="Times New Roman" w:eastAsia="宋体" w:cs="Times New Roman"/>
          <w:position w:val="-134"/>
          <w:sz w:val="24"/>
          <w:szCs w:val="24"/>
        </w:rPr>
        <w:drawing>
          <wp:anchor distT="0" distB="0" distL="0" distR="0" simplePos="0" relativeHeight="251665408" behindDoc="0" locked="0" layoutInCell="1" allowOverlap="1">
            <wp:simplePos x="0" y="0"/>
            <wp:positionH relativeFrom="column">
              <wp:posOffset>1174115</wp:posOffset>
            </wp:positionH>
            <wp:positionV relativeFrom="paragraph">
              <wp:posOffset>48895</wp:posOffset>
            </wp:positionV>
            <wp:extent cx="2814320" cy="4674870"/>
            <wp:effectExtent l="9525" t="9525" r="14605" b="20955"/>
            <wp:wrapTopAndBottom/>
            <wp:docPr id="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
                    <pic:cNvPicPr>
                      <a:picLocks noChangeAspect="1" noChangeArrowheads="1"/>
                    </pic:cNvPicPr>
                  </pic:nvPicPr>
                  <pic:blipFill>
                    <a:blip r:embed="rId19">
                      <a:extLst>
                        <a:ext uri="{28A0092B-C50C-407E-A947-70E740481C1C}">
                          <a14:useLocalDpi xmlns:a14="http://schemas.microsoft.com/office/drawing/2010/main" val="0"/>
                        </a:ext>
                      </a:extLst>
                    </a:blip>
                    <a:srcRect l="3068" t="344" r="305"/>
                    <a:stretch>
                      <a:fillRect/>
                    </a:stretch>
                  </pic:blipFill>
                  <pic:spPr>
                    <a:xfrm>
                      <a:off x="0" y="0"/>
                      <a:ext cx="2814320" cy="4674870"/>
                    </a:xfrm>
                    <a:prstGeom prst="rect">
                      <a:avLst/>
                    </a:prstGeom>
                    <a:noFill/>
                    <a:ln w="6350" cmpd="sng">
                      <a:solidFill>
                        <a:srgbClr val="000000"/>
                      </a:solidFill>
                      <a:miter lim="800000"/>
                      <a:headEnd/>
                      <a:tailEnd/>
                    </a:ln>
                    <a:effectLst/>
                  </pic:spPr>
                </pic:pic>
              </a:graphicData>
            </a:graphic>
          </wp:anchor>
        </w:drawing>
      </w:r>
      <w:r>
        <w:rPr>
          <w:b/>
          <w:color w:val="000000" w:themeColor="text1"/>
          <w:sz w:val="24"/>
          <w:szCs w:val="28"/>
          <w14:textFill>
            <w14:solidFill>
              <w14:schemeClr w14:val="tx1"/>
            </w14:solidFill>
          </w14:textFill>
        </w:rPr>
        <w:t>图1-1  安全现状评价程序</w:t>
      </w:r>
    </w:p>
    <w:p>
      <w:pPr>
        <w:adjustRightInd w:val="0"/>
        <w:snapToGrid w:val="0"/>
        <w:spacing w:before="156" w:beforeLines="50" w:line="360" w:lineRule="auto"/>
        <w:rPr>
          <w:color w:val="000000" w:themeColor="text1"/>
          <w:sz w:val="28"/>
          <w:szCs w:val="28"/>
          <w14:textFill>
            <w14:solidFill>
              <w14:schemeClr w14:val="tx1"/>
            </w14:solidFill>
          </w14:textFill>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AndChars" w:linePitch="312" w:charSpace="0"/>
        </w:sectPr>
      </w:pPr>
    </w:p>
    <w:bookmarkEnd w:id="11"/>
    <w:p>
      <w:pPr>
        <w:pStyle w:val="3"/>
        <w:keepNext w:val="0"/>
        <w:adjustRightInd w:val="0"/>
        <w:snapToGrid w:val="0"/>
        <w:spacing w:line="360" w:lineRule="auto"/>
        <w:rPr>
          <w:rFonts w:eastAsia="楷体_GB2312"/>
          <w:b/>
          <w:color w:val="000000" w:themeColor="text1"/>
          <w:sz w:val="36"/>
          <w:szCs w:val="36"/>
          <w14:textFill>
            <w14:solidFill>
              <w14:schemeClr w14:val="tx1"/>
            </w14:solidFill>
          </w14:textFill>
        </w:rPr>
      </w:pPr>
      <w:bookmarkStart w:id="12" w:name="_Toc32068"/>
      <w:bookmarkStart w:id="13" w:name="_Toc285310333"/>
      <w:bookmarkStart w:id="14" w:name="_Toc244964626"/>
      <w:bookmarkStart w:id="15" w:name="_Toc291144363"/>
      <w:bookmarkStart w:id="16" w:name="_Toc276394619"/>
      <w:bookmarkStart w:id="17" w:name="_Toc248650007"/>
      <w:r>
        <w:rPr>
          <w:rFonts w:eastAsia="楷体_GB2312"/>
          <w:b/>
          <w:color w:val="000000" w:themeColor="text1"/>
          <w:sz w:val="36"/>
          <w:szCs w:val="36"/>
          <w14:textFill>
            <w14:solidFill>
              <w14:schemeClr w14:val="tx1"/>
            </w14:solidFill>
          </w14:textFill>
        </w:rPr>
        <w:t>2 被评价单位基本情况</w:t>
      </w:r>
      <w:bookmarkEnd w:id="12"/>
      <w:bookmarkEnd w:id="13"/>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8" w:name="_Toc285310334"/>
      <w:bookmarkStart w:id="19" w:name="_Toc6940"/>
      <w:r>
        <w:rPr>
          <w:rFonts w:ascii="Times New Roman" w:hAnsi="Times New Roman"/>
          <w:b w:val="0"/>
          <w:bCs/>
          <w:color w:val="000000" w:themeColor="text1"/>
          <w:szCs w:val="32"/>
          <w14:textFill>
            <w14:solidFill>
              <w14:schemeClr w14:val="tx1"/>
            </w14:solidFill>
          </w14:textFill>
        </w:rPr>
        <w:t>2.1</w:t>
      </w:r>
      <w:bookmarkEnd w:id="18"/>
      <w:r>
        <w:rPr>
          <w:rFonts w:ascii="Times New Roman" w:hAnsi="Times New Roman"/>
          <w:b w:val="0"/>
          <w:bCs/>
          <w:color w:val="000000" w:themeColor="text1"/>
          <w:szCs w:val="32"/>
          <w14:textFill>
            <w14:solidFill>
              <w14:schemeClr w14:val="tx1"/>
            </w14:solidFill>
          </w14:textFill>
        </w:rPr>
        <w:t xml:space="preserve"> 企业概况</w:t>
      </w:r>
      <w:bookmarkEnd w:id="19"/>
    </w:p>
    <w:p>
      <w:pPr>
        <w:pStyle w:val="64"/>
        <w:adjustRightInd w:val="0"/>
        <w:snapToGrid w:val="0"/>
        <w:spacing w:line="360" w:lineRule="auto"/>
        <w:ind w:firstLine="56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山东胜利油田鸿欣石油技术有限公司</w:t>
      </w:r>
      <w:r>
        <w:rPr>
          <w:rFonts w:hint="eastAsia" w:cs="Times New Roman"/>
          <w:color w:val="000000" w:themeColor="text1"/>
          <w:lang w:eastAsia="zh-CN"/>
          <w14:textFill>
            <w14:solidFill>
              <w14:schemeClr w14:val="tx1"/>
            </w14:solidFill>
          </w14:textFill>
        </w:rPr>
        <w:t>（</w:t>
      </w:r>
      <w:r>
        <w:rPr>
          <w:rFonts w:hint="eastAsia"/>
          <w:sz w:val="28"/>
        </w:rPr>
        <w:t>2022年1月11日变更企业名称，原名</w:t>
      </w:r>
      <w:r>
        <w:rPr>
          <w:rFonts w:hint="eastAsia"/>
          <w:sz w:val="28"/>
          <w:szCs w:val="28"/>
        </w:rPr>
        <w:t>胜利油田康贝石油技术有限公司</w:t>
      </w:r>
      <w:r>
        <w:rPr>
          <w:rFonts w:hint="eastAsia" w:cs="Times New Roman"/>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位于东营市东营区胜利工业园嘉祥路五十一号</w:t>
      </w:r>
      <w:r>
        <w:rPr>
          <w:rFonts w:hint="eastAsia"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公司</w:t>
      </w:r>
      <w:r>
        <w:rPr>
          <w:rFonts w:hint="eastAsia" w:ascii="Times New Roman" w:hAnsi="Times New Roman" w:eastAsia="宋体" w:cs="Times New Roman"/>
          <w:color w:val="000000" w:themeColor="text1"/>
          <w14:textFill>
            <w14:solidFill>
              <w14:schemeClr w14:val="tx1"/>
            </w14:solidFill>
          </w14:textFill>
        </w:rPr>
        <w:t>成立于2014年9月19日，法</w:t>
      </w:r>
      <w:r>
        <w:rPr>
          <w:rFonts w:hint="eastAsia" w:cs="Times New Roman"/>
          <w:color w:val="000000" w:themeColor="text1"/>
          <w:lang w:val="en-US" w:eastAsia="zh-CN"/>
          <w14:textFill>
            <w14:solidFill>
              <w14:schemeClr w14:val="tx1"/>
            </w14:solidFill>
          </w14:textFill>
        </w:rPr>
        <w:t>定</w:t>
      </w:r>
      <w:r>
        <w:rPr>
          <w:rFonts w:hint="eastAsia" w:ascii="Times New Roman" w:hAnsi="Times New Roman" w:eastAsia="宋体" w:cs="Times New Roman"/>
          <w:color w:val="000000" w:themeColor="text1"/>
          <w14:textFill>
            <w14:solidFill>
              <w14:schemeClr w14:val="tx1"/>
            </w14:solidFill>
          </w14:textFill>
        </w:rPr>
        <w:t>代表</w:t>
      </w:r>
      <w:r>
        <w:rPr>
          <w:rFonts w:hint="eastAsia" w:cs="Times New Roman"/>
          <w:color w:val="000000" w:themeColor="text1"/>
          <w:lang w:val="en-US" w:eastAsia="zh-CN"/>
          <w14:textFill>
            <w14:solidFill>
              <w14:schemeClr w14:val="tx1"/>
            </w14:solidFill>
          </w14:textFill>
        </w:rPr>
        <w:t>人</w:t>
      </w:r>
      <w:r>
        <w:rPr>
          <w:rFonts w:hint="eastAsia" w:ascii="Times New Roman" w:hAnsi="Times New Roman" w:eastAsia="宋体" w:cs="Times New Roman"/>
          <w:color w:val="000000" w:themeColor="text1"/>
          <w14:textFill>
            <w14:solidFill>
              <w14:schemeClr w14:val="tx1"/>
            </w14:solidFill>
          </w14:textFill>
        </w:rPr>
        <w:t>张峰</w:t>
      </w:r>
      <w:r>
        <w:rPr>
          <w:rFonts w:hint="eastAsia"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注册资本叁仟万元整。该公司主要经营范围为：一般项目：石油天然气技术服务；技术服务、技术开发、技术咨询、技术交流、技术转让、技术推广；工程和技术研究和试验发展；工程技术服务（规划管理、勘察、设计、监理除外）；石油钻采专用设备制造；专用设备制造（不含许可类专业设备制造）；工程管理服务；专业设计服务；对外承包工程；机械设备租赁；化工产品销售（不含许可类化工产品）；地质</w:t>
      </w:r>
      <w:r>
        <w:rPr>
          <w:rFonts w:hint="eastAsia" w:cs="Times New Roman"/>
          <w:color w:val="000000" w:themeColor="text1"/>
          <w:lang w:eastAsia="zh-CN"/>
          <w14:textFill>
            <w14:solidFill>
              <w14:schemeClr w14:val="tx1"/>
            </w14:solidFill>
          </w14:textFill>
        </w:rPr>
        <w:t>勘查</w:t>
      </w:r>
      <w:r>
        <w:rPr>
          <w:rFonts w:hint="eastAsia" w:ascii="Times New Roman" w:hAnsi="Times New Roman" w:eastAsia="宋体" w:cs="Times New Roman"/>
          <w:color w:val="000000" w:themeColor="text1"/>
          <w14:textFill>
            <w14:solidFill>
              <w14:schemeClr w14:val="tx1"/>
            </w14:solidFill>
          </w14:textFill>
        </w:rPr>
        <w:t>技术服务；（除依法须经批准的项目外，凭营业执照依法自主开展经营活动）。许可项目：矿产资源（非煤矿山）开采；各类工程建设活动；检验检测服务；建筑劳务分包。（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0" w:name="_Toc10808"/>
      <w:r>
        <w:rPr>
          <w:rFonts w:hint="eastAsia" w:cs="Times New Roman"/>
          <w:color w:val="000000" w:themeColor="text1"/>
          <w:sz w:val="28"/>
          <w:szCs w:val="28"/>
          <w:lang w:val="en-US" w:eastAsia="zh-CN"/>
          <w14:textFill>
            <w14:solidFill>
              <w14:schemeClr w14:val="tx1"/>
            </w14:solidFill>
          </w14:textFill>
        </w:rPr>
        <w:t>涉及企业机密，不予公开。</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r>
        <w:rPr>
          <w:rFonts w:ascii="Times New Roman" w:hAnsi="Times New Roman"/>
          <w:b w:val="0"/>
          <w:bCs/>
          <w:color w:val="000000" w:themeColor="text1"/>
          <w:szCs w:val="32"/>
          <w14:textFill>
            <w14:solidFill>
              <w14:schemeClr w14:val="tx1"/>
            </w14:solidFill>
          </w14:textFill>
        </w:rPr>
        <w:t>2.2 机构设置</w:t>
      </w:r>
      <w:bookmarkEnd w:id="20"/>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1" w:name="_Toc285310336"/>
      <w:bookmarkStart w:id="22" w:name="_Toc22570"/>
      <w:bookmarkStart w:id="23" w:name="_Toc202759402"/>
      <w:r>
        <w:rPr>
          <w:rFonts w:hint="eastAsia" w:cs="Times New Roman"/>
          <w:color w:val="000000" w:themeColor="text1"/>
          <w:sz w:val="28"/>
          <w:szCs w:val="28"/>
          <w:lang w:val="en-US" w:eastAsia="zh-CN"/>
          <w14:textFill>
            <w14:solidFill>
              <w14:schemeClr w14:val="tx1"/>
            </w14:solidFill>
          </w14:textFill>
        </w:rPr>
        <w:t>涉及企业机密，不予公开。</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r>
        <w:rPr>
          <w:rFonts w:ascii="Times New Roman" w:hAnsi="Times New Roman"/>
          <w:b w:val="0"/>
          <w:bCs/>
          <w:color w:val="000000" w:themeColor="text1"/>
          <w:szCs w:val="32"/>
          <w14:textFill>
            <w14:solidFill>
              <w14:schemeClr w14:val="tx1"/>
            </w14:solidFill>
          </w14:textFill>
        </w:rPr>
        <w:t>2.3 主要装备、设施、作业场所概况</w:t>
      </w:r>
      <w:bookmarkEnd w:id="21"/>
      <w:bookmarkEnd w:id="22"/>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2.3.1 作业类型</w:t>
      </w:r>
    </w:p>
    <w:p>
      <w:pPr>
        <w:pStyle w:val="15"/>
        <w:adjustRightInd w:val="0"/>
        <w:snapToGrid w:val="0"/>
        <w:spacing w:line="360" w:lineRule="auto"/>
        <w:ind w:firstLine="560"/>
        <w:rPr>
          <w:rFonts w:ascii="Times New Roman" w:hAnsi="Times New Roman" w:eastAsia="宋体" w:cs="Times New Roman"/>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山东胜利油田鸿欣石油技术有限公司井下作业项目主要是进行</w:t>
      </w:r>
      <w:r>
        <w:rPr>
          <w:rFonts w:hint="eastAsia" w:ascii="Times New Roman" w:hAnsi="Times New Roman" w:eastAsia="宋体" w:cs="Times New Roman"/>
          <w:color w:val="000000" w:themeColor="text1"/>
          <w:sz w:val="28"/>
          <w:szCs w:val="28"/>
          <w14:textFill>
            <w14:solidFill>
              <w14:schemeClr w14:val="tx1"/>
            </w14:solidFill>
          </w14:textFill>
        </w:rPr>
        <w:t>井下作业-注气（二氧化碳、氮气）、酸化、防砂、堵水</w:t>
      </w:r>
      <w:r>
        <w:rPr>
          <w:rFonts w:hint="eastAsia" w:cs="Times New Roman"/>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color w:val="000000" w:themeColor="text1"/>
          <w:sz w:val="28"/>
          <w:szCs w:val="28"/>
          <w14:textFill>
            <w14:solidFill>
              <w14:schemeClr w14:val="tx1"/>
            </w14:solidFill>
          </w14:textFill>
        </w:rPr>
        <w:t>调剖、特殊工艺技术服务（套管补贴）、井下复杂情况处理（堵漏）项目</w:t>
      </w:r>
      <w:r>
        <w:rPr>
          <w:rFonts w:ascii="Times New Roman" w:hAnsi="Times New Roman" w:eastAsia="宋体" w:cs="Times New Roman"/>
          <w:color w:val="000000" w:themeColor="text1"/>
          <w:sz w:val="28"/>
          <w:szCs w:val="28"/>
          <w14:textFill>
            <w14:solidFill>
              <w14:schemeClr w14:val="tx1"/>
            </w14:solidFill>
          </w14:textFill>
        </w:rPr>
        <w:t>。</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eastAsia="宋体"/>
          <w:b/>
          <w:bCs/>
          <w:color w:val="auto"/>
          <w:sz w:val="28"/>
          <w:szCs w:val="28"/>
          <w:lang w:val="en-US" w:eastAsia="zh-CN"/>
        </w:rPr>
      </w:pPr>
      <w:r>
        <w:rPr>
          <w:rFonts w:hint="eastAsia"/>
          <w:b/>
          <w:bCs/>
          <w:color w:val="auto"/>
          <w:sz w:val="28"/>
          <w:szCs w:val="28"/>
          <w:lang w:val="en-US" w:eastAsia="zh-CN"/>
        </w:rPr>
        <w:t>1.注气（氮气）</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auto"/>
          <w:sz w:val="28"/>
          <w:szCs w:val="28"/>
          <w:shd w:val="clear" w:color="auto" w:fill="FFFFFF"/>
        </w:rPr>
      </w:pPr>
      <w:r>
        <w:rPr>
          <w:rFonts w:hint="eastAsia"/>
          <w:color w:val="auto"/>
          <w:sz w:val="28"/>
          <w:szCs w:val="28"/>
        </w:rPr>
        <w:t>注气（氮气）</w:t>
      </w:r>
      <w:r>
        <w:rPr>
          <w:color w:val="auto"/>
          <w:sz w:val="28"/>
          <w:szCs w:val="28"/>
        </w:rPr>
        <w:t>作业属于井下作业。由于氮气与油水互不相溶，而且来源广，是气体非混相驱提高采收率的重要气源。可用于二、三次采油，油气井保护，保持压力和储存气体；</w:t>
      </w:r>
      <w:r>
        <w:rPr>
          <w:color w:val="auto"/>
          <w:sz w:val="28"/>
          <w:szCs w:val="28"/>
          <w:shd w:val="clear" w:color="auto" w:fill="FFFFFF"/>
        </w:rPr>
        <w:t>在油藏最佳部位注入氮气，可保持或提高油藏压力并同时驱替和采出气顶气。</w:t>
      </w:r>
      <w:r>
        <w:rPr>
          <w:rFonts w:hint="eastAsia"/>
          <w:color w:val="auto"/>
          <w:sz w:val="28"/>
          <w:szCs w:val="28"/>
          <w:shd w:val="clear" w:color="auto" w:fill="FFFFFF"/>
          <w:lang w:eastAsia="zh-CN"/>
        </w:rPr>
        <w:t>氮气发生车组</w:t>
      </w:r>
      <w:r>
        <w:rPr>
          <w:color w:val="auto"/>
          <w:sz w:val="28"/>
          <w:szCs w:val="28"/>
          <w:shd w:val="clear" w:color="auto" w:fill="FFFFFF"/>
        </w:rPr>
        <w:t>和</w:t>
      </w:r>
      <w:r>
        <w:rPr>
          <w:rFonts w:hint="eastAsia"/>
          <w:color w:val="auto"/>
          <w:sz w:val="28"/>
          <w:szCs w:val="28"/>
          <w:shd w:val="clear" w:color="auto" w:fill="FFFFFF"/>
          <w:lang w:eastAsia="zh-CN"/>
        </w:rPr>
        <w:t>增压机车组</w:t>
      </w:r>
      <w:r>
        <w:rPr>
          <w:color w:val="auto"/>
          <w:sz w:val="28"/>
          <w:szCs w:val="28"/>
          <w:shd w:val="clear" w:color="auto" w:fill="FFFFFF"/>
        </w:rPr>
        <w:t>更加适应多变井场条件，满足油田油藏开发的需要。</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2.注气（二氧化碳）</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注二氧化碳进行混相/非混相驱是提高油藏采收率的最有效方法之一。二氧化碳在油藏中具有很高的溶解度，驱油时具有膨胀原油体积、降低原油粘度和油相界面张力的特性，还能将原油中的轻质馏分汽化和抽取。这些特性有助于在储层形成有利的原油流动，尤其当注入二氧化碳与地层原油形成混相驱替，则更能大大提高采收率。</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3.酸化</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酸化是在高于地层破裂压力下用酸液作为压裂液，不加支撑剂的压裂（即酸压）。酸压过程中靠酸液的溶蚀作用将地层裂缝的壁面溶蚀成凹凸不平的表面，停泵卸压后，裂缝壁面不会完全闭合，因此具有较高的导流能力，恢复和提高油井生产能力。适用于碳酸盐岩油藏。</w:t>
      </w:r>
    </w:p>
    <w:p>
      <w:pPr>
        <w:pStyle w:val="15"/>
        <w:adjustRightInd w:val="0"/>
        <w:snapToGrid w:val="0"/>
        <w:spacing w:line="360" w:lineRule="auto"/>
        <w:ind w:firstLine="56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酸化施工时使用的主要设备为压裂车组泵车、高压管汇等，根据设计用料一般为盐酸、复合酸等。施工过程主要包括走泵试压、酸压施工、施工收尾。</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4.防砂</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b/>
          <w:bCs/>
          <w:color w:val="0000FF"/>
          <w:sz w:val="28"/>
          <w:szCs w:val="28"/>
          <w:lang w:val="en-US" w:eastAsia="zh-CN"/>
        </w:rPr>
      </w:pPr>
      <w:r>
        <w:rPr>
          <w:rFonts w:hint="default" w:ascii="Times New Roman" w:hAnsi="Times New Roman" w:eastAsia="宋体" w:cs="Times New Roman"/>
          <w:kern w:val="2"/>
          <w:sz w:val="28"/>
          <w:szCs w:val="28"/>
          <w:lang w:val="en-US" w:eastAsia="zh-CN" w:bidi="ar-SA"/>
        </w:rPr>
        <w:t>防砂是通过滤砂管防砂、循环充填防砂、笼统挤压充填防砂和分层挤压砾充填防砂等工艺技术，实现井筒挡砂从而提高油气产量的施工作业。防砂施工时使用的主要设备为</w:t>
      </w:r>
      <w:r>
        <w:rPr>
          <w:rFonts w:hint="default" w:ascii="Times New Roman" w:hAnsi="Times New Roman" w:eastAsia="宋体" w:cs="Times New Roman"/>
          <w:b w:val="0"/>
          <w:bCs w:val="0"/>
          <w:color w:val="auto"/>
          <w:kern w:val="2"/>
          <w:sz w:val="28"/>
          <w:szCs w:val="28"/>
          <w:lang w:val="en-US" w:eastAsia="zh-CN" w:bidi="ar-SA"/>
        </w:rPr>
        <w:t>防砂车组，辅助设备及工具包括砂罐车、高低压管汇等</w:t>
      </w:r>
      <w:r>
        <w:rPr>
          <w:rFonts w:hint="eastAsia" w:cs="Times New Roman"/>
          <w:color w:val="0000FF"/>
          <w:kern w:val="2"/>
          <w:sz w:val="28"/>
          <w:szCs w:val="28"/>
          <w:lang w:val="en-US" w:eastAsia="zh-CN" w:bidi="ar-SA"/>
        </w:rPr>
        <w:t>。</w:t>
      </w:r>
      <w:r>
        <w:rPr>
          <w:rFonts w:hint="eastAsia" w:cs="Times New Roman"/>
          <w:color w:val="auto"/>
          <w:kern w:val="2"/>
          <w:sz w:val="28"/>
          <w:szCs w:val="28"/>
          <w:lang w:val="en-US" w:eastAsia="zh-CN" w:bidi="ar-SA"/>
        </w:rPr>
        <w:t>鸿欣公司</w:t>
      </w:r>
      <w:r>
        <w:rPr>
          <w:rFonts w:hint="eastAsia" w:ascii="Times New Roman" w:hAnsi="Times New Roman" w:eastAsia="宋体" w:cs="Times New Roman"/>
          <w:color w:val="auto"/>
          <w:kern w:val="2"/>
          <w:sz w:val="28"/>
          <w:szCs w:val="28"/>
          <w:lang w:val="en-US" w:eastAsia="zh-CN" w:bidi="ar-SA"/>
        </w:rPr>
        <w:t>采用循环充填技术技术进行防砂。</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5.堵水调剖</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堵水/调剖是通过向注水层或产层挤入堵剂，调整注水层垂向吸收能力分布，或堵塞产层出水通道的工艺。通过地面高压泵入设备将有机或无机堵剂注入地层，封堵水窜通道，调整注水井（采油井）层间、层内的吸水（产液）剖面，改善储层平面注采流线分布，扩大水驱波及体积，提高井区剩余储量动用程度，最终提高油井产能。主要设备为高压注入泵组。</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6.特殊工艺技术服务（套管补贴）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jc w:val="both"/>
        <w:textAlignment w:val="auto"/>
        <w:rPr>
          <w:rFonts w:hint="eastAsia" w:ascii="Times New Roman" w:hAnsi="Times New Roman" w:eastAsia="宋体" w:cs="Times New Roman"/>
          <w:color w:val="0000FF"/>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套管补贴，就是利用特制钢管，对破漏部位的套管进行贴补，采用机械力使特制钢管紧紧补贴在套管内壁上，封堵漏点。</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7.井下复杂情况处理（堵漏）</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default"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堵漏、封堵是指对井筒破损处或射孔井段挤注堵剂，阻断井筒与挤入点连通的工艺。</w:t>
      </w:r>
      <w:r>
        <w:rPr>
          <w:rFonts w:hint="eastAsia" w:cs="Times New Roman"/>
          <w:color w:val="auto"/>
          <w:kern w:val="2"/>
          <w:sz w:val="28"/>
          <w:szCs w:val="28"/>
          <w:lang w:val="en-US" w:eastAsia="zh-CN" w:bidi="ar-SA"/>
        </w:rPr>
        <w:t>鸿欣公司目前采用泵注水泥方式进行堵漏施工。</w:t>
      </w:r>
    </w:p>
    <w:p>
      <w:pPr>
        <w:pStyle w:val="5"/>
        <w:keepNext w:val="0"/>
        <w:keepLines w:val="0"/>
        <w:adjustRightInd w:val="0"/>
        <w:snapToGrid w:val="0"/>
        <w:spacing w:before="0" w:after="0" w:line="360" w:lineRule="auto"/>
        <w:rPr>
          <w:rFonts w:ascii="Times New Roman" w:hAnsi="Times New Roman" w:eastAsia="黑体" w:cs="Times New Roman"/>
          <w:b w:val="0"/>
          <w:snapToGrid w:val="0"/>
          <w:color w:val="000000" w:themeColor="text1"/>
          <w:kern w:val="0"/>
          <w:sz w:val="28"/>
          <w:szCs w:val="28"/>
          <w14:textFill>
            <w14:solidFill>
              <w14:schemeClr w14:val="tx1"/>
            </w14:solidFill>
          </w14:textFill>
        </w:rPr>
      </w:pPr>
      <w:r>
        <w:rPr>
          <w:rFonts w:ascii="Times New Roman" w:hAnsi="Times New Roman" w:eastAsia="黑体" w:cs="Times New Roman"/>
          <w:b w:val="0"/>
          <w:snapToGrid w:val="0"/>
          <w:color w:val="000000" w:themeColor="text1"/>
          <w:kern w:val="0"/>
          <w:sz w:val="28"/>
          <w:szCs w:val="28"/>
          <w14:textFill>
            <w14:solidFill>
              <w14:schemeClr w14:val="tx1"/>
            </w14:solidFill>
          </w14:textFill>
        </w:rPr>
        <w:t>2.3.2 作业</w:t>
      </w:r>
      <w:r>
        <w:rPr>
          <w:rFonts w:hint="eastAsia" w:ascii="Times New Roman" w:hAnsi="Times New Roman" w:eastAsia="黑体" w:cs="Times New Roman"/>
          <w:b w:val="0"/>
          <w:snapToGrid w:val="0"/>
          <w:color w:val="000000" w:themeColor="text1"/>
          <w:kern w:val="0"/>
          <w:sz w:val="28"/>
          <w:szCs w:val="28"/>
          <w14:textFill>
            <w14:solidFill>
              <w14:schemeClr w14:val="tx1"/>
            </w14:solidFill>
          </w14:textFill>
        </w:rPr>
        <w:t>流程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2.3.</w:t>
      </w:r>
      <w:r>
        <w:rPr>
          <w:rFonts w:hint="eastAsia" w:eastAsia="黑体"/>
          <w:b w:val="0"/>
          <w:snapToGrid w:val="0"/>
          <w:color w:val="000000" w:themeColor="text1"/>
          <w:kern w:val="0"/>
          <w:sz w:val="28"/>
          <w:szCs w:val="28"/>
          <w14:textFill>
            <w14:solidFill>
              <w14:schemeClr w14:val="tx1"/>
            </w14:solidFill>
          </w14:textFill>
        </w:rPr>
        <w:t>3</w:t>
      </w:r>
      <w:r>
        <w:rPr>
          <w:rFonts w:eastAsia="黑体"/>
          <w:b w:val="0"/>
          <w:snapToGrid w:val="0"/>
          <w:color w:val="000000" w:themeColor="text1"/>
          <w:kern w:val="0"/>
          <w:sz w:val="28"/>
          <w:szCs w:val="28"/>
          <w14:textFill>
            <w14:solidFill>
              <w14:schemeClr w14:val="tx1"/>
            </w14:solidFill>
          </w14:textFill>
        </w:rPr>
        <w:t xml:space="preserve"> </w:t>
      </w:r>
      <w:r>
        <w:rPr>
          <w:rFonts w:hint="eastAsia" w:eastAsia="黑体"/>
          <w:b w:val="0"/>
          <w:snapToGrid w:val="0"/>
          <w:color w:val="auto"/>
          <w:kern w:val="0"/>
          <w:sz w:val="28"/>
          <w:szCs w:val="28"/>
        </w:rPr>
        <w:t>作业</w:t>
      </w:r>
      <w:r>
        <w:rPr>
          <w:rFonts w:eastAsia="黑体"/>
          <w:b w:val="0"/>
          <w:snapToGrid w:val="0"/>
          <w:color w:val="000000" w:themeColor="text1"/>
          <w:kern w:val="0"/>
          <w:sz w:val="28"/>
          <w:szCs w:val="28"/>
          <w14:textFill>
            <w14:solidFill>
              <w14:schemeClr w14:val="tx1"/>
            </w14:solidFill>
          </w14:textFill>
        </w:rPr>
        <w:t>队伍简介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5"/>
        <w:keepNext w:val="0"/>
        <w:keepLines w:val="0"/>
        <w:adjustRightInd w:val="0"/>
        <w:snapToGrid w:val="0"/>
        <w:spacing w:before="156" w:beforeLines="5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2.3.4 装备、设施的配备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5"/>
        <w:keepNext w:val="0"/>
        <w:keepLines w:val="0"/>
        <w:adjustRightInd w:val="0"/>
        <w:snapToGrid w:val="0"/>
        <w:spacing w:before="156" w:beforeLines="50" w:after="0" w:line="360" w:lineRule="auto"/>
        <w:rPr>
          <w:rFonts w:eastAsia="黑体"/>
          <w:b w:val="0"/>
          <w:snapToGrid w:val="0"/>
          <w:color w:val="0070C0"/>
          <w:kern w:val="0"/>
          <w:sz w:val="28"/>
          <w:szCs w:val="28"/>
        </w:rPr>
      </w:pPr>
      <w:r>
        <w:rPr>
          <w:rFonts w:eastAsia="黑体"/>
          <w:b w:val="0"/>
          <w:snapToGrid w:val="0"/>
          <w:color w:val="000000" w:themeColor="text1"/>
          <w:kern w:val="0"/>
          <w:sz w:val="28"/>
          <w:szCs w:val="28"/>
          <w14:textFill>
            <w14:solidFill>
              <w14:schemeClr w14:val="tx1"/>
            </w14:solidFill>
          </w14:textFill>
        </w:rPr>
        <w:t>2.3.5 作业区域及自然条件</w:t>
      </w:r>
    </w:p>
    <w:p>
      <w:pPr>
        <w:pStyle w:val="218"/>
        <w:adjustRightInd w:val="0"/>
        <w:snapToGrid w:val="0"/>
        <w:spacing w:after="0" w:line="360" w:lineRule="auto"/>
        <w:ind w:firstLine="560" w:firstLineChars="200"/>
        <w:rPr>
          <w:sz w:val="28"/>
        </w:rPr>
      </w:pPr>
      <w:r>
        <w:rPr>
          <w:color w:val="auto"/>
          <w:sz w:val="28"/>
          <w:szCs w:val="28"/>
        </w:rPr>
        <w:t>山东胜利油田鸿欣石油技术有限公司位于东营市东营区嘉祥路51号，公司</w:t>
      </w:r>
      <w:r>
        <w:rPr>
          <w:rFonts w:hint="eastAsia"/>
          <w:color w:val="auto"/>
          <w:sz w:val="28"/>
          <w:szCs w:val="28"/>
          <w:lang w:eastAsia="zh-CN"/>
        </w:rPr>
        <w:t>井下作业项目</w:t>
      </w:r>
      <w:r>
        <w:rPr>
          <w:color w:val="auto"/>
          <w:sz w:val="28"/>
          <w:szCs w:val="28"/>
        </w:rPr>
        <w:t>主要</w:t>
      </w:r>
      <w:r>
        <w:rPr>
          <w:rFonts w:hint="eastAsia"/>
          <w:color w:val="auto"/>
          <w:sz w:val="28"/>
          <w:szCs w:val="28"/>
          <w:lang w:val="en-US" w:eastAsia="zh-CN"/>
        </w:rPr>
        <w:t>包括：注气（二氧化碳、氮气）、酸化、防砂、堵水/调剖、特殊工艺技术服务（套管补贴）、井下复杂情况处理（堵漏），</w:t>
      </w:r>
      <w:r>
        <w:rPr>
          <w:rFonts w:hint="eastAsia"/>
          <w:sz w:val="28"/>
          <w:szCs w:val="28"/>
          <w:lang w:val="en-US" w:eastAsia="zh-CN"/>
        </w:rPr>
        <w:t>作业地点主要涉及东营市、滨州市等。</w:t>
      </w:r>
    </w:p>
    <w:p>
      <w:pPr>
        <w:pStyle w:val="218"/>
        <w:numPr>
          <w:ilvl w:val="0"/>
          <w:numId w:val="11"/>
        </w:numPr>
        <w:adjustRightInd w:val="0"/>
        <w:snapToGrid w:val="0"/>
        <w:spacing w:after="0" w:line="360" w:lineRule="auto"/>
        <w:ind w:firstLine="560" w:firstLineChars="200"/>
        <w:jc w:val="both"/>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东营</w:t>
      </w:r>
      <w:r>
        <w:rPr>
          <w:rFonts w:hint="eastAsia"/>
          <w:color w:val="000000" w:themeColor="text1"/>
          <w:sz w:val="28"/>
          <w:szCs w:val="28"/>
          <w:lang w:val="en-US" w:eastAsia="zh-CN"/>
          <w14:textFill>
            <w14:solidFill>
              <w14:schemeClr w14:val="tx1"/>
            </w14:solidFill>
          </w14:textFill>
        </w:rPr>
        <w:t>市</w:t>
      </w:r>
      <w:r>
        <w:rPr>
          <w:rFonts w:hint="default"/>
          <w:color w:val="000000" w:themeColor="text1"/>
          <w:sz w:val="28"/>
          <w:szCs w:val="28"/>
          <w14:textFill>
            <w14:solidFill>
              <w14:schemeClr w14:val="tx1"/>
            </w14:solidFill>
          </w14:textFill>
        </w:rPr>
        <w:t>自然条件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4"/>
          <w:lang w:val="en-US" w:eastAsia="zh-CN"/>
        </w:rPr>
        <w:t>1）</w:t>
      </w:r>
      <w:r>
        <w:rPr>
          <w:rFonts w:hint="eastAsia" w:ascii="Times New Roman" w:hAnsi="Times New Roman" w:eastAsia="宋体" w:cs="Times New Roman"/>
          <w:smallCaps w:val="0"/>
          <w:sz w:val="28"/>
          <w:szCs w:val="28"/>
        </w:rPr>
        <w:t>气候特征</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东营地区属暖温带大陆性季风气候。春季降水少，风速大，气候干燥：夏季气温高，湿度大，降水集中，有时受台风侵袭</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秋季气温急降，雨量骤减</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冬季雨雪稀少，寒冷干燥。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2</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气温</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年平均气温12.6℃，极端最低气温-23.3℃，极端最高气温为41.3℃。</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3</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降水</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年平均降雨量为544.4mm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年度变化幅度较大，属降雨不稳定地区。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4</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风况</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lang w:eastAsia="zh-CN"/>
        </w:rPr>
      </w:pPr>
      <w:r>
        <w:rPr>
          <w:rFonts w:hint="eastAsia" w:ascii="Times New Roman" w:hAnsi="Times New Roman" w:eastAsia="宋体" w:cs="Times New Roman"/>
          <w:smallCaps w:val="0"/>
          <w:sz w:val="28"/>
          <w:szCs w:val="24"/>
        </w:rPr>
        <w:t>年平均风速3.7m/s</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夏季盛行SE风，冬季盛行NW风。最小频率风向为NNE</w:t>
      </w:r>
      <w:r>
        <w:rPr>
          <w:rFonts w:hint="eastAsia" w:ascii="Times New Roman" w:hAnsi="Times New Roman" w:eastAsia="宋体" w:cs="Times New Roman"/>
          <w:smallCaps w:val="0"/>
          <w:sz w:val="28"/>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5</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地温和霜冻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地面温度年平均为14.9℃，最大冻土深度0.60m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解冻日一般在30∽40天。</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6</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地震烈度</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该地区的抗震设防烈度为7度。</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smallCaps w:val="0"/>
          <w:color w:val="000000"/>
          <w:kern w:val="2"/>
          <w:sz w:val="28"/>
          <w:szCs w:val="24"/>
          <w:lang w:val="en-US" w:eastAsia="zh-CN" w:bidi="ar-SA"/>
        </w:rPr>
      </w:pPr>
      <w:r>
        <w:rPr>
          <w:rFonts w:hint="eastAsia" w:ascii="Times New Roman" w:hAnsi="Times New Roman" w:eastAsia="宋体" w:cs="Times New Roman"/>
          <w:smallCaps w:val="0"/>
          <w:color w:val="000000"/>
          <w:kern w:val="2"/>
          <w:sz w:val="28"/>
          <w:szCs w:val="24"/>
          <w:lang w:val="en-US" w:eastAsia="zh-CN" w:bidi="ar-SA"/>
        </w:rPr>
        <w:t>社会环境</w:t>
      </w:r>
    </w:p>
    <w:p>
      <w:pPr>
        <w:pStyle w:val="218"/>
        <w:adjustRightInd w:val="0"/>
        <w:snapToGrid w:val="0"/>
        <w:spacing w:after="0" w:line="360" w:lineRule="auto"/>
        <w:ind w:firstLine="560" w:firstLineChars="200"/>
        <w:jc w:val="both"/>
        <w:rPr>
          <w:rFonts w:hint="eastAsia" w:ascii="Times New Roman" w:hAnsi="Times New Roman" w:eastAsia="宋体" w:cs="Times New Roman"/>
          <w:smallCaps w:val="0"/>
          <w:color w:val="auto"/>
          <w:kern w:val="2"/>
          <w:sz w:val="28"/>
          <w:szCs w:val="24"/>
          <w:lang w:val="en-US" w:eastAsia="zh-CN" w:bidi="ar-SA"/>
        </w:rPr>
      </w:pPr>
      <w:r>
        <w:rPr>
          <w:rFonts w:hint="default" w:ascii="Times New Roman" w:hAnsi="Times New Roman" w:eastAsia="宋体" w:cs="Times New Roman"/>
          <w:smallCaps w:val="0"/>
          <w:color w:val="auto"/>
          <w:kern w:val="2"/>
          <w:sz w:val="28"/>
          <w:szCs w:val="24"/>
          <w:lang w:val="en-US" w:eastAsia="zh-CN" w:bidi="ar-SA"/>
        </w:rPr>
        <w:t>东营地处中国华东地区、山东东北部、黄河入海口的三角洲地带，东临渤海，与日本、韩国隔海相望，北靠京津唐经济区，南连山东半岛蓝色经济区，向西辐射广大内陆地区，是环渤海经济区的重要节点、山东半岛城市群的重要组成部分，处于连接中原经济区与东北经济区、京津唐经济区与胶东半岛经济区的枢纽位置。</w:t>
      </w:r>
      <w:r>
        <w:rPr>
          <w:rFonts w:hint="eastAsia" w:ascii="Times New Roman" w:hAnsi="Times New Roman" w:eastAsia="宋体" w:cs="Times New Roman"/>
          <w:smallCaps w:val="0"/>
          <w:color w:val="auto"/>
          <w:kern w:val="2"/>
          <w:sz w:val="28"/>
          <w:szCs w:val="24"/>
          <w:lang w:val="en-US" w:eastAsia="zh-CN" w:bidi="ar-SA"/>
        </w:rPr>
        <w:t>交通便利，社会环境良好。</w:t>
      </w:r>
    </w:p>
    <w:p>
      <w:pPr>
        <w:widowControl/>
        <w:numPr>
          <w:ilvl w:val="0"/>
          <w:numId w:val="11"/>
        </w:numPr>
        <w:adjustRightInd w:val="0"/>
        <w:snapToGrid w:val="0"/>
        <w:spacing w:after="0" w:line="360" w:lineRule="auto"/>
        <w:ind w:firstLine="560" w:firstLineChars="200"/>
        <w:jc w:val="both"/>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滨州市自然条件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1</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气候特征</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滨州市属暖温带大陆性季风气候区，四季分明，雨热同季。</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2</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气温</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lang w:eastAsia="zh-CN"/>
        </w:rPr>
      </w:pPr>
      <w:r>
        <w:rPr>
          <w:rFonts w:hint="eastAsia" w:ascii="Times New Roman" w:hAnsi="Times New Roman" w:eastAsia="宋体" w:cs="Times New Roman"/>
          <w:smallCaps w:val="0"/>
          <w:sz w:val="28"/>
          <w:szCs w:val="24"/>
        </w:rPr>
        <w:t>年平均气温12</w:t>
      </w:r>
      <w:r>
        <w:rPr>
          <w:rFonts w:hint="eastAsia" w:ascii="Times New Roman" w:hAnsi="Times New Roman" w:eastAsia="宋体" w:cs="Times New Roman"/>
          <w:smallCaps w:val="0"/>
          <w:sz w:val="28"/>
          <w:szCs w:val="24"/>
          <w:lang w:val="en-US" w:eastAsia="zh-CN"/>
        </w:rPr>
        <w:t>.</w:t>
      </w:r>
      <w:r>
        <w:rPr>
          <w:rFonts w:hint="eastAsia" w:ascii="Times New Roman" w:hAnsi="Times New Roman" w:eastAsia="宋体" w:cs="Times New Roman"/>
          <w:smallCaps w:val="0"/>
          <w:sz w:val="28"/>
          <w:szCs w:val="24"/>
        </w:rPr>
        <w:t>5℃，历年极端最高气温为40.9℃，极端最低气温为-22.8℃</w:t>
      </w:r>
      <w:r>
        <w:rPr>
          <w:rFonts w:hint="eastAsia" w:ascii="Times New Roman" w:hAnsi="Times New Roman" w:eastAsia="宋体" w:cs="Times New Roman"/>
          <w:smallCaps w:val="0"/>
          <w:sz w:val="28"/>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3</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降水</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年平均降雨量640.9mm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降水主要集中在夏季，月最大降水量为316.5mm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年平均相对湿度为67%。</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4</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风况</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夏季多偏南风，冬季多偏北风，最小频率风向为N风。</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lang w:val="en-US" w:eastAsia="zh-CN"/>
        </w:rPr>
      </w:pPr>
      <w:r>
        <w:rPr>
          <w:rFonts w:hint="eastAsia" w:ascii="Times New Roman" w:hAnsi="Times New Roman" w:eastAsia="宋体" w:cs="Times New Roman"/>
          <w:smallCaps w:val="0"/>
          <w:sz w:val="28"/>
          <w:szCs w:val="28"/>
          <w:lang w:val="en-US" w:eastAsia="zh-CN"/>
        </w:rPr>
        <w:t>土壤冻结深度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lang w:eastAsia="zh-CN"/>
        </w:rPr>
      </w:pPr>
      <w:r>
        <w:rPr>
          <w:rFonts w:hint="eastAsia" w:ascii="Times New Roman" w:hAnsi="Times New Roman" w:eastAsia="宋体" w:cs="Times New Roman"/>
          <w:smallCaps w:val="0"/>
          <w:sz w:val="28"/>
          <w:szCs w:val="28"/>
          <w:lang w:val="en-US" w:eastAsia="zh-CN"/>
        </w:rPr>
        <w:t>土壤</w:t>
      </w:r>
      <w:r>
        <w:rPr>
          <w:rFonts w:hint="eastAsia" w:ascii="Times New Roman" w:hAnsi="Times New Roman" w:eastAsia="宋体" w:cs="Times New Roman"/>
          <w:smallCaps w:val="0"/>
          <w:sz w:val="28"/>
          <w:szCs w:val="28"/>
        </w:rPr>
        <w:t>最大冻结深度0.64m</w:t>
      </w:r>
      <w:r>
        <w:rPr>
          <w:rFonts w:hint="eastAsia" w:ascii="Times New Roman" w:hAnsi="Times New Roman" w:eastAsia="宋体" w:cs="Times New Roman"/>
          <w:smallCaps w:val="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lang w:val="en-US" w:eastAsia="zh-CN"/>
        </w:rPr>
        <w:t>6）</w:t>
      </w:r>
      <w:r>
        <w:rPr>
          <w:rFonts w:hint="eastAsia" w:ascii="Times New Roman" w:hAnsi="Times New Roman" w:eastAsia="宋体" w:cs="Times New Roman"/>
          <w:smallCaps w:val="0"/>
          <w:sz w:val="28"/>
          <w:szCs w:val="28"/>
        </w:rPr>
        <w:t>地震烈度</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该地区的抗震设防烈度为6度。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jc w:val="both"/>
        <w:textAlignment w:val="auto"/>
        <w:rPr>
          <w:rFonts w:hint="eastAsia" w:ascii="Times New Roman" w:hAnsi="Times New Roman" w:eastAsia="宋体" w:cs="Times New Roman"/>
          <w:smallCaps w:val="0"/>
          <w:color w:val="000000"/>
          <w:kern w:val="2"/>
          <w:sz w:val="28"/>
          <w:szCs w:val="24"/>
          <w:lang w:val="en-US" w:eastAsia="zh-CN" w:bidi="ar-SA"/>
        </w:rPr>
      </w:pPr>
      <w:r>
        <w:rPr>
          <w:rFonts w:hint="eastAsia" w:ascii="Times New Roman" w:hAnsi="Times New Roman" w:eastAsia="宋体" w:cs="Times New Roman"/>
          <w:smallCaps w:val="0"/>
          <w:color w:val="000000"/>
          <w:kern w:val="2"/>
          <w:sz w:val="28"/>
          <w:szCs w:val="24"/>
          <w:lang w:val="en-US" w:eastAsia="zh-CN" w:bidi="ar-SA"/>
        </w:rPr>
        <w:t>7）社会环境</w:t>
      </w:r>
    </w:p>
    <w:p>
      <w:pPr>
        <w:pStyle w:val="218"/>
        <w:adjustRightInd w:val="0"/>
        <w:snapToGrid w:val="0"/>
        <w:spacing w:after="0" w:line="360" w:lineRule="auto"/>
        <w:ind w:firstLine="560" w:firstLineChars="200"/>
        <w:jc w:val="both"/>
        <w:rPr>
          <w:rFonts w:hint="eastAsia" w:ascii="Times New Roman" w:hAnsi="Times New Roman" w:eastAsia="宋体" w:cs="Times New Roman"/>
          <w:smallCaps w:val="0"/>
          <w:color w:val="auto"/>
          <w:kern w:val="2"/>
          <w:sz w:val="28"/>
          <w:szCs w:val="24"/>
          <w:lang w:val="en-US" w:eastAsia="zh-CN" w:bidi="ar-SA"/>
        </w:rPr>
      </w:pPr>
      <w:r>
        <w:rPr>
          <w:rFonts w:hint="eastAsia" w:ascii="Times New Roman" w:hAnsi="Times New Roman" w:eastAsia="宋体" w:cs="Times New Roman"/>
          <w:smallCaps w:val="0"/>
          <w:color w:val="000000"/>
          <w:kern w:val="2"/>
          <w:sz w:val="28"/>
          <w:szCs w:val="24"/>
          <w:lang w:val="en-US" w:eastAsia="zh-CN" w:bidi="ar-SA"/>
        </w:rPr>
        <w:t>滨州历史悠久，是黄河文化和齐文化的发祥地之一，是渤海革命老区中心区、渤海区党委机关驻地。滨州依河傍海，是连接苏、鲁、京、津的重要通道，是国家级交通运输的枢纽城市之一。交通便利，社会环境良好。</w:t>
      </w:r>
    </w:p>
    <w:p>
      <w:pPr>
        <w:pStyle w:val="4"/>
        <w:keepNext w:val="0"/>
        <w:keepLines w:val="0"/>
        <w:adjustRightInd w:val="0"/>
        <w:snapToGrid w:val="0"/>
        <w:spacing w:before="0" w:after="0" w:line="360" w:lineRule="auto"/>
        <w:rPr>
          <w:rFonts w:ascii="Times New Roman" w:hAnsi="Times New Roman"/>
          <w:b w:val="0"/>
          <w:bCs/>
          <w:color w:val="0070C0"/>
          <w:szCs w:val="32"/>
        </w:rPr>
      </w:pPr>
      <w:bookmarkStart w:id="24" w:name="_Toc15605"/>
      <w:r>
        <w:rPr>
          <w:rFonts w:ascii="Times New Roman" w:hAnsi="Times New Roman"/>
          <w:b w:val="0"/>
          <w:bCs/>
          <w:color w:val="000000" w:themeColor="text1"/>
          <w:szCs w:val="32"/>
          <w14:textFill>
            <w14:solidFill>
              <w14:schemeClr w14:val="tx1"/>
            </w14:solidFill>
          </w14:textFill>
        </w:rPr>
        <w:t>2.4 安全生产管理机构的设置和安全生产管理人员的配备</w:t>
      </w:r>
      <w:bookmarkEnd w:id="24"/>
    </w:p>
    <w:p>
      <w:pPr>
        <w:adjustRightInd w:val="0"/>
        <w:snapToGrid w:val="0"/>
        <w:spacing w:line="360" w:lineRule="auto"/>
        <w:ind w:firstLine="560" w:firstLineChars="200"/>
        <w:rPr>
          <w:sz w:val="28"/>
          <w:szCs w:val="28"/>
        </w:rPr>
      </w:pPr>
      <w:r>
        <w:rPr>
          <w:rFonts w:hint="eastAsia"/>
          <w:sz w:val="28"/>
          <w:szCs w:val="28"/>
        </w:rPr>
        <w:t>根据《中华人民共和国安全生产法》（主席令[2021]第88号修订）第二十四条，“矿山、金属冶炼、建筑施工、运输单位和危险物品的生产、经营、储存、装卸单位，应当设置安全生产管理机构或者配备专职安全生产管理人员。”</w:t>
      </w:r>
    </w:p>
    <w:p>
      <w:pPr>
        <w:adjustRightInd w:val="0"/>
        <w:snapToGrid w:val="0"/>
        <w:spacing w:line="360" w:lineRule="auto"/>
        <w:ind w:firstLine="560" w:firstLineChars="200"/>
        <w:rPr>
          <w:rFonts w:hint="eastAsia" w:eastAsia="宋体"/>
          <w:color w:val="FF0000"/>
          <w:sz w:val="28"/>
          <w:szCs w:val="28"/>
          <w:lang w:eastAsia="zh-CN"/>
        </w:rPr>
      </w:pPr>
      <w:r>
        <w:rPr>
          <w:rFonts w:hint="eastAsia"/>
          <w:sz w:val="28"/>
          <w:szCs w:val="28"/>
        </w:rPr>
        <w:t>根据《山东省生产经营单位安全生产主体责任规定》（山东省人民政府令[2018]第311号）第九条，“矿山、金属冶炼、道路运输、建筑施工单位，危险物品的生产、经营、储存、装卸、运输单位和使用危险物品从事生产并且使用量达到规定数量的单位（以下简称高危生产经营单位），应当按照下列规定设置安全生产管理机构或者配备安全生产管理人员：</w:t>
      </w:r>
      <w:r>
        <w:rPr>
          <w:rFonts w:hint="eastAsia"/>
          <w:sz w:val="28"/>
          <w:szCs w:val="28"/>
          <w:lang w:val="en-US" w:eastAsia="zh-CN"/>
        </w:rPr>
        <w:t>从业人员不足100人的，应当配备专职安全生产管理人员</w:t>
      </w:r>
      <w:r>
        <w:rPr>
          <w:rFonts w:hint="eastAsia"/>
          <w:color w:val="auto"/>
          <w:sz w:val="28"/>
          <w:szCs w:val="28"/>
        </w:rPr>
        <w:t>。</w:t>
      </w:r>
      <w:r>
        <w:rPr>
          <w:rFonts w:hint="eastAsia"/>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spacing w:line="360" w:lineRule="auto"/>
        <w:ind w:firstLine="560" w:firstLineChars="200"/>
        <w:rPr>
          <w:color w:val="auto"/>
          <w:sz w:val="28"/>
          <w:szCs w:val="28"/>
        </w:rPr>
      </w:pPr>
      <w:r>
        <w:rPr>
          <w:color w:val="auto"/>
          <w:sz w:val="28"/>
          <w:szCs w:val="28"/>
        </w:rPr>
        <w:t>综上，该公司安全生产管理机构的设置和专职安全生产管理人员</w:t>
      </w:r>
      <w:r>
        <w:rPr>
          <w:rFonts w:hint="eastAsia"/>
          <w:color w:val="auto"/>
        </w:rPr>
        <w:t>、</w:t>
      </w:r>
      <w:r>
        <w:rPr>
          <w:rFonts w:hint="eastAsia"/>
          <w:color w:val="auto"/>
          <w:sz w:val="28"/>
          <w:szCs w:val="28"/>
        </w:rPr>
        <w:t>注册安全工程师</w:t>
      </w:r>
      <w:r>
        <w:rPr>
          <w:color w:val="auto"/>
          <w:sz w:val="28"/>
          <w:szCs w:val="28"/>
        </w:rPr>
        <w:t>的配备情况符合相关要求。</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25" w:name="_Toc355"/>
      <w:r>
        <w:rPr>
          <w:rFonts w:ascii="Times New Roman" w:hAnsi="Times New Roman"/>
          <w:b w:val="0"/>
          <w:bCs/>
          <w:color w:val="000000" w:themeColor="text1"/>
          <w:szCs w:val="32"/>
          <w14:textFill>
            <w14:solidFill>
              <w14:schemeClr w14:val="tx1"/>
            </w14:solidFill>
          </w14:textFill>
        </w:rPr>
        <w:t>2.5 安全生产规章制度及操作规程</w:t>
      </w:r>
      <w:bookmarkEnd w:id="25"/>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公司自成立以来，建立健全了以安全生产责任制为主要内容的各项安全管理制度，根据本单位施工工艺、设备和岗位特点制定了各岗位安全操作规程，并汇编成册。</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2.5.1 安全生产责任制</w:t>
      </w:r>
    </w:p>
    <w:p>
      <w:pPr>
        <w:tabs>
          <w:tab w:val="left" w:pos="0"/>
        </w:tabs>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安全生产责任制是根据我国的安全生产方针“安全第一，预防为主，综合治理”和安全生产法规建立的各级领导、职能部门、工程技术人员、岗位操作人员在劳动生产过程中对安全生产层层负责的制度。安全生产责任制是企业岗位责任制的一个组成部分，是企业中最基本的一项安全制度，也是企业安全生产、劳动保护管理制度的核心。该公司已经建立的安全生产责任制主要包括：</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总经理岗位安全生产责任制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安全总监岗位安全生产责任制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生产副经理岗位安全生产责任制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经营副经理岗位安全生产责任制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安全管理部安全管理员岗位生产责任制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生产管理部主任岗位安全生产责任制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生产管理部设备管理员岗位安全生产责任制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生产管理部</w:t>
      </w:r>
      <w:r>
        <w:rPr>
          <w:rFonts w:hint="eastAsia" w:cs="Times New Roman"/>
          <w:color w:val="auto"/>
          <w:sz w:val="28"/>
          <w:lang w:val="en-US" w:eastAsia="zh-CN"/>
        </w:rPr>
        <w:t>电工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生产管理部</w:t>
      </w:r>
      <w:r>
        <w:rPr>
          <w:rFonts w:hint="eastAsia" w:ascii="Times New Roman" w:hAnsi="Times New Roman" w:eastAsia="宋体" w:cs="Times New Roman"/>
          <w:color w:val="auto"/>
          <w:sz w:val="28"/>
          <w:lang w:eastAsia="zh-CN"/>
        </w:rPr>
        <w:t>起重指挥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经营管理部主任岗位安全生产责任制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经营管理部经管员岗位安全生产责任制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lang w:eastAsia="zh-CN"/>
        </w:rPr>
        <w:t>驾驶员</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技术服务队</w:t>
      </w:r>
      <w:r>
        <w:rPr>
          <w:rFonts w:hint="eastAsia" w:ascii="Times New Roman" w:hAnsi="Times New Roman" w:eastAsia="宋体" w:cs="Times New Roman"/>
          <w:color w:val="auto"/>
          <w:sz w:val="28"/>
        </w:rPr>
        <w:t>队长岗位安全生产责任制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技术服务队班组长</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技术服务队堵水调剖</w:t>
      </w:r>
      <w:r>
        <w:rPr>
          <w:rFonts w:hint="eastAsia" w:ascii="Times New Roman" w:hAnsi="Times New Roman" w:eastAsia="宋体" w:cs="Times New Roman"/>
          <w:color w:val="auto"/>
          <w:sz w:val="28"/>
          <w:lang w:val="en-US" w:eastAsia="zh-CN"/>
        </w:rPr>
        <w:t>操作工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技术服务队防砂</w:t>
      </w:r>
      <w:r>
        <w:rPr>
          <w:rFonts w:hint="eastAsia" w:ascii="Times New Roman" w:hAnsi="Times New Roman" w:eastAsia="宋体" w:cs="Times New Roman"/>
          <w:color w:val="auto"/>
          <w:sz w:val="28"/>
          <w:lang w:val="en-US" w:eastAsia="zh-CN"/>
        </w:rPr>
        <w:t>操作工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技术服务队酸化</w:t>
      </w:r>
      <w:r>
        <w:rPr>
          <w:rFonts w:hint="eastAsia" w:ascii="Times New Roman" w:hAnsi="Times New Roman" w:eastAsia="宋体" w:cs="Times New Roman"/>
          <w:color w:val="auto"/>
          <w:sz w:val="28"/>
          <w:lang w:val="en-US" w:eastAsia="zh-CN"/>
        </w:rPr>
        <w:t>操作工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技术服务队堵漏</w:t>
      </w:r>
      <w:r>
        <w:rPr>
          <w:rFonts w:hint="eastAsia" w:ascii="Times New Roman" w:hAnsi="Times New Roman" w:eastAsia="宋体" w:cs="Times New Roman"/>
          <w:color w:val="auto"/>
          <w:sz w:val="28"/>
          <w:lang w:val="en-US" w:eastAsia="zh-CN"/>
        </w:rPr>
        <w:t>操作工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技术服务队套管补贴</w:t>
      </w:r>
      <w:r>
        <w:rPr>
          <w:rFonts w:hint="eastAsia" w:ascii="Times New Roman" w:hAnsi="Times New Roman" w:eastAsia="宋体" w:cs="Times New Roman"/>
          <w:color w:val="auto"/>
          <w:sz w:val="28"/>
          <w:lang w:val="en-US" w:eastAsia="zh-CN"/>
        </w:rPr>
        <w:t>操作工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注气队</w:t>
      </w:r>
      <w:r>
        <w:rPr>
          <w:rFonts w:hint="eastAsia" w:ascii="Times New Roman" w:hAnsi="Times New Roman" w:eastAsia="宋体" w:cs="Times New Roman"/>
          <w:color w:val="auto"/>
          <w:sz w:val="28"/>
        </w:rPr>
        <w:t>队长岗位安全生产责任制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注气队</w:t>
      </w:r>
      <w:r>
        <w:rPr>
          <w:rFonts w:hint="eastAsia" w:ascii="Times New Roman" w:hAnsi="Times New Roman" w:eastAsia="宋体" w:cs="Times New Roman"/>
          <w:color w:val="auto"/>
          <w:sz w:val="28"/>
          <w:lang w:val="en-US" w:eastAsia="zh-CN"/>
        </w:rPr>
        <w:t>班组长</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注气队二氧化碳</w:t>
      </w:r>
      <w:r>
        <w:rPr>
          <w:rFonts w:hint="eastAsia" w:ascii="Times New Roman" w:hAnsi="Times New Roman" w:eastAsia="宋体" w:cs="Times New Roman"/>
          <w:color w:val="auto"/>
          <w:sz w:val="28"/>
          <w:lang w:val="en-US" w:eastAsia="zh-CN"/>
        </w:rPr>
        <w:t>操作工</w:t>
      </w:r>
      <w:r>
        <w:rPr>
          <w:rFonts w:hint="eastAsia" w:ascii="Times New Roman" w:hAnsi="Times New Roman" w:eastAsia="宋体" w:cs="Times New Roman"/>
          <w:color w:val="auto"/>
          <w:sz w:val="28"/>
        </w:rPr>
        <w:t>岗位安全生产责任制</w:t>
      </w:r>
    </w:p>
    <w:p>
      <w:pPr>
        <w:pStyle w:val="127"/>
        <w:numPr>
          <w:ilvl w:val="0"/>
          <w:numId w:val="1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cs="Times New Roman"/>
          <w:color w:val="auto"/>
          <w:sz w:val="28"/>
          <w:lang w:val="en-US" w:eastAsia="zh-CN"/>
        </w:rPr>
        <w:t>注气队注氮气</w:t>
      </w:r>
      <w:r>
        <w:rPr>
          <w:rFonts w:hint="eastAsia" w:ascii="Times New Roman" w:hAnsi="Times New Roman" w:eastAsia="宋体" w:cs="Times New Roman"/>
          <w:color w:val="auto"/>
          <w:sz w:val="28"/>
          <w:lang w:val="en-US" w:eastAsia="zh-CN"/>
        </w:rPr>
        <w:t>操作工</w:t>
      </w:r>
      <w:r>
        <w:rPr>
          <w:rFonts w:hint="eastAsia" w:ascii="Times New Roman" w:hAnsi="Times New Roman" w:eastAsia="宋体" w:cs="Times New Roman"/>
          <w:color w:val="auto"/>
          <w:sz w:val="28"/>
        </w:rPr>
        <w:t>岗位安全生产责任制</w:t>
      </w:r>
    </w:p>
    <w:p>
      <w:pPr>
        <w:pStyle w:val="127"/>
        <w:adjustRightInd w:val="0"/>
        <w:snapToGrid w:val="0"/>
        <w:spacing w:line="360" w:lineRule="auto"/>
        <w:ind w:firstLine="56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该公司已经建立了从总经理到一般员工的安全生产责任制以及各部门的安全职责，符合《中华人民共和国安全生产法》（主席令[2021]第88号）第二十二条、《山东省安全生产条例》（2021年12月3日山东省第十三届人民代表大会常务委员会第三十二次会议修订）第十六条、《山东省生产经营单位安全生产主体责任规定》（山东省人民政府令[2018]第311号）中第六条、《关于印发山东省生产经营单位全员安全生产</w:t>
      </w:r>
      <w:r>
        <w:rPr>
          <w:rFonts w:hint="eastAsia"/>
          <w:color w:val="000000" w:themeColor="text1"/>
          <w:sz w:val="28"/>
          <w:szCs w:val="28"/>
          <w14:textFill>
            <w14:solidFill>
              <w14:schemeClr w14:val="tx1"/>
            </w14:solidFill>
          </w14:textFill>
        </w:rPr>
        <w:t>责任制</w:t>
      </w:r>
      <w:r>
        <w:rPr>
          <w:color w:val="000000" w:themeColor="text1"/>
          <w:sz w:val="28"/>
          <w:szCs w:val="28"/>
          <w14:textFill>
            <w14:solidFill>
              <w14:schemeClr w14:val="tx1"/>
            </w14:solidFill>
          </w14:textFill>
        </w:rPr>
        <w:t>的通知》</w:t>
      </w:r>
      <w:r>
        <w:rPr>
          <w:rFonts w:hint="eastAsia"/>
          <w:color w:val="000000" w:themeColor="text1"/>
          <w:sz w:val="28"/>
          <w:szCs w:val="28"/>
          <w:lang w:eastAsia="zh-CN"/>
          <w14:textFill>
            <w14:solidFill>
              <w14:schemeClr w14:val="tx1"/>
            </w14:solidFill>
          </w14:textFill>
        </w:rPr>
        <w:t>（</w:t>
      </w:r>
      <w:r>
        <w:rPr>
          <w:color w:val="000000" w:themeColor="text1"/>
          <w:sz w:val="28"/>
          <w:szCs w:val="28"/>
          <w14:textFill>
            <w14:solidFill>
              <w14:schemeClr w14:val="tx1"/>
            </w14:solidFill>
          </w14:textFill>
        </w:rPr>
        <w:t>鲁安办发</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2021</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50号</w:t>
      </w:r>
      <w:r>
        <w:rPr>
          <w:rFonts w:hint="eastAsia"/>
          <w:color w:val="000000" w:themeColor="text1"/>
          <w:sz w:val="28"/>
          <w:szCs w:val="28"/>
          <w:lang w:eastAsia="zh-CN"/>
          <w14:textFill>
            <w14:solidFill>
              <w14:schemeClr w14:val="tx1"/>
            </w14:solidFill>
          </w14:textFill>
        </w:rPr>
        <w:t>）</w:t>
      </w:r>
      <w:r>
        <w:rPr>
          <w:color w:val="000000" w:themeColor="text1"/>
          <w:sz w:val="28"/>
          <w:szCs w:val="28"/>
          <w14:textFill>
            <w14:solidFill>
              <w14:schemeClr w14:val="tx1"/>
            </w14:solidFill>
          </w14:textFill>
        </w:rPr>
        <w:t>的要求，建议企业根据相关规范定期进行修订、完善。</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2.5.2 安全管理制度</w:t>
      </w:r>
    </w:p>
    <w:p>
      <w:pPr>
        <w:pStyle w:val="127"/>
        <w:numPr>
          <w:ilvl w:val="0"/>
          <w:numId w:val="0"/>
        </w:numPr>
        <w:adjustRightInd w:val="0"/>
        <w:snapToGrid w:val="0"/>
        <w:spacing w:line="360" w:lineRule="auto"/>
        <w:ind w:leftChars="20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公司制定的安全管理制度：</w:t>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"_Toc11464"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安全管理规定</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"_Toc9066"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安全检查制度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"_Toc26853"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安全生产奖惩制度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"_Toc16640"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生产安全事故管理制度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"_Toc25171"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安全生产责任制度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"_Toc3038"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风险分级管控制度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"_Toc21044"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事故隐患排查治理制度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"_Toc9024"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井控安全管理制度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"_Toc15655"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领导干部带班制度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"_Toc14511"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领导干部定点联系制度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"_Toc11424"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消防安全管理制度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"_Toc20948"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易燃易爆物品防火管理制度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"_Toc5778"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可燃、有毒气体检测报警器安全管理规定</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"_Toc17655"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安全生产资金投入制度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"_Toc14040"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隐患治理管理制度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"_Toc20789"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安全教育培训制度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"_Toc15502"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安全生产档案管理制度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"_Toc26554"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安全生产会议制度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"_Toc31975"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设备安全管理制度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"_Toc28851"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安全设施管理制度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"_Toc21255"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特种设备安全管理制度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"_Toc11217"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特种作业人员管理制度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"_Toc14168"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劳动防护用品管理制度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fldChar w:fldCharType="begin"/>
      </w:r>
      <w:r>
        <w:rPr>
          <w:rFonts w:hint="default" w:ascii="Times New Roman" w:hAnsi="Times New Roman" w:eastAsia="宋体" w:cs="Times New Roman"/>
          <w:color w:val="auto"/>
          <w:sz w:val="28"/>
          <w:highlight w:val="none"/>
        </w:rPr>
        <w:instrText xml:space="preserve"> HYPERLINK \l "_Toc21379" </w:instrText>
      </w:r>
      <w:r>
        <w:rPr>
          <w:rFonts w:hint="default" w:ascii="Times New Roman" w:hAnsi="Times New Roman" w:eastAsia="宋体" w:cs="Times New Roman"/>
          <w:color w:val="auto"/>
          <w:sz w:val="28"/>
          <w:highlight w:val="none"/>
        </w:rPr>
        <w:fldChar w:fldCharType="separate"/>
      </w:r>
      <w:r>
        <w:rPr>
          <w:rFonts w:hint="default" w:ascii="Times New Roman" w:hAnsi="Times New Roman" w:eastAsia="宋体" w:cs="Times New Roman"/>
          <w:color w:val="auto"/>
          <w:sz w:val="28"/>
          <w:highlight w:val="none"/>
        </w:rPr>
        <w:t>职业危害预防制度</w:t>
      </w:r>
      <w:r>
        <w:rPr>
          <w:rFonts w:hint="default" w:ascii="Times New Roman" w:hAnsi="Times New Roman" w:eastAsia="宋体" w:cs="Times New Roman"/>
          <w:color w:val="auto"/>
          <w:sz w:val="28"/>
          <w:highlight w:val="none"/>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职工工伤管理制度</w:t>
      </w:r>
    </w:p>
    <w:p>
      <w:pPr>
        <w:pStyle w:val="127"/>
        <w:numPr>
          <w:ilvl w:val="0"/>
          <w:numId w:val="15"/>
        </w:numPr>
        <w:adjustRightInd w:val="0"/>
        <w:snapToGrid w:val="0"/>
        <w:spacing w:line="360" w:lineRule="auto"/>
        <w:ind w:left="1050" w:leftChars="0" w:hanging="420" w:firstLineChars="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临时用电安全管理制度</w:t>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动土作业管理制度</w:t>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登高作业安全管理制度</w:t>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eastAsia" w:cs="Times New Roman"/>
          <w:color w:val="auto"/>
          <w:sz w:val="28"/>
          <w:lang w:val="en-US" w:eastAsia="zh-CN"/>
        </w:rPr>
        <w:t>起重作业安全管理规定</w:t>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"_Toc14746"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事故报告制度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fldChar w:fldCharType="begin"/>
      </w:r>
      <w:r>
        <w:rPr>
          <w:rFonts w:hint="default" w:ascii="Times New Roman" w:hAnsi="Times New Roman" w:eastAsia="宋体" w:cs="Times New Roman"/>
          <w:color w:val="auto"/>
          <w:sz w:val="28"/>
        </w:rPr>
        <w:instrText xml:space="preserve"> HYPERLINK \l "_Toc18441" </w:instrText>
      </w:r>
      <w:r>
        <w:rPr>
          <w:rFonts w:hint="default" w:ascii="Times New Roman" w:hAnsi="Times New Roman" w:eastAsia="宋体" w:cs="Times New Roman"/>
          <w:color w:val="auto"/>
          <w:sz w:val="28"/>
        </w:rPr>
        <w:fldChar w:fldCharType="separate"/>
      </w:r>
      <w:r>
        <w:rPr>
          <w:rFonts w:hint="default" w:ascii="Times New Roman" w:hAnsi="Times New Roman" w:eastAsia="宋体" w:cs="Times New Roman"/>
          <w:color w:val="auto"/>
          <w:sz w:val="28"/>
        </w:rPr>
        <w:t>应急救援制度</w:t>
      </w:r>
      <w:r>
        <w:rPr>
          <w:rFonts w:hint="default" w:ascii="Times New Roman" w:hAnsi="Times New Roman" w:eastAsia="宋体" w:cs="Times New Roman"/>
          <w:color w:val="auto"/>
          <w:sz w:val="28"/>
        </w:rPr>
        <w:fldChar w:fldCharType="end"/>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应急预案管理制度</w:t>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承包商、供应商安全管理制度</w:t>
      </w:r>
    </w:p>
    <w:p>
      <w:pPr>
        <w:pStyle w:val="127"/>
        <w:numPr>
          <w:ilvl w:val="0"/>
          <w:numId w:val="15"/>
        </w:numPr>
        <w:adjustRightInd w:val="0"/>
        <w:snapToGrid w:val="0"/>
        <w:spacing w:line="360" w:lineRule="auto"/>
        <w:ind w:left="1050" w:leftChars="0" w:hanging="420" w:firstLineChars="0"/>
        <w:rPr>
          <w:rFonts w:hint="default" w:ascii="Times New Roman" w:hAnsi="Times New Roman" w:eastAsia="宋体" w:cs="Times New Roman"/>
          <w:color w:val="auto"/>
          <w:sz w:val="28"/>
        </w:rPr>
      </w:pPr>
      <w:bookmarkStart w:id="26" w:name="_Toc22866"/>
      <w:bookmarkStart w:id="27" w:name="_Toc20375"/>
      <w:r>
        <w:rPr>
          <w:rFonts w:hint="eastAsia" w:ascii="Times New Roman" w:hAnsi="Times New Roman" w:eastAsia="宋体" w:cs="Times New Roman"/>
          <w:color w:val="auto"/>
          <w:sz w:val="28"/>
        </w:rPr>
        <w:t>变更管理制度</w:t>
      </w:r>
      <w:bookmarkEnd w:id="26"/>
      <w:bookmarkEnd w:id="27"/>
    </w:p>
    <w:p>
      <w:pPr>
        <w:pStyle w:val="127"/>
        <w:adjustRightInd w:val="0"/>
        <w:snapToGrid w:val="0"/>
        <w:spacing w:line="360" w:lineRule="auto"/>
        <w:ind w:firstLine="560"/>
        <w:rPr>
          <w:sz w:val="28"/>
        </w:rPr>
      </w:pPr>
      <w:r>
        <w:rPr>
          <w:rFonts w:hint="eastAsia"/>
          <w:sz w:val="28"/>
        </w:rPr>
        <w:t>鸿欣公司目前运行的安全管理制度健全，经相关负责人审核签发，安全管理制度涵盖了《非煤矿矿山企业安全生产许可证实施办法》（原国家安全监管总局令第20号，2015年安全监管总局令第78号修正）第六条、《山东省安全生产条例》（2021年12月3日山东省第十三届人民代表大会常务委员会第三十二次会议修订）第十五条、《山东省生产经营单位安全生产主体责任规定》（山东省人民政府令[2018]第311号）第七条等要求的各项制度，且运行情况良好，建议企业定期更新完善现有安全管理制度。</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5"/>
        <w:keepNext w:val="0"/>
        <w:keepLines w:val="0"/>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2.5.3 操作规程</w:t>
      </w:r>
    </w:p>
    <w:p>
      <w:pPr>
        <w:adjustRightInd w:val="0"/>
        <w:snapToGrid w:val="0"/>
        <w:spacing w:line="360" w:lineRule="auto"/>
        <w:ind w:firstLine="560" w:firstLineChars="200"/>
        <w:rPr>
          <w:color w:val="auto"/>
          <w:sz w:val="28"/>
        </w:rPr>
      </w:pPr>
      <w:r>
        <w:rPr>
          <w:rFonts w:hint="eastAsia"/>
          <w:color w:val="auto"/>
          <w:sz w:val="28"/>
        </w:rPr>
        <w:t>鸿欣</w:t>
      </w:r>
      <w:r>
        <w:rPr>
          <w:color w:val="auto"/>
          <w:sz w:val="28"/>
        </w:rPr>
        <w:t>公司制定的操作规程有</w:t>
      </w:r>
      <w:bookmarkStart w:id="28" w:name="_Hlk536086749"/>
      <w:r>
        <w:rPr>
          <w:rFonts w:hint="eastAsia"/>
          <w:color w:val="auto"/>
          <w:sz w:val="28"/>
        </w:rPr>
        <w:t>施工</w:t>
      </w:r>
      <w:r>
        <w:rPr>
          <w:color w:val="auto"/>
          <w:sz w:val="28"/>
        </w:rPr>
        <w:t>操作规程</w:t>
      </w:r>
      <w:r>
        <w:rPr>
          <w:rFonts w:hint="eastAsia"/>
          <w:color w:val="auto"/>
          <w:sz w:val="28"/>
        </w:rPr>
        <w:t>、设备操作规程、日常安全操作规程</w:t>
      </w:r>
      <w:r>
        <w:rPr>
          <w:color w:val="auto"/>
          <w:sz w:val="28"/>
        </w:rPr>
        <w:t>和</w:t>
      </w:r>
      <w:r>
        <w:rPr>
          <w:rFonts w:hint="eastAsia"/>
          <w:color w:val="auto"/>
          <w:sz w:val="28"/>
        </w:rPr>
        <w:t>岗位</w:t>
      </w:r>
      <w:r>
        <w:rPr>
          <w:color w:val="auto"/>
          <w:sz w:val="28"/>
        </w:rPr>
        <w:t>操作规程</w:t>
      </w:r>
      <w:bookmarkEnd w:id="28"/>
      <w:r>
        <w:rPr>
          <w:color w:val="auto"/>
          <w:sz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b w:val="0"/>
          <w:bCs/>
          <w:color w:val="auto"/>
          <w:sz w:val="28"/>
        </w:rPr>
      </w:pPr>
      <w:r>
        <w:rPr>
          <w:rFonts w:hint="eastAsia"/>
          <w:b w:val="0"/>
          <w:bCs/>
          <w:color w:val="auto"/>
          <w:sz w:val="28"/>
          <w:lang w:val="en-US" w:eastAsia="zh-CN"/>
        </w:rPr>
        <w:t>1.</w:t>
      </w:r>
      <w:r>
        <w:rPr>
          <w:rFonts w:hint="eastAsia"/>
          <w:b w:val="0"/>
          <w:bCs/>
          <w:color w:val="auto"/>
          <w:sz w:val="28"/>
        </w:rPr>
        <w:t>施工操作规程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堵水调剖安全操作</w:t>
      </w:r>
      <w:r>
        <w:rPr>
          <w:rFonts w:hint="eastAsia" w:cs="Times New Roman"/>
          <w:color w:val="auto"/>
          <w:sz w:val="28"/>
          <w:lang w:val="en-US" w:eastAsia="zh-CN"/>
        </w:rPr>
        <w:t>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防砂作业安全操作规程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酸化施工操作规程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cs="Times New Roman"/>
          <w:color w:val="auto"/>
          <w:sz w:val="28"/>
          <w:lang w:val="en-US" w:eastAsia="zh-CN"/>
        </w:rPr>
        <w:t>堵漏</w:t>
      </w:r>
      <w:r>
        <w:rPr>
          <w:rFonts w:hint="eastAsia" w:ascii="Times New Roman" w:hAnsi="Times New Roman" w:eastAsia="宋体" w:cs="Times New Roman"/>
          <w:color w:val="auto"/>
          <w:sz w:val="28"/>
        </w:rPr>
        <w:t>施工操作规程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二氧化碳安全操作规程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注氮操作安全操作规程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制氮气举安全操作规程</w:t>
      </w:r>
    </w:p>
    <w:p>
      <w:pPr>
        <w:pStyle w:val="127"/>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套管补贴操作规程</w:t>
      </w:r>
    </w:p>
    <w:p>
      <w:pPr>
        <w:adjustRightInd w:val="0"/>
        <w:snapToGrid w:val="0"/>
        <w:spacing w:line="360" w:lineRule="auto"/>
        <w:ind w:firstLine="560" w:firstLineChars="200"/>
        <w:rPr>
          <w:b w:val="0"/>
          <w:bCs/>
          <w:color w:val="auto"/>
          <w:sz w:val="28"/>
        </w:rPr>
      </w:pPr>
      <w:r>
        <w:rPr>
          <w:rFonts w:hint="eastAsia"/>
          <w:b w:val="0"/>
          <w:bCs/>
          <w:color w:val="auto"/>
          <w:sz w:val="28"/>
          <w:lang w:val="en-US" w:eastAsia="zh-CN"/>
        </w:rPr>
        <w:t>2.</w:t>
      </w:r>
      <w:r>
        <w:rPr>
          <w:rFonts w:hint="eastAsia"/>
          <w:b w:val="0"/>
          <w:bCs/>
          <w:color w:val="auto"/>
          <w:sz w:val="28"/>
        </w:rPr>
        <w:t>设备操作规程</w:t>
      </w:r>
    </w:p>
    <w:p>
      <w:pPr>
        <w:pStyle w:val="127"/>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TDB液压调剖堵水泵安全操作规程</w:t>
      </w:r>
    </w:p>
    <w:p>
      <w:pPr>
        <w:pStyle w:val="127"/>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二氧化碳设备安全操作规程</w:t>
      </w:r>
    </w:p>
    <w:p>
      <w:pPr>
        <w:pStyle w:val="127"/>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车载式1200膜制氮设备安全操作规程</w:t>
      </w:r>
    </w:p>
    <w:p>
      <w:pPr>
        <w:pStyle w:val="127"/>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压裂车安全操作规程</w:t>
      </w:r>
    </w:p>
    <w:p>
      <w:pPr>
        <w:pStyle w:val="127"/>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混砂车安全操作规程</w:t>
      </w:r>
    </w:p>
    <w:p>
      <w:pPr>
        <w:pStyle w:val="127"/>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仪表车安全操作规程</w:t>
      </w:r>
    </w:p>
    <w:p>
      <w:pPr>
        <w:adjustRightInd w:val="0"/>
        <w:snapToGrid w:val="0"/>
        <w:spacing w:line="360" w:lineRule="auto"/>
        <w:ind w:firstLine="560" w:firstLineChars="200"/>
        <w:rPr>
          <w:b w:val="0"/>
          <w:bCs/>
          <w:color w:val="auto"/>
          <w:sz w:val="28"/>
        </w:rPr>
      </w:pPr>
      <w:r>
        <w:rPr>
          <w:rFonts w:hint="eastAsia"/>
          <w:b w:val="0"/>
          <w:bCs/>
          <w:color w:val="auto"/>
          <w:sz w:val="28"/>
          <w:lang w:val="en-US" w:eastAsia="zh-CN"/>
        </w:rPr>
        <w:t>3.</w:t>
      </w:r>
      <w:r>
        <w:rPr>
          <w:rFonts w:hint="eastAsia"/>
          <w:b w:val="0"/>
          <w:bCs/>
          <w:color w:val="auto"/>
          <w:sz w:val="28"/>
        </w:rPr>
        <w:t>日常安全操作规程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值班房及器材搬迁安全操作规程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正压式空气呼吸器安全操作规程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便携式气体检测仪安全操作规程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干粉灭火器安全操作规程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油田化学药品安全操作规程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车辆司机安全操作规程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lang w:eastAsia="zh-CN"/>
        </w:rPr>
        <w:t>起重指挥安全操作规程</w:t>
      </w:r>
    </w:p>
    <w:p>
      <w:pPr>
        <w:pStyle w:val="127"/>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lang w:eastAsia="zh-CN"/>
        </w:rPr>
        <w:t>电工安全操作规程</w:t>
      </w:r>
    </w:p>
    <w:p>
      <w:pPr>
        <w:adjustRightInd w:val="0"/>
        <w:snapToGrid w:val="0"/>
        <w:spacing w:line="360" w:lineRule="auto"/>
        <w:ind w:firstLine="560" w:firstLineChars="200"/>
        <w:rPr>
          <w:b w:val="0"/>
          <w:bCs/>
          <w:color w:val="auto"/>
          <w:sz w:val="28"/>
        </w:rPr>
      </w:pPr>
      <w:r>
        <w:rPr>
          <w:rFonts w:hint="eastAsia"/>
          <w:b w:val="0"/>
          <w:bCs/>
          <w:color w:val="auto"/>
          <w:sz w:val="28"/>
          <w:lang w:val="en-US" w:eastAsia="zh-CN"/>
        </w:rPr>
        <w:t>4.</w:t>
      </w:r>
      <w:r>
        <w:rPr>
          <w:rFonts w:hint="eastAsia"/>
          <w:b w:val="0"/>
          <w:bCs/>
          <w:color w:val="auto"/>
          <w:sz w:val="28"/>
        </w:rPr>
        <w:t>岗位操作规程</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堵水调剖</w:t>
      </w:r>
      <w:r>
        <w:rPr>
          <w:rFonts w:hint="eastAsia" w:cs="Times New Roman"/>
          <w:color w:val="auto"/>
          <w:sz w:val="28"/>
          <w:lang w:val="en-US" w:eastAsia="zh-CN"/>
        </w:rPr>
        <w:t>队长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堵水调剖</w:t>
      </w:r>
      <w:r>
        <w:rPr>
          <w:rFonts w:hint="eastAsia" w:cs="Times New Roman"/>
          <w:color w:val="auto"/>
          <w:sz w:val="28"/>
          <w:lang w:val="en-US" w:eastAsia="zh-CN"/>
        </w:rPr>
        <w:t>班组长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堵水调剖</w:t>
      </w:r>
      <w:r>
        <w:rPr>
          <w:rFonts w:hint="eastAsia" w:cs="Times New Roman"/>
          <w:color w:val="auto"/>
          <w:sz w:val="28"/>
          <w:lang w:val="en-US" w:eastAsia="zh-CN"/>
        </w:rPr>
        <w:t>操作工</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防砂</w:t>
      </w:r>
      <w:r>
        <w:rPr>
          <w:rFonts w:hint="eastAsia" w:cs="Times New Roman"/>
          <w:color w:val="auto"/>
          <w:sz w:val="28"/>
          <w:lang w:val="en-US" w:eastAsia="zh-CN"/>
        </w:rPr>
        <w:t>队长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防砂</w:t>
      </w:r>
      <w:r>
        <w:rPr>
          <w:rFonts w:hint="eastAsia" w:cs="Times New Roman"/>
          <w:color w:val="auto"/>
          <w:sz w:val="28"/>
          <w:lang w:val="en-US" w:eastAsia="zh-CN"/>
        </w:rPr>
        <w:t>班组长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防砂</w:t>
      </w:r>
      <w:r>
        <w:rPr>
          <w:rFonts w:hint="eastAsia" w:cs="Times New Roman"/>
          <w:color w:val="auto"/>
          <w:sz w:val="28"/>
          <w:lang w:val="en-US" w:eastAsia="zh-CN"/>
        </w:rPr>
        <w:t>操作工</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酸化</w:t>
      </w:r>
      <w:r>
        <w:rPr>
          <w:rFonts w:hint="eastAsia" w:cs="Times New Roman"/>
          <w:color w:val="auto"/>
          <w:sz w:val="28"/>
          <w:lang w:val="en-US" w:eastAsia="zh-CN"/>
        </w:rPr>
        <w:t>队长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酸化</w:t>
      </w:r>
      <w:r>
        <w:rPr>
          <w:rFonts w:hint="eastAsia" w:cs="Times New Roman"/>
          <w:color w:val="auto"/>
          <w:sz w:val="28"/>
          <w:lang w:val="en-US" w:eastAsia="zh-CN"/>
        </w:rPr>
        <w:t>班组长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酸化</w:t>
      </w:r>
      <w:r>
        <w:rPr>
          <w:rFonts w:hint="eastAsia" w:cs="Times New Roman"/>
          <w:color w:val="auto"/>
          <w:sz w:val="28"/>
          <w:lang w:val="en-US" w:eastAsia="zh-CN"/>
        </w:rPr>
        <w:t>操作工</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cs="Times New Roman"/>
          <w:color w:val="auto"/>
          <w:sz w:val="28"/>
          <w:lang w:val="en-US" w:eastAsia="zh-CN"/>
        </w:rPr>
        <w:t>堵漏队长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cs="Times New Roman"/>
          <w:color w:val="auto"/>
          <w:sz w:val="28"/>
          <w:lang w:val="en-US" w:eastAsia="zh-CN"/>
        </w:rPr>
        <w:t>堵漏班组长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cs="Times New Roman"/>
          <w:color w:val="auto"/>
          <w:sz w:val="28"/>
          <w:lang w:val="en-US" w:eastAsia="zh-CN"/>
        </w:rPr>
        <w:t>堵漏操作工</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二氧化碳</w:t>
      </w:r>
      <w:r>
        <w:rPr>
          <w:rFonts w:hint="eastAsia" w:cs="Times New Roman"/>
          <w:color w:val="auto"/>
          <w:sz w:val="28"/>
          <w:lang w:val="en-US" w:eastAsia="zh-CN"/>
        </w:rPr>
        <w:t>队长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二氧化碳</w:t>
      </w:r>
      <w:r>
        <w:rPr>
          <w:rFonts w:hint="eastAsia" w:cs="Times New Roman"/>
          <w:color w:val="auto"/>
          <w:sz w:val="28"/>
          <w:lang w:val="en-US" w:eastAsia="zh-CN"/>
        </w:rPr>
        <w:t>班组长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二氧化碳</w:t>
      </w:r>
      <w:r>
        <w:rPr>
          <w:rFonts w:hint="eastAsia" w:cs="Times New Roman"/>
          <w:color w:val="auto"/>
          <w:sz w:val="28"/>
          <w:lang w:val="en-US" w:eastAsia="zh-CN"/>
        </w:rPr>
        <w:t>操作工</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注氮</w:t>
      </w:r>
      <w:r>
        <w:rPr>
          <w:rFonts w:hint="eastAsia" w:cs="Times New Roman"/>
          <w:color w:val="auto"/>
          <w:sz w:val="28"/>
          <w:lang w:val="en-US" w:eastAsia="zh-CN"/>
        </w:rPr>
        <w:t>队长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注氮</w:t>
      </w:r>
      <w:r>
        <w:rPr>
          <w:rFonts w:hint="eastAsia" w:cs="Times New Roman"/>
          <w:color w:val="auto"/>
          <w:sz w:val="28"/>
          <w:lang w:val="en-US" w:eastAsia="zh-CN"/>
        </w:rPr>
        <w:t>班组长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注氮</w:t>
      </w:r>
      <w:r>
        <w:rPr>
          <w:rFonts w:hint="eastAsia" w:cs="Times New Roman"/>
          <w:color w:val="auto"/>
          <w:sz w:val="28"/>
          <w:lang w:val="en-US" w:eastAsia="zh-CN"/>
        </w:rPr>
        <w:t>操作工</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套管补贴</w:t>
      </w:r>
      <w:r>
        <w:rPr>
          <w:rFonts w:hint="eastAsia" w:cs="Times New Roman"/>
          <w:color w:val="auto"/>
          <w:sz w:val="28"/>
          <w:lang w:val="en-US" w:eastAsia="zh-CN"/>
        </w:rPr>
        <w:t>队长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套管补贴</w:t>
      </w:r>
      <w:r>
        <w:rPr>
          <w:rFonts w:hint="eastAsia" w:cs="Times New Roman"/>
          <w:color w:val="auto"/>
          <w:sz w:val="28"/>
          <w:lang w:val="en-US" w:eastAsia="zh-CN"/>
        </w:rPr>
        <w:t>班组长</w:t>
      </w:r>
    </w:p>
    <w:p>
      <w:pPr>
        <w:pStyle w:val="127"/>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420" w:leftChars="200" w:firstLine="0" w:firstLineChars="0"/>
        <w:textAlignment w:val="auto"/>
        <w:rPr>
          <w:rFonts w:hint="default" w:ascii="Times New Roman" w:hAnsi="Times New Roman" w:eastAsia="宋体" w:cs="Times New Roman"/>
          <w:color w:val="auto"/>
          <w:sz w:val="28"/>
        </w:rPr>
      </w:pPr>
      <w:r>
        <w:rPr>
          <w:rFonts w:hint="eastAsia" w:ascii="Times New Roman" w:hAnsi="Times New Roman" w:eastAsia="宋体" w:cs="Times New Roman"/>
          <w:color w:val="auto"/>
          <w:sz w:val="28"/>
        </w:rPr>
        <w:t>套管补贴</w:t>
      </w:r>
      <w:r>
        <w:rPr>
          <w:rFonts w:hint="eastAsia" w:cs="Times New Roman"/>
          <w:color w:val="auto"/>
          <w:sz w:val="28"/>
          <w:lang w:val="en-US" w:eastAsia="zh-CN"/>
        </w:rPr>
        <w:t>操作工</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29" w:name="_Toc24474"/>
      <w:r>
        <w:rPr>
          <w:rFonts w:ascii="Times New Roman" w:hAnsi="Times New Roman"/>
          <w:b w:val="0"/>
          <w:bCs/>
          <w:color w:val="000000" w:themeColor="text1"/>
          <w:szCs w:val="32"/>
          <w14:textFill>
            <w14:solidFill>
              <w14:schemeClr w14:val="tx1"/>
            </w14:solidFill>
          </w14:textFill>
        </w:rPr>
        <w:t>2.6 安全投入情况</w:t>
      </w:r>
      <w:bookmarkEnd w:id="29"/>
    </w:p>
    <w:p>
      <w:pPr>
        <w:adjustRightInd w:val="0"/>
        <w:snapToGrid w:val="0"/>
        <w:spacing w:line="360" w:lineRule="auto"/>
        <w:ind w:firstLine="560" w:firstLineChars="2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鸿欣</w:t>
      </w:r>
      <w:r>
        <w:rPr>
          <w:color w:val="000000" w:themeColor="text1"/>
          <w:sz w:val="28"/>
          <w14:textFill>
            <w14:solidFill>
              <w14:schemeClr w14:val="tx1"/>
            </w14:solidFill>
          </w14:textFill>
        </w:rPr>
        <w:t>公司在安全投入方面，执行《企业安全生产费用提取和使用管理办法》（财企[2012]16号）等有关规定，按比例提取安全生产费用，专款专用，确保安全方面的资金投入。安全生产费用主要用于完善、改造、维护安全设备、设施，配备应急救援器材、设备和现场作业人员安全防护物品支出，安全生产</w:t>
      </w:r>
      <w:r>
        <w:rPr>
          <w:rFonts w:hint="eastAsia"/>
          <w:color w:val="000000" w:themeColor="text1"/>
          <w:sz w:val="28"/>
          <w:lang w:val="en-US" w:eastAsia="zh-CN"/>
          <w14:textFill>
            <w14:solidFill>
              <w14:schemeClr w14:val="tx1"/>
            </w14:solidFill>
          </w14:textFill>
        </w:rPr>
        <w:t>评估</w:t>
      </w:r>
      <w:r>
        <w:rPr>
          <w:color w:val="000000" w:themeColor="text1"/>
          <w:sz w:val="28"/>
          <w14:textFill>
            <w14:solidFill>
              <w14:schemeClr w14:val="tx1"/>
            </w14:solidFill>
          </w14:textFill>
        </w:rPr>
        <w:t>检查，事故隐患整改，安全</w:t>
      </w:r>
      <w:r>
        <w:rPr>
          <w:rFonts w:hint="eastAsia"/>
          <w:color w:val="000000" w:themeColor="text1"/>
          <w:sz w:val="28"/>
          <w:lang w:val="en-US" w:eastAsia="zh-CN"/>
          <w14:textFill>
            <w14:solidFill>
              <w14:schemeClr w14:val="tx1"/>
            </w14:solidFill>
          </w14:textFill>
        </w:rPr>
        <w:t>教育</w:t>
      </w:r>
      <w:r>
        <w:rPr>
          <w:color w:val="000000" w:themeColor="text1"/>
          <w:sz w:val="28"/>
          <w14:textFill>
            <w14:solidFill>
              <w14:schemeClr w14:val="tx1"/>
            </w14:solidFill>
          </w14:textFill>
        </w:rPr>
        <w:t>培训，应急演练及其他与安全生产直接相关的支出</w:t>
      </w:r>
      <w:r>
        <w:rPr>
          <w:rFonts w:hint="eastAsia"/>
          <w:color w:val="000000" w:themeColor="text1"/>
          <w:sz w:val="28"/>
          <w:lang w:val="en-US" w:eastAsia="zh-CN"/>
          <w14:textFill>
            <w14:solidFill>
              <w14:schemeClr w14:val="tx1"/>
            </w14:solidFill>
          </w14:textFill>
        </w:rPr>
        <w:t>等</w:t>
      </w:r>
      <w:r>
        <w:rPr>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lang w:val="en-US" w:eastAsia="zh-CN"/>
        </w:rPr>
      </w:pPr>
      <w:r>
        <w:rPr>
          <w:rFonts w:hint="eastAsia" w:ascii="Times New Roman" w:hAnsi="Times New Roman" w:cs="Times New Roman"/>
          <w:sz w:val="28"/>
          <w:lang w:val="en-US" w:eastAsia="zh-CN"/>
        </w:rPr>
        <w:t>根据《企业安全生产费用提取和使用管理办法》（财企[2012]16号）第二十七条：“企业提取的安全费用应当专户核算，按规定范围安排使用，不得挤占、挪用”，企业进行整改后设安全费用专户核算，安全费用专户证明详见报告附件</w:t>
      </w:r>
      <w:r>
        <w:rPr>
          <w:rFonts w:hint="eastAsia" w:cs="Times New Roman"/>
          <w:sz w:val="28"/>
          <w:lang w:val="en-US" w:eastAsia="zh-CN"/>
        </w:rPr>
        <w:t>19。</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0" w:name="_Toc30374"/>
      <w:r>
        <w:rPr>
          <w:rFonts w:ascii="Times New Roman" w:hAnsi="Times New Roman"/>
          <w:b w:val="0"/>
          <w:bCs/>
          <w:color w:val="000000" w:themeColor="text1"/>
          <w:szCs w:val="32"/>
          <w14:textFill>
            <w14:solidFill>
              <w14:schemeClr w14:val="tx1"/>
            </w14:solidFill>
          </w14:textFill>
        </w:rPr>
        <w:t>2.7 安全教育培训及人员持证情况</w:t>
      </w:r>
      <w:bookmarkEnd w:id="30"/>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在安全教育培训方面，</w:t>
      </w:r>
      <w:r>
        <w:rPr>
          <w:rFonts w:hint="eastAsia"/>
          <w:color w:val="000000" w:themeColor="text1"/>
          <w:sz w:val="28"/>
          <w14:textFill>
            <w14:solidFill>
              <w14:schemeClr w14:val="tx1"/>
            </w14:solidFill>
          </w14:textFill>
        </w:rPr>
        <w:t>鸿欣</w:t>
      </w:r>
      <w:r>
        <w:rPr>
          <w:color w:val="000000" w:themeColor="text1"/>
          <w:sz w:val="28"/>
          <w14:textFill>
            <w14:solidFill>
              <w14:schemeClr w14:val="tx1"/>
            </w14:solidFill>
          </w14:textFill>
        </w:rPr>
        <w:t>公司始终严格执行安全教育培训制度，本着“培训指导于生产，培训服务于生产”的指导思想，坚持“立足实际、突出重点、讲求实效”的工作原则，积极采取各种措施，分层次、分专业有效的开展一系列安全教育培训工作。</w:t>
      </w:r>
    </w:p>
    <w:p>
      <w:pPr>
        <w:adjustRightInd w:val="0"/>
        <w:snapToGrid w:val="0"/>
        <w:spacing w:line="360" w:lineRule="auto"/>
        <w:ind w:firstLine="560" w:firstLineChars="200"/>
        <w:rPr>
          <w:sz w:val="28"/>
        </w:rPr>
      </w:pPr>
      <w:r>
        <w:rPr>
          <w:rFonts w:hint="eastAsia"/>
          <w:sz w:val="28"/>
        </w:rPr>
        <w:t>公司针对不同人员制定安全教育培训计划，并根据计划组织安全教育培训，新上岗的从业人员安全培训时间不少于72学时，每年再培训的时间不少于20学时，符合《生产经营单位安全培训规定》（国家安全监督管理总局令[2006]第3号，2015修订版）第十三条规定，相关教育培训材料详见报告附件</w:t>
      </w:r>
      <w:r>
        <w:rPr>
          <w:rFonts w:hint="eastAsia"/>
          <w:sz w:val="28"/>
          <w:lang w:val="en-US" w:eastAsia="zh-CN"/>
        </w:rPr>
        <w:t>17</w:t>
      </w:r>
      <w:r>
        <w:rPr>
          <w:rFonts w:hint="eastAsia"/>
          <w:sz w:val="28"/>
        </w:rPr>
        <w:t>。</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2.7.1 主要负责人和安全管理人员安全生产知识和管理能力及培训持证情况</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根据《中华人民共和国安全生产法》（主席令[2021]第88号）第二十七条：“危险物品的生产、经营、储存、装卸单位以及矿山、金属冶炼、建筑施工、运输单位的主要负责人和安全生产管理人员，应当由主管的负有安全生产监督管理职责的部门对其安全生产知识和管理能力考核合格。危险物品的生产、储存、装卸单位以及矿山、金属冶炼单位应当有注册安全工程师从事安全生产管理工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spacing w:before="156" w:beforeLines="50"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综上，公司主要负责人和安全管理人员安全生产知识和管理能力，培训持证情况符合相关要求。</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2.7.2 特种作业人员教育培训及持证情况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目前，该企业从业人员已通过相关的安全知识培训（如上岗前严格进行工艺操作规程、安全技术规程、岗位培训等岗前教育），新入厂的职工进行了“三级”培训教育，合格后方允许上岗。根据《特种作业人员安全技术培训考核管理规定》（国家安全生产监督管理总局令[2010]第30号，2015修订版）规定的要求：特种作业人员必须经专门的安全技术培训并考核合格，取得《中华人民共和国特种作业操作证》（以下简称特种作业操作证）后，方可上岗作业。</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2.7.3 其他从业人员教育培训及持证情况</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w:t>
      </w:r>
      <w:r>
        <w:rPr>
          <w:color w:val="000000" w:themeColor="text1"/>
          <w:sz w:val="28"/>
          <w14:textFill>
            <w14:solidFill>
              <w14:schemeClr w14:val="tx1"/>
            </w14:solidFill>
          </w14:textFill>
        </w:rPr>
        <w:t>按照《生产经营单位安全培训规定》（原国家安监总局令第3号，2015年修订）第十三条：“煤矿、非煤矿山、危险化学品、烟花爆竹、金属冶炼等生产经营单位新上岗的从业人员安全培训时间不得少于72学时，每年再培训的时间不得少于20学时”的要求，安全教育培训记录详见报告附件</w:t>
      </w:r>
      <w:r>
        <w:rPr>
          <w:rFonts w:hint="eastAsia"/>
          <w:color w:val="000000" w:themeColor="text1"/>
          <w:sz w:val="28"/>
          <w:lang w:val="en-US" w:eastAsia="zh-CN"/>
          <w14:textFill>
            <w14:solidFill>
              <w14:schemeClr w14:val="tx1"/>
            </w14:solidFill>
          </w14:textFill>
        </w:rPr>
        <w:t>17</w:t>
      </w:r>
      <w:r>
        <w:rPr>
          <w:color w:val="000000" w:themeColor="text1"/>
          <w:sz w:val="28"/>
          <w14:textFill>
            <w14:solidFill>
              <w14:schemeClr w14:val="tx1"/>
            </w14:solidFill>
          </w14:textFill>
        </w:rPr>
        <w:t>。</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根据山东省、东营市全员安全生产“大学习、大培训、大考试”专项行动要求，</w:t>
      </w:r>
      <w:r>
        <w:rPr>
          <w:rFonts w:hint="eastAsia"/>
          <w:color w:val="000000" w:themeColor="text1"/>
          <w:sz w:val="28"/>
          <w:lang w:val="en-US" w:eastAsia="zh-CN"/>
          <w14:textFill>
            <w14:solidFill>
              <w14:schemeClr w14:val="tx1"/>
            </w14:solidFill>
          </w14:textFill>
        </w:rPr>
        <w:t>鸿欣</w:t>
      </w:r>
      <w:r>
        <w:rPr>
          <w:rFonts w:hint="eastAsia"/>
          <w:color w:val="000000" w:themeColor="text1"/>
          <w:sz w:val="28"/>
          <w14:textFill>
            <w14:solidFill>
              <w14:schemeClr w14:val="tx1"/>
            </w14:solidFill>
          </w14:textFill>
        </w:rPr>
        <w:t>公司</w:t>
      </w:r>
      <w:r>
        <w:rPr>
          <w:color w:val="000000" w:themeColor="text1"/>
          <w:sz w:val="28"/>
          <w14:textFill>
            <w14:solidFill>
              <w14:schemeClr w14:val="tx1"/>
            </w14:solidFill>
          </w14:textFill>
        </w:rPr>
        <w:t>深入推进工作开展，筑牢安全防线，切实提高全体干部职工对安全生产法律、法规、规章、标准、应知应会知识的掌握程度，并将“大学习、大培训、大考试”专项行动培训列入2022年安全教育培训计划，详见报告附件</w:t>
      </w:r>
      <w:r>
        <w:rPr>
          <w:rFonts w:hint="eastAsia"/>
          <w:color w:val="000000" w:themeColor="text1"/>
          <w:sz w:val="28"/>
          <w:lang w:val="en-US" w:eastAsia="zh-CN"/>
          <w14:textFill>
            <w14:solidFill>
              <w14:schemeClr w14:val="tx1"/>
            </w14:solidFill>
          </w14:textFill>
        </w:rPr>
        <w:t>17</w:t>
      </w:r>
      <w:r>
        <w:rPr>
          <w:color w:val="000000" w:themeColor="text1"/>
          <w:sz w:val="28"/>
          <w14:textFill>
            <w14:solidFill>
              <w14:schemeClr w14:val="tx1"/>
            </w14:solidFill>
          </w14:textFill>
        </w:rPr>
        <w:t>。</w:t>
      </w:r>
    </w:p>
    <w:p>
      <w:pPr>
        <w:adjustRightInd w:val="0"/>
        <w:snapToGrid w:val="0"/>
        <w:spacing w:line="360" w:lineRule="auto"/>
        <w:ind w:firstLine="560" w:firstLineChars="200"/>
        <w:rPr>
          <w:color w:val="000000" w:themeColor="text1"/>
          <w:sz w:val="24"/>
          <w:szCs w:val="28"/>
          <w14:textFill>
            <w14:solidFill>
              <w14:schemeClr w14:val="tx1"/>
            </w14:solidFill>
          </w14:textFill>
        </w:rPr>
      </w:pPr>
      <w:r>
        <w:rPr>
          <w:color w:val="000000" w:themeColor="text1"/>
          <w:sz w:val="28"/>
          <w14:textFill>
            <w14:solidFill>
              <w14:schemeClr w14:val="tx1"/>
            </w14:solidFill>
          </w14:textFill>
        </w:rPr>
        <w:t>山东胜利油田鸿欣石油技术有限公司生产及安全管理人员，一线作业人员均持有硫化氢防护培训合格证、井控培训合格证和健康安全环境管理培训证书，具体持证情况见下表，证书复印件见附件</w:t>
      </w:r>
      <w:r>
        <w:rPr>
          <w:rFonts w:hint="eastAsia"/>
          <w:color w:val="000000" w:themeColor="text1"/>
          <w:sz w:val="28"/>
          <w:lang w:val="en-US" w:eastAsia="zh-CN"/>
          <w14:textFill>
            <w14:solidFill>
              <w14:schemeClr w14:val="tx1"/>
            </w14:solidFill>
          </w14:textFill>
        </w:rPr>
        <w:t>7</w:t>
      </w:r>
      <w:r>
        <w:rPr>
          <w:color w:val="000000" w:themeColor="text1"/>
          <w:sz w:val="28"/>
          <w14:textFill>
            <w14:solidFill>
              <w14:schemeClr w14:val="tx1"/>
            </w14:solidFill>
          </w14:textFill>
        </w:rPr>
        <w:t>。</w:t>
      </w:r>
      <w:r>
        <w:rPr>
          <w:color w:val="000000" w:themeColor="text1"/>
          <w:sz w:val="24"/>
          <w:szCs w:val="28"/>
          <w14:textFill>
            <w14:solidFill>
              <w14:schemeClr w14:val="tx1"/>
            </w14:solidFill>
          </w14:textFill>
        </w:rPr>
        <w:br w:type="page"/>
      </w:r>
    </w:p>
    <w:p>
      <w:pPr>
        <w:adjustRightInd w:val="0"/>
        <w:snapToGrid w:val="0"/>
        <w:spacing w:line="360" w:lineRule="auto"/>
        <w:jc w:val="center"/>
        <w:rPr>
          <w:color w:val="000000" w:themeColor="text1"/>
          <w:sz w:val="24"/>
          <w:szCs w:val="28"/>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AndChars"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b/>
          <w:bCs/>
          <w:color w:val="000000" w:themeColor="text1"/>
          <w:sz w:val="24"/>
          <w:szCs w:val="28"/>
          <w:lang w:eastAsia="zh-CN"/>
          <w14:textFill>
            <w14:solidFill>
              <w14:schemeClr w14:val="tx1"/>
            </w14:solidFill>
          </w14:textFill>
        </w:rPr>
      </w:pPr>
      <w:r>
        <w:rPr>
          <w:b/>
          <w:bCs/>
          <w:color w:val="000000" w:themeColor="text1"/>
          <w:sz w:val="24"/>
          <w:szCs w:val="28"/>
          <w14:textFill>
            <w14:solidFill>
              <w14:schemeClr w14:val="tx1"/>
            </w14:solidFill>
          </w14:textFill>
        </w:rPr>
        <w:t>表2-</w:t>
      </w:r>
      <w:r>
        <w:rPr>
          <w:rFonts w:hint="eastAsia"/>
          <w:b/>
          <w:bCs/>
          <w:color w:val="000000" w:themeColor="text1"/>
          <w:sz w:val="24"/>
          <w:szCs w:val="28"/>
          <w14:textFill>
            <w14:solidFill>
              <w14:schemeClr w14:val="tx1"/>
            </w14:solidFill>
          </w14:textFill>
        </w:rPr>
        <w:t>8</w:t>
      </w:r>
      <w:r>
        <w:rPr>
          <w:b/>
          <w:bCs/>
          <w:color w:val="000000" w:themeColor="text1"/>
          <w:sz w:val="24"/>
          <w:szCs w:val="28"/>
          <w14:textFill>
            <w14:solidFill>
              <w14:schemeClr w14:val="tx1"/>
            </w14:solidFill>
          </w14:textFill>
        </w:rPr>
        <w:t xml:space="preserve">  人员持证情况一览表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val="0"/>
        <w:topLinePunct w:val="0"/>
        <w:autoSpaceDE/>
        <w:autoSpaceDN/>
        <w:bidi w:val="0"/>
        <w:adjustRightInd w:val="0"/>
        <w:snapToGrid w:val="0"/>
        <w:spacing w:before="161" w:beforeLines="50" w:line="360" w:lineRule="auto"/>
        <w:ind w:firstLine="560" w:firstLineChars="200"/>
        <w:jc w:val="both"/>
        <w:textAlignment w:val="auto"/>
        <w:rPr>
          <w:rFonts w:hint="default" w:eastAsia="宋体"/>
          <w:color w:val="auto"/>
          <w:sz w:val="28"/>
          <w:lang w:val="en-US" w:eastAsia="zh-CN"/>
        </w:rPr>
      </w:pPr>
      <w:r>
        <w:rPr>
          <w:rFonts w:hint="eastAsia"/>
          <w:color w:val="auto"/>
          <w:sz w:val="28"/>
          <w:lang w:val="en-US" w:eastAsia="zh-CN"/>
        </w:rPr>
        <w:t>鸿欣公司</w:t>
      </w:r>
      <w:r>
        <w:rPr>
          <w:rFonts w:hint="eastAsia"/>
          <w:color w:val="auto"/>
          <w:sz w:val="28"/>
        </w:rPr>
        <w:t>现场人员持</w:t>
      </w:r>
      <w:r>
        <w:rPr>
          <w:color w:val="auto"/>
          <w:sz w:val="28"/>
        </w:rPr>
        <w:t>证</w:t>
      </w:r>
      <w:r>
        <w:rPr>
          <w:rFonts w:hint="eastAsia"/>
          <w:color w:val="auto"/>
          <w:sz w:val="28"/>
          <w:lang w:val="en-US" w:eastAsia="zh-CN"/>
        </w:rPr>
        <w:t>情况符合</w:t>
      </w:r>
      <w:r>
        <w:rPr>
          <w:color w:val="auto"/>
          <w:sz w:val="28"/>
        </w:rPr>
        <w:t>《石油天然气安全规程》（AQ2012-2007）4.5.1</w:t>
      </w:r>
      <w:r>
        <w:rPr>
          <w:rFonts w:hint="eastAsia"/>
          <w:color w:val="auto"/>
          <w:sz w:val="28"/>
          <w:lang w:val="en-US" w:eastAsia="zh-CN"/>
        </w:rPr>
        <w:t>条、《石油与天然气井井控安全技术考核管理规则》（SY/T 5742-2019）</w:t>
      </w:r>
      <w:r>
        <w:rPr>
          <w:color w:val="auto"/>
          <w:sz w:val="28"/>
        </w:rPr>
        <w:t>3.1、3.2</w:t>
      </w:r>
      <w:r>
        <w:rPr>
          <w:rFonts w:hint="eastAsia"/>
          <w:color w:val="auto"/>
          <w:sz w:val="28"/>
          <w:lang w:val="en-US" w:eastAsia="zh-CN"/>
        </w:rPr>
        <w:t>条等的规定，满足要求。</w:t>
      </w:r>
    </w:p>
    <w:p>
      <w:pPr>
        <w:keepNext w:val="0"/>
        <w:keepLines w:val="0"/>
        <w:pageBreakBefore w:val="0"/>
        <w:widowControl w:val="0"/>
        <w:kinsoku/>
        <w:wordWrap/>
        <w:overflowPunct w:val="0"/>
        <w:topLinePunct w:val="0"/>
        <w:autoSpaceDE/>
        <w:autoSpaceDN/>
        <w:bidi w:val="0"/>
        <w:adjustRightInd w:val="0"/>
        <w:snapToGrid w:val="0"/>
        <w:spacing w:before="161" w:beforeLines="50" w:line="360" w:lineRule="auto"/>
        <w:ind w:firstLine="420" w:firstLineChars="200"/>
        <w:jc w:val="both"/>
        <w:textAlignment w:val="auto"/>
        <w:rPr>
          <w:bCs/>
          <w:color w:val="0070C0"/>
          <w:szCs w:val="32"/>
        </w:rPr>
      </w:pPr>
      <w:r>
        <w:rPr>
          <w:bCs/>
          <w:color w:val="0070C0"/>
          <w:szCs w:val="32"/>
        </w:rPr>
        <w:br w:type="page"/>
      </w:r>
    </w:p>
    <w:p>
      <w:pPr>
        <w:pStyle w:val="4"/>
        <w:keepNext w:val="0"/>
        <w:keepLines w:val="0"/>
        <w:adjustRightInd w:val="0"/>
        <w:snapToGrid w:val="0"/>
        <w:spacing w:before="159" w:beforeLines="50" w:after="0" w:line="360" w:lineRule="auto"/>
        <w:rPr>
          <w:rFonts w:ascii="Times New Roman" w:hAnsi="Times New Roman"/>
          <w:b w:val="0"/>
          <w:bCs/>
          <w:color w:val="0070C0"/>
          <w:szCs w:val="32"/>
        </w:rPr>
        <w:sectPr>
          <w:pgSz w:w="16838" w:h="11906" w:orient="landscape"/>
          <w:pgMar w:top="1803" w:right="1440" w:bottom="1803" w:left="1440" w:header="850" w:footer="992" w:gutter="0"/>
          <w:pgBorders>
            <w:top w:val="none" w:sz="0" w:space="0"/>
            <w:left w:val="none" w:sz="0" w:space="0"/>
            <w:bottom w:val="none" w:sz="0" w:space="0"/>
            <w:right w:val="none" w:sz="0" w:space="0"/>
          </w:pgBorders>
          <w:cols w:space="0" w:num="1"/>
          <w:docGrid w:type="linesAndChars" w:linePitch="319" w:charSpace="0"/>
        </w:sectPr>
      </w:pP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1" w:name="_Toc16346"/>
      <w:r>
        <w:rPr>
          <w:rFonts w:ascii="Times New Roman" w:hAnsi="Times New Roman"/>
          <w:b w:val="0"/>
          <w:bCs/>
          <w:color w:val="000000" w:themeColor="text1"/>
          <w:szCs w:val="32"/>
          <w14:textFill>
            <w14:solidFill>
              <w14:schemeClr w14:val="tx1"/>
            </w14:solidFill>
          </w14:textFill>
        </w:rPr>
        <w:t>2.8 人员保险</w:t>
      </w:r>
      <w:bookmarkEnd w:id="31"/>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32" w:name="_Toc3809"/>
      <w:r>
        <w:rPr>
          <w:rFonts w:hint="eastAsia" w:cs="Times New Roman"/>
          <w:color w:val="000000" w:themeColor="text1"/>
          <w:sz w:val="28"/>
          <w:szCs w:val="28"/>
          <w:lang w:val="en-US" w:eastAsia="zh-CN"/>
          <w14:textFill>
            <w14:solidFill>
              <w14:schemeClr w14:val="tx1"/>
            </w14:solidFill>
          </w14:textFill>
        </w:rPr>
        <w:t>涉及企业机密，不予公开。</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r>
        <w:rPr>
          <w:rFonts w:ascii="Times New Roman" w:hAnsi="Times New Roman"/>
          <w:b w:val="0"/>
          <w:bCs/>
          <w:color w:val="000000" w:themeColor="text1"/>
          <w:szCs w:val="32"/>
          <w14:textFill>
            <w14:solidFill>
              <w14:schemeClr w14:val="tx1"/>
            </w14:solidFill>
          </w14:textFill>
        </w:rPr>
        <w:t>2.9 职业危害防护及劳保用品发放</w:t>
      </w:r>
      <w:bookmarkEnd w:id="32"/>
    </w:p>
    <w:p>
      <w:pPr>
        <w:adjustRightInd w:val="0"/>
        <w:snapToGrid w:val="0"/>
        <w:spacing w:line="360" w:lineRule="auto"/>
        <w:ind w:firstLine="564" w:firstLineChars="200"/>
        <w:rPr>
          <w:rFonts w:eastAsiaTheme="minorEastAsia"/>
          <w:b/>
          <w:bCs/>
          <w:color w:val="auto"/>
          <w:sz w:val="24"/>
          <w:szCs w:val="22"/>
        </w:rPr>
      </w:pPr>
      <w:r>
        <w:rPr>
          <w:color w:val="000000" w:themeColor="text1"/>
          <w:sz w:val="28"/>
          <w14:textFill>
            <w14:solidFill>
              <w14:schemeClr w14:val="tx1"/>
            </w14:solidFill>
          </w14:textFill>
        </w:rPr>
        <w:t>公司施工作业人员定期进行健康体检，建有员工健康档案。在劳保用品发放方面，按照有关规定的要求，根据岗位特点，按规定向生产工人发放防静电工作服、安全帽、工作鞋、劳保手套等劳保用品，任何人进入作业现场必须佩戴安全帽，作业人员必须按规定佩戴好劳保用品方可进行施工。</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50"/>
        <w:keepNext w:val="0"/>
        <w:keepLines w:val="0"/>
        <w:pageBreakBefore w:val="0"/>
        <w:widowControl w:val="0"/>
        <w:kinsoku/>
        <w:wordWrap/>
        <w:overflowPunct/>
        <w:topLinePunct w:val="0"/>
        <w:autoSpaceDE/>
        <w:autoSpaceDN/>
        <w:bidi w:val="0"/>
        <w:adjustRightInd w:val="0"/>
        <w:snapToGrid w:val="0"/>
        <w:spacing w:after="0" w:line="360" w:lineRule="auto"/>
        <w:ind w:firstLine="564" w:firstLineChars="200"/>
        <w:textAlignment w:val="auto"/>
        <w:rPr>
          <w:rFonts w:hint="eastAsia" w:ascii="Times New Roman" w:hAnsi="Times New Roman" w:eastAsia="宋体" w:cs="Times New Roman"/>
          <w:spacing w:val="0"/>
          <w:w w:val="100"/>
          <w:kern w:val="2"/>
          <w:sz w:val="28"/>
          <w:szCs w:val="28"/>
          <w:lang w:val="en-US" w:eastAsia="zh-CN" w:bidi="ar-SA"/>
        </w:rPr>
      </w:pPr>
      <w:r>
        <w:rPr>
          <w:rFonts w:hint="eastAsia" w:ascii="Times New Roman" w:hAnsi="Times New Roman" w:eastAsia="宋体" w:cs="Times New Roman"/>
          <w:spacing w:val="0"/>
          <w:w w:val="100"/>
          <w:kern w:val="2"/>
          <w:sz w:val="28"/>
          <w:szCs w:val="28"/>
          <w:lang w:val="en-US" w:eastAsia="zh-CN" w:bidi="ar-SA"/>
        </w:rPr>
        <w:t>综上，从业人员劳动、个体防护用品的配备符合《个体防护装备配备规范第2部分：石油、化工、天然气》（GB39800.2-2020）、《石油天然气作业场所劳动防护用品配备规范》（SY/T6524-2017）、《山东省劳动防护用品配备标准》（DB37/T1922-2011）的要求，可以满足日常劳保需要。</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3" w:name="_Toc24787"/>
      <w:r>
        <w:rPr>
          <w:rFonts w:ascii="Times New Roman" w:hAnsi="Times New Roman"/>
          <w:b w:val="0"/>
          <w:bCs/>
          <w:color w:val="000000" w:themeColor="text1"/>
          <w:szCs w:val="32"/>
          <w14:textFill>
            <w14:solidFill>
              <w14:schemeClr w14:val="tx1"/>
            </w14:solidFill>
          </w14:textFill>
        </w:rPr>
        <w:t>2.10 设备设施检测、检验情况</w:t>
      </w:r>
      <w:bookmarkEnd w:id="33"/>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2.10.1 特种设备</w:t>
      </w:r>
      <w:r>
        <w:rPr>
          <w:rFonts w:hint="eastAsia" w:eastAsia="黑体"/>
          <w:b w:val="0"/>
          <w:snapToGrid w:val="0"/>
          <w:color w:val="000000" w:themeColor="text1"/>
          <w:kern w:val="0"/>
          <w:sz w:val="28"/>
          <w:szCs w:val="28"/>
          <w:lang w:val="en-US" w:eastAsia="zh-CN"/>
          <w14:textFill>
            <w14:solidFill>
              <w14:schemeClr w14:val="tx1"/>
            </w14:solidFill>
          </w14:textFill>
        </w:rPr>
        <w:t>及危险性大的设备</w:t>
      </w:r>
      <w:r>
        <w:rPr>
          <w:rFonts w:eastAsia="黑体"/>
          <w:b w:val="0"/>
          <w:snapToGrid w:val="0"/>
          <w:color w:val="000000" w:themeColor="text1"/>
          <w:kern w:val="0"/>
          <w:sz w:val="28"/>
          <w:szCs w:val="28"/>
          <w14:textFill>
            <w14:solidFill>
              <w14:schemeClr w14:val="tx1"/>
            </w14:solidFill>
          </w14:textFill>
        </w:rPr>
        <w:t>检测、检验情况</w:t>
      </w:r>
    </w:p>
    <w:p>
      <w:pPr>
        <w:pStyle w:val="15"/>
        <w:adjustRightInd w:val="0"/>
        <w:snapToGrid w:val="0"/>
        <w:spacing w:line="360" w:lineRule="auto"/>
        <w:ind w:firstLine="566"/>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注气（氮气）施工</w:t>
      </w:r>
      <w:r>
        <w:rPr>
          <w:color w:val="000000" w:themeColor="text1"/>
          <w:sz w:val="28"/>
          <w:szCs w:val="28"/>
          <w14:textFill>
            <w14:solidFill>
              <w14:schemeClr w14:val="tx1"/>
            </w14:solidFill>
          </w14:textFill>
        </w:rPr>
        <w:t>中有油气分离器、加热器壳体等压力容器</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注气（氮气、二氧化碳）、堵水调剖、防砂等施工用到高压管汇</w:t>
      </w:r>
      <w:r>
        <w:rPr>
          <w:color w:val="000000" w:themeColor="text1"/>
          <w:sz w:val="28"/>
          <w:szCs w:val="28"/>
          <w14:textFill>
            <w14:solidFill>
              <w14:schemeClr w14:val="tx1"/>
            </w14:solidFill>
          </w14:textFill>
        </w:rPr>
        <w:t>，其检测、检验情况见表2-</w:t>
      </w:r>
      <w:r>
        <w:rPr>
          <w:rFonts w:hint="eastAsia"/>
          <w:color w:val="000000" w:themeColor="text1"/>
          <w:sz w:val="28"/>
          <w:szCs w:val="28"/>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0</w:t>
      </w:r>
      <w:r>
        <w:rPr>
          <w:sz w:val="28"/>
          <w:szCs w:val="28"/>
        </w:rPr>
        <w:t>。</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sectPr>
          <w:pgSz w:w="11906" w:h="16838"/>
          <w:pgMar w:top="1440" w:right="1803" w:bottom="1440" w:left="1803" w:header="850" w:footer="992" w:gutter="0"/>
          <w:pgBorders>
            <w:top w:val="none" w:sz="0" w:space="0"/>
            <w:left w:val="none" w:sz="0" w:space="0"/>
            <w:bottom w:val="none" w:sz="0" w:space="0"/>
            <w:right w:val="none" w:sz="0" w:space="0"/>
          </w:pgBorders>
          <w:cols w:space="0" w:num="1"/>
          <w:docGrid w:type="linesAndChars" w:linePitch="319" w:charSpace="577"/>
        </w:sectPr>
      </w:pPr>
    </w:p>
    <w:p>
      <w:pPr>
        <w:pStyle w:val="1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color w:val="000000" w:themeColor="text1"/>
          <w:sz w:val="24"/>
          <w:lang w:eastAsia="zh-CN"/>
          <w14:textFill>
            <w14:solidFill>
              <w14:schemeClr w14:val="tx1"/>
            </w14:solidFill>
          </w14:textFill>
        </w:rPr>
      </w:pPr>
      <w:r>
        <w:rPr>
          <w:b/>
          <w:bCs/>
          <w:color w:val="000000" w:themeColor="text1"/>
          <w:sz w:val="24"/>
          <w14:textFill>
            <w14:solidFill>
              <w14:schemeClr w14:val="tx1"/>
            </w14:solidFill>
          </w14:textFill>
        </w:rPr>
        <w:t>表2-</w:t>
      </w:r>
      <w:r>
        <w:rPr>
          <w:rFonts w:hint="eastAsia"/>
          <w:b/>
          <w:bCs/>
          <w:color w:val="000000" w:themeColor="text1"/>
          <w:sz w:val="24"/>
          <w14:textFill>
            <w14:solidFill>
              <w14:schemeClr w14:val="tx1"/>
            </w14:solidFill>
          </w14:textFill>
        </w:rPr>
        <w:t>1</w:t>
      </w:r>
      <w:r>
        <w:rPr>
          <w:rFonts w:hint="eastAsia"/>
          <w:b/>
          <w:bCs/>
          <w:color w:val="000000" w:themeColor="text1"/>
          <w:sz w:val="24"/>
          <w:lang w:val="en-US" w:eastAsia="zh-CN"/>
          <w14:textFill>
            <w14:solidFill>
              <w14:schemeClr w14:val="tx1"/>
            </w14:solidFill>
          </w14:textFill>
        </w:rPr>
        <w:t>0</w:t>
      </w:r>
      <w:r>
        <w:rPr>
          <w:b/>
          <w:bCs/>
          <w:color w:val="000000" w:themeColor="text1"/>
          <w:sz w:val="24"/>
          <w14:textFill>
            <w14:solidFill>
              <w14:schemeClr w14:val="tx1"/>
            </w14:solidFill>
          </w14:textFill>
        </w:rPr>
        <w:t xml:space="preserve"> 特种设备</w:t>
      </w:r>
      <w:r>
        <w:rPr>
          <w:rFonts w:hint="eastAsia"/>
          <w:b/>
          <w:bCs/>
          <w:color w:val="000000" w:themeColor="text1"/>
          <w:sz w:val="24"/>
          <w:lang w:val="en-US" w:eastAsia="zh-CN"/>
          <w14:textFill>
            <w14:solidFill>
              <w14:schemeClr w14:val="tx1"/>
            </w14:solidFill>
          </w14:textFill>
        </w:rPr>
        <w:t>及危险大的设备</w:t>
      </w:r>
      <w:r>
        <w:rPr>
          <w:b/>
          <w:bCs/>
          <w:color w:val="000000" w:themeColor="text1"/>
          <w:sz w:val="24"/>
          <w14:textFill>
            <w14:solidFill>
              <w14:schemeClr w14:val="tx1"/>
            </w14:solidFill>
          </w14:textFill>
        </w:rPr>
        <w:t>检测、检验情况一览表</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spacing w:before="159" w:beforeLines="50" w:line="360" w:lineRule="auto"/>
        <w:ind w:firstLine="564"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鸿欣公司特种设备</w:t>
      </w:r>
      <w:r>
        <w:rPr>
          <w:rFonts w:hint="eastAsia" w:ascii="宋体" w:hAnsi="宋体" w:cs="宋体"/>
          <w:snapToGrid w:val="0"/>
          <w:color w:val="000000" w:themeColor="text1"/>
          <w:kern w:val="0"/>
          <w:sz w:val="28"/>
          <w:szCs w:val="28"/>
          <w:lang w:val="en-US" w:eastAsia="zh-CN"/>
          <w14:textFill>
            <w14:solidFill>
              <w14:schemeClr w14:val="tx1"/>
            </w14:solidFill>
          </w14:textFill>
        </w:rPr>
        <w:t>具有</w:t>
      </w:r>
      <w:r>
        <w:rPr>
          <w:rFonts w:hint="eastAsia" w:ascii="宋体" w:hAnsi="宋体" w:cs="宋体"/>
          <w:snapToGrid w:val="0"/>
          <w:color w:val="000000" w:themeColor="text1"/>
          <w:kern w:val="0"/>
          <w:sz w:val="28"/>
          <w:szCs w:val="28"/>
          <w14:textFill>
            <w14:solidFill>
              <w14:schemeClr w14:val="tx1"/>
            </w14:solidFill>
          </w14:textFill>
        </w:rPr>
        <w:t>东营市市场监督管理局</w:t>
      </w:r>
      <w:r>
        <w:rPr>
          <w:rFonts w:hint="eastAsia" w:ascii="宋体" w:hAnsi="宋体" w:cs="宋体"/>
          <w:snapToGrid w:val="0"/>
          <w:color w:val="000000" w:themeColor="text1"/>
          <w:kern w:val="0"/>
          <w:sz w:val="28"/>
          <w:szCs w:val="28"/>
          <w:lang w:val="en-US" w:eastAsia="zh-CN"/>
          <w14:textFill>
            <w14:solidFill>
              <w14:schemeClr w14:val="tx1"/>
            </w14:solidFill>
          </w14:textFill>
        </w:rPr>
        <w:t>颁发的</w:t>
      </w:r>
      <w:r>
        <w:rPr>
          <w:rFonts w:hint="eastAsia" w:ascii="宋体" w:hAnsi="宋体" w:cs="宋体"/>
          <w:snapToGrid w:val="0"/>
          <w:color w:val="000000" w:themeColor="text1"/>
          <w:kern w:val="0"/>
          <w:sz w:val="28"/>
          <w:szCs w:val="28"/>
          <w14:textFill>
            <w14:solidFill>
              <w14:schemeClr w14:val="tx1"/>
            </w14:solidFill>
          </w14:textFill>
        </w:rPr>
        <w:t>特种设备使用登记证。特种设备</w:t>
      </w:r>
      <w:r>
        <w:rPr>
          <w:rFonts w:hint="eastAsia" w:ascii="宋体" w:hAnsi="宋体" w:cs="宋体"/>
          <w:snapToGrid w:val="0"/>
          <w:color w:val="000000" w:themeColor="text1"/>
          <w:kern w:val="0"/>
          <w:sz w:val="28"/>
          <w:szCs w:val="28"/>
          <w:lang w:val="en-US" w:eastAsia="zh-CN"/>
          <w14:textFill>
            <w14:solidFill>
              <w14:schemeClr w14:val="tx1"/>
            </w14:solidFill>
          </w14:textFill>
        </w:rPr>
        <w:t>经</w:t>
      </w:r>
      <w:r>
        <w:rPr>
          <w:rFonts w:hint="eastAsia" w:ascii="宋体" w:hAnsi="宋体" w:cs="宋体"/>
          <w:snapToGrid w:val="0"/>
          <w:color w:val="000000" w:themeColor="text1"/>
          <w:kern w:val="0"/>
          <w:sz w:val="28"/>
          <w:szCs w:val="28"/>
          <w14:textFill>
            <w14:solidFill>
              <w14:schemeClr w14:val="tx1"/>
            </w14:solidFill>
          </w14:textFill>
        </w:rPr>
        <w:t>山东省特种设备检验研究院有限公司检验检测</w:t>
      </w:r>
      <w:r>
        <w:rPr>
          <w:rFonts w:hint="eastAsia"/>
          <w:color w:val="auto"/>
          <w:kern w:val="0"/>
          <w:sz w:val="28"/>
          <w:szCs w:val="28"/>
          <w:lang w:bidi="ar"/>
        </w:rPr>
        <w:t>，</w:t>
      </w:r>
      <w:r>
        <w:rPr>
          <w:rFonts w:hint="eastAsia"/>
          <w:color w:val="auto"/>
          <w:kern w:val="0"/>
          <w:sz w:val="28"/>
          <w:szCs w:val="28"/>
          <w:lang w:val="en-US" w:eastAsia="zh-CN" w:bidi="ar"/>
        </w:rPr>
        <w:t>且</w:t>
      </w:r>
      <w:r>
        <w:rPr>
          <w:rFonts w:hint="eastAsia" w:ascii="宋体" w:hAnsi="宋体" w:cs="宋体"/>
          <w:snapToGrid w:val="0"/>
          <w:color w:val="000000" w:themeColor="text1"/>
          <w:kern w:val="0"/>
          <w:sz w:val="28"/>
          <w:szCs w:val="28"/>
          <w14:textFill>
            <w14:solidFill>
              <w14:schemeClr w14:val="tx1"/>
            </w14:solidFill>
          </w14:textFill>
        </w:rPr>
        <w:t>均在检验有效期内，符合《中华人民共和国特种设备安全法》（主席令</w:t>
      </w:r>
      <w:r>
        <w:rPr>
          <w:rFonts w:hint="default" w:ascii="Times New Roman" w:hAnsi="Times New Roman" w:cs="Times New Roman"/>
          <w:snapToGrid w:val="0"/>
          <w:color w:val="000000" w:themeColor="text1"/>
          <w:kern w:val="0"/>
          <w:sz w:val="28"/>
          <w:szCs w:val="28"/>
          <w14:textFill>
            <w14:solidFill>
              <w14:schemeClr w14:val="tx1"/>
            </w14:solidFill>
          </w14:textFill>
        </w:rPr>
        <w:t>[2013]</w:t>
      </w:r>
      <w:r>
        <w:rPr>
          <w:rFonts w:hint="eastAsia" w:ascii="宋体" w:hAnsi="宋体" w:cs="宋体"/>
          <w:snapToGrid w:val="0"/>
          <w:color w:val="000000" w:themeColor="text1"/>
          <w:kern w:val="0"/>
          <w:sz w:val="28"/>
          <w:szCs w:val="28"/>
          <w14:textFill>
            <w14:solidFill>
              <w14:schemeClr w14:val="tx1"/>
            </w14:solidFill>
          </w14:textFill>
        </w:rPr>
        <w:t>第</w:t>
      </w:r>
      <w:r>
        <w:rPr>
          <w:rFonts w:hint="eastAsia" w:ascii="Times New Roman" w:hAnsi="Times New Roman" w:cs="Times New Roman"/>
          <w:snapToGrid w:val="0"/>
          <w:color w:val="000000" w:themeColor="text1"/>
          <w:kern w:val="0"/>
          <w:sz w:val="28"/>
          <w:szCs w:val="28"/>
          <w14:textFill>
            <w14:solidFill>
              <w14:schemeClr w14:val="tx1"/>
            </w14:solidFill>
          </w14:textFill>
        </w:rPr>
        <w:t>4</w:t>
      </w:r>
      <w:r>
        <w:rPr>
          <w:rFonts w:hint="eastAsia" w:ascii="宋体" w:hAnsi="宋体" w:cs="宋体"/>
          <w:snapToGrid w:val="0"/>
          <w:color w:val="000000" w:themeColor="text1"/>
          <w:kern w:val="0"/>
          <w:sz w:val="28"/>
          <w:szCs w:val="28"/>
          <w14:textFill>
            <w14:solidFill>
              <w14:schemeClr w14:val="tx1"/>
            </w14:solidFill>
          </w14:textFill>
        </w:rPr>
        <w:t>号）等有关法律、法规、标准的要求。</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2.10.2 压力表、安全阀检测、检验情况</w:t>
      </w:r>
    </w:p>
    <w:p>
      <w:pPr>
        <w:pStyle w:val="15"/>
        <w:adjustRightInd w:val="0"/>
        <w:snapToGrid w:val="0"/>
        <w:spacing w:line="360" w:lineRule="auto"/>
        <w:ind w:firstLine="566"/>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鸿欣公司</w:t>
      </w:r>
      <w:r>
        <w:rPr>
          <w:rFonts w:hint="eastAsia"/>
          <w:color w:val="000000" w:themeColor="text1"/>
          <w:sz w:val="28"/>
          <w:szCs w:val="28"/>
          <w14:textFill>
            <w14:solidFill>
              <w14:schemeClr w14:val="tx1"/>
            </w14:solidFill>
          </w14:textFill>
        </w:rPr>
        <w:t>的</w:t>
      </w:r>
      <w:r>
        <w:rPr>
          <w:color w:val="000000" w:themeColor="text1"/>
          <w:sz w:val="28"/>
          <w:szCs w:val="28"/>
          <w14:textFill>
            <w14:solidFill>
              <w14:schemeClr w14:val="tx1"/>
            </w14:solidFill>
          </w14:textFill>
        </w:rPr>
        <w:t>压力表、安全阀</w:t>
      </w:r>
      <w:r>
        <w:rPr>
          <w:rFonts w:hint="eastAsia"/>
          <w:color w:val="000000" w:themeColor="text1"/>
          <w:sz w:val="28"/>
          <w:szCs w:val="28"/>
          <w14:textFill>
            <w14:solidFill>
              <w14:schemeClr w14:val="tx1"/>
            </w14:solidFill>
          </w14:textFill>
        </w:rPr>
        <w:t>均根据有关标准、规范要求，定期检验检测，且均在检验有效期内，满足使用要求。其</w:t>
      </w:r>
      <w:r>
        <w:rPr>
          <w:color w:val="000000" w:themeColor="text1"/>
          <w:sz w:val="28"/>
          <w:szCs w:val="28"/>
          <w14:textFill>
            <w14:solidFill>
              <w14:schemeClr w14:val="tx1"/>
            </w14:solidFill>
          </w14:textFill>
        </w:rPr>
        <w:t>检测、检验情况见下表。</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5"/>
        <w:keepNext w:val="0"/>
        <w:keepLines w:val="0"/>
        <w:adjustRightInd w:val="0"/>
        <w:snapToGrid w:val="0"/>
        <w:spacing w:before="159" w:beforeLines="5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2.10.3 空呼、气体报警仪检测检验情况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34" w:name="_Toc12569"/>
      <w:r>
        <w:rPr>
          <w:rFonts w:hint="eastAsia" w:cs="Times New Roman"/>
          <w:color w:val="000000" w:themeColor="text1"/>
          <w:sz w:val="28"/>
          <w:szCs w:val="28"/>
          <w:lang w:val="en-US" w:eastAsia="zh-CN"/>
          <w14:textFill>
            <w14:solidFill>
              <w14:schemeClr w14:val="tx1"/>
            </w14:solidFill>
          </w14:textFill>
        </w:rPr>
        <w:t>涉及企业机密，不予公开。</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r>
        <w:rPr>
          <w:rFonts w:ascii="Times New Roman" w:hAnsi="Times New Roman"/>
          <w:b w:val="0"/>
          <w:bCs/>
          <w:color w:val="000000" w:themeColor="text1"/>
          <w:szCs w:val="32"/>
          <w14:textFill>
            <w14:solidFill>
              <w14:schemeClr w14:val="tx1"/>
            </w14:solidFill>
          </w14:textFill>
        </w:rPr>
        <w:t>2.11 事故应急救援预案及演练</w:t>
      </w:r>
      <w:bookmarkEnd w:id="34"/>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2.11.1 事故应急救援预案的编制情况</w:t>
      </w:r>
    </w:p>
    <w:p>
      <w:pPr>
        <w:adjustRightInd w:val="0"/>
        <w:snapToGrid w:val="0"/>
        <w:spacing w:line="360" w:lineRule="auto"/>
        <w:ind w:firstLine="564" w:firstLineChars="200"/>
        <w:rPr>
          <w:color w:val="000000" w:themeColor="text1"/>
          <w:sz w:val="28"/>
          <w14:textFill>
            <w14:solidFill>
              <w14:schemeClr w14:val="tx1"/>
            </w14:solidFill>
          </w14:textFill>
        </w:rPr>
      </w:pPr>
      <w:r>
        <w:rPr>
          <w:color w:val="000000" w:themeColor="text1"/>
          <w:sz w:val="28"/>
          <w:szCs w:val="28"/>
          <w14:textFill>
            <w14:solidFill>
              <w14:schemeClr w14:val="tx1"/>
            </w14:solidFill>
          </w14:textFill>
        </w:rPr>
        <w:t>为最大程度的预防和控制各类重大安全和环境事故的发生，最大限度的减少各类事故所造成的危害、损失以及社会影响和环境影响，山东胜利油田鸿欣石油技术有限公司编制了《山东胜利油田鸿欣石油技术有限公司生产安全事故应急预案》，并按照</w:t>
      </w:r>
      <w:r>
        <w:rPr>
          <w:color w:val="000000" w:themeColor="text1"/>
          <w:sz w:val="28"/>
          <w14:textFill>
            <w14:solidFill>
              <w14:schemeClr w14:val="tx1"/>
            </w14:solidFill>
          </w14:textFill>
        </w:rPr>
        <w:t>《生产经营单位生产安全事故应急预案编制导则》（GB/T29639-2020）对预案进行了修</w:t>
      </w:r>
      <w:r>
        <w:rPr>
          <w:rFonts w:hint="eastAsia"/>
          <w:color w:val="000000" w:themeColor="text1"/>
          <w:sz w:val="28"/>
          <w:lang w:val="en-US" w:eastAsia="zh-CN"/>
          <w14:textFill>
            <w14:solidFill>
              <w14:schemeClr w14:val="tx1"/>
            </w14:solidFill>
          </w14:textFill>
        </w:rPr>
        <w:t>订</w:t>
      </w:r>
      <w:r>
        <w:rPr>
          <w:color w:val="000000" w:themeColor="text1"/>
          <w:sz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修订</w:t>
      </w:r>
      <w:r>
        <w:rPr>
          <w:color w:val="000000" w:themeColor="text1"/>
          <w:sz w:val="28"/>
          <w:szCs w:val="28"/>
          <w14:textFill>
            <w14:solidFill>
              <w14:schemeClr w14:val="tx1"/>
            </w14:solidFill>
          </w14:textFill>
        </w:rPr>
        <w:t>后</w:t>
      </w:r>
      <w:r>
        <w:rPr>
          <w:color w:val="auto"/>
          <w:sz w:val="28"/>
          <w:szCs w:val="28"/>
        </w:rPr>
        <w:t>的应急预案已于2022年</w:t>
      </w:r>
      <w:r>
        <w:rPr>
          <w:rFonts w:hint="eastAsia"/>
          <w:color w:val="auto"/>
          <w:sz w:val="28"/>
          <w:szCs w:val="28"/>
        </w:rPr>
        <w:t>5</w:t>
      </w:r>
      <w:r>
        <w:rPr>
          <w:color w:val="auto"/>
          <w:sz w:val="28"/>
          <w:szCs w:val="28"/>
        </w:rPr>
        <w:t>月</w:t>
      </w:r>
      <w:r>
        <w:rPr>
          <w:rFonts w:hint="eastAsia"/>
          <w:color w:val="auto"/>
          <w:sz w:val="28"/>
          <w:szCs w:val="28"/>
        </w:rPr>
        <w:t>7</w:t>
      </w:r>
      <w:r>
        <w:rPr>
          <w:color w:val="auto"/>
          <w:sz w:val="28"/>
          <w:szCs w:val="28"/>
        </w:rPr>
        <w:t>日在</w:t>
      </w:r>
      <w:r>
        <w:rPr>
          <w:rFonts w:hint="eastAsia"/>
          <w:color w:val="auto"/>
          <w:sz w:val="28"/>
          <w:szCs w:val="28"/>
        </w:rPr>
        <w:t>东营市</w:t>
      </w:r>
      <w:r>
        <w:rPr>
          <w:color w:val="auto"/>
          <w:sz w:val="28"/>
          <w:szCs w:val="28"/>
        </w:rPr>
        <w:t>东营区应急管理局备案（备案编号：</w:t>
      </w:r>
      <w:r>
        <w:rPr>
          <w:rFonts w:hint="eastAsia"/>
          <w:color w:val="auto"/>
          <w:sz w:val="28"/>
          <w:szCs w:val="28"/>
        </w:rPr>
        <w:t>370501-2022-1062</w:t>
      </w:r>
      <w:r>
        <w:rPr>
          <w:color w:val="auto"/>
          <w:sz w:val="28"/>
          <w:szCs w:val="28"/>
        </w:rPr>
        <w:t>），</w:t>
      </w:r>
      <w:r>
        <w:rPr>
          <w:color w:val="auto"/>
          <w:sz w:val="28"/>
        </w:rPr>
        <w:t>详见附件</w:t>
      </w:r>
      <w:r>
        <w:rPr>
          <w:rFonts w:hint="eastAsia"/>
          <w:color w:val="auto"/>
          <w:sz w:val="28"/>
          <w:lang w:val="en-US" w:eastAsia="zh-CN"/>
        </w:rPr>
        <w:t>10</w:t>
      </w:r>
      <w:r>
        <w:rPr>
          <w:color w:val="auto"/>
          <w:sz w:val="28"/>
        </w:rPr>
        <w:t>。该应急预案包括综合应急预案、专项应急预案、现场处置方案，专项应急预案包括：</w:t>
      </w:r>
      <w:r>
        <w:rPr>
          <w:rFonts w:hint="eastAsia"/>
          <w:color w:val="auto"/>
          <w:sz w:val="28"/>
        </w:rPr>
        <w:t>井喷失控</w:t>
      </w:r>
      <w:r>
        <w:rPr>
          <w:color w:val="auto"/>
          <w:sz w:val="28"/>
        </w:rPr>
        <w:t>事故专项应急预案，自然灾害事故专项应急预案；现场处置方案包括：</w:t>
      </w:r>
      <w:r>
        <w:rPr>
          <w:rFonts w:hint="eastAsia"/>
          <w:color w:val="auto"/>
          <w:sz w:val="28"/>
        </w:rPr>
        <w:t>井涌/硫化氢</w:t>
      </w:r>
      <w:r>
        <w:rPr>
          <w:rFonts w:hint="eastAsia"/>
          <w:color w:val="auto"/>
          <w:sz w:val="28"/>
          <w:lang w:val="en-US" w:eastAsia="zh-CN"/>
        </w:rPr>
        <w:t>泄漏</w:t>
      </w:r>
      <w:r>
        <w:rPr>
          <w:rFonts w:hint="eastAsia"/>
          <w:color w:val="auto"/>
          <w:sz w:val="28"/>
        </w:rPr>
        <w:t>现场处置方案</w:t>
      </w:r>
      <w:r>
        <w:rPr>
          <w:rFonts w:hint="eastAsia"/>
          <w:color w:val="auto"/>
          <w:sz w:val="28"/>
          <w:lang w:eastAsia="zh-CN"/>
        </w:rPr>
        <w:t>，</w:t>
      </w:r>
      <w:r>
        <w:rPr>
          <w:rFonts w:hint="eastAsia"/>
          <w:color w:val="auto"/>
          <w:sz w:val="28"/>
          <w:lang w:val="en-US" w:eastAsia="zh-CN"/>
        </w:rPr>
        <w:t>井口、</w:t>
      </w:r>
      <w:r>
        <w:rPr>
          <w:color w:val="auto"/>
          <w:sz w:val="28"/>
        </w:rPr>
        <w:t>高压管线刺漏现场处置方案</w:t>
      </w:r>
      <w:r>
        <w:rPr>
          <w:rFonts w:hint="eastAsia"/>
          <w:color w:val="auto"/>
          <w:sz w:val="28"/>
          <w:lang w:eastAsia="zh-CN"/>
        </w:rPr>
        <w:t>，</w:t>
      </w:r>
      <w:r>
        <w:rPr>
          <w:color w:val="auto"/>
          <w:sz w:val="28"/>
        </w:rPr>
        <w:t>人身伤害</w:t>
      </w:r>
      <w:r>
        <w:rPr>
          <w:rFonts w:hint="eastAsia"/>
          <w:color w:val="auto"/>
          <w:sz w:val="28"/>
        </w:rPr>
        <w:t>事故</w:t>
      </w:r>
      <w:r>
        <w:rPr>
          <w:color w:val="auto"/>
          <w:sz w:val="28"/>
        </w:rPr>
        <w:t>现场处置方案</w:t>
      </w:r>
      <w:r>
        <w:rPr>
          <w:rFonts w:hint="eastAsia"/>
          <w:color w:val="auto"/>
          <w:sz w:val="28"/>
          <w:lang w:eastAsia="zh-CN"/>
        </w:rPr>
        <w:t>，</w:t>
      </w:r>
      <w:r>
        <w:rPr>
          <w:color w:val="auto"/>
          <w:sz w:val="28"/>
        </w:rPr>
        <w:t>触电事故现场处置方案</w:t>
      </w:r>
      <w:r>
        <w:rPr>
          <w:rFonts w:hint="eastAsia"/>
          <w:color w:val="auto"/>
          <w:sz w:val="28"/>
          <w:lang w:eastAsia="zh-CN"/>
        </w:rPr>
        <w:t>，</w:t>
      </w:r>
      <w:r>
        <w:rPr>
          <w:color w:val="auto"/>
          <w:sz w:val="28"/>
        </w:rPr>
        <w:t>火灾事故现场处置方案</w:t>
      </w:r>
      <w:r>
        <w:rPr>
          <w:rFonts w:hint="eastAsia"/>
          <w:color w:val="auto"/>
          <w:sz w:val="28"/>
          <w:lang w:eastAsia="zh-CN"/>
        </w:rPr>
        <w:t>，</w:t>
      </w:r>
      <w:r>
        <w:rPr>
          <w:color w:val="auto"/>
          <w:sz w:val="28"/>
        </w:rPr>
        <w:t>中毒和窒息事故现场处置方案。</w:t>
      </w:r>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2.11.2 事故应急救援组织的建立和人员的配备情况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山东胜利油田鸿欣石油技术有限公司成立了由总经理</w:t>
      </w:r>
      <w:r>
        <w:rPr>
          <w:rFonts w:hint="eastAsia"/>
          <w:color w:val="000000" w:themeColor="text1"/>
          <w:sz w:val="28"/>
          <w:szCs w:val="28"/>
          <w14:textFill>
            <w14:solidFill>
              <w14:schemeClr w14:val="tx1"/>
            </w14:solidFill>
          </w14:textFill>
        </w:rPr>
        <w:t>张峰</w:t>
      </w:r>
      <w:r>
        <w:rPr>
          <w:color w:val="000000" w:themeColor="text1"/>
          <w:sz w:val="28"/>
          <w:szCs w:val="28"/>
          <w14:textFill>
            <w14:solidFill>
              <w14:schemeClr w14:val="tx1"/>
            </w14:solidFill>
          </w14:textFill>
        </w:rPr>
        <w:t>任总指挥的应急领导机构，</w:t>
      </w:r>
      <w:r>
        <w:rPr>
          <w:color w:val="auto"/>
          <w:sz w:val="28"/>
          <w:szCs w:val="28"/>
        </w:rPr>
        <w:t>成员包括</w:t>
      </w:r>
      <w:r>
        <w:rPr>
          <w:rFonts w:hint="eastAsia"/>
          <w:color w:val="auto"/>
          <w:sz w:val="28"/>
          <w:szCs w:val="28"/>
        </w:rPr>
        <w:t>各</w:t>
      </w:r>
      <w:r>
        <w:rPr>
          <w:rFonts w:hint="eastAsia"/>
          <w:color w:val="auto"/>
          <w:sz w:val="28"/>
          <w:szCs w:val="28"/>
          <w:lang w:val="en-US" w:eastAsia="zh-CN"/>
        </w:rPr>
        <w:t>部门</w:t>
      </w:r>
      <w:r>
        <w:rPr>
          <w:rFonts w:hint="eastAsia"/>
          <w:color w:val="auto"/>
          <w:sz w:val="28"/>
          <w:szCs w:val="28"/>
        </w:rPr>
        <w:t>负责人</w:t>
      </w:r>
      <w:r>
        <w:rPr>
          <w:rFonts w:hint="eastAsia" w:ascii="MS Mincho" w:hAnsi="MS Mincho" w:eastAsia="MS Mincho" w:cs="MS Mincho"/>
          <w:color w:val="auto"/>
          <w:sz w:val="28"/>
          <w:szCs w:val="28"/>
        </w:rPr>
        <w:t>､</w:t>
      </w:r>
      <w:r>
        <w:rPr>
          <w:rFonts w:hint="eastAsia" w:ascii="宋体" w:hAnsi="宋体" w:cs="宋体"/>
          <w:color w:val="auto"/>
          <w:sz w:val="28"/>
          <w:szCs w:val="28"/>
        </w:rPr>
        <w:t>现场负责人</w:t>
      </w:r>
      <w:r>
        <w:rPr>
          <w:rFonts w:hint="eastAsia" w:ascii="MS Mincho" w:hAnsi="MS Mincho" w:eastAsia="MS Mincho" w:cs="MS Mincho"/>
          <w:color w:val="auto"/>
          <w:sz w:val="28"/>
          <w:szCs w:val="28"/>
        </w:rPr>
        <w:t>､</w:t>
      </w:r>
      <w:r>
        <w:rPr>
          <w:rFonts w:hint="eastAsia" w:ascii="宋体" w:hAnsi="宋体" w:cs="宋体"/>
          <w:color w:val="auto"/>
          <w:sz w:val="28"/>
          <w:szCs w:val="28"/>
        </w:rPr>
        <w:t>各应急救援组组员</w:t>
      </w:r>
      <w:r>
        <w:rPr>
          <w:color w:val="auto"/>
          <w:sz w:val="28"/>
          <w:szCs w:val="28"/>
        </w:rPr>
        <w:t>，</w:t>
      </w:r>
      <w:r>
        <w:rPr>
          <w:color w:val="000000" w:themeColor="text1"/>
          <w:sz w:val="28"/>
          <w:szCs w:val="28"/>
          <w14:textFill>
            <w14:solidFill>
              <w14:schemeClr w14:val="tx1"/>
            </w14:solidFill>
          </w14:textFill>
        </w:rPr>
        <w:t>确保发生重大事故时，以应急领导机构为核心，负责公司应急求援工作的组织和指挥。事故应急救援预案规定了演练计划，能满足该生产设施应急救援要求。</w:t>
      </w:r>
    </w:p>
    <w:p>
      <w:pPr>
        <w:pStyle w:val="5"/>
        <w:keepNext w:val="0"/>
        <w:keepLines w:val="0"/>
        <w:pageBreakBefore w:val="0"/>
        <w:widowControl w:val="0"/>
        <w:shd w:val="clear"/>
        <w:kinsoku/>
        <w:wordWrap/>
        <w:overflowPunct/>
        <w:topLinePunct w:val="0"/>
        <w:autoSpaceDE/>
        <w:autoSpaceDN/>
        <w:bidi w:val="0"/>
        <w:adjustRightInd w:val="0"/>
        <w:snapToGrid w:val="0"/>
        <w:spacing w:before="0" w:after="0" w:line="360" w:lineRule="auto"/>
        <w:textAlignment w:val="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2.11.3 事故应急救援预案的演练情况</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鸿欣公司2022年按照</w:t>
      </w:r>
      <w:r>
        <w:rPr>
          <w:color w:val="000000" w:themeColor="text1"/>
          <w:sz w:val="28"/>
          <w14:textFill>
            <w14:solidFill>
              <w14:schemeClr w14:val="tx1"/>
            </w14:solidFill>
          </w14:textFill>
        </w:rPr>
        <w:t>《生产经营单位生产安全事故应急预案编制导则》（GB/T29639-2020）对预案进行了</w:t>
      </w:r>
      <w:r>
        <w:rPr>
          <w:rFonts w:hint="eastAsia"/>
          <w:color w:val="000000" w:themeColor="text1"/>
          <w:sz w:val="28"/>
          <w:lang w:val="en-US" w:eastAsia="zh-CN"/>
          <w14:textFill>
            <w14:solidFill>
              <w14:schemeClr w14:val="tx1"/>
            </w14:solidFill>
          </w14:textFill>
        </w:rPr>
        <w:t>修订并备案</w:t>
      </w:r>
      <w:r>
        <w:rPr>
          <w:color w:val="000000" w:themeColor="text1"/>
          <w:sz w:val="28"/>
          <w14:textFill>
            <w14:solidFill>
              <w14:schemeClr w14:val="tx1"/>
            </w14:solidFill>
          </w14:textFill>
        </w:rPr>
        <w:t>，按照新的应急预案制定应急演练计划，并按照计划进行演练。</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spacing w:before="159" w:beforeLines="50" w:line="360" w:lineRule="auto"/>
        <w:ind w:firstLine="564" w:firstLineChars="200"/>
        <w:rPr>
          <w:sz w:val="28"/>
          <w:szCs w:val="28"/>
        </w:rPr>
      </w:pPr>
      <w:r>
        <w:rPr>
          <w:sz w:val="28"/>
        </w:rPr>
        <w:t>依据《山东省生产安全事故应急办法》（省政府341号令）第十三条：高危和人员密集单位应当每半年至少组织1次综合或者专项应急预案演练，每2年对所有专项应急预案至少组织1次演练，每半年对所有现场处置方案至少组织1次演练</w:t>
      </w:r>
      <w:r>
        <w:rPr>
          <w:rFonts w:hint="eastAsia"/>
          <w:sz w:val="28"/>
          <w:lang w:eastAsia="zh-CN"/>
        </w:rPr>
        <w:t>。</w:t>
      </w:r>
      <w:r>
        <w:rPr>
          <w:rFonts w:hint="eastAsia"/>
          <w:sz w:val="28"/>
          <w:lang w:val="en-US" w:eastAsia="zh-CN"/>
        </w:rPr>
        <w:t>经现场检查，</w:t>
      </w:r>
      <w:r>
        <w:rPr>
          <w:sz w:val="28"/>
        </w:rPr>
        <w:t>鸿欣公司</w:t>
      </w:r>
      <w:r>
        <w:rPr>
          <w:rFonts w:hint="eastAsia"/>
          <w:sz w:val="28"/>
          <w:lang w:val="en-US" w:eastAsia="zh-CN"/>
        </w:rPr>
        <w:t>2021年、2022年1-2月应急演练频次不足，2022年</w:t>
      </w:r>
      <w:r>
        <w:rPr>
          <w:sz w:val="28"/>
        </w:rPr>
        <w:t>制定应急演练计划，定期组织应急演练并对演练效果进行评估</w:t>
      </w:r>
      <w:r>
        <w:rPr>
          <w:rFonts w:hint="eastAsia"/>
          <w:sz w:val="28"/>
          <w:lang w:val="en-US" w:eastAsia="zh-CN"/>
        </w:rPr>
        <w:t>总结</w:t>
      </w:r>
      <w:r>
        <w:rPr>
          <w:sz w:val="28"/>
        </w:rPr>
        <w:t>，并根据演练效果及时对应急救援预案进行修订。</w:t>
      </w:r>
      <w:r>
        <w:rPr>
          <w:rFonts w:hint="eastAsia"/>
          <w:sz w:val="28"/>
          <w:lang w:val="en-US" w:eastAsia="zh-CN"/>
        </w:rPr>
        <w:t>企业整改后</w:t>
      </w:r>
      <w:r>
        <w:rPr>
          <w:sz w:val="28"/>
        </w:rPr>
        <w:t>经现场检查，企业应急演练频次符合要求。</w:t>
      </w:r>
    </w:p>
    <w:p>
      <w:pPr>
        <w:pStyle w:val="5"/>
        <w:keepNext w:val="0"/>
        <w:keepLines w:val="0"/>
        <w:adjustRightInd w:val="0"/>
        <w:snapToGrid w:val="0"/>
        <w:spacing w:before="0" w:after="0" w:line="360" w:lineRule="auto"/>
        <w:rPr>
          <w:rFonts w:eastAsia="黑体"/>
          <w:b w:val="0"/>
          <w:snapToGrid w:val="0"/>
          <w:color w:val="0070C0"/>
          <w:kern w:val="0"/>
          <w:sz w:val="28"/>
          <w:szCs w:val="28"/>
        </w:rPr>
      </w:pPr>
      <w:r>
        <w:rPr>
          <w:rFonts w:eastAsia="黑体"/>
          <w:b w:val="0"/>
          <w:snapToGrid w:val="0"/>
          <w:color w:val="000000" w:themeColor="text1"/>
          <w:kern w:val="0"/>
          <w:sz w:val="28"/>
          <w:szCs w:val="28"/>
          <w14:textFill>
            <w14:solidFill>
              <w14:schemeClr w14:val="tx1"/>
            </w14:solidFill>
          </w14:textFill>
        </w:rPr>
        <w:t>2.11.4 事故应急救援器材、设备的配备情况</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该公司按照作业存在的危险、有害因素配备了相应的劳动防护用品及应急救援器材，其相关应急救援器材配备情况见下表：</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spacing w:before="159" w:beforeLines="50" w:line="360" w:lineRule="auto"/>
        <w:ind w:firstLine="564" w:firstLineChars="200"/>
        <w:rPr>
          <w:rFonts w:eastAsia="黑体"/>
          <w:bCs/>
          <w:color w:val="000000" w:themeColor="text1"/>
          <w:sz w:val="32"/>
          <w:szCs w:val="32"/>
          <w14:textFill>
            <w14:solidFill>
              <w14:schemeClr w14:val="tx1"/>
            </w14:solidFill>
          </w14:textFill>
        </w:rPr>
      </w:pPr>
      <w:r>
        <w:rPr>
          <w:color w:val="000000" w:themeColor="text1"/>
          <w:sz w:val="28"/>
          <w:szCs w:val="28"/>
          <w14:textFill>
            <w14:solidFill>
              <w14:schemeClr w14:val="tx1"/>
            </w14:solidFill>
          </w14:textFill>
        </w:rPr>
        <w:t>公司应急器材的配备能够满足事故应急救援的要求，企业制定了生产安全事故管理制度、</w:t>
      </w:r>
      <w:bookmarkStart w:id="35" w:name="_Toc19960"/>
      <w:r>
        <w:rPr>
          <w:color w:val="000000" w:themeColor="text1"/>
          <w:sz w:val="28"/>
          <w:szCs w:val="28"/>
          <w14:textFill>
            <w14:solidFill>
              <w14:schemeClr w14:val="tx1"/>
            </w14:solidFill>
          </w14:textFill>
        </w:rPr>
        <w:t>事故报告制度</w:t>
      </w:r>
      <w:bookmarkEnd w:id="35"/>
      <w:r>
        <w:rPr>
          <w:color w:val="000000" w:themeColor="text1"/>
          <w:sz w:val="28"/>
          <w:szCs w:val="28"/>
          <w14:textFill>
            <w14:solidFill>
              <w14:schemeClr w14:val="tx1"/>
            </w14:solidFill>
          </w14:textFill>
        </w:rPr>
        <w:t>、</w:t>
      </w:r>
      <w:bookmarkStart w:id="36" w:name="_Toc10852"/>
      <w:bookmarkStart w:id="37" w:name="_Toc3968"/>
      <w:bookmarkStart w:id="38" w:name="_Toc168"/>
      <w:r>
        <w:rPr>
          <w:color w:val="000000" w:themeColor="text1"/>
          <w:sz w:val="28"/>
          <w:szCs w:val="28"/>
          <w14:textFill>
            <w14:solidFill>
              <w14:schemeClr w14:val="tx1"/>
            </w14:solidFill>
          </w14:textFill>
        </w:rPr>
        <w:t>应急救援制度</w:t>
      </w:r>
      <w:bookmarkEnd w:id="36"/>
      <w:bookmarkEnd w:id="37"/>
      <w:bookmarkEnd w:id="38"/>
      <w:r>
        <w:rPr>
          <w:color w:val="000000" w:themeColor="text1"/>
          <w:sz w:val="28"/>
          <w:szCs w:val="28"/>
          <w14:textFill>
            <w14:solidFill>
              <w14:schemeClr w14:val="tx1"/>
            </w14:solidFill>
          </w14:textFill>
        </w:rPr>
        <w:t>等安全管理制度，并定期组织相关人员对国内外同类企业的安全事故进行学习，总结经验，不断提高企业人员技术及应急能力。</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9" w:name="_Toc9319"/>
      <w:r>
        <w:rPr>
          <w:rFonts w:ascii="Times New Roman" w:hAnsi="Times New Roman"/>
          <w:b w:val="0"/>
          <w:bCs/>
          <w:color w:val="000000" w:themeColor="text1"/>
          <w:szCs w:val="32"/>
          <w14:textFill>
            <w14:solidFill>
              <w14:schemeClr w14:val="tx1"/>
            </w14:solidFill>
          </w14:textFill>
        </w:rPr>
        <w:t>2.12安全生产标准化及双重预防体系的建设、运行情况</w:t>
      </w:r>
      <w:bookmarkEnd w:id="39"/>
    </w:p>
    <w:p>
      <w:pPr>
        <w:pStyle w:val="64"/>
        <w:adjustRightInd w:val="0"/>
        <w:snapToGrid w:val="0"/>
        <w:spacing w:line="360" w:lineRule="auto"/>
        <w:ind w:firstLine="566"/>
        <w:rPr>
          <w:color w:val="auto"/>
        </w:rPr>
      </w:pPr>
      <w:r>
        <w:rPr>
          <w:rFonts w:hint="eastAsia"/>
          <w:color w:val="auto"/>
        </w:rPr>
        <w:t>山东胜利油田鸿欣石油技术有限公司</w:t>
      </w:r>
      <w:r>
        <w:rPr>
          <w:rFonts w:hint="eastAsia"/>
          <w:color w:val="auto"/>
          <w:lang w:val="en-US" w:eastAsia="zh-CN"/>
        </w:rPr>
        <w:t>目前正在开展安全生产标准化建设，并已</w:t>
      </w:r>
      <w:r>
        <w:rPr>
          <w:rFonts w:hint="eastAsia"/>
          <w:color w:val="auto"/>
        </w:rPr>
        <w:t>完成风险分级管控及隐患排查治理体系</w:t>
      </w:r>
      <w:r>
        <w:rPr>
          <w:rFonts w:hint="eastAsia"/>
          <w:color w:val="auto"/>
          <w:lang w:val="en-US" w:eastAsia="zh-CN"/>
        </w:rPr>
        <w:t>建设</w:t>
      </w:r>
      <w:r>
        <w:rPr>
          <w:rFonts w:hint="eastAsia"/>
          <w:color w:val="auto"/>
        </w:rPr>
        <w:t>工作，编制有《风险分级管控清单》和《隐患排查治理清单》，成立了“双重预防体系”领导小组，建立隐患治理</w:t>
      </w:r>
      <w:r>
        <w:rPr>
          <w:rFonts w:hint="eastAsia"/>
          <w:color w:val="auto"/>
          <w:lang w:val="en-US" w:eastAsia="zh-CN"/>
        </w:rPr>
        <w:t>管理</w:t>
      </w:r>
      <w:r>
        <w:rPr>
          <w:rFonts w:hint="eastAsia"/>
          <w:color w:val="auto"/>
        </w:rPr>
        <w:t>制度和风险分级管控制度。</w:t>
      </w:r>
    </w:p>
    <w:p>
      <w:pPr>
        <w:pStyle w:val="64"/>
        <w:adjustRightInd w:val="0"/>
        <w:snapToGrid w:val="0"/>
        <w:spacing w:line="360" w:lineRule="auto"/>
        <w:ind w:firstLine="566"/>
        <w:rPr>
          <w:color w:val="auto"/>
        </w:rPr>
      </w:pPr>
      <w:r>
        <w:rPr>
          <w:rFonts w:hint="eastAsia"/>
          <w:color w:val="auto"/>
        </w:rPr>
        <w:t>山东胜利油田鸿欣石油技术有限公司与2022年5月23日由东营盛源安全技术服务有限公司进行了风险隐患双重预防体系建设评估，本次审核共排查风险点90处，四级危险源数量共计50项，三级危险源数量共计12项,无一级、二级、三级危险源，目前公司“双体系”工作有效运行。</w:t>
      </w:r>
    </w:p>
    <w:p>
      <w:pPr>
        <w:pStyle w:val="4"/>
        <w:adjustRightInd w:val="0"/>
        <w:snapToGrid w:val="0"/>
        <w:spacing w:before="0" w:after="0" w:line="360" w:lineRule="auto"/>
        <w:rPr>
          <w:rFonts w:hint="default" w:ascii="Times New Roman" w:hAnsi="Times New Roman"/>
          <w:b w:val="0"/>
          <w:bCs/>
          <w:szCs w:val="32"/>
          <w:lang w:val="en-US" w:eastAsia="zh-CN"/>
        </w:rPr>
      </w:pPr>
      <w:bookmarkStart w:id="40" w:name="_Toc15054"/>
      <w:bookmarkStart w:id="41" w:name="_Toc31230"/>
      <w:r>
        <w:rPr>
          <w:rFonts w:hint="eastAsia" w:ascii="Times New Roman" w:hAnsi="Times New Roman"/>
          <w:b w:val="0"/>
          <w:bCs/>
          <w:szCs w:val="32"/>
          <w:lang w:val="en-US" w:eastAsia="zh-CN"/>
        </w:rPr>
        <w:t>2.13 承包商管理</w:t>
      </w:r>
      <w:bookmarkEnd w:id="40"/>
      <w:bookmarkEnd w:id="41"/>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42" w:name="_Toc4243"/>
      <w:bookmarkStart w:id="43" w:name="_Toc9817"/>
      <w:bookmarkStart w:id="44" w:name="_Toc27799"/>
      <w:r>
        <w:rPr>
          <w:rFonts w:hint="eastAsia" w:cs="Times New Roman"/>
          <w:color w:val="000000" w:themeColor="text1"/>
          <w:sz w:val="28"/>
          <w:szCs w:val="28"/>
          <w:lang w:val="en-US" w:eastAsia="zh-CN"/>
          <w14:textFill>
            <w14:solidFill>
              <w14:schemeClr w14:val="tx1"/>
            </w14:solidFill>
          </w14:textFill>
        </w:rPr>
        <w:t>涉及企业机密，不予公开。</w:t>
      </w:r>
    </w:p>
    <w:p>
      <w:pPr>
        <w:pStyle w:val="4"/>
        <w:adjustRightInd w:val="0"/>
        <w:snapToGrid w:val="0"/>
        <w:spacing w:before="0" w:after="0" w:line="360" w:lineRule="auto"/>
        <w:rPr>
          <w:rFonts w:hint="default" w:ascii="Times New Roman" w:hAnsi="Times New Roman"/>
          <w:b w:val="0"/>
          <w:bCs/>
          <w:szCs w:val="32"/>
          <w:lang w:val="en-US" w:eastAsia="zh-CN"/>
        </w:rPr>
      </w:pPr>
      <w:r>
        <w:rPr>
          <w:rFonts w:hint="default" w:ascii="Times New Roman" w:hAnsi="Times New Roman"/>
          <w:b w:val="0"/>
          <w:bCs/>
          <w:szCs w:val="32"/>
          <w:lang w:val="en-US" w:eastAsia="zh-CN"/>
        </w:rPr>
        <w:t>2.1</w:t>
      </w:r>
      <w:r>
        <w:rPr>
          <w:rFonts w:hint="eastAsia" w:ascii="Times New Roman" w:hAnsi="Times New Roman"/>
          <w:b w:val="0"/>
          <w:bCs/>
          <w:szCs w:val="32"/>
          <w:lang w:val="en-US" w:eastAsia="zh-CN"/>
        </w:rPr>
        <w:t>4</w:t>
      </w:r>
      <w:r>
        <w:rPr>
          <w:rFonts w:hint="default" w:ascii="Times New Roman" w:hAnsi="Times New Roman"/>
          <w:b w:val="0"/>
          <w:bCs/>
          <w:szCs w:val="32"/>
          <w:lang w:val="en-US" w:eastAsia="zh-CN"/>
        </w:rPr>
        <w:t xml:space="preserve"> 危险作业安全管理</w:t>
      </w:r>
      <w:bookmarkEnd w:id="42"/>
      <w:bookmarkEnd w:id="43"/>
      <w:bookmarkEnd w:id="44"/>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smallCaps w:val="0"/>
          <w:kern w:val="2"/>
          <w:sz w:val="28"/>
          <w:szCs w:val="28"/>
          <w:lang w:val="en-US" w:eastAsia="zh-CN" w:bidi="ar-SA"/>
        </w:rPr>
      </w:pPr>
      <w:r>
        <w:rPr>
          <w:rFonts w:hint="default" w:ascii="Times New Roman" w:hAnsi="Times New Roman" w:eastAsia="宋体" w:cs="Times New Roman"/>
          <w:smallCaps w:val="0"/>
          <w:kern w:val="2"/>
          <w:sz w:val="28"/>
          <w:szCs w:val="28"/>
          <w:lang w:val="en-US" w:eastAsia="zh-CN" w:bidi="ar-SA"/>
        </w:rPr>
        <w:t>山东胜利油田鸿欣石油技术有限公司涉及危险作业项目包含临时用电作业、高处作业</w:t>
      </w:r>
      <w:r>
        <w:rPr>
          <w:rFonts w:hint="eastAsia" w:ascii="Times New Roman" w:hAnsi="Times New Roman" w:eastAsia="宋体" w:cs="Times New Roman"/>
          <w:smallCaps w:val="0"/>
          <w:kern w:val="2"/>
          <w:sz w:val="28"/>
          <w:szCs w:val="28"/>
          <w:lang w:val="en-US" w:eastAsia="zh-CN" w:bidi="ar-SA"/>
        </w:rPr>
        <w:t>、动土作业</w:t>
      </w:r>
      <w:r>
        <w:rPr>
          <w:rFonts w:hint="eastAsia" w:cs="Times New Roman"/>
          <w:smallCaps w:val="0"/>
          <w:kern w:val="2"/>
          <w:sz w:val="28"/>
          <w:szCs w:val="28"/>
          <w:lang w:val="en-US" w:eastAsia="zh-CN" w:bidi="ar-SA"/>
        </w:rPr>
        <w:t>、起重作业（起重指挥）</w:t>
      </w:r>
      <w:r>
        <w:rPr>
          <w:rFonts w:hint="default" w:ascii="Times New Roman" w:hAnsi="Times New Roman" w:eastAsia="宋体" w:cs="Times New Roman"/>
          <w:smallCaps w:val="0"/>
          <w:kern w:val="2"/>
          <w:sz w:val="28"/>
          <w:szCs w:val="28"/>
          <w:lang w:val="en-US" w:eastAsia="zh-CN" w:bidi="ar-SA"/>
        </w:rPr>
        <w:t>。</w:t>
      </w:r>
      <w:r>
        <w:rPr>
          <w:rFonts w:hint="eastAsia" w:ascii="Times New Roman" w:hAnsi="Times New Roman" w:eastAsia="宋体" w:cs="Times New Roman"/>
          <w:smallCaps w:val="0"/>
          <w:kern w:val="2"/>
          <w:sz w:val="28"/>
          <w:szCs w:val="28"/>
          <w:lang w:val="en-US" w:eastAsia="zh-CN" w:bidi="ar-SA"/>
        </w:rPr>
        <w:t>企业制定有《</w:t>
      </w:r>
      <w:r>
        <w:rPr>
          <w:rFonts w:hint="eastAsia" w:ascii="Times New Roman" w:hAnsi="Times New Roman" w:eastAsia="宋体" w:cs="Times New Roman"/>
          <w:smallCaps w:val="0"/>
          <w:kern w:val="2"/>
          <w:sz w:val="28"/>
          <w:szCs w:val="28"/>
          <w:lang w:val="en-US" w:eastAsia="zh-CN" w:bidi="ar-SA"/>
        </w:rPr>
        <w:fldChar w:fldCharType="begin"/>
      </w:r>
      <w:r>
        <w:rPr>
          <w:rFonts w:hint="eastAsia" w:ascii="Times New Roman" w:hAnsi="Times New Roman" w:eastAsia="宋体" w:cs="Times New Roman"/>
          <w:smallCaps w:val="0"/>
          <w:kern w:val="2"/>
          <w:sz w:val="28"/>
          <w:szCs w:val="28"/>
          <w:lang w:val="en-US" w:eastAsia="zh-CN" w:bidi="ar-SA"/>
        </w:rPr>
        <w:instrText xml:space="preserve"> HYPERLINK \l _Toc1805 </w:instrText>
      </w:r>
      <w:r>
        <w:rPr>
          <w:rFonts w:hint="eastAsia" w:ascii="Times New Roman" w:hAnsi="Times New Roman" w:eastAsia="宋体" w:cs="Times New Roman"/>
          <w:smallCaps w:val="0"/>
          <w:kern w:val="2"/>
          <w:sz w:val="28"/>
          <w:szCs w:val="28"/>
          <w:lang w:val="en-US" w:eastAsia="zh-CN" w:bidi="ar-SA"/>
        </w:rPr>
        <w:fldChar w:fldCharType="separate"/>
      </w:r>
      <w:r>
        <w:rPr>
          <w:rFonts w:hint="eastAsia" w:ascii="Times New Roman" w:hAnsi="Times New Roman" w:eastAsia="宋体" w:cs="Times New Roman"/>
          <w:smallCaps w:val="0"/>
          <w:kern w:val="2"/>
          <w:sz w:val="28"/>
          <w:szCs w:val="28"/>
          <w:lang w:val="en-US" w:eastAsia="zh-CN" w:bidi="ar-SA"/>
        </w:rPr>
        <w:t>临时用电安全管理制度</w:t>
      </w:r>
      <w:r>
        <w:rPr>
          <w:rFonts w:hint="eastAsia" w:ascii="Times New Roman" w:hAnsi="Times New Roman" w:eastAsia="宋体" w:cs="Times New Roman"/>
          <w:smallCaps w:val="0"/>
          <w:kern w:val="2"/>
          <w:sz w:val="28"/>
          <w:szCs w:val="28"/>
          <w:lang w:val="en-US" w:eastAsia="zh-CN" w:bidi="ar-SA"/>
        </w:rPr>
        <w:fldChar w:fldCharType="end"/>
      </w:r>
      <w:r>
        <w:rPr>
          <w:rFonts w:hint="eastAsia" w:ascii="Times New Roman" w:hAnsi="Times New Roman" w:eastAsia="宋体" w:cs="Times New Roman"/>
          <w:smallCaps w:val="0"/>
          <w:kern w:val="2"/>
          <w:sz w:val="28"/>
          <w:szCs w:val="28"/>
          <w:lang w:val="en-US" w:eastAsia="zh-CN" w:bidi="ar-SA"/>
        </w:rPr>
        <w:t>》、《动土作业管理制度》、《登高作业安全管理制度》</w:t>
      </w:r>
      <w:r>
        <w:rPr>
          <w:rFonts w:hint="eastAsia" w:cs="Times New Roman"/>
          <w:smallCaps w:val="0"/>
          <w:kern w:val="2"/>
          <w:sz w:val="28"/>
          <w:szCs w:val="28"/>
          <w:lang w:val="en-US" w:eastAsia="zh-CN" w:bidi="ar-SA"/>
        </w:rPr>
        <w:t>、《</w:t>
      </w:r>
      <w:r>
        <w:rPr>
          <w:rFonts w:hint="eastAsia" w:ascii="Times New Roman" w:hAnsi="Times New Roman" w:eastAsia="宋体" w:cs="Times New Roman"/>
          <w:smallCaps w:val="0"/>
          <w:kern w:val="2"/>
          <w:sz w:val="28"/>
          <w:szCs w:val="28"/>
          <w:lang w:val="en-US" w:eastAsia="zh-CN" w:bidi="ar-SA"/>
        </w:rPr>
        <w:t>起重作业安全管理规定</w:t>
      </w:r>
      <w:r>
        <w:rPr>
          <w:rFonts w:hint="eastAsia" w:cs="Times New Roman"/>
          <w:smallCaps w:val="0"/>
          <w:kern w:val="2"/>
          <w:sz w:val="28"/>
          <w:szCs w:val="28"/>
          <w:lang w:val="en-US" w:eastAsia="zh-CN" w:bidi="ar-SA"/>
        </w:rPr>
        <w:t>》</w:t>
      </w:r>
      <w:r>
        <w:rPr>
          <w:rFonts w:hint="eastAsia" w:ascii="Times New Roman" w:hAnsi="Times New Roman" w:eastAsia="宋体" w:cs="Times New Roman"/>
          <w:smallCaps w:val="0"/>
          <w:kern w:val="2"/>
          <w:sz w:val="28"/>
          <w:szCs w:val="28"/>
          <w:lang w:val="en-US" w:eastAsia="zh-CN" w:bidi="ar-SA"/>
        </w:rPr>
        <w:t>，按照“谁的业务谁申请”“风险管控最有利”和“谁签字谁负责、谁审批谁负责”的原则，</w:t>
      </w:r>
      <w:r>
        <w:rPr>
          <w:rFonts w:hint="eastAsia" w:cs="Times New Roman"/>
          <w:smallCaps w:val="0"/>
          <w:kern w:val="2"/>
          <w:sz w:val="28"/>
          <w:szCs w:val="28"/>
          <w:lang w:val="en-US" w:eastAsia="zh-CN" w:bidi="ar-SA"/>
        </w:rPr>
        <w:t>相关人员</w:t>
      </w:r>
      <w:r>
        <w:rPr>
          <w:rFonts w:hint="eastAsia" w:ascii="Times New Roman" w:hAnsi="Times New Roman" w:eastAsia="宋体" w:cs="Times New Roman"/>
          <w:smallCaps w:val="0"/>
          <w:kern w:val="2"/>
          <w:sz w:val="28"/>
          <w:szCs w:val="28"/>
          <w:lang w:val="en-US" w:eastAsia="zh-CN" w:bidi="ar-SA"/>
        </w:rPr>
        <w:t>针对作业内容开展 JSA，分析作业过程存在的安全风险，制定相应风险防控措施，并在作业许可证中进行确认。作业前，开票人组织相关专业人员将风险防控措施向监护人、作业人员进行安全交底。</w:t>
      </w:r>
      <w:r>
        <w:rPr>
          <w:rFonts w:hint="eastAsia" w:cs="Times New Roman"/>
          <w:smallCaps w:val="0"/>
          <w:kern w:val="2"/>
          <w:sz w:val="28"/>
          <w:szCs w:val="28"/>
          <w:lang w:val="en-US" w:eastAsia="zh-CN" w:bidi="ar-SA"/>
        </w:rPr>
        <w:t>危险作业JSA分析记录及作业许可证详见报告附件23。</w:t>
      </w:r>
    </w:p>
    <w:p>
      <w:pPr>
        <w:pStyle w:val="4"/>
        <w:adjustRightInd w:val="0"/>
        <w:snapToGrid w:val="0"/>
        <w:spacing w:before="0" w:after="0" w:line="360" w:lineRule="auto"/>
        <w:rPr>
          <w:rFonts w:hint="default" w:ascii="Times New Roman" w:hAnsi="Times New Roman"/>
          <w:b w:val="0"/>
          <w:bCs/>
          <w:szCs w:val="32"/>
          <w:lang w:val="en-US" w:eastAsia="zh-CN"/>
        </w:rPr>
      </w:pPr>
      <w:bookmarkStart w:id="45" w:name="_Toc18054"/>
      <w:bookmarkStart w:id="46" w:name="_Toc26243"/>
      <w:bookmarkStart w:id="47" w:name="_Toc2616"/>
      <w:r>
        <w:rPr>
          <w:rFonts w:hint="default" w:ascii="Times New Roman" w:hAnsi="Times New Roman"/>
          <w:b w:val="0"/>
          <w:bCs/>
          <w:szCs w:val="32"/>
          <w:lang w:val="en-US" w:eastAsia="zh-CN"/>
        </w:rPr>
        <w:t>2.1</w:t>
      </w:r>
      <w:r>
        <w:rPr>
          <w:rFonts w:hint="eastAsia" w:ascii="Times New Roman" w:hAnsi="Times New Roman"/>
          <w:b w:val="0"/>
          <w:bCs/>
          <w:szCs w:val="32"/>
          <w:lang w:val="en-US" w:eastAsia="zh-CN"/>
        </w:rPr>
        <w:t>5</w:t>
      </w:r>
      <w:r>
        <w:rPr>
          <w:rFonts w:hint="default" w:ascii="Times New Roman" w:hAnsi="Times New Roman"/>
          <w:b w:val="0"/>
          <w:bCs/>
          <w:szCs w:val="32"/>
          <w:lang w:val="en-US" w:eastAsia="zh-CN"/>
        </w:rPr>
        <w:t xml:space="preserve"> 变更安全管理</w:t>
      </w:r>
      <w:bookmarkEnd w:id="45"/>
      <w:bookmarkEnd w:id="46"/>
      <w:bookmarkEnd w:id="47"/>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山东胜利油田鸿欣石油技术有限公司制定了《变更管理制度》，该制度规定了生产过程中工艺技术、设备设施、管理、人员的变更类型，明确了变更申请、变更实施、变更</w:t>
      </w:r>
      <w:r>
        <w:rPr>
          <w:rFonts w:hint="eastAsia" w:cs="Times New Roman"/>
          <w:color w:val="000000" w:themeColor="text1"/>
          <w:sz w:val="28"/>
          <w:szCs w:val="28"/>
          <w:lang w:val="en-US" w:eastAsia="zh-CN"/>
          <w14:textFill>
            <w14:solidFill>
              <w14:schemeClr w14:val="tx1"/>
            </w14:solidFill>
          </w14:textFill>
        </w:rPr>
        <w:t>验收</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等变更程序。</w:t>
      </w:r>
      <w:r>
        <w:rPr>
          <w:rFonts w:hint="eastAsia" w:cs="Times New Roman"/>
          <w:color w:val="000000" w:themeColor="text1"/>
          <w:sz w:val="28"/>
          <w:szCs w:val="28"/>
          <w:lang w:val="en-US" w:eastAsia="zh-CN"/>
          <w14:textFill>
            <w14:solidFill>
              <w14:schemeClr w14:val="tx1"/>
            </w14:solidFill>
          </w14:textFill>
        </w:rPr>
        <w:t>涉及企业机密，不予公开。</w:t>
      </w:r>
    </w:p>
    <w:p>
      <w:pPr>
        <w:pStyle w:val="4"/>
        <w:keepNext/>
        <w:keepLines/>
        <w:pageBreakBefore w:val="0"/>
        <w:widowControl w:val="0"/>
        <w:kinsoku/>
        <w:wordWrap/>
        <w:overflowPunct/>
        <w:topLinePunct w:val="0"/>
        <w:autoSpaceDE/>
        <w:autoSpaceDN/>
        <w:bidi w:val="0"/>
        <w:adjustRightInd w:val="0"/>
        <w:snapToGrid w:val="0"/>
        <w:spacing w:before="0" w:after="0" w:line="360" w:lineRule="auto"/>
        <w:jc w:val="left"/>
        <w:textAlignment w:val="auto"/>
        <w:rPr>
          <w:rFonts w:hint="default" w:ascii="Times New Roman" w:hAnsi="Times New Roman"/>
          <w:b w:val="0"/>
          <w:bCs/>
          <w:szCs w:val="32"/>
          <w:lang w:val="en-US" w:eastAsia="zh-CN"/>
        </w:rPr>
      </w:pPr>
      <w:bookmarkStart w:id="48" w:name="_Toc24887"/>
      <w:bookmarkStart w:id="49" w:name="_Toc14430"/>
      <w:bookmarkStart w:id="50" w:name="_Toc1607"/>
      <w:r>
        <w:rPr>
          <w:rFonts w:hint="default" w:ascii="Times New Roman" w:hAnsi="Times New Roman"/>
          <w:b w:val="0"/>
          <w:bCs/>
          <w:szCs w:val="32"/>
          <w:lang w:val="en-US" w:eastAsia="zh-CN"/>
        </w:rPr>
        <w:t>2.1</w:t>
      </w:r>
      <w:r>
        <w:rPr>
          <w:rFonts w:hint="eastAsia" w:ascii="Times New Roman" w:hAnsi="Times New Roman"/>
          <w:b w:val="0"/>
          <w:bCs/>
          <w:szCs w:val="32"/>
          <w:lang w:val="en-US" w:eastAsia="zh-CN"/>
        </w:rPr>
        <w:t>6</w:t>
      </w:r>
      <w:r>
        <w:rPr>
          <w:rFonts w:hint="default" w:ascii="Times New Roman" w:hAnsi="Times New Roman"/>
          <w:b w:val="0"/>
          <w:bCs/>
          <w:szCs w:val="32"/>
          <w:lang w:val="en-US" w:eastAsia="zh-CN"/>
        </w:rPr>
        <w:t xml:space="preserve"> </w:t>
      </w:r>
      <w:r>
        <w:rPr>
          <w:rFonts w:hint="eastAsia" w:ascii="Times New Roman" w:hAnsi="Times New Roman"/>
          <w:b w:val="0"/>
          <w:bCs/>
          <w:szCs w:val="32"/>
          <w:lang w:val="en-US" w:eastAsia="zh-CN"/>
        </w:rPr>
        <w:t>井控及交叉作业</w:t>
      </w:r>
      <w:r>
        <w:rPr>
          <w:rFonts w:hint="default" w:ascii="Times New Roman" w:hAnsi="Times New Roman"/>
          <w:b w:val="0"/>
          <w:bCs/>
          <w:szCs w:val="32"/>
          <w:lang w:val="en-US" w:eastAsia="zh-CN"/>
        </w:rPr>
        <w:t>管理</w:t>
      </w:r>
      <w:bookmarkEnd w:id="48"/>
      <w:bookmarkEnd w:id="49"/>
    </w:p>
    <w:p>
      <w:pPr>
        <w:keepNext w:val="0"/>
        <w:keepLines w:val="0"/>
        <w:pageBreakBefore w:val="0"/>
        <w:widowControl w:val="0"/>
        <w:tabs>
          <w:tab w:val="left" w:pos="1408"/>
        </w:tabs>
        <w:kinsoku/>
        <w:wordWrap/>
        <w:overflowPunct/>
        <w:topLinePunct w:val="0"/>
        <w:autoSpaceDE/>
        <w:autoSpaceDN/>
        <w:bidi w:val="0"/>
        <w:adjustRightInd w:val="0"/>
        <w:snapToGrid w:val="0"/>
        <w:spacing w:line="360" w:lineRule="auto"/>
        <w:ind w:firstLine="564" w:firstLineChars="200"/>
        <w:jc w:val="left"/>
        <w:textAlignment w:val="auto"/>
        <w:rPr>
          <w:rFonts w:hint="eastAsia"/>
          <w:sz w:val="28"/>
          <w:szCs w:val="28"/>
          <w:shd w:val="clear" w:color="auto" w:fill="FFFFFF"/>
          <w:lang w:eastAsia="zh-CN"/>
        </w:rPr>
      </w:pPr>
      <w:bookmarkStart w:id="51" w:name="_Toc23569"/>
      <w:r>
        <w:rPr>
          <w:rFonts w:hint="eastAsia"/>
          <w:sz w:val="28"/>
          <w:szCs w:val="28"/>
          <w:shd w:val="clear" w:color="auto" w:fill="FFFFFF"/>
          <w:lang w:eastAsia="zh-CN"/>
        </w:rPr>
        <w:t>山东胜利油田鸿欣石油技术有限公司</w:t>
      </w:r>
      <w:r>
        <w:rPr>
          <w:rFonts w:hint="eastAsia"/>
          <w:sz w:val="28"/>
          <w:szCs w:val="28"/>
          <w:shd w:val="clear" w:color="auto" w:fill="FFFFFF"/>
          <w:lang w:val="en-US" w:eastAsia="zh-CN"/>
        </w:rPr>
        <w:t>建立了《井控安全管理制度》，</w:t>
      </w:r>
      <w:r>
        <w:rPr>
          <w:rFonts w:hint="eastAsia"/>
          <w:sz w:val="28"/>
          <w:szCs w:val="28"/>
          <w:shd w:val="clear" w:color="auto" w:fill="FFFFFF"/>
        </w:rPr>
        <w:t>按照“分级管理”原则，公司成立以主要要负责人为第一责任人的井控工作领导小组，作业</w:t>
      </w:r>
      <w:r>
        <w:rPr>
          <w:rFonts w:hint="eastAsia"/>
          <w:sz w:val="28"/>
          <w:szCs w:val="28"/>
          <w:shd w:val="clear" w:color="auto" w:fill="FFFFFF"/>
          <w:lang w:eastAsia="zh-CN"/>
        </w:rPr>
        <w:t>施工</w:t>
      </w:r>
      <w:r>
        <w:rPr>
          <w:rFonts w:hint="eastAsia"/>
          <w:sz w:val="28"/>
          <w:szCs w:val="28"/>
          <w:shd w:val="clear" w:color="auto" w:fill="FFFFFF"/>
        </w:rPr>
        <w:t>现场成立由队长为组长的井控小组</w:t>
      </w:r>
      <w:r>
        <w:rPr>
          <w:rFonts w:hint="eastAsia"/>
          <w:sz w:val="28"/>
          <w:szCs w:val="28"/>
          <w:shd w:val="clear" w:color="auto" w:fill="FFFFFF"/>
          <w:lang w:eastAsia="zh-CN"/>
        </w:rPr>
        <w:t>。</w:t>
      </w:r>
    </w:p>
    <w:p>
      <w:pPr>
        <w:pStyle w:val="45"/>
        <w:keepNext w:val="0"/>
        <w:keepLines w:val="0"/>
        <w:pageBreakBefore w:val="0"/>
        <w:widowControl/>
        <w:shd w:val="clear" w:color="auto"/>
        <w:kinsoku/>
        <w:wordWrap/>
        <w:overflowPunct/>
        <w:topLinePunct w:val="0"/>
        <w:autoSpaceDE/>
        <w:autoSpaceDN/>
        <w:bidi w:val="0"/>
        <w:adjustRightInd w:val="0"/>
        <w:snapToGrid w:val="0"/>
        <w:spacing w:before="0" w:beforeAutospacing="0" w:after="0" w:afterAutospacing="0" w:line="360" w:lineRule="auto"/>
        <w:ind w:firstLine="564" w:firstLineChars="200"/>
        <w:textAlignment w:val="baseline"/>
        <w:rPr>
          <w:rFonts w:hint="eastAsia"/>
          <w:sz w:val="28"/>
          <w:szCs w:val="28"/>
          <w:shd w:val="clear" w:color="auto" w:fill="FFFFFF"/>
        </w:rPr>
      </w:pPr>
      <w:r>
        <w:rPr>
          <w:rFonts w:hint="eastAsia"/>
          <w:sz w:val="28"/>
          <w:szCs w:val="28"/>
          <w:shd w:val="clear" w:color="auto" w:fill="FFFFFF"/>
          <w:lang w:eastAsia="zh-CN"/>
        </w:rPr>
        <w:t>井</w:t>
      </w:r>
      <w:r>
        <w:rPr>
          <w:rFonts w:hint="eastAsia"/>
          <w:sz w:val="28"/>
          <w:szCs w:val="28"/>
          <w:shd w:val="clear" w:color="auto" w:fill="FFFFFF"/>
        </w:rPr>
        <w:t>控工作按照“谁主管，谁负责”的原则，各级井控工作领导小组及成员部门均负有井控工作责任。各级主管领导、管理人员和相关岗位操作人员接受</w:t>
      </w:r>
      <w:r>
        <w:rPr>
          <w:rFonts w:hint="default" w:ascii="Times New Roman" w:hAnsi="Times New Roman" w:cs="Times New Roman"/>
          <w:sz w:val="28"/>
          <w:szCs w:val="28"/>
          <w:shd w:val="clear" w:color="auto" w:fill="FFFFFF"/>
        </w:rPr>
        <w:t>HSE</w:t>
      </w:r>
      <w:r>
        <w:rPr>
          <w:rFonts w:hint="eastAsia"/>
          <w:sz w:val="28"/>
          <w:szCs w:val="28"/>
          <w:shd w:val="clear" w:color="auto" w:fill="FFFFFF"/>
        </w:rPr>
        <w:t>培训、井控技术和</w:t>
      </w:r>
      <w:r>
        <w:rPr>
          <w:rFonts w:hint="eastAsia" w:ascii="Times New Roman" w:hAnsi="Times New Roman" w:cs="Times New Roman"/>
          <w:sz w:val="28"/>
          <w:szCs w:val="28"/>
          <w:shd w:val="clear" w:color="auto" w:fill="FFFFFF"/>
        </w:rPr>
        <w:t>H</w:t>
      </w:r>
      <w:r>
        <w:rPr>
          <w:rFonts w:hint="eastAsia" w:ascii="Times New Roman" w:hAnsi="Times New Roman" w:cs="Times New Roman"/>
          <w:sz w:val="28"/>
          <w:szCs w:val="28"/>
          <w:shd w:val="clear" w:color="auto" w:fill="FFFFFF"/>
          <w:vertAlign w:val="subscript"/>
        </w:rPr>
        <w:t>2</w:t>
      </w:r>
      <w:r>
        <w:rPr>
          <w:rFonts w:hint="eastAsia" w:ascii="Times New Roman" w:hAnsi="Times New Roman" w:cs="Times New Roman"/>
          <w:sz w:val="28"/>
          <w:szCs w:val="28"/>
          <w:shd w:val="clear" w:color="auto" w:fill="FFFFFF"/>
        </w:rPr>
        <w:t>S</w:t>
      </w:r>
      <w:r>
        <w:rPr>
          <w:rFonts w:hint="eastAsia"/>
          <w:sz w:val="28"/>
          <w:szCs w:val="28"/>
          <w:shd w:val="clear" w:color="auto" w:fill="FFFFFF"/>
        </w:rPr>
        <w:t>防护技术培训，并取得“健康安全环境管理培训证书”、“井控培训合格证”和“</w:t>
      </w:r>
      <w:r>
        <w:rPr>
          <w:rFonts w:hint="eastAsia" w:ascii="Times New Roman" w:hAnsi="Times New Roman" w:cs="Times New Roman"/>
          <w:sz w:val="28"/>
          <w:szCs w:val="28"/>
          <w:shd w:val="clear" w:color="auto" w:fill="FFFFFF"/>
        </w:rPr>
        <w:t>H</w:t>
      </w:r>
      <w:r>
        <w:rPr>
          <w:rFonts w:hint="eastAsia" w:ascii="Times New Roman" w:hAnsi="Times New Roman" w:cs="Times New Roman"/>
          <w:sz w:val="28"/>
          <w:szCs w:val="28"/>
          <w:shd w:val="clear" w:color="auto" w:fill="FFFFFF"/>
          <w:vertAlign w:val="subscript"/>
        </w:rPr>
        <w:t>2</w:t>
      </w:r>
      <w:r>
        <w:rPr>
          <w:rFonts w:hint="eastAsia" w:ascii="Times New Roman" w:hAnsi="Times New Roman" w:cs="Times New Roman"/>
          <w:sz w:val="28"/>
          <w:szCs w:val="28"/>
          <w:shd w:val="clear" w:color="auto" w:fill="FFFFFF"/>
        </w:rPr>
        <w:t>S</w:t>
      </w:r>
      <w:r>
        <w:rPr>
          <w:rFonts w:hint="eastAsia"/>
          <w:sz w:val="28"/>
          <w:szCs w:val="28"/>
          <w:shd w:val="clear" w:color="auto" w:fill="FFFFFF"/>
        </w:rPr>
        <w:t>防护技术培训证书”。</w:t>
      </w:r>
    </w:p>
    <w:p>
      <w:pPr>
        <w:keepNext w:val="0"/>
        <w:keepLines w:val="0"/>
        <w:pageBreakBefore w:val="0"/>
        <w:tabs>
          <w:tab w:val="left" w:pos="1251"/>
        </w:tabs>
        <w:kinsoku/>
        <w:wordWrap/>
        <w:overflowPunct/>
        <w:topLinePunct w:val="0"/>
        <w:autoSpaceDE/>
        <w:autoSpaceDN/>
        <w:bidi w:val="0"/>
        <w:adjustRightInd w:val="0"/>
        <w:snapToGrid w:val="0"/>
        <w:spacing w:line="360" w:lineRule="auto"/>
        <w:ind w:firstLine="564" w:firstLineChars="200"/>
        <w:jc w:val="left"/>
        <w:rPr>
          <w:rFonts w:hint="eastAsia"/>
          <w:sz w:val="28"/>
          <w:szCs w:val="28"/>
          <w:shd w:val="clear" w:color="auto" w:fill="FFFFFF"/>
        </w:rPr>
      </w:pPr>
      <w:r>
        <w:rPr>
          <w:rFonts w:hint="eastAsia"/>
          <w:sz w:val="28"/>
          <w:szCs w:val="28"/>
          <w:shd w:val="clear" w:color="auto" w:fill="FFFFFF"/>
          <w:lang w:eastAsia="zh-CN"/>
        </w:rPr>
        <w:t>现场</w:t>
      </w:r>
      <w:r>
        <w:rPr>
          <w:rFonts w:hint="eastAsia"/>
          <w:sz w:val="28"/>
          <w:szCs w:val="28"/>
          <w:shd w:val="clear" w:color="auto" w:fill="FFFFFF"/>
          <w:lang w:val="en-US" w:eastAsia="zh-CN"/>
        </w:rPr>
        <w:t>施工人员</w:t>
      </w:r>
      <w:r>
        <w:rPr>
          <w:rFonts w:hint="eastAsia"/>
          <w:sz w:val="28"/>
          <w:szCs w:val="28"/>
          <w:shd w:val="clear" w:color="auto" w:fill="FFFFFF"/>
          <w:lang w:eastAsia="zh-CN"/>
        </w:rPr>
        <w:t>严格按照业主单位地质设计、工艺设计、施工设计要求负责施工，依据业主单位三项设计中提出的井控要求、技术措施向现场施工人员交底，明确各岗位分工，若发现井控中存在的问题，落实井控各项规定和制度，及时向业主单位及公司井控领导小组汇报。</w:t>
      </w:r>
    </w:p>
    <w:p>
      <w:pPr>
        <w:pStyle w:val="45"/>
        <w:shd w:val="clear" w:color="auto"/>
        <w:adjustRightInd w:val="0"/>
        <w:snapToGrid w:val="0"/>
        <w:spacing w:before="0" w:beforeAutospacing="0" w:after="0" w:afterAutospacing="0" w:line="360" w:lineRule="auto"/>
        <w:ind w:firstLine="564" w:firstLineChars="200"/>
        <w:textAlignment w:val="baseline"/>
        <w:rPr>
          <w:rFonts w:hint="eastAsia"/>
          <w:sz w:val="28"/>
          <w:szCs w:val="28"/>
          <w:shd w:val="clear" w:color="auto" w:fill="FFFFFF"/>
        </w:rPr>
      </w:pPr>
      <w:r>
        <w:rPr>
          <w:rFonts w:hint="eastAsia"/>
          <w:sz w:val="28"/>
          <w:szCs w:val="28"/>
          <w:shd w:val="clear" w:color="auto" w:fill="FFFFFF"/>
        </w:rPr>
        <w:t>交叉作业施工的由</w:t>
      </w:r>
      <w:r>
        <w:rPr>
          <w:rFonts w:hint="eastAsia"/>
          <w:sz w:val="28"/>
          <w:szCs w:val="28"/>
          <w:shd w:val="clear" w:color="auto" w:fill="FFFFFF"/>
          <w:lang w:eastAsia="zh-CN"/>
        </w:rPr>
        <w:t>业主单位统一负责协调管理，公司现场施工人员施工前依据业主单位对各方明确的安全交底，确定防护设施、隔离设施及其他安全设施，积极配合业主单位的协调管理</w:t>
      </w:r>
      <w:r>
        <w:rPr>
          <w:rFonts w:hint="eastAsia"/>
          <w:sz w:val="28"/>
          <w:szCs w:val="28"/>
          <w:shd w:val="clear" w:color="auto" w:fill="FFFFFF"/>
        </w:rPr>
        <w:t>。</w:t>
      </w:r>
    </w:p>
    <w:p>
      <w:pPr>
        <w:pStyle w:val="4"/>
        <w:adjustRightInd w:val="0"/>
        <w:snapToGrid w:val="0"/>
        <w:spacing w:before="0" w:after="0" w:line="360" w:lineRule="auto"/>
        <w:rPr>
          <w:rFonts w:hint="default" w:ascii="Times New Roman" w:hAnsi="Times New Roman"/>
          <w:b w:val="0"/>
          <w:bCs/>
          <w:szCs w:val="32"/>
          <w:lang w:val="en-US" w:eastAsia="zh-CN"/>
        </w:rPr>
      </w:pPr>
      <w:bookmarkStart w:id="52" w:name="_Toc15218"/>
      <w:r>
        <w:rPr>
          <w:rFonts w:hint="default" w:ascii="Times New Roman" w:hAnsi="Times New Roman"/>
          <w:b w:val="0"/>
          <w:bCs/>
          <w:szCs w:val="32"/>
          <w:lang w:val="en-US" w:eastAsia="zh-CN"/>
        </w:rPr>
        <w:t>2.1</w:t>
      </w:r>
      <w:r>
        <w:rPr>
          <w:rFonts w:hint="eastAsia" w:ascii="Times New Roman" w:hAnsi="Times New Roman"/>
          <w:b w:val="0"/>
          <w:bCs/>
          <w:szCs w:val="32"/>
          <w:lang w:val="en-US" w:eastAsia="zh-CN"/>
        </w:rPr>
        <w:t>7</w:t>
      </w:r>
      <w:r>
        <w:rPr>
          <w:rFonts w:hint="default" w:ascii="Times New Roman" w:hAnsi="Times New Roman"/>
          <w:b w:val="0"/>
          <w:bCs/>
          <w:szCs w:val="32"/>
          <w:lang w:val="en-US" w:eastAsia="zh-CN"/>
        </w:rPr>
        <w:t xml:space="preserve"> 生产安全事故管理</w:t>
      </w:r>
      <w:bookmarkEnd w:id="50"/>
      <w:bookmarkEnd w:id="51"/>
      <w:bookmarkEnd w:id="52"/>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tabs>
          <w:tab w:val="left" w:pos="454"/>
        </w:tabs>
        <w:adjustRightInd w:val="0"/>
        <w:snapToGrid w:val="0"/>
        <w:spacing w:line="360" w:lineRule="auto"/>
        <w:ind w:firstLine="564" w:firstLineChars="200"/>
        <w:rPr>
          <w:color w:val="0070C0"/>
          <w:sz w:val="28"/>
          <w:szCs w:val="28"/>
        </w:rPr>
      </w:pPr>
      <w:r>
        <w:rPr>
          <w:color w:val="0070C0"/>
          <w:sz w:val="28"/>
          <w:szCs w:val="28"/>
        </w:rPr>
        <w:br w:type="page"/>
      </w:r>
    </w:p>
    <w:p>
      <w:pPr>
        <w:adjustRightInd w:val="0"/>
        <w:snapToGrid w:val="0"/>
        <w:spacing w:line="360" w:lineRule="auto"/>
        <w:jc w:val="center"/>
        <w:outlineLvl w:val="0"/>
        <w:rPr>
          <w:rFonts w:eastAsia="楷体_GB2312"/>
          <w:b/>
          <w:color w:val="000000" w:themeColor="text1"/>
          <w:sz w:val="36"/>
          <w:szCs w:val="36"/>
          <w14:textFill>
            <w14:solidFill>
              <w14:schemeClr w14:val="tx1"/>
            </w14:solidFill>
          </w14:textFill>
        </w:rPr>
      </w:pPr>
      <w:bookmarkStart w:id="53" w:name="_Toc11600"/>
      <w:bookmarkStart w:id="54" w:name="_Toc447782514"/>
      <w:r>
        <w:rPr>
          <w:rFonts w:eastAsia="楷体_GB2312"/>
          <w:b/>
          <w:color w:val="000000" w:themeColor="text1"/>
          <w:sz w:val="36"/>
          <w:szCs w:val="36"/>
          <w14:textFill>
            <w14:solidFill>
              <w14:schemeClr w14:val="tx1"/>
            </w14:solidFill>
          </w14:textFill>
        </w:rPr>
        <w:t>3 主要危险、有害因素分析</w:t>
      </w:r>
      <w:bookmarkEnd w:id="53"/>
      <w:bookmarkEnd w:id="54"/>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55" w:name="_Toc291144364"/>
      <w:bookmarkStart w:id="56" w:name="_Toc248650008"/>
      <w:bookmarkStart w:id="57" w:name="_Toc276394620"/>
      <w:bookmarkStart w:id="58" w:name="_Toc447782515"/>
      <w:bookmarkStart w:id="59" w:name="_Toc6037"/>
      <w:r>
        <w:rPr>
          <w:rFonts w:ascii="Times New Roman" w:hAnsi="Times New Roman"/>
          <w:b w:val="0"/>
          <w:bCs/>
          <w:color w:val="000000" w:themeColor="text1"/>
          <w:szCs w:val="32"/>
          <w14:textFill>
            <w14:solidFill>
              <w14:schemeClr w14:val="tx1"/>
            </w14:solidFill>
          </w14:textFill>
        </w:rPr>
        <w:t>3.1 主要危险有害物质分析</w:t>
      </w:r>
      <w:bookmarkEnd w:id="55"/>
      <w:bookmarkEnd w:id="56"/>
      <w:bookmarkEnd w:id="57"/>
      <w:bookmarkEnd w:id="58"/>
      <w:bookmarkEnd w:id="59"/>
    </w:p>
    <w:p>
      <w:pPr>
        <w:adjustRightInd w:val="0"/>
        <w:snapToGrid w:val="0"/>
        <w:spacing w:line="360" w:lineRule="auto"/>
        <w:ind w:firstLine="564" w:firstLineChars="200"/>
        <w:rPr>
          <w:color w:val="000000" w:themeColor="text1"/>
          <w:sz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w:t>
      </w:r>
      <w:r>
        <w:rPr>
          <w:rFonts w:hint="eastAsia"/>
          <w:color w:val="000000" w:themeColor="text1"/>
          <w:sz w:val="28"/>
          <w:szCs w:val="28"/>
          <w:lang w:eastAsia="zh-CN"/>
          <w14:textFill>
            <w14:solidFill>
              <w14:schemeClr w14:val="tx1"/>
            </w14:solidFill>
          </w14:textFill>
        </w:rPr>
        <w:t>井下作业项目</w:t>
      </w:r>
      <w:r>
        <w:rPr>
          <w:color w:val="000000" w:themeColor="text1"/>
          <w:sz w:val="28"/>
          <w:szCs w:val="28"/>
          <w14:textFill>
            <w14:solidFill>
              <w14:schemeClr w14:val="tx1"/>
            </w14:solidFill>
          </w14:textFill>
        </w:rPr>
        <w:t>，作业过程中涉及的主要危险、有害物质有原油、天然气、硫化氢、氮气</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二氧化碳、化学助剂、压井液、复合酸、盐酸、高压水</w:t>
      </w:r>
      <w:r>
        <w:rPr>
          <w:color w:val="000000" w:themeColor="text1"/>
          <w:sz w:val="28"/>
          <w:szCs w:val="28"/>
          <w14:textFill>
            <w14:solidFill>
              <w14:schemeClr w14:val="tx1"/>
            </w14:solidFill>
          </w14:textFill>
        </w:rPr>
        <w:t>等。主要危险、有害物质的危险、危害特性如下：</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3.1.1 原油</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原油是由各种烃类组成的一种复杂混合物，含有少量硫、氮、氧有机物及微量金属。外观是一种流动和半流动的粘稠液体，颜色大部分是暗色的（从褐色至深黑色），具有一定的火灾危险性。</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原油的主要危险有害特性见下表。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484" w:firstLineChars="200"/>
        <w:jc w:val="center"/>
        <w:textAlignment w:val="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表3-1 原油主要危险有害特性一览表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426"/>
        <w:gridCol w:w="707"/>
        <w:gridCol w:w="709"/>
        <w:gridCol w:w="569"/>
        <w:gridCol w:w="566"/>
        <w:gridCol w:w="1273"/>
        <w:gridCol w:w="4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标识</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中文名</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原油</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CAS</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危险货物编号</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32003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UN编号</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理化性质</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外观性状</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主要用途</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溶解性</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熔点（℃）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燃烧热（kJ/mol）</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沸点（℃）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自常温至500℃以上</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饱和蒸气压（k</w:t>
            </w:r>
            <w:r>
              <w:rPr>
                <w:rFonts w:hint="eastAsia"/>
                <w:color w:val="000000" w:themeColor="text1"/>
                <w:szCs w:val="21"/>
                <w14:textFill>
                  <w14:solidFill>
                    <w14:schemeClr w14:val="tx1"/>
                  </w14:solidFill>
                </w14:textFill>
              </w:rPr>
              <w:t>Pa</w:t>
            </w:r>
            <w:r>
              <w:rPr>
                <w:color w:val="000000" w:themeColor="text1"/>
                <w:szCs w:val="21"/>
                <w14:textFill>
                  <w14:solidFill>
                    <w14:schemeClr w14:val="tx1"/>
                  </w14:solidFill>
                </w14:textFill>
              </w:rPr>
              <w:t>）</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相对密度（水=1）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0.78～0.97</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临界温度（℃）</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相对密度（空气=1）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color w:val="000000" w:themeColor="text1"/>
                <w:szCs w:val="21"/>
                <w14:textFill>
                  <w14:solidFill>
                    <w14:schemeClr w14:val="tx1"/>
                  </w14:solidFill>
                </w14:textFill>
              </w:rPr>
              <w:t>）</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燃烧爆炸危险性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可燃</w:t>
            </w:r>
          </w:p>
        </w:tc>
        <w:tc>
          <w:tcPr>
            <w:tcW w:w="1842" w:type="dxa"/>
            <w:gridSpan w:val="3"/>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危险特性</w:t>
            </w:r>
          </w:p>
        </w:tc>
        <w:tc>
          <w:tcPr>
            <w:tcW w:w="2885" w:type="dxa"/>
            <w:gridSpan w:val="4"/>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其蒸气与空气形成爆炸性混合物，遇明火、高热能引起燃烧爆炸。与氧化剂能发生强烈反应，若遇高热，容器内压增大，有开裂和爆炸的危险。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建规火险分级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c>
          <w:tcPr>
            <w:tcW w:w="1842" w:type="dxa"/>
            <w:gridSpan w:val="3"/>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5"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闪点（℃）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default" w:ascii="Times New Roman" w:hAnsi="Times New Roman" w:eastAsia="宋体" w:cs="Times New Roman"/>
                <w:color w:val="000000"/>
                <w:kern w:val="0"/>
                <w:sz w:val="20"/>
                <w:szCs w:val="20"/>
                <w:lang w:val="en-US" w:eastAsia="zh-CN" w:bidi="ar"/>
              </w:rPr>
              <w:t>20</w:t>
            </w:r>
            <w:r>
              <w:rPr>
                <w:rFonts w:hint="eastAsia" w:ascii="宋体" w:hAnsi="宋体" w:eastAsia="宋体" w:cs="宋体"/>
                <w:color w:val="000000"/>
                <w:kern w:val="0"/>
                <w:sz w:val="20"/>
                <w:szCs w:val="20"/>
                <w:lang w:val="en-US" w:eastAsia="zh-CN" w:bidi="ar"/>
              </w:rPr>
              <w:t>～</w:t>
            </w:r>
            <w:r>
              <w:rPr>
                <w:rFonts w:hint="default" w:ascii="Times New Roman" w:hAnsi="Times New Roman" w:eastAsia="宋体" w:cs="Times New Roman"/>
                <w:color w:val="000000"/>
                <w:kern w:val="0"/>
                <w:sz w:val="20"/>
                <w:szCs w:val="20"/>
                <w:lang w:val="en-US" w:eastAsia="zh-CN" w:bidi="ar"/>
              </w:rPr>
              <w:t>100</w:t>
            </w:r>
          </w:p>
        </w:tc>
        <w:tc>
          <w:tcPr>
            <w:tcW w:w="1842" w:type="dxa"/>
            <w:gridSpan w:val="3"/>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5"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引燃温度（℃）</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350</w:t>
            </w:r>
          </w:p>
        </w:tc>
        <w:tc>
          <w:tcPr>
            <w:tcW w:w="1842" w:type="dxa"/>
            <w:gridSpan w:val="3"/>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5"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爆炸下限（V/%）</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1842" w:type="dxa"/>
            <w:gridSpan w:val="3"/>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5"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爆炸上限（V/%）</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8.7</w:t>
            </w:r>
          </w:p>
        </w:tc>
        <w:tc>
          <w:tcPr>
            <w:tcW w:w="184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燃烧（分解）产物</w:t>
            </w:r>
          </w:p>
        </w:tc>
        <w:tc>
          <w:tcPr>
            <w:tcW w:w="2885"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w:t>
            </w:r>
          </w:p>
        </w:tc>
        <w:tc>
          <w:tcPr>
            <w:tcW w:w="1133"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灭火方法</w:t>
            </w:r>
          </w:p>
        </w:tc>
        <w:tc>
          <w:tcPr>
            <w:tcW w:w="3594" w:type="dxa"/>
            <w:gridSpan w:val="5"/>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聚合危害</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不能出现</w:t>
            </w:r>
          </w:p>
        </w:tc>
        <w:tc>
          <w:tcPr>
            <w:tcW w:w="2411"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禁忌物</w:t>
            </w:r>
          </w:p>
        </w:tc>
        <w:tc>
          <w:tcPr>
            <w:tcW w:w="231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包装与储运</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危险性类别</w:t>
            </w:r>
          </w:p>
        </w:tc>
        <w:tc>
          <w:tcPr>
            <w:tcW w:w="1846"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ascii="宋体" w:hAnsi="宋体" w:eastAsia="宋体" w:cs="宋体"/>
                <w:color w:val="000000"/>
                <w:kern w:val="0"/>
                <w:sz w:val="21"/>
                <w:szCs w:val="21"/>
                <w:lang w:val="en-US" w:eastAsia="zh-CN" w:bidi="ar"/>
              </w:rPr>
              <w:t>易燃液体</w:t>
            </w:r>
          </w:p>
        </w:tc>
        <w:tc>
          <w:tcPr>
            <w:tcW w:w="1985"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危险货物包装标志</w:t>
            </w:r>
          </w:p>
        </w:tc>
        <w:tc>
          <w:tcPr>
            <w:tcW w:w="566"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2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包装类别</w:t>
            </w:r>
          </w:p>
        </w:tc>
        <w:tc>
          <w:tcPr>
            <w:tcW w:w="477"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储运注意事项：</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毒性与健康危害性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接触限值</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毒性</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LD</w:t>
            </w:r>
            <w:r>
              <w:rPr>
                <w:color w:val="000000" w:themeColor="text1"/>
                <w:szCs w:val="21"/>
                <w:vertAlign w:val="subscript"/>
                <w14:textFill>
                  <w14:solidFill>
                    <w14:schemeClr w14:val="tx1"/>
                  </w14:solidFill>
                </w14:textFill>
              </w:rPr>
              <w:t>50</w:t>
            </w:r>
            <w:r>
              <w:rPr>
                <w:color w:val="000000" w:themeColor="text1"/>
                <w:szCs w:val="21"/>
                <w14:textFill>
                  <w14:solidFill>
                    <w14:schemeClr w14:val="tx1"/>
                  </w14:solidFill>
                </w14:textFill>
              </w:rPr>
              <w:t>：500～5000mg/kg（哺乳动物吸入）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健康危害</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侵入途径</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急救</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皮肤接触</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眼睛接触</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吸入</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食入</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防护措施</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工程控制</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呼吸系统防护</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眼睛防护</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防护服</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手防护</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其它</w:t>
            </w:r>
          </w:p>
        </w:tc>
        <w:tc>
          <w:tcPr>
            <w:tcW w:w="6147"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泄漏处置</w:t>
            </w:r>
          </w:p>
        </w:tc>
        <w:tc>
          <w:tcPr>
            <w:tcW w:w="7920" w:type="dxa"/>
            <w:gridSpan w:val="9"/>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keepNext w:val="0"/>
        <w:keepLines w:val="0"/>
        <w:pageBreakBefore w:val="0"/>
        <w:widowControl w:val="0"/>
        <w:kinsoku/>
        <w:wordWrap/>
        <w:overflowPunct/>
        <w:topLinePunct w:val="0"/>
        <w:autoSpaceDE/>
        <w:autoSpaceDN/>
        <w:bidi w:val="0"/>
        <w:adjustRightInd w:val="0"/>
        <w:snapToGrid w:val="0"/>
        <w:spacing w:before="161"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3.1.2 天然气</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天然气的成分主要为低分子量的烷烃（如甲烷、乙烷）组成的混合物，不含硫化氢，其他成分含量低。根据《石油天然气工程设计防火规范》（GB50183-2004），一般天然气的火灾危险性类别为甲</w:t>
      </w:r>
      <w:r>
        <w:rPr>
          <w:color w:val="000000" w:themeColor="text1"/>
          <w:sz w:val="28"/>
          <w:szCs w:val="28"/>
          <w:vertAlign w:val="subscript"/>
          <w14:textFill>
            <w14:solidFill>
              <w14:schemeClr w14:val="tx1"/>
            </w14:solidFill>
          </w14:textFill>
        </w:rPr>
        <w:t>B</w:t>
      </w:r>
      <w:r>
        <w:rPr>
          <w:color w:val="000000" w:themeColor="text1"/>
          <w:sz w:val="28"/>
          <w:szCs w:val="28"/>
          <w14:textFill>
            <w14:solidFill>
              <w14:schemeClr w14:val="tx1"/>
            </w14:solidFill>
          </w14:textFill>
        </w:rPr>
        <w:t>类，属易燃、易爆性物质。其爆炸极限范围较宽，一旦泄漏，很容易与空气形成爆炸性气体混合物，遇火源极易发生燃爆。</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天然气中甲烷含量可达80%以上，甲烷的主要危险有害特性见下表。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484" w:firstLineChars="200"/>
        <w:jc w:val="center"/>
        <w:textAlignment w:val="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表3-2 甲烷主要危险有害特性一览表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284"/>
        <w:gridCol w:w="567"/>
        <w:gridCol w:w="1134"/>
        <w:gridCol w:w="9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标识</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中文名</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甲烷</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CAS</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CH</w:t>
            </w:r>
            <w:r>
              <w:rPr>
                <w:color w:val="000000" w:themeColor="text1"/>
                <w:szCs w:val="21"/>
                <w:vertAlign w:val="subscript"/>
                <w14:textFill>
                  <w14:solidFill>
                    <w14:schemeClr w14:val="tx1"/>
                  </w14:solidFill>
                </w14:textFill>
              </w:rPr>
              <w:t>4</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危险货物编号</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21007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16.04</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UN编号</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理化性质</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外观性状</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主要用途</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溶解性</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熔点（℃）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-182.5</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燃烧热（kJ/mol）</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沸点（℃）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-161.5</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饱和蒸气压（k</w:t>
            </w:r>
            <w:r>
              <w:rPr>
                <w:rFonts w:hint="eastAsia"/>
                <w:color w:val="000000" w:themeColor="text1"/>
                <w:szCs w:val="21"/>
                <w14:textFill>
                  <w14:solidFill>
                    <w14:schemeClr w14:val="tx1"/>
                  </w14:solidFill>
                </w14:textFill>
              </w:rPr>
              <w:t>Pa</w:t>
            </w:r>
            <w:r>
              <w:rPr>
                <w:color w:val="000000" w:themeColor="text1"/>
                <w:szCs w:val="21"/>
                <w14:textFill>
                  <w14:solidFill>
                    <w14:schemeClr w14:val="tx1"/>
                  </w14:solidFill>
                </w14:textFill>
              </w:rPr>
              <w:t>）</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相对密度（水=1）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0.42/-164℃</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临界温度（℃）</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（空气=1）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0.55</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color w:val="000000" w:themeColor="text1"/>
                <w:szCs w:val="21"/>
                <w14:textFill>
                  <w14:solidFill>
                    <w14:schemeClr w14:val="tx1"/>
                  </w14:solidFill>
                </w14:textFill>
              </w:rPr>
              <w:t>）</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燃烧爆炸危险性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易燃</w:t>
            </w:r>
          </w:p>
        </w:tc>
        <w:tc>
          <w:tcPr>
            <w:tcW w:w="1842" w:type="dxa"/>
            <w:gridSpan w:val="2"/>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危险特性</w:t>
            </w:r>
          </w:p>
        </w:tc>
        <w:tc>
          <w:tcPr>
            <w:tcW w:w="2886" w:type="dxa"/>
            <w:gridSpan w:val="4"/>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建规火险分级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闪点（℃）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-188</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引燃温度（℃）</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538</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爆炸下限（V/%）</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5.3</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爆炸上限（V/%）</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燃烧（分解）产物</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w:t>
            </w:r>
          </w:p>
        </w:tc>
        <w:tc>
          <w:tcPr>
            <w:tcW w:w="113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灭火方法</w:t>
            </w:r>
          </w:p>
        </w:tc>
        <w:tc>
          <w:tcPr>
            <w:tcW w:w="3595" w:type="dxa"/>
            <w:gridSpan w:val="5"/>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聚合危害</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不能出现</w:t>
            </w:r>
          </w:p>
        </w:tc>
        <w:tc>
          <w:tcPr>
            <w:tcW w:w="212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禁忌物</w:t>
            </w:r>
          </w:p>
        </w:tc>
        <w:tc>
          <w:tcPr>
            <w:tcW w:w="2602"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包装与储运</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危险性类别</w:t>
            </w:r>
          </w:p>
        </w:tc>
        <w:tc>
          <w:tcPr>
            <w:tcW w:w="142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易燃气体，类</w:t>
            </w:r>
          </w:p>
          <w:p>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别 1</w:t>
            </w:r>
          </w:p>
        </w:tc>
        <w:tc>
          <w:tcPr>
            <w:tcW w:w="212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危险货物包装标志</w:t>
            </w:r>
          </w:p>
        </w:tc>
        <w:tc>
          <w:tcPr>
            <w:tcW w:w="567"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134"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包装类别</w:t>
            </w:r>
          </w:p>
        </w:tc>
        <w:tc>
          <w:tcPr>
            <w:tcW w:w="901"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储运注意事项：</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毒性与健康危害性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接触限值</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苏联MAC：300mg/m</w:t>
            </w:r>
            <w:r>
              <w:rPr>
                <w:color w:val="000000" w:themeColor="text1"/>
                <w:szCs w:val="21"/>
                <w:vertAlign w:val="superscript"/>
                <w14:textFill>
                  <w14:solidFill>
                    <w14:schemeClr w14:val="tx1"/>
                  </w14:solidFill>
                </w14:textFill>
              </w:rPr>
              <w:t>3</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美国TWA：ACGIH窒息性气体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毒性</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健康危害</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侵入途径</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急救</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皮肤接触</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眼睛接触</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吸入</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食入</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防护措施</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工程控制</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呼吸系统防护</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眼睛防护</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防护服</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手防护</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91"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其它</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泄漏处置</w:t>
            </w:r>
          </w:p>
        </w:tc>
        <w:tc>
          <w:tcPr>
            <w:tcW w:w="7921"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adjustRightInd w:val="0"/>
        <w:snapToGrid w:val="0"/>
        <w:spacing w:before="159" w:beforeLines="50"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3.1.3 硫化氢</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硫化氢（H</w:t>
      </w:r>
      <w:r>
        <w:rPr>
          <w:color w:val="000000" w:themeColor="text1"/>
          <w:sz w:val="28"/>
          <w:szCs w:val="28"/>
          <w:vertAlign w:val="subscript"/>
          <w14:textFill>
            <w14:solidFill>
              <w14:schemeClr w14:val="tx1"/>
            </w14:solidFill>
          </w14:textFill>
        </w:rPr>
        <w:t>2</w:t>
      </w:r>
      <w:r>
        <w:rPr>
          <w:color w:val="000000" w:themeColor="text1"/>
          <w:sz w:val="28"/>
          <w:szCs w:val="28"/>
          <w14:textFill>
            <w14:solidFill>
              <w14:schemeClr w14:val="tx1"/>
            </w14:solidFill>
          </w14:textFill>
        </w:rPr>
        <w:t>S）是硫的氢化物中最简单的一种。常温时硫化氢是一种无色有臭鸡蛋气味的剧毒气体，应在通风处进行使用必须采取防护措施。</w:t>
      </w:r>
    </w:p>
    <w:p>
      <w:pPr>
        <w:keepNext w:val="0"/>
        <w:keepLines w:val="0"/>
        <w:pageBreakBefore w:val="0"/>
        <w:widowControl w:val="0"/>
        <w:kinsoku/>
        <w:wordWrap/>
        <w:overflowPunct/>
        <w:topLinePunct w:val="0"/>
        <w:autoSpaceDE/>
        <w:autoSpaceDN/>
        <w:bidi w:val="0"/>
        <w:adjustRightInd w:val="0"/>
        <w:snapToGrid w:val="0"/>
        <w:spacing w:line="240" w:lineRule="auto"/>
        <w:ind w:firstLine="484" w:firstLineChars="200"/>
        <w:jc w:val="center"/>
        <w:textAlignment w:val="auto"/>
        <w:rPr>
          <w:color w:val="000000" w:themeColor="text1"/>
          <w:sz w:val="28"/>
          <w:szCs w:val="28"/>
          <w14:textFill>
            <w14:solidFill>
              <w14:schemeClr w14:val="tx1"/>
            </w14:solidFill>
          </w14:textFill>
        </w:rPr>
      </w:pPr>
      <w:r>
        <w:rPr>
          <w:b/>
          <w:bCs/>
          <w:color w:val="000000" w:themeColor="text1"/>
          <w:sz w:val="24"/>
          <w14:textFill>
            <w14:solidFill>
              <w14:schemeClr w14:val="tx1"/>
            </w14:solidFill>
          </w14:textFill>
        </w:rPr>
        <w:t>表3-3 硫化氢主要危险有害特性一览表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142"/>
        <w:gridCol w:w="851"/>
        <w:gridCol w:w="1134"/>
        <w:gridCol w:w="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标识</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中文名</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硫化氢</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CAS</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S</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危险货物编号</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21006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34.08</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UN编号</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理化性质</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外观性状</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主要用途</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溶解性</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熔点（℃）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-85.5</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燃烧热（kJ/mol）</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沸点（℃）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-60.4</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饱和蒸气压（k</w:t>
            </w:r>
            <w:r>
              <w:rPr>
                <w:rFonts w:hint="eastAsia"/>
                <w:color w:val="000000" w:themeColor="text1"/>
                <w:szCs w:val="21"/>
                <w14:textFill>
                  <w14:solidFill>
                    <w14:schemeClr w14:val="tx1"/>
                  </w14:solidFill>
                </w14:textFill>
              </w:rPr>
              <w:t>Pa</w:t>
            </w:r>
            <w:r>
              <w:rPr>
                <w:color w:val="000000" w:themeColor="text1"/>
                <w:szCs w:val="21"/>
                <w14:textFill>
                  <w14:solidFill>
                    <w14:schemeClr w14:val="tx1"/>
                  </w14:solidFill>
                </w14:textFill>
              </w:rPr>
              <w:t>）</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相对密度（水=1）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临界温度（℃）</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（空气=1）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1.19</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临界压力（M</w:t>
            </w:r>
            <w:r>
              <w:rPr>
                <w:rFonts w:hint="eastAsia"/>
                <w:color w:val="000000" w:themeColor="text1"/>
                <w:szCs w:val="21"/>
                <w14:textFill>
                  <w14:solidFill>
                    <w14:schemeClr w14:val="tx1"/>
                  </w14:solidFill>
                </w14:textFill>
              </w:rPr>
              <w:t>Pa</w:t>
            </w:r>
            <w:r>
              <w:rPr>
                <w:color w:val="000000" w:themeColor="text1"/>
                <w:szCs w:val="21"/>
                <w14:textFill>
                  <w14:solidFill>
                    <w14:schemeClr w14:val="tx1"/>
                  </w14:solidFill>
                </w14:textFill>
              </w:rPr>
              <w:t>）</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燃烧爆炸危险性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易燃</w:t>
            </w:r>
          </w:p>
        </w:tc>
        <w:tc>
          <w:tcPr>
            <w:tcW w:w="1842" w:type="dxa"/>
            <w:gridSpan w:val="2"/>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危险特性</w:t>
            </w:r>
          </w:p>
        </w:tc>
        <w:tc>
          <w:tcPr>
            <w:tcW w:w="2886" w:type="dxa"/>
            <w:gridSpan w:val="4"/>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建规火险分级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闪点（℃）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无意义</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引燃温度（℃）</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260</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爆炸下限（V/%）</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1842" w:type="dxa"/>
            <w:gridSpan w:val="2"/>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4"/>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爆炸上限（V/%）</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46.0</w:t>
            </w:r>
          </w:p>
        </w:tc>
        <w:tc>
          <w:tcPr>
            <w:tcW w:w="1842"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燃烧（分解）产物</w:t>
            </w:r>
          </w:p>
        </w:tc>
        <w:tc>
          <w:tcPr>
            <w:tcW w:w="2886"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w:t>
            </w:r>
          </w:p>
        </w:tc>
        <w:tc>
          <w:tcPr>
            <w:tcW w:w="113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灭火方法</w:t>
            </w:r>
          </w:p>
        </w:tc>
        <w:tc>
          <w:tcPr>
            <w:tcW w:w="3595" w:type="dxa"/>
            <w:gridSpan w:val="5"/>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聚合危害</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不能出现</w:t>
            </w:r>
          </w:p>
        </w:tc>
        <w:tc>
          <w:tcPr>
            <w:tcW w:w="1984"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禁忌物</w:t>
            </w:r>
          </w:p>
        </w:tc>
        <w:tc>
          <w:tcPr>
            <w:tcW w:w="2744"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包装与储运</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危险性类别</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ascii="宋体" w:hAnsi="宋体" w:eastAsia="宋体" w:cs="宋体"/>
                <w:color w:val="000000"/>
                <w:kern w:val="0"/>
                <w:sz w:val="21"/>
                <w:szCs w:val="21"/>
                <w:lang w:val="en-US" w:eastAsia="zh-CN" w:bidi="ar"/>
              </w:rPr>
              <w:t>易燃气体，急性毒性</w:t>
            </w:r>
          </w:p>
        </w:tc>
        <w:tc>
          <w:tcPr>
            <w:tcW w:w="1984"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危险货物包装标志</w:t>
            </w:r>
          </w:p>
        </w:tc>
        <w:tc>
          <w:tcPr>
            <w:tcW w:w="851"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c>
          <w:tcPr>
            <w:tcW w:w="1134"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包装类别</w:t>
            </w:r>
          </w:p>
        </w:tc>
        <w:tc>
          <w:tcPr>
            <w:tcW w:w="759"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color w:val="000000" w:themeColor="text1"/>
                <w:szCs w:val="21"/>
                <w14:textFill>
                  <w14:solidFill>
                    <w14:schemeClr w14:val="tx1"/>
                  </w14:solidFill>
                </w14:textFill>
              </w:rPr>
              <w:t>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储运注意事项：</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储存注意事项：</w:t>
            </w:r>
            <w:r>
              <w:rPr>
                <w:color w:val="000000" w:themeColor="text1"/>
                <w:szCs w:val="21"/>
                <w14:textFill>
                  <w14:solidFill>
                    <w14:schemeClr w14:val="tx1"/>
                  </w14:solidFill>
                </w14:textFill>
              </w:rPr>
              <w:tab/>
            </w:r>
            <w:r>
              <w:rPr>
                <w:color w:val="000000" w:themeColor="text1"/>
                <w:szCs w:val="21"/>
                <w14:textFill>
                  <w14:solidFill>
                    <w14:schemeClr w14:val="tx1"/>
                  </w14:solidFill>
                </w14:textFill>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运输注意事项：</w:t>
            </w:r>
            <w:r>
              <w:rPr>
                <w:color w:val="000000" w:themeColor="text1"/>
                <w:szCs w:val="21"/>
                <w14:textFill>
                  <w14:solidFill>
                    <w14:schemeClr w14:val="tx1"/>
                  </w14:solidFill>
                </w14:textFill>
              </w:rPr>
              <w:tab/>
            </w:r>
            <w:r>
              <w:rPr>
                <w:color w:val="000000" w:themeColor="text1"/>
                <w:szCs w:val="21"/>
                <w14:textFill>
                  <w14:solidFill>
                    <w14:schemeClr w14:val="tx1"/>
                  </w14:solidFill>
                </w14:textFill>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毒性与健康危害性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接触限值</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中国MAC（mg/m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）：10</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中国TLV（mg/m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）：15（10ppm）</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前苏联MAC（mg/m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）：10</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TLVTN：OSHA 20ppm，28mg/m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[上限值]; ACGIH 10ppm，14mg/m</w:t>
            </w:r>
            <w:r>
              <w:rPr>
                <w:color w:val="000000" w:themeColor="text1"/>
                <w:szCs w:val="21"/>
                <w:vertAlign w:val="superscript"/>
                <w14:textFill>
                  <w14:solidFill>
                    <w14:schemeClr w14:val="tx1"/>
                  </w14:solidFill>
                </w14:textFill>
              </w:rPr>
              <w:t>3</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TLVWN：ACGIH 15ppm，21mg/m</w:t>
            </w:r>
            <w:r>
              <w:rPr>
                <w:color w:val="000000" w:themeColor="text1"/>
                <w:szCs w:val="2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毒性</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LC50：618 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健康危害</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3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侵入途径</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急救</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皮肤接触</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眼睛接触</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吸入</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食入</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jc w:val="center"/>
        </w:trPr>
        <w:tc>
          <w:tcPr>
            <w:tcW w:w="602"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防护措施</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工程控制</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呼吸系统防护</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眼睛防护</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防护服</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手防护</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其它</w:t>
            </w:r>
          </w:p>
        </w:tc>
        <w:tc>
          <w:tcPr>
            <w:tcW w:w="6148"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泄漏处置</w:t>
            </w:r>
          </w:p>
        </w:tc>
        <w:tc>
          <w:tcPr>
            <w:tcW w:w="7921"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迅速撤离泄漏污染区人员至上风处，并立即进行隔离，小泄漏时隔离150m，大泄漏时隔离300m，严格限制出入。切断火源。建议应急处理人员戴自给</w:t>
            </w:r>
            <w:r>
              <w:rPr>
                <w:rFonts w:hint="eastAsia"/>
                <w:color w:val="000000" w:themeColor="text1"/>
                <w:szCs w:val="21"/>
                <w:lang w:eastAsia="zh-CN"/>
                <w14:textFill>
                  <w14:solidFill>
                    <w14:schemeClr w14:val="tx1"/>
                  </w14:solidFill>
                </w14:textFill>
              </w:rPr>
              <w:t>正压式空气呼吸器</w:t>
            </w:r>
            <w:r>
              <w:rPr>
                <w:color w:val="000000" w:themeColor="text1"/>
                <w:szCs w:val="21"/>
                <w14:textFill>
                  <w14:solidFill>
                    <w14:schemeClr w14:val="tx1"/>
                  </w14:solidFill>
                </w14:textFill>
              </w:rPr>
              <w:t>，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adjustRightInd w:val="0"/>
        <w:snapToGrid w:val="0"/>
        <w:spacing w:before="159" w:beforeLines="50"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3.1.4 氮气</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氮气为</w:t>
      </w:r>
      <w:r>
        <w:rPr>
          <w:sz w:val="28"/>
          <w:szCs w:val="28"/>
        </w:rPr>
        <w:t>无色无臭气体。危险性类别：加压气体</w:t>
      </w:r>
      <w:r>
        <w:rPr>
          <w:color w:val="000000" w:themeColor="text1"/>
          <w:sz w:val="28"/>
          <w:szCs w:val="28"/>
          <w14:textFill>
            <w14:solidFill>
              <w14:schemeClr w14:val="tx1"/>
            </w14:solidFill>
          </w14:textFill>
        </w:rPr>
        <w:t>。其主要危险有害特性见表3-4。</w:t>
      </w:r>
    </w:p>
    <w:p>
      <w:pPr>
        <w:keepNext w:val="0"/>
        <w:keepLines w:val="0"/>
        <w:pageBreakBefore w:val="0"/>
        <w:widowControl w:val="0"/>
        <w:kinsoku/>
        <w:wordWrap/>
        <w:overflowPunct/>
        <w:topLinePunct w:val="0"/>
        <w:autoSpaceDE/>
        <w:autoSpaceDN/>
        <w:bidi w:val="0"/>
        <w:adjustRightInd w:val="0"/>
        <w:snapToGrid w:val="0"/>
        <w:spacing w:line="240" w:lineRule="auto"/>
        <w:ind w:firstLine="484" w:firstLineChars="200"/>
        <w:jc w:val="center"/>
        <w:textAlignment w:val="auto"/>
        <w:rPr>
          <w:b/>
          <w:color w:val="000000" w:themeColor="text1"/>
          <w:sz w:val="24"/>
          <w:szCs w:val="28"/>
          <w14:textFill>
            <w14:solidFill>
              <w14:schemeClr w14:val="tx1"/>
            </w14:solidFill>
          </w14:textFill>
        </w:rPr>
      </w:pPr>
      <w:r>
        <w:rPr>
          <w:b/>
          <w:color w:val="000000" w:themeColor="text1"/>
          <w:sz w:val="24"/>
          <w:szCs w:val="28"/>
          <w14:textFill>
            <w14:solidFill>
              <w14:schemeClr w14:val="tx1"/>
            </w14:solidFill>
          </w14:textFill>
        </w:rPr>
        <w:t>表3-4  氮气主要危险有害特性一览表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1"/>
        <w:gridCol w:w="1773"/>
        <w:gridCol w:w="1420"/>
        <w:gridCol w:w="952"/>
        <w:gridCol w:w="615"/>
        <w:gridCol w:w="276"/>
        <w:gridCol w:w="993"/>
        <w:gridCol w:w="1276"/>
        <w:gridCol w:w="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标识</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中文名</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氮气</w:t>
            </w:r>
          </w:p>
        </w:tc>
        <w:tc>
          <w:tcPr>
            <w:tcW w:w="1843"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CAS</w:t>
            </w:r>
          </w:p>
        </w:tc>
        <w:tc>
          <w:tcPr>
            <w:tcW w:w="288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7727-37-9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w:t>
            </w:r>
            <w:r>
              <w:rPr>
                <w:color w:val="000000" w:themeColor="text1"/>
                <w:szCs w:val="21"/>
                <w:vertAlign w:val="subscript"/>
                <w14:textFill>
                  <w14:solidFill>
                    <w14:schemeClr w14:val="tx1"/>
                  </w14:solidFill>
                </w14:textFill>
              </w:rPr>
              <w:t>2</w:t>
            </w:r>
          </w:p>
        </w:tc>
        <w:tc>
          <w:tcPr>
            <w:tcW w:w="1843"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危险货物编号</w:t>
            </w:r>
          </w:p>
        </w:tc>
        <w:tc>
          <w:tcPr>
            <w:tcW w:w="288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22005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分子量</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28.01</w:t>
            </w:r>
          </w:p>
        </w:tc>
        <w:tc>
          <w:tcPr>
            <w:tcW w:w="1843"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UN编号</w:t>
            </w:r>
          </w:p>
        </w:tc>
        <w:tc>
          <w:tcPr>
            <w:tcW w:w="288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1066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理化性质</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外观性状</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主要用途</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用于合成氨，制硝酸，用作物质保护剂，冷冻剂。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溶解性</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微溶于水、乙醇。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熔点（℃）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-209.8</w:t>
            </w:r>
          </w:p>
        </w:tc>
        <w:tc>
          <w:tcPr>
            <w:tcW w:w="1843"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燃烧热（kJ/mol）</w:t>
            </w:r>
          </w:p>
        </w:tc>
        <w:tc>
          <w:tcPr>
            <w:tcW w:w="288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沸点（℃）</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-195.6</w:t>
            </w:r>
          </w:p>
        </w:tc>
        <w:tc>
          <w:tcPr>
            <w:tcW w:w="1843"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饱和蒸气压（k</w:t>
            </w:r>
            <w:r>
              <w:rPr>
                <w:rFonts w:hint="eastAsia"/>
                <w:color w:val="000000" w:themeColor="text1"/>
                <w:szCs w:val="21"/>
                <w14:textFill>
                  <w14:solidFill>
                    <w14:schemeClr w14:val="tx1"/>
                  </w14:solidFill>
                </w14:textFill>
              </w:rPr>
              <w:t>Pa</w:t>
            </w:r>
            <w:r>
              <w:rPr>
                <w:color w:val="000000" w:themeColor="text1"/>
                <w:szCs w:val="21"/>
                <w14:textFill>
                  <w14:solidFill>
                    <w14:schemeClr w14:val="tx1"/>
                  </w14:solidFill>
                </w14:textFill>
              </w:rPr>
              <w:t>）</w:t>
            </w:r>
          </w:p>
        </w:tc>
        <w:tc>
          <w:tcPr>
            <w:tcW w:w="288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相对密度（水=1）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0.81（-196℃）</w:t>
            </w:r>
          </w:p>
        </w:tc>
        <w:tc>
          <w:tcPr>
            <w:tcW w:w="1843"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临界温度（℃）</w:t>
            </w:r>
          </w:p>
        </w:tc>
        <w:tc>
          <w:tcPr>
            <w:tcW w:w="288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相对密度（空气=1）</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0.97</w:t>
            </w:r>
          </w:p>
        </w:tc>
        <w:tc>
          <w:tcPr>
            <w:tcW w:w="1843"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临界压力（M</w:t>
            </w:r>
            <w:r>
              <w:rPr>
                <w:rFonts w:hint="eastAsia"/>
                <w:color w:val="000000" w:themeColor="text1"/>
                <w:szCs w:val="21"/>
                <w14:textFill>
                  <w14:solidFill>
                    <w14:schemeClr w14:val="tx1"/>
                  </w14:solidFill>
                </w14:textFill>
              </w:rPr>
              <w:t>Pa</w:t>
            </w:r>
            <w:r>
              <w:rPr>
                <w:color w:val="000000" w:themeColor="text1"/>
                <w:szCs w:val="21"/>
                <w14:textFill>
                  <w14:solidFill>
                    <w14:schemeClr w14:val="tx1"/>
                  </w14:solidFill>
                </w14:textFill>
              </w:rPr>
              <w:t>）</w:t>
            </w:r>
          </w:p>
        </w:tc>
        <w:tc>
          <w:tcPr>
            <w:tcW w:w="2886" w:type="dxa"/>
            <w:gridSpan w:val="3"/>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燃烧爆炸危险性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不燃</w:t>
            </w:r>
          </w:p>
        </w:tc>
        <w:tc>
          <w:tcPr>
            <w:tcW w:w="1843" w:type="dxa"/>
            <w:gridSpan w:val="3"/>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危险特性</w:t>
            </w:r>
          </w:p>
        </w:tc>
        <w:tc>
          <w:tcPr>
            <w:tcW w:w="2886" w:type="dxa"/>
            <w:gridSpan w:val="3"/>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5" w:hRule="atLeas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建规火险分级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戊</w:t>
            </w:r>
          </w:p>
        </w:tc>
        <w:tc>
          <w:tcPr>
            <w:tcW w:w="1843" w:type="dxa"/>
            <w:gridSpan w:val="3"/>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2886" w:type="dxa"/>
            <w:gridSpan w:val="3"/>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稳定性</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稳定</w:t>
            </w:r>
          </w:p>
        </w:tc>
        <w:tc>
          <w:tcPr>
            <w:tcW w:w="952"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灭火</w:t>
            </w:r>
          </w:p>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方法</w:t>
            </w:r>
          </w:p>
        </w:tc>
        <w:tc>
          <w:tcPr>
            <w:tcW w:w="3777" w:type="dxa"/>
            <w:gridSpan w:val="5"/>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本品不燃。尽可能将容器从火场移至空旷处。喷水保持火场容器冷却，直至灭火结束。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聚合危害</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不聚合</w:t>
            </w:r>
          </w:p>
        </w:tc>
        <w:tc>
          <w:tcPr>
            <w:tcW w:w="1567"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废弃处理方法</w:t>
            </w:r>
          </w:p>
        </w:tc>
        <w:tc>
          <w:tcPr>
            <w:tcW w:w="3162" w:type="dxa"/>
            <w:gridSpan w:val="4"/>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废气直接排入大气。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包装与储运</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危险性类别</w:t>
            </w:r>
          </w:p>
        </w:tc>
        <w:tc>
          <w:tcPr>
            <w:tcW w:w="1420"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加压气体</w:t>
            </w:r>
          </w:p>
        </w:tc>
        <w:tc>
          <w:tcPr>
            <w:tcW w:w="1567"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包装方法</w:t>
            </w:r>
          </w:p>
        </w:tc>
        <w:tc>
          <w:tcPr>
            <w:tcW w:w="1269" w:type="dxa"/>
            <w:gridSpan w:val="2"/>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钢制气瓶</w:t>
            </w:r>
          </w:p>
        </w:tc>
        <w:tc>
          <w:tcPr>
            <w:tcW w:w="1276"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包装类别</w:t>
            </w:r>
          </w:p>
        </w:tc>
        <w:tc>
          <w:tcPr>
            <w:tcW w:w="617"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9" w:hRule="atLeas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ind w:left="1490" w:hanging="1484" w:hangingChars="70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储运注意事项：</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储存于阴凉、通风的库房。远离火种、热源。库温不宜超过30℃。储区应备有泄漏应急处理设备。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健康危害性</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健康危害</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气中氮气含量过高，使吸入气氧分压下降，引起缺氧窒息。吸入氮气浓度不太高时，患者最初感胸闷、气短、疲软无力；继而有烦躁不安、极度兴奋、乱跑、叫喊、神情恍惚、步态不稳，称之为“氮酩酊”，可进入昏睡或昏迷状态。吸入高浓度，患者可迅速昏迷、因呼吸和心跳停止而死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侵入途径</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急救</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吸入</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迅速脱离现场至空气新鲜处。保持呼吸道通畅。如呼吸困难，给输氧。呼吸心跳停止时，立即进行人工呼吸和胸外心脏按压术。就医。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防护措施</w:t>
            </w: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工程控制</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密闭操作。提供良好的自然通风条件。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呼吸系统防护</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一般不需特殊防护。当作业场所空气中氧气浓度低于18％时，必须佩戴空气呼吸器、氧气呼吸器或长管面具。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眼睛防护</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一般不需特殊防护。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防护服</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穿一般作业工作服。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手防护</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戴一般作业防护手套。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1773"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其它</w:t>
            </w:r>
          </w:p>
        </w:tc>
        <w:tc>
          <w:tcPr>
            <w:tcW w:w="6149" w:type="dxa"/>
            <w:gridSpan w:val="7"/>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避免高浓度吸入。进入罐、限制性空间或其它高浓度区作业，须有人监护。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泄漏处置</w:t>
            </w:r>
          </w:p>
        </w:tc>
        <w:tc>
          <w:tcPr>
            <w:tcW w:w="7922"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迅速撤离泄漏污染区人员至上风处，并进行隔离，严格限制出入。建议应急处理人员戴自给</w:t>
            </w:r>
            <w:r>
              <w:rPr>
                <w:rFonts w:hint="eastAsia"/>
                <w:color w:val="000000" w:themeColor="text1"/>
                <w:szCs w:val="21"/>
                <w:lang w:eastAsia="zh-CN"/>
                <w14:textFill>
                  <w14:solidFill>
                    <w14:schemeClr w14:val="tx1"/>
                  </w14:solidFill>
                </w14:textFill>
              </w:rPr>
              <w:t>正压式空气呼吸器</w:t>
            </w:r>
            <w:r>
              <w:rPr>
                <w:color w:val="000000" w:themeColor="text1"/>
                <w:szCs w:val="21"/>
                <w14:textFill>
                  <w14:solidFill>
                    <w14:schemeClr w14:val="tx1"/>
                  </w14:solidFill>
                </w14:textFill>
              </w:rPr>
              <w:t>，穿一般作业工作服。尽可能切断泄漏源。合理通风，加速扩散。漏气容器要妥善处理，修复、检验后再用。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操作处置</w:t>
            </w:r>
          </w:p>
        </w:tc>
        <w:tc>
          <w:tcPr>
            <w:tcW w:w="7922" w:type="dxa"/>
            <w:gridSpan w:val="8"/>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密闭操作。密闭操作，提供良好的自然通风条件。操作人员必须经过专门培训，严格遵守操作规程。防止气体泄漏到工作场所空气中。搬运时轻装轻卸，防止钢瓶及附件破损。配备泄漏应急处理设备。</w:t>
            </w:r>
          </w:p>
        </w:tc>
      </w:tr>
    </w:tbl>
    <w:p>
      <w:pPr>
        <w:adjustRightInd w:val="0"/>
        <w:snapToGrid w:val="0"/>
        <w:spacing w:line="360" w:lineRule="auto"/>
        <w:ind w:firstLine="204" w:firstLineChars="200"/>
        <w:rPr>
          <w:color w:val="0070C0"/>
          <w:sz w:val="10"/>
          <w:szCs w:val="10"/>
        </w:rPr>
      </w:pPr>
    </w:p>
    <w:p>
      <w:pPr>
        <w:adjustRightInd w:val="0"/>
        <w:snapToGrid w:val="0"/>
        <w:spacing w:before="159" w:beforeLines="50" w:line="360" w:lineRule="auto"/>
        <w:outlineLvl w:val="2"/>
        <w:rPr>
          <w:rFonts w:hint="eastAsia" w:eastAsia="黑体"/>
          <w:bCs/>
          <w:snapToGrid w:val="0"/>
          <w:color w:val="000000" w:themeColor="text1"/>
          <w:kern w:val="0"/>
          <w:sz w:val="28"/>
          <w:szCs w:val="28"/>
          <w:lang w:eastAsia="zh-CN"/>
          <w14:textFill>
            <w14:solidFill>
              <w14:schemeClr w14:val="tx1"/>
            </w14:solidFill>
          </w14:textFill>
        </w:rPr>
      </w:pPr>
      <w:bookmarkStart w:id="60" w:name="_Toc397326901"/>
      <w:bookmarkStart w:id="61" w:name="_Toc447782516"/>
      <w:bookmarkStart w:id="62" w:name="_Toc366438843"/>
      <w:r>
        <w:rPr>
          <w:rFonts w:eastAsia="黑体"/>
          <w:bCs/>
          <w:snapToGrid w:val="0"/>
          <w:color w:val="000000" w:themeColor="text1"/>
          <w:kern w:val="0"/>
          <w:sz w:val="28"/>
          <w:szCs w:val="28"/>
          <w14:textFill>
            <w14:solidFill>
              <w14:schemeClr w14:val="tx1"/>
            </w14:solidFill>
          </w14:textFill>
        </w:rPr>
        <w:t>3.1.</w:t>
      </w:r>
      <w:r>
        <w:rPr>
          <w:rFonts w:hint="eastAsia" w:eastAsia="黑体"/>
          <w:bCs/>
          <w:snapToGrid w:val="0"/>
          <w:color w:val="000000" w:themeColor="text1"/>
          <w:kern w:val="0"/>
          <w:sz w:val="28"/>
          <w:szCs w:val="28"/>
          <w:lang w:val="en-US" w:eastAsia="zh-CN"/>
          <w14:textFill>
            <w14:solidFill>
              <w14:schemeClr w14:val="tx1"/>
            </w14:solidFill>
          </w14:textFill>
        </w:rPr>
        <w:t>5</w:t>
      </w:r>
      <w:r>
        <w:rPr>
          <w:rFonts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lang w:val="en-US" w:eastAsia="zh-CN"/>
          <w14:textFill>
            <w14:solidFill>
              <w14:schemeClr w14:val="tx1"/>
            </w14:solidFill>
          </w14:textFill>
        </w:rPr>
        <w:t>二氧化碳</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二氧化碳</w:t>
      </w:r>
      <w:r>
        <w:rPr>
          <w:color w:val="000000" w:themeColor="text1"/>
          <w:sz w:val="28"/>
          <w:szCs w:val="28"/>
          <w14:textFill>
            <w14:solidFill>
              <w14:schemeClr w14:val="tx1"/>
            </w14:solidFill>
          </w14:textFill>
        </w:rPr>
        <w:t>为</w:t>
      </w:r>
      <w:r>
        <w:rPr>
          <w:sz w:val="28"/>
          <w:szCs w:val="28"/>
        </w:rPr>
        <w:t>无色无臭气体。危险性类别：加压气体</w:t>
      </w:r>
      <w:r>
        <w:rPr>
          <w:color w:val="000000" w:themeColor="text1"/>
          <w:sz w:val="28"/>
          <w:szCs w:val="28"/>
          <w14:textFill>
            <w14:solidFill>
              <w14:schemeClr w14:val="tx1"/>
            </w14:solidFill>
          </w14:textFill>
        </w:rPr>
        <w:t>。其主要危险有害特性见表3-</w:t>
      </w:r>
      <w:r>
        <w:rPr>
          <w:rFonts w:hint="eastAsia"/>
          <w:color w:val="000000" w:themeColor="text1"/>
          <w:sz w:val="28"/>
          <w:szCs w:val="28"/>
          <w:lang w:val="en-US" w:eastAsia="zh-CN"/>
          <w14:textFill>
            <w14:solidFill>
              <w14:schemeClr w14:val="tx1"/>
            </w14:solidFill>
          </w14:textFill>
        </w:rPr>
        <w:t>5</w:t>
      </w:r>
      <w:r>
        <w:rPr>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84" w:firstLineChars="200"/>
        <w:jc w:val="center"/>
        <w:textAlignment w:val="auto"/>
        <w:rPr>
          <w:b/>
          <w:color w:val="000000" w:themeColor="text1"/>
          <w:sz w:val="24"/>
          <w:szCs w:val="28"/>
          <w14:textFill>
            <w14:solidFill>
              <w14:schemeClr w14:val="tx1"/>
            </w14:solidFill>
          </w14:textFill>
        </w:rPr>
      </w:pPr>
      <w:r>
        <w:rPr>
          <w:b/>
          <w:color w:val="000000" w:themeColor="text1"/>
          <w:sz w:val="24"/>
          <w:szCs w:val="28"/>
          <w14:textFill>
            <w14:solidFill>
              <w14:schemeClr w14:val="tx1"/>
            </w14:solidFill>
          </w14:textFill>
        </w:rPr>
        <w:t>表3-</w:t>
      </w:r>
      <w:r>
        <w:rPr>
          <w:rFonts w:hint="eastAsia"/>
          <w:b/>
          <w:color w:val="000000" w:themeColor="text1"/>
          <w:sz w:val="24"/>
          <w:szCs w:val="28"/>
          <w:lang w:val="en-US" w:eastAsia="zh-CN"/>
          <w14:textFill>
            <w14:solidFill>
              <w14:schemeClr w14:val="tx1"/>
            </w14:solidFill>
          </w14:textFill>
        </w:rPr>
        <w:t>5</w:t>
      </w:r>
      <w:r>
        <w:rPr>
          <w:b/>
          <w:color w:val="000000" w:themeColor="text1"/>
          <w:sz w:val="24"/>
          <w:szCs w:val="28"/>
          <w14:textFill>
            <w14:solidFill>
              <w14:schemeClr w14:val="tx1"/>
            </w14:solidFill>
          </w14:textFill>
        </w:rPr>
        <w:t xml:space="preserve">  </w:t>
      </w:r>
      <w:r>
        <w:rPr>
          <w:rFonts w:hint="eastAsia"/>
          <w:b/>
          <w:color w:val="000000" w:themeColor="text1"/>
          <w:sz w:val="24"/>
          <w:szCs w:val="28"/>
          <w:lang w:val="en-US" w:eastAsia="zh-CN"/>
          <w14:textFill>
            <w14:solidFill>
              <w14:schemeClr w14:val="tx1"/>
            </w14:solidFill>
          </w14:textFill>
        </w:rPr>
        <w:t>二氧化碳</w:t>
      </w:r>
      <w:r>
        <w:rPr>
          <w:b/>
          <w:color w:val="000000" w:themeColor="text1"/>
          <w:sz w:val="24"/>
          <w:szCs w:val="28"/>
          <w14:textFill>
            <w14:solidFill>
              <w14:schemeClr w14:val="tx1"/>
            </w14:solidFill>
          </w14:textFill>
        </w:rPr>
        <w:t>主要危险有害特性一览表</w:t>
      </w:r>
    </w:p>
    <w:tbl>
      <w:tblPr>
        <w:tblStyle w:val="52"/>
        <w:tblW w:w="87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03"/>
        <w:gridCol w:w="1125"/>
        <w:gridCol w:w="115"/>
        <w:gridCol w:w="420"/>
        <w:gridCol w:w="365"/>
        <w:gridCol w:w="1080"/>
        <w:gridCol w:w="472"/>
        <w:gridCol w:w="68"/>
        <w:gridCol w:w="720"/>
        <w:gridCol w:w="633"/>
        <w:gridCol w:w="627"/>
        <w:gridCol w:w="16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中文名称</w:t>
            </w:r>
          </w:p>
        </w:tc>
        <w:tc>
          <w:tcPr>
            <w:tcW w:w="3645" w:type="dxa"/>
            <w:gridSpan w:val="7"/>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二氧化碳；碳酸酐</w:t>
            </w:r>
          </w:p>
        </w:tc>
        <w:tc>
          <w:tcPr>
            <w:tcW w:w="198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包装标志</w:t>
            </w:r>
          </w:p>
        </w:tc>
        <w:tc>
          <w:tcPr>
            <w:tcW w:w="1620"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不燃气体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英文名称</w:t>
            </w:r>
          </w:p>
        </w:tc>
        <w:tc>
          <w:tcPr>
            <w:tcW w:w="3645" w:type="dxa"/>
            <w:gridSpan w:val="7"/>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carbon</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dioxide</w:t>
            </w:r>
          </w:p>
        </w:tc>
        <w:tc>
          <w:tcPr>
            <w:tcW w:w="198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1620"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Ⅲ类包装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3645" w:type="dxa"/>
            <w:gridSpan w:val="7"/>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加压气体</w:t>
            </w:r>
          </w:p>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198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1620"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22019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3645" w:type="dxa"/>
            <w:gridSpan w:val="7"/>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1013</w:t>
            </w:r>
          </w:p>
        </w:tc>
        <w:tc>
          <w:tcPr>
            <w:tcW w:w="198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p>
        </w:tc>
        <w:tc>
          <w:tcPr>
            <w:tcW w:w="1620"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vMerge w:val="restart"/>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理化特性</w:t>
            </w:r>
          </w:p>
        </w:tc>
        <w:tc>
          <w:tcPr>
            <w:tcW w:w="166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外观与性状</w:t>
            </w:r>
          </w:p>
        </w:tc>
        <w:tc>
          <w:tcPr>
            <w:tcW w:w="1985" w:type="dxa"/>
            <w:gridSpan w:val="4"/>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无色无臭气体。</w:t>
            </w:r>
          </w:p>
        </w:tc>
        <w:tc>
          <w:tcPr>
            <w:tcW w:w="198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p>
        </w:tc>
        <w:tc>
          <w:tcPr>
            <w:tcW w:w="1620"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-56.6（527kPa）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vMerge w:val="continue"/>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2025" w:type="dxa"/>
            <w:gridSpan w:val="4"/>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62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1.56（-79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p>
        </w:tc>
        <w:tc>
          <w:tcPr>
            <w:tcW w:w="198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p>
        </w:tc>
        <w:tc>
          <w:tcPr>
            <w:tcW w:w="1620"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vMerge w:val="continue"/>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2025" w:type="dxa"/>
            <w:gridSpan w:val="4"/>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相对密度（空气＝1）</w:t>
            </w:r>
          </w:p>
        </w:tc>
        <w:tc>
          <w:tcPr>
            <w:tcW w:w="162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1.53</w:t>
            </w:r>
          </w:p>
        </w:tc>
        <w:tc>
          <w:tcPr>
            <w:tcW w:w="198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1620"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1013.25（-39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vMerge w:val="continue"/>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2025" w:type="dxa"/>
            <w:gridSpan w:val="4"/>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p>
        </w:tc>
        <w:tc>
          <w:tcPr>
            <w:tcW w:w="162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31</w:t>
            </w:r>
          </w:p>
        </w:tc>
        <w:tc>
          <w:tcPr>
            <w:tcW w:w="198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临界压力（MP</w:t>
            </w:r>
            <w:r>
              <w:rPr>
                <w:color w:val="000000" w:themeColor="text1"/>
                <w:szCs w:val="21"/>
                <w14:textFill>
                  <w14:solidFill>
                    <w14:schemeClr w14:val="tx1"/>
                  </w14:solidFill>
                </w14:textFill>
              </w:rPr>
              <w:t>a</w:t>
            </w:r>
            <w:r>
              <w:rPr>
                <w:rFonts w:hint="eastAsia"/>
                <w:color w:val="000000" w:themeColor="text1"/>
                <w:szCs w:val="21"/>
                <w14:textFill>
                  <w14:solidFill>
                    <w14:schemeClr w14:val="tx1"/>
                  </w14:solidFill>
                </w14:textFill>
              </w:rPr>
              <w:t>）</w:t>
            </w:r>
          </w:p>
        </w:tc>
        <w:tc>
          <w:tcPr>
            <w:tcW w:w="1620"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vMerge w:val="continue"/>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1125"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20" w:type="dxa"/>
            <w:gridSpan w:val="10"/>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溶于水、烃类等多种有机溶剂。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7245" w:type="dxa"/>
            <w:gridSpan w:val="11"/>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用于制糖工业、制碱工业、制铅白等，也用于冷饮、灭火及有机合成。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7245" w:type="dxa"/>
            <w:gridSpan w:val="11"/>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吸入、食入、经皮吸收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7245" w:type="dxa"/>
            <w:gridSpan w:val="11"/>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在低浓度时，对呼吸中枢呈兴奋作用；高浓度时则产生抑制甚至麻痹作用。中毒机制中还兼有缺氧的因素。急性中毒：人进入高浓度二氧化碳环境，在几秒钟内迅速昏迷倒下，反射消失、瞳孔扩大或缩小、大小便失禁、呕吐等，更严重者出现呼吸停止及休克，甚至死亡。固态（干冰）和液态二氧化碳在常压下迅速汽化，能造成-80～-43</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低温，引起皮肤和眼睛严重的冻伤。慢性影响：经常接触较高浓度的二氧化碳者，可有头晕、头痛、失眠、易兴奋、无力等神经功能紊乱等。但在生产中是否存在慢性中毒国内外均未见病例报道。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503"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毒理学资料</w:t>
            </w:r>
          </w:p>
        </w:tc>
        <w:tc>
          <w:tcPr>
            <w:tcW w:w="7245" w:type="dxa"/>
            <w:gridSpan w:val="11"/>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消防措施</w:t>
            </w:r>
          </w:p>
        </w:tc>
        <w:tc>
          <w:tcPr>
            <w:tcW w:w="7245" w:type="dxa"/>
            <w:gridSpan w:val="11"/>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危险特性：若遇高热，容器内压增大，有开裂和爆炸的危险。灭火方法：本品不燃。尽可能将容器从火场移至空旷处。喷水保持火场容器冷却，直至灭火结束。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503" w:type="dxa"/>
            <w:vMerge w:val="restart"/>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稳定性和反应活性</w:t>
            </w:r>
          </w:p>
        </w:tc>
        <w:tc>
          <w:tcPr>
            <w:tcW w:w="166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45" w:type="dxa"/>
            <w:gridSpan w:val="2"/>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1260"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288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不聚合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1503" w:type="dxa"/>
            <w:vMerge w:val="continue"/>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166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避免接触条件</w:t>
            </w:r>
          </w:p>
        </w:tc>
        <w:tc>
          <w:tcPr>
            <w:tcW w:w="1445" w:type="dxa"/>
            <w:gridSpan w:val="2"/>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126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禁配物</w:t>
            </w:r>
          </w:p>
        </w:tc>
        <w:tc>
          <w:tcPr>
            <w:tcW w:w="2880" w:type="dxa"/>
            <w:gridSpan w:val="3"/>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操作处置</w:t>
            </w:r>
          </w:p>
        </w:tc>
        <w:tc>
          <w:tcPr>
            <w:tcW w:w="7245" w:type="dxa"/>
            <w:gridSpan w:val="11"/>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密闭操作，提供良好的自然通风条件。操作人员必须经过专门培训，严格遵守操作规程。防止气体泄漏到工作场所空气中。远离易燃、可燃物。搬运时轻装轻卸，防止钢瓶及附件破损。配备泄漏应急处理设备。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503"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储存注意事项</w:t>
            </w:r>
          </w:p>
          <w:p>
            <w:pPr>
              <w:adjustRightInd w:val="0"/>
              <w:snapToGrid w:val="0"/>
              <w:spacing w:before="63" w:beforeLines="20" w:after="63" w:afterLines="20"/>
              <w:jc w:val="center"/>
              <w:rPr>
                <w:color w:val="000000" w:themeColor="text1"/>
                <w:szCs w:val="21"/>
                <w14:textFill>
                  <w14:solidFill>
                    <w14:schemeClr w14:val="tx1"/>
                  </w14:solidFill>
                </w14:textFill>
              </w:rPr>
            </w:pPr>
          </w:p>
        </w:tc>
        <w:tc>
          <w:tcPr>
            <w:tcW w:w="7245" w:type="dxa"/>
            <w:gridSpan w:val="11"/>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储存于阴凉、通风的库房。远离火种、热源。库温不宜超过30℃。应与易（可）燃物分开存放，切忌混储。储区应备有泄漏应急处理设备。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运输注意事项</w:t>
            </w:r>
          </w:p>
        </w:tc>
        <w:tc>
          <w:tcPr>
            <w:tcW w:w="7245" w:type="dxa"/>
            <w:gridSpan w:val="11"/>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采用钢瓶运输时必须戴好钢瓶上的安全帽和防震胶圈。钢瓶一般平放，并应将瓶口朝同一方向，不可交叉；高度不得超过车辆的防护栏板，并用三角木垫卡牢，防止滚动。严禁与易燃物或可燃物等混装混运。夏季应早晚运输，防止日光曝晒。铁路运输时要禁止溜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503" w:type="dxa"/>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急救措施</w:t>
            </w:r>
          </w:p>
        </w:tc>
        <w:tc>
          <w:tcPr>
            <w:tcW w:w="7245" w:type="dxa"/>
            <w:gridSpan w:val="11"/>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皮肤接触：若有冻伤，就医治疗。眼睛接触：若有冻伤，就医治疗。吸入：迅速脱离现场至空气新鲜处。保持呼吸道通畅。如呼吸困难，给输氧。如呼吸停止，立即进行人工呼吸。就医。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503" w:type="dxa"/>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泄漏应急处理及废弃处置</w:t>
            </w:r>
          </w:p>
        </w:tc>
        <w:tc>
          <w:tcPr>
            <w:tcW w:w="7245" w:type="dxa"/>
            <w:gridSpan w:val="11"/>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应急行动：迅速撤离泄漏污染区人员至上风处，并进行隔离，严格限制出入。建议应急处理人员戴自给</w:t>
            </w:r>
            <w:r>
              <w:rPr>
                <w:rFonts w:hint="eastAsia"/>
                <w:color w:val="000000" w:themeColor="text1"/>
                <w:szCs w:val="21"/>
                <w:lang w:eastAsia="zh-CN"/>
                <w14:textFill>
                  <w14:solidFill>
                    <w14:schemeClr w14:val="tx1"/>
                  </w14:solidFill>
                </w14:textFill>
              </w:rPr>
              <w:t>正压式空气呼吸器</w:t>
            </w:r>
            <w:r>
              <w:rPr>
                <w:rFonts w:hint="eastAsia"/>
                <w:color w:val="000000" w:themeColor="text1"/>
                <w:szCs w:val="21"/>
                <w14:textFill>
                  <w14:solidFill>
                    <w14:schemeClr w14:val="tx1"/>
                  </w14:solidFill>
                </w14:textFill>
              </w:rPr>
              <w:t>，穿一般作业工作服。尽可能切断泄漏源。合理通风，加速扩散。漏气容器要妥善处理，修复、检验后再用。废弃处置：处置前参照国家有关法律和法规，废弃直接排入大气。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1503" w:type="dxa"/>
            <w:vMerge w:val="restart"/>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个体防护</w:t>
            </w:r>
          </w:p>
        </w:tc>
        <w:tc>
          <w:tcPr>
            <w:tcW w:w="1240" w:type="dxa"/>
            <w:gridSpan w:val="2"/>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2337" w:type="dxa"/>
            <w:gridSpan w:val="4"/>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密闭操作。提供良好的自然通风条件。</w:t>
            </w:r>
          </w:p>
        </w:tc>
        <w:tc>
          <w:tcPr>
            <w:tcW w:w="1421"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2247" w:type="dxa"/>
            <w:gridSpan w:val="2"/>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一般不需要特殊防护，高浓度接触时可佩戴空气呼吸器。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503" w:type="dxa"/>
            <w:vMerge w:val="continue"/>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1240" w:type="dxa"/>
            <w:gridSpan w:val="2"/>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2337" w:type="dxa"/>
            <w:gridSpan w:val="4"/>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一般不需要特殊防护。</w:t>
            </w:r>
          </w:p>
        </w:tc>
        <w:tc>
          <w:tcPr>
            <w:tcW w:w="1421" w:type="dxa"/>
            <w:gridSpan w:val="3"/>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身体防护</w:t>
            </w:r>
          </w:p>
        </w:tc>
        <w:tc>
          <w:tcPr>
            <w:tcW w:w="2247" w:type="dxa"/>
            <w:gridSpan w:val="2"/>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穿一般作业工作服。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503" w:type="dxa"/>
            <w:vMerge w:val="continue"/>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p>
        </w:tc>
        <w:tc>
          <w:tcPr>
            <w:tcW w:w="1240" w:type="dxa"/>
            <w:gridSpan w:val="2"/>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2337" w:type="dxa"/>
            <w:gridSpan w:val="4"/>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戴一般作业防护手套。</w:t>
            </w:r>
          </w:p>
        </w:tc>
        <w:tc>
          <w:tcPr>
            <w:tcW w:w="1421" w:type="dxa"/>
            <w:gridSpan w:val="3"/>
            <w:vMerge w:val="restart"/>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其他防护</w:t>
            </w:r>
          </w:p>
        </w:tc>
        <w:tc>
          <w:tcPr>
            <w:tcW w:w="2247" w:type="dxa"/>
            <w:gridSpan w:val="2"/>
            <w:vMerge w:val="restart"/>
            <w:tcBorders>
              <w:tl2br w:val="nil"/>
              <w:tr2bl w:val="nil"/>
            </w:tcBorders>
            <w:noWrap w:val="0"/>
            <w:vAlign w:val="center"/>
          </w:tcPr>
          <w:p>
            <w:pPr>
              <w:adjustRightInd w:val="0"/>
              <w:snapToGrid w:val="0"/>
              <w:spacing w:before="63" w:beforeLines="20" w:after="63" w:afterLine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避免高浓度吸入。进入罐、限制性空间或其它高浓度区作业，须有人监护。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503" w:type="dxa"/>
            <w:vMerge w:val="continue"/>
            <w:tcBorders>
              <w:tl2br w:val="nil"/>
              <w:tr2bl w:val="nil"/>
            </w:tcBorders>
            <w:noWrap w:val="0"/>
            <w:vAlign w:val="center"/>
          </w:tcPr>
          <w:p>
            <w:pPr>
              <w:jc w:val="center"/>
              <w:rPr>
                <w:rFonts w:hint="eastAsia"/>
              </w:rPr>
            </w:pPr>
          </w:p>
        </w:tc>
        <w:tc>
          <w:tcPr>
            <w:tcW w:w="1240" w:type="dxa"/>
            <w:gridSpan w:val="2"/>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最高容许浓度</w:t>
            </w:r>
          </w:p>
        </w:tc>
        <w:tc>
          <w:tcPr>
            <w:tcW w:w="2337" w:type="dxa"/>
            <w:gridSpan w:val="4"/>
            <w:tcBorders>
              <w:tl2br w:val="nil"/>
              <w:tr2bl w:val="nil"/>
            </w:tcBorders>
            <w:noWrap w:val="0"/>
            <w:vAlign w:val="center"/>
          </w:tcPr>
          <w:p>
            <w:pPr>
              <w:adjustRightInd w:val="0"/>
              <w:snapToGrid w:val="0"/>
              <w:spacing w:before="63" w:beforeLines="20" w:after="63" w:afterLines="2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中国MAC（mg/m</w:t>
            </w:r>
            <w:r>
              <w:rPr>
                <w:rFonts w:hint="eastAsia"/>
                <w:color w:val="000000" w:themeColor="text1"/>
                <w:sz w:val="2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）：18000</w:t>
            </w:r>
          </w:p>
        </w:tc>
        <w:tc>
          <w:tcPr>
            <w:tcW w:w="1421" w:type="dxa"/>
            <w:gridSpan w:val="3"/>
            <w:vMerge w:val="continue"/>
            <w:tcBorders>
              <w:tl2br w:val="nil"/>
              <w:tr2bl w:val="nil"/>
            </w:tcBorders>
            <w:noWrap w:val="0"/>
            <w:vAlign w:val="center"/>
          </w:tcPr>
          <w:p>
            <w:pPr>
              <w:jc w:val="center"/>
              <w:rPr>
                <w:rFonts w:hint="eastAsia"/>
              </w:rPr>
            </w:pPr>
          </w:p>
        </w:tc>
        <w:tc>
          <w:tcPr>
            <w:tcW w:w="2247" w:type="dxa"/>
            <w:gridSpan w:val="2"/>
            <w:vMerge w:val="continue"/>
            <w:tcBorders>
              <w:tl2br w:val="nil"/>
              <w:tr2bl w:val="nil"/>
            </w:tcBorders>
            <w:noWrap w:val="0"/>
            <w:vAlign w:val="center"/>
          </w:tcPr>
          <w:p>
            <w:pPr>
              <w:jc w:val="center"/>
              <w:rPr>
                <w:rFonts w:hint="eastAsia"/>
              </w:rPr>
            </w:pPr>
          </w:p>
        </w:tc>
      </w:tr>
    </w:tbl>
    <w:p>
      <w:pPr>
        <w:adjustRightInd w:val="0"/>
        <w:snapToGrid w:val="0"/>
        <w:spacing w:beforeLines="50" w:line="360" w:lineRule="auto"/>
        <w:outlineLvl w:val="2"/>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3.1.</w:t>
      </w:r>
      <w:r>
        <w:rPr>
          <w:rFonts w:hint="eastAsia" w:eastAsia="黑体" w:cs="Times New Roman"/>
          <w:bCs/>
          <w:snapToGrid w:val="0"/>
          <w:color w:val="000000" w:themeColor="text1"/>
          <w:kern w:val="0"/>
          <w:sz w:val="28"/>
          <w:szCs w:val="28"/>
          <w:lang w:val="en-US" w:eastAsia="zh-CN"/>
          <w14:textFill>
            <w14:solidFill>
              <w14:schemeClr w14:val="tx1"/>
            </w14:solidFill>
          </w14:textFill>
        </w:rPr>
        <w:t>6</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化学助剂、压井液</w:t>
      </w:r>
    </w:p>
    <w:p>
      <w:pPr>
        <w:adjustRightInd w:val="0"/>
        <w:snapToGrid w:val="0"/>
        <w:spacing w:line="360" w:lineRule="auto"/>
        <w:ind w:firstLine="564" w:firstLineChars="200"/>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kern w:val="0"/>
          <w:sz w:val="28"/>
          <w:szCs w:val="28"/>
          <w14:textFill>
            <w14:solidFill>
              <w14:schemeClr w14:val="tx1"/>
            </w14:solidFill>
          </w14:textFill>
        </w:rPr>
        <w:t>该公司主要采用化学堵水方式，采用的化学堵剂包括</w:t>
      </w:r>
      <w:r>
        <w:rPr>
          <w:rFonts w:hint="default" w:ascii="Times New Roman" w:hAnsi="Times New Roman" w:eastAsia="宋体" w:cs="Times New Roman"/>
          <w:color w:val="000000" w:themeColor="text1"/>
          <w:sz w:val="28"/>
          <w:szCs w:val="28"/>
          <w14:textFill>
            <w14:solidFill>
              <w14:schemeClr w14:val="tx1"/>
            </w14:solidFill>
          </w14:textFill>
        </w:rPr>
        <w:t>新型预胶凝颗粒性堵水剂（水膨体）、木质素磺酸盐系列堵水剂和有机超细颗粒选择性堵剂。</w:t>
      </w:r>
    </w:p>
    <w:p>
      <w:pPr>
        <w:adjustRightInd w:val="0"/>
        <w:snapToGrid w:val="0"/>
        <w:spacing w:line="360" w:lineRule="auto"/>
        <w:ind w:firstLine="564" w:firstLineChars="200"/>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压井液主要成分为卤水。</w:t>
      </w:r>
    </w:p>
    <w:p>
      <w:pPr>
        <w:adjustRightInd w:val="0"/>
        <w:snapToGrid w:val="0"/>
        <w:spacing w:line="360" w:lineRule="auto"/>
        <w:ind w:firstLine="564" w:firstLineChars="200"/>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根据《危险化学品目录（2015版）》（安全监管总局、工业和信息化部、公安部、环境保护部、交通运输部、农业部、国家卫生计生委、质检总局、铁路局、民航局公告[2015]第5号）及《危险货物品名表》（GB12268-2012）辨识，以上化学堵剂和压井液均不属于危险化学品。</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3.1.</w:t>
      </w:r>
      <w:r>
        <w:rPr>
          <w:rFonts w:hint="eastAsia" w:eastAsia="黑体" w:cs="Times New Roman"/>
          <w:bCs/>
          <w:snapToGrid w:val="0"/>
          <w:color w:val="000000" w:themeColor="text1"/>
          <w:kern w:val="0"/>
          <w:sz w:val="28"/>
          <w:szCs w:val="28"/>
          <w:lang w:val="en-US" w:eastAsia="zh-CN"/>
          <w14:textFill>
            <w14:solidFill>
              <w14:schemeClr w14:val="tx1"/>
            </w14:solidFill>
          </w14:textFill>
        </w:rPr>
        <w:t>7</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复合酸、盐酸</w:t>
      </w:r>
    </w:p>
    <w:p>
      <w:pPr>
        <w:widowControl w:val="0"/>
        <w:adjustRightInd w:val="0"/>
        <w:snapToGrid w:val="0"/>
        <w:spacing w:line="360" w:lineRule="auto"/>
        <w:ind w:firstLine="564" w:firstLineChars="200"/>
        <w:jc w:val="both"/>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酸化过程中根据岩层性质，碳酸盐岩油气层的酸化主要用盐酸（HCL），砂岩油气层的酸化主要用复合酸，主要成分为盐酸、水和极少量氢氟酸。</w:t>
      </w:r>
    </w:p>
    <w:p>
      <w:pPr>
        <w:keepNext w:val="0"/>
        <w:keepLines w:val="0"/>
        <w:pageBreakBefore w:val="0"/>
        <w:widowControl w:val="0"/>
        <w:kinsoku/>
        <w:wordWrap/>
        <w:overflowPunct/>
        <w:topLinePunct w:val="0"/>
        <w:autoSpaceDE/>
        <w:autoSpaceDN/>
        <w:bidi w:val="0"/>
        <w:adjustRightInd w:val="0"/>
        <w:snapToGrid w:val="0"/>
        <w:spacing w:line="240" w:lineRule="auto"/>
        <w:ind w:firstLine="484" w:firstLineChars="200"/>
        <w:jc w:val="center"/>
        <w:textAlignment w:val="auto"/>
        <w:rPr>
          <w:rFonts w:hint="default" w:ascii="Times New Roman" w:hAnsi="Times New Roman" w:eastAsia="宋体" w:cs="Times New Roman"/>
          <w:b/>
          <w:bCs/>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14:textFill>
            <w14:solidFill>
              <w14:schemeClr w14:val="tx1"/>
            </w14:solidFill>
          </w14:textFill>
        </w:rPr>
        <w:t>表3-</w:t>
      </w:r>
      <w:r>
        <w:rPr>
          <w:rFonts w:hint="eastAsia" w:cs="Times New Roman"/>
          <w:b/>
          <w:bCs/>
          <w:color w:val="000000" w:themeColor="text1"/>
          <w:sz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14:textFill>
            <w14:solidFill>
              <w14:schemeClr w14:val="tx1"/>
            </w14:solidFill>
          </w14:textFill>
        </w:rPr>
        <w:t xml:space="preserve"> 盐酸主要危险有害特性一览表</w:t>
      </w:r>
    </w:p>
    <w:tbl>
      <w:tblPr>
        <w:tblStyle w:val="52"/>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1064"/>
        <w:gridCol w:w="170"/>
        <w:gridCol w:w="172"/>
        <w:gridCol w:w="164"/>
        <w:gridCol w:w="721"/>
        <w:gridCol w:w="136"/>
        <w:gridCol w:w="1186"/>
        <w:gridCol w:w="179"/>
        <w:gridCol w:w="1078"/>
        <w:gridCol w:w="624"/>
        <w:gridCol w:w="16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中文名称</w:t>
            </w:r>
          </w:p>
        </w:tc>
        <w:tc>
          <w:tcPr>
            <w:tcW w:w="2121" w:type="pct"/>
            <w:gridSpan w:val="7"/>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盐酸</w:t>
            </w:r>
          </w:p>
        </w:tc>
        <w:tc>
          <w:tcPr>
            <w:tcW w:w="1104" w:type="pct"/>
            <w:gridSpan w:val="3"/>
            <w:tcBorders>
              <w:tl2br w:val="nil"/>
              <w:tr2bl w:val="nil"/>
            </w:tcBorders>
            <w:vAlign w:val="center"/>
          </w:tcPr>
          <w:p>
            <w:pPr>
              <w:adjustRightInd w:val="0"/>
              <w:snapToGrid w:val="0"/>
              <w:spacing w:beforeLines="20" w:afterLines="2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别名</w:t>
            </w:r>
          </w:p>
        </w:tc>
        <w:tc>
          <w:tcPr>
            <w:tcW w:w="938" w:type="pct"/>
            <w:tcBorders>
              <w:tl2br w:val="nil"/>
              <w:tr2bl w:val="nil"/>
            </w:tcBorders>
            <w:vAlign w:val="center"/>
          </w:tcPr>
          <w:p>
            <w:pPr>
              <w:adjustRightInd w:val="0"/>
              <w:snapToGrid w:val="0"/>
              <w:spacing w:beforeLines="20" w:afterLines="2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氢氯酸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英文名称</w:t>
            </w:r>
          </w:p>
        </w:tc>
        <w:tc>
          <w:tcPr>
            <w:tcW w:w="2121" w:type="pct"/>
            <w:gridSpan w:val="7"/>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Hydrochloric acid；Chlorohydric acid</w:t>
            </w:r>
          </w:p>
        </w:tc>
        <w:tc>
          <w:tcPr>
            <w:tcW w:w="1104" w:type="pct"/>
            <w:gridSpan w:val="3"/>
            <w:tcBorders>
              <w:tl2br w:val="nil"/>
              <w:tr2bl w:val="nil"/>
            </w:tcBorders>
            <w:vAlign w:val="center"/>
          </w:tcPr>
          <w:p>
            <w:pPr>
              <w:adjustRightInd w:val="0"/>
              <w:snapToGrid w:val="0"/>
              <w:spacing w:beforeLines="20" w:afterLines="2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危化品序号</w:t>
            </w:r>
          </w:p>
        </w:tc>
        <w:tc>
          <w:tcPr>
            <w:tcW w:w="938" w:type="pct"/>
            <w:tcBorders>
              <w:tl2br w:val="nil"/>
              <w:tr2bl w:val="nil"/>
            </w:tcBorders>
            <w:vAlign w:val="center"/>
          </w:tcPr>
          <w:p>
            <w:pPr>
              <w:adjustRightInd w:val="0"/>
              <w:snapToGrid w:val="0"/>
              <w:spacing w:beforeLines="20" w:afterLines="2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2507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闪点（℃）</w:t>
            </w:r>
          </w:p>
        </w:tc>
        <w:tc>
          <w:tcPr>
            <w:tcW w:w="2121" w:type="pct"/>
            <w:gridSpan w:val="7"/>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无意义</w:t>
            </w:r>
          </w:p>
        </w:tc>
        <w:tc>
          <w:tcPr>
            <w:tcW w:w="1104"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UN编号</w:t>
            </w:r>
          </w:p>
        </w:tc>
        <w:tc>
          <w:tcPr>
            <w:tcW w:w="938"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1789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35" w:type="pct"/>
            <w:vMerge w:val="restar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理化特性</w:t>
            </w:r>
          </w:p>
        </w:tc>
        <w:tc>
          <w:tcPr>
            <w:tcW w:w="725" w:type="pct"/>
            <w:gridSpan w:val="2"/>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外观与性状</w:t>
            </w:r>
          </w:p>
        </w:tc>
        <w:tc>
          <w:tcPr>
            <w:tcW w:w="1396" w:type="pct"/>
            <w:gridSpan w:val="5"/>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无色或微黄色发烟液体，有刺鼻的酸味</w:t>
            </w:r>
          </w:p>
        </w:tc>
        <w:tc>
          <w:tcPr>
            <w:tcW w:w="1104"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熔点（℃）</w:t>
            </w:r>
          </w:p>
        </w:tc>
        <w:tc>
          <w:tcPr>
            <w:tcW w:w="938"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-114.8（纯）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835"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1345" w:type="pct"/>
            <w:gridSpan w:val="5"/>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相对密度（水＝1）</w:t>
            </w:r>
          </w:p>
        </w:tc>
        <w:tc>
          <w:tcPr>
            <w:tcW w:w="776" w:type="pct"/>
            <w:gridSpan w:val="2"/>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1.20</w:t>
            </w:r>
          </w:p>
        </w:tc>
        <w:tc>
          <w:tcPr>
            <w:tcW w:w="1104"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沸点（℃）</w:t>
            </w:r>
          </w:p>
        </w:tc>
        <w:tc>
          <w:tcPr>
            <w:tcW w:w="938"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108.6（20％）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35"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1345" w:type="pct"/>
            <w:gridSpan w:val="5"/>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相对密度（空气＝1）</w:t>
            </w:r>
          </w:p>
        </w:tc>
        <w:tc>
          <w:tcPr>
            <w:tcW w:w="776" w:type="pct"/>
            <w:gridSpan w:val="2"/>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1.26</w:t>
            </w:r>
          </w:p>
        </w:tc>
        <w:tc>
          <w:tcPr>
            <w:tcW w:w="1104"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饱和蒸气压（kPa）</w:t>
            </w:r>
          </w:p>
        </w:tc>
        <w:tc>
          <w:tcPr>
            <w:tcW w:w="938"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30.66/21℃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835"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62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溶解性</w:t>
            </w:r>
          </w:p>
        </w:tc>
        <w:tc>
          <w:tcPr>
            <w:tcW w:w="3539" w:type="pct"/>
            <w:gridSpan w:val="10"/>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与水混溶，溶于碱液。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主要用途</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重要的无机化工原料，广泛用于染料、医药、食品、印染、皮革、冶金等行业。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侵入途径</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Cs w:val="28"/>
                <w14:textFill>
                  <w14:solidFill>
                    <w14:schemeClr w14:val="tx1"/>
                  </w14:solidFill>
                </w14:textFill>
              </w:rPr>
              <w:t>吸入、食入、经皮吸收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健康危害</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健康危害：接触其蒸气或烟雾，可引起急性中毒，出现眼结膜炎，鼻及口腔粘膜有烧灼感，鼻衄、齿龈出血、气管炎等。误服可引起消化道灼伤、溃疡形成，有可能引起胃穿孔、腹膜炎等。眼和皮肤接触可致灼伤。慢性影响：长期接触，引起慢性鼻炎、慢性支气管炎、牙齿酸蚀症及皮肤损害。环境危害：对环境有危害，对水体和土壤可造成污染。燃爆危险：本品不燃，具强腐蚀性、强刺激性，可致人体灼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消防措施</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危险特性：能与一些活性金属粉末发生反应，放出氢气。遇氰化物能产生剧毒的氰化氢气体。与碱发生中和反应，并放出大量的热。具有较强的腐蚀性。有害燃烧产物：氯化氢。灭火方法：用碱性物质如碳酸氢钠、碳酸钠、消石灰等中和。也可用大量水扑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35" w:type="pct"/>
            <w:vMerge w:val="restar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稳定性和反应活性</w:t>
            </w:r>
          </w:p>
        </w:tc>
        <w:tc>
          <w:tcPr>
            <w:tcW w:w="922" w:type="pct"/>
            <w:gridSpan w:val="4"/>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稳定性</w:t>
            </w:r>
          </w:p>
        </w:tc>
        <w:tc>
          <w:tcPr>
            <w:tcW w:w="503" w:type="pct"/>
            <w:gridSpan w:val="2"/>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稳定</w:t>
            </w:r>
          </w:p>
        </w:tc>
        <w:tc>
          <w:tcPr>
            <w:tcW w:w="696"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聚合危害</w:t>
            </w:r>
          </w:p>
        </w:tc>
        <w:tc>
          <w:tcPr>
            <w:tcW w:w="2042" w:type="pct"/>
            <w:gridSpan w:val="4"/>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不聚合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35"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922" w:type="pct"/>
            <w:gridSpan w:val="4"/>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避免接触条件</w:t>
            </w:r>
          </w:p>
        </w:tc>
        <w:tc>
          <w:tcPr>
            <w:tcW w:w="503" w:type="pct"/>
            <w:gridSpan w:val="2"/>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696"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禁配物</w:t>
            </w:r>
          </w:p>
        </w:tc>
        <w:tc>
          <w:tcPr>
            <w:tcW w:w="2042" w:type="pct"/>
            <w:gridSpan w:val="4"/>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碱类、胺类、碱金属、易燃或可燃物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操作处置</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密闭操作，注意通风。操作尽可能机械化、自动化。操作人员必须经过专门培训，严格遵守操作规程。建议操作人员佩戴自吸过滤式防毒面具（全面罩），穿橡胶耐酸碱服，戴橡胶耐酸碱手套。远离易燃、可燃物。防止蒸气泄漏到工作场所空气中。避免与碱类、胺类、碱金属接触。搬动时要轻装轻卸，防止包装及容器损坏。配备泄漏应急处理设备。倒空的容器可能残留有害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储存注意事项</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储存于阴凉、通风处。库温不超过30℃，相对湿度不超过85%。保持容器密封。应与碱类、胺类、碱金属、易（可）燃物分开存放，切忌混储。储区备有泄漏应急处理设备和合适的收容材料。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运输注意事项</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本品铁路运输时限使用有橡胶衬里钢制罐车或特制塑料企业自备罐车装运，装运前需报有关部门批准。铁路运输时应严格按照铁道部《危险货物运输规则》中的危险货物配装表进行配装。起运时包装要完整，装载应稳妥。运输过程中要确保容器不泄漏、不倒塌、不坠落、不损坏。严禁与碱类、胺类、碱金属、易燃物或可燃物、食用化学品等混装混运。运输时运输车辆应配备泄漏应急处理设备。运输途中应防曝晒、雨淋，防高温。公路运输时要按规定路线行驶，勿在居民区和人口稠密区停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急救措施</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皮肤接触：立即脱去污染的衣着，用大量流动清水冲洗至少15分钟。就医。眼睛接触：</w:t>
            </w:r>
            <w:r>
              <w:rPr>
                <w:rFonts w:hint="default" w:ascii="Times New Roman" w:hAnsi="Times New Roman" w:eastAsia="宋体" w:cs="Times New Roman"/>
                <w:color w:val="000000" w:themeColor="text1"/>
                <w:szCs w:val="28"/>
                <w14:textFill>
                  <w14:solidFill>
                    <w14:schemeClr w14:val="tx1"/>
                  </w14:solidFill>
                </w14:textFill>
              </w:rPr>
              <w:t>立即翻开上下眼睑</w:t>
            </w:r>
            <w:r>
              <w:rPr>
                <w:rFonts w:hint="default" w:ascii="Times New Roman" w:hAnsi="Times New Roman" w:eastAsia="宋体" w:cs="Times New Roman"/>
                <w:color w:val="000000" w:themeColor="text1"/>
                <w14:textFill>
                  <w14:solidFill>
                    <w14:schemeClr w14:val="tx1"/>
                  </w14:solidFill>
                </w14:textFill>
              </w:rPr>
              <w:t>，用大量流动清水或生理盐水彻底冲洗至少15分钟。就医。吸入：迅速脱离现场至空气新鲜处。保持呼吸道通畅。呼吸困难时给输氧。如呼吸停止，立即进行人工呼吸。就医。食入：用水漱口，给饮牛奶或蛋清。就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5"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泄漏应急处理及废弃处置</w:t>
            </w:r>
          </w:p>
        </w:tc>
        <w:tc>
          <w:tcPr>
            <w:tcW w:w="4164" w:type="pct"/>
            <w:gridSpan w:val="11"/>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处置疏散泄漏污染区人员至安全区，并进行隔离，严格限制出入。建议应急人员戴自给</w:t>
            </w:r>
            <w:r>
              <w:rPr>
                <w:rFonts w:hint="eastAsia" w:cs="Times New Roman"/>
                <w:color w:val="000000" w:themeColor="text1"/>
                <w:lang w:eastAsia="zh-CN"/>
                <w14:textFill>
                  <w14:solidFill>
                    <w14:schemeClr w14:val="tx1"/>
                  </w14:solidFill>
                </w14:textFill>
              </w:rPr>
              <w:t>正压式空气呼吸器</w:t>
            </w:r>
            <w:r>
              <w:rPr>
                <w:rFonts w:hint="default" w:ascii="Times New Roman" w:hAnsi="Times New Roman" w:eastAsia="宋体" w:cs="Times New Roman"/>
                <w:color w:val="000000" w:themeColor="text1"/>
                <w14:textFill>
                  <w14:solidFill>
                    <w14:schemeClr w14:val="tx1"/>
                  </w14:solidFill>
                </w14:textFill>
              </w:rPr>
              <w:t>，穿防酸碱工作服。不要直接接触泄漏物。尽可能切断泄漏源。小量泄漏：用沙土、干燥石灰或苏打灰混合。也可以用大量水冲洗，稀释后放入废水系统。大量泄漏，构筑围堤或挖坑收容。用泵转移至槽车或专用收集器内，回收或运至废物处理场所处置。</w:t>
            </w:r>
          </w:p>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废弃处置方法：用碱液——石灰水中和，生成氯化钠和氯化钙，用水稀释后排入废水系统。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835" w:type="pct"/>
            <w:vMerge w:val="restar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个体防护</w:t>
            </w:r>
          </w:p>
        </w:tc>
        <w:tc>
          <w:tcPr>
            <w:tcW w:w="826"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工程控制</w:t>
            </w:r>
          </w:p>
        </w:tc>
        <w:tc>
          <w:tcPr>
            <w:tcW w:w="1400" w:type="pct"/>
            <w:gridSpan w:val="5"/>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密闭操作，注意通风，尽可能机械化、自动化。提供安全淋浴和洗眼设备。</w:t>
            </w:r>
          </w:p>
        </w:tc>
        <w:tc>
          <w:tcPr>
            <w:tcW w:w="633" w:type="pct"/>
            <w:vMerge w:val="restar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呼吸系统防护</w:t>
            </w:r>
          </w:p>
        </w:tc>
        <w:tc>
          <w:tcPr>
            <w:tcW w:w="1304" w:type="pct"/>
            <w:gridSpan w:val="2"/>
            <w:vMerge w:val="restart"/>
            <w:tcBorders>
              <w:tl2br w:val="nil"/>
              <w:tr2bl w:val="nil"/>
            </w:tcBorders>
            <w:vAlign w:val="center"/>
          </w:tcPr>
          <w:p>
            <w:pPr>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可能接触其烟雾时，佩戴自吸过滤式防毒面具（全面罩）或空气呼吸器。紧急事态抢救或撤离时，建议佩戴氧气呼吸器。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835"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826"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最高容许浓度MAC（mg/m</w:t>
            </w:r>
            <w:r>
              <w:rPr>
                <w:rFonts w:hint="default" w:ascii="Times New Roman" w:hAnsi="Times New Roman" w:eastAsia="宋体" w:cs="Times New Roman"/>
                <w:color w:val="000000" w:themeColor="text1"/>
                <w:vertAlign w:val="superscript"/>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w:t>
            </w:r>
          </w:p>
        </w:tc>
        <w:tc>
          <w:tcPr>
            <w:tcW w:w="1400" w:type="pct"/>
            <w:gridSpan w:val="5"/>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中国：15</w:t>
            </w:r>
          </w:p>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前苏联：未制定标准</w:t>
            </w:r>
          </w:p>
        </w:tc>
        <w:tc>
          <w:tcPr>
            <w:tcW w:w="633"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1304" w:type="pct"/>
            <w:gridSpan w:val="2"/>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35"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826"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眼睛防护</w:t>
            </w:r>
          </w:p>
        </w:tc>
        <w:tc>
          <w:tcPr>
            <w:tcW w:w="1400" w:type="pct"/>
            <w:gridSpan w:val="5"/>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呼吸系统防护中已作防护。</w:t>
            </w:r>
          </w:p>
        </w:tc>
        <w:tc>
          <w:tcPr>
            <w:tcW w:w="633"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身体防护</w:t>
            </w:r>
          </w:p>
        </w:tc>
        <w:tc>
          <w:tcPr>
            <w:tcW w:w="1304" w:type="pct"/>
            <w:gridSpan w:val="2"/>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穿橡胶耐酸碱服。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835" w:type="pct"/>
            <w:vMerge w:val="continue"/>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p>
        </w:tc>
        <w:tc>
          <w:tcPr>
            <w:tcW w:w="826" w:type="pct"/>
            <w:gridSpan w:val="3"/>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手防护</w:t>
            </w:r>
          </w:p>
        </w:tc>
        <w:tc>
          <w:tcPr>
            <w:tcW w:w="1400" w:type="pct"/>
            <w:gridSpan w:val="5"/>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戴橡胶耐酸碱手套。</w:t>
            </w:r>
          </w:p>
        </w:tc>
        <w:tc>
          <w:tcPr>
            <w:tcW w:w="633" w:type="pct"/>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其他防护</w:t>
            </w:r>
          </w:p>
        </w:tc>
        <w:tc>
          <w:tcPr>
            <w:tcW w:w="1304" w:type="pct"/>
            <w:gridSpan w:val="2"/>
            <w:tcBorders>
              <w:tl2br w:val="nil"/>
              <w:tr2bl w:val="nil"/>
            </w:tcBorders>
            <w:vAlign w:val="center"/>
          </w:tcPr>
          <w:p>
            <w:pPr>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工作现场禁止吸烟、进食和饮水。工作完毕，淋浴更衣。单独存放被毒物污染的衣物，洗后再用。保持良好的卫生习惯。</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hint="eastAsia" w:eastAsia="黑体"/>
          <w:bCs/>
          <w:snapToGrid w:val="0"/>
          <w:color w:val="000000" w:themeColor="text1"/>
          <w:kern w:val="0"/>
          <w:sz w:val="28"/>
          <w:szCs w:val="28"/>
          <w:lang w:eastAsia="zh-CN"/>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w:t>
      </w:r>
      <w:r>
        <w:rPr>
          <w:rFonts w:hint="eastAsia" w:eastAsia="黑体"/>
          <w:bCs/>
          <w:snapToGrid w:val="0"/>
          <w:color w:val="000000" w:themeColor="text1"/>
          <w:kern w:val="0"/>
          <w:sz w:val="28"/>
          <w:szCs w:val="28"/>
          <w:lang w:val="en-US" w:eastAsia="zh-CN"/>
          <w14:textFill>
            <w14:solidFill>
              <w14:schemeClr w14:val="tx1"/>
            </w14:solidFill>
          </w14:textFill>
        </w:rPr>
        <w:t>8</w:t>
      </w:r>
      <w:r>
        <w:rPr>
          <w:rFonts w:hint="eastAsia"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lang w:eastAsia="zh-CN"/>
          <w14:textFill>
            <w14:solidFill>
              <w14:schemeClr w14:val="tx1"/>
            </w14:solidFill>
          </w14:textFill>
        </w:rPr>
        <w:t>高压水</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井下作业过程中，存在高压水伤害的危险，例如堵水调剖</w:t>
      </w:r>
      <w:r>
        <w:rPr>
          <w:rFonts w:hint="eastAsia"/>
          <w:color w:val="000000" w:themeColor="text1"/>
          <w:sz w:val="28"/>
          <w:szCs w:val="28"/>
          <w:lang w:eastAsia="zh-CN"/>
          <w14:textFill>
            <w14:solidFill>
              <w14:schemeClr w14:val="tx1"/>
            </w14:solidFill>
          </w14:textFill>
        </w:rPr>
        <w:t>压力最高可达</w:t>
      </w:r>
      <w:r>
        <w:rPr>
          <w:rFonts w:hint="eastAsia"/>
          <w:color w:val="000000" w:themeColor="text1"/>
          <w:sz w:val="28"/>
          <w:szCs w:val="28"/>
          <w:lang w:val="en-US" w:eastAsia="zh-CN"/>
          <w14:textFill>
            <w14:solidFill>
              <w14:schemeClr w14:val="tx1"/>
            </w14:solidFill>
          </w14:textFill>
        </w:rPr>
        <w:t>30</w:t>
      </w:r>
      <w:r>
        <w:rPr>
          <w:rFonts w:cs="Arial"/>
          <w:color w:val="000000" w:themeColor="text1"/>
          <w:sz w:val="28"/>
          <w:szCs w:val="28"/>
          <w14:textFill>
            <w14:solidFill>
              <w14:schemeClr w14:val="tx1"/>
            </w14:solidFill>
          </w14:textFill>
        </w:rPr>
        <w:t>MPa</w:t>
      </w:r>
      <w:r>
        <w:rPr>
          <w:rFonts w:hint="eastAsia" w:cs="Arial"/>
          <w:color w:val="000000" w:themeColor="text1"/>
          <w:sz w:val="28"/>
          <w:szCs w:val="28"/>
          <w:lang w:eastAsia="zh-CN"/>
          <w14:textFill>
            <w14:solidFill>
              <w14:schemeClr w14:val="tx1"/>
            </w14:solidFill>
          </w14:textFill>
        </w:rPr>
        <w:t>，若</w:t>
      </w:r>
      <w:r>
        <w:rPr>
          <w:rFonts w:hint="eastAsia"/>
          <w:color w:val="000000" w:themeColor="text1"/>
          <w:sz w:val="28"/>
          <w:szCs w:val="28"/>
          <w14:textFill>
            <w14:solidFill>
              <w14:schemeClr w14:val="tx1"/>
            </w14:solidFill>
          </w14:textFill>
        </w:rPr>
        <w:t>高压水在</w:t>
      </w:r>
      <w:r>
        <w:rPr>
          <w:rFonts w:hint="default" w:ascii="Times New Roman" w:hAnsi="Times New Roman" w:eastAsia="宋体" w:cs="Times New Roman"/>
          <w:b w:val="0"/>
          <w:bCs w:val="0"/>
          <w:i w:val="0"/>
          <w:iCs w:val="0"/>
          <w:color w:val="000000"/>
          <w:kern w:val="0"/>
          <w:sz w:val="28"/>
          <w:szCs w:val="28"/>
          <w:u w:val="none"/>
          <w:lang w:val="en-US" w:eastAsia="zh-CN" w:bidi="ar"/>
        </w:rPr>
        <w:t>电动注水装置</w:t>
      </w:r>
      <w:r>
        <w:rPr>
          <w:rFonts w:hint="eastAsia"/>
          <w:color w:val="000000" w:themeColor="text1"/>
          <w:sz w:val="28"/>
          <w:szCs w:val="28"/>
          <w14:textFill>
            <w14:solidFill>
              <w14:schemeClr w14:val="tx1"/>
            </w14:solidFill>
          </w14:textFill>
        </w:rPr>
        <w:t>或管道破裂时，直接喷射到人体上将造成很大的伤害。形成射流时，高压水射流会给人体带来很大伤害，甚至可能贯穿人体。地上注水管线由于断裂，造成高压反冲，容易引起区域内的物体打击事故。</w:t>
      </w:r>
    </w:p>
    <w:p>
      <w:pPr>
        <w:pStyle w:val="4"/>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color w:val="000000" w:themeColor="text1"/>
          <w14:textFill>
            <w14:solidFill>
              <w14:schemeClr w14:val="tx1"/>
            </w14:solidFill>
          </w14:textFill>
        </w:rPr>
      </w:pPr>
      <w:bookmarkStart w:id="63" w:name="_Toc17813"/>
      <w:r>
        <w:rPr>
          <w:rFonts w:ascii="Times New Roman" w:hAnsi="Times New Roman"/>
          <w:b w:val="0"/>
          <w:bCs/>
          <w:color w:val="000000" w:themeColor="text1"/>
          <w:szCs w:val="32"/>
          <w14:textFill>
            <w14:solidFill>
              <w14:schemeClr w14:val="tx1"/>
            </w14:solidFill>
          </w14:textFill>
        </w:rPr>
        <w:t>3.2 主要作业流程及设备设施危险性分析</w:t>
      </w:r>
      <w:bookmarkEnd w:id="60"/>
      <w:bookmarkEnd w:id="61"/>
      <w:bookmarkEnd w:id="62"/>
      <w:bookmarkEnd w:id="63"/>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w:t>
      </w:r>
      <w:r>
        <w:rPr>
          <w:rFonts w:hint="eastAsia"/>
          <w:color w:val="000000" w:themeColor="text1"/>
          <w:sz w:val="28"/>
          <w:szCs w:val="28"/>
          <w:lang w:eastAsia="zh-CN"/>
          <w14:textFill>
            <w14:solidFill>
              <w14:schemeClr w14:val="tx1"/>
            </w14:solidFill>
          </w14:textFill>
        </w:rPr>
        <w:t>井下作业项目</w:t>
      </w:r>
      <w:r>
        <w:rPr>
          <w:color w:val="000000" w:themeColor="text1"/>
          <w:sz w:val="28"/>
          <w:szCs w:val="28"/>
          <w14:textFill>
            <w14:solidFill>
              <w14:schemeClr w14:val="tx1"/>
            </w14:solidFill>
          </w14:textFill>
        </w:rPr>
        <w:t>设备主要包括</w:t>
      </w:r>
      <w:r>
        <w:rPr>
          <w:rFonts w:hint="eastAsia"/>
          <w:color w:val="000000" w:themeColor="text1"/>
          <w:sz w:val="28"/>
          <w:szCs w:val="28"/>
          <w:lang w:eastAsia="zh-CN"/>
          <w14:textFill>
            <w14:solidFill>
              <w14:schemeClr w14:val="tx1"/>
            </w14:solidFill>
          </w14:textFill>
        </w:rPr>
        <w:t>氮气发生车组</w:t>
      </w:r>
      <w:r>
        <w:rPr>
          <w:color w:val="000000" w:themeColor="text1"/>
          <w:sz w:val="28"/>
          <w:szCs w:val="28"/>
          <w14:textFill>
            <w14:solidFill>
              <w14:schemeClr w14:val="tx1"/>
            </w14:solidFill>
          </w14:textFill>
        </w:rPr>
        <w:t>、</w:t>
      </w:r>
      <w:r>
        <w:rPr>
          <w:rFonts w:hint="eastAsia"/>
          <w:color w:val="000000" w:themeColor="text1"/>
          <w:sz w:val="28"/>
          <w:szCs w:val="28"/>
          <w:lang w:eastAsia="zh-CN"/>
          <w14:textFill>
            <w14:solidFill>
              <w14:schemeClr w14:val="tx1"/>
            </w14:solidFill>
          </w14:textFill>
        </w:rPr>
        <w:t>增压机车组</w:t>
      </w:r>
      <w:r>
        <w:rPr>
          <w:color w:val="000000" w:themeColor="text1"/>
          <w:sz w:val="28"/>
          <w:szCs w:val="28"/>
          <w14:textFill>
            <w14:solidFill>
              <w14:schemeClr w14:val="tx1"/>
            </w14:solidFill>
          </w14:textFill>
        </w:rPr>
        <w:t>、高压管线</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压裂泵车、混砂车、二氧化碳泵车</w:t>
      </w:r>
      <w:r>
        <w:rPr>
          <w:color w:val="000000" w:themeColor="text1"/>
          <w:sz w:val="28"/>
          <w:szCs w:val="28"/>
          <w14:textFill>
            <w14:solidFill>
              <w14:schemeClr w14:val="tx1"/>
            </w14:solidFill>
          </w14:textFill>
        </w:rPr>
        <w:t>等。</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3.2.1 设备搬移过程</w:t>
      </w:r>
    </w:p>
    <w:p>
      <w:pPr>
        <w:pStyle w:val="64"/>
        <w:adjustRightInd w:val="0"/>
        <w:snapToGrid w:val="0"/>
        <w:spacing w:line="360" w:lineRule="auto"/>
        <w:ind w:firstLine="566"/>
        <w:jc w:val="both"/>
        <w:rPr>
          <w:color w:val="000000"/>
          <w:kern w:val="0"/>
        </w:rPr>
      </w:pPr>
      <w:r>
        <w:rPr>
          <w:color w:val="000000"/>
          <w:kern w:val="0"/>
        </w:rPr>
        <w:t>车辆运输过程中，驾驶员可因道路路况不熟，精力不集中，操作失误等原因，造成道路交通事故。到井场后，受场地限制、车辆故障、驾驶员操作失误、现场作业人员误入视线盲区等，可造成人员伤害或设备损坏等车辆伤害事故。</w:t>
      </w:r>
    </w:p>
    <w:p>
      <w:pPr>
        <w:pStyle w:val="64"/>
        <w:adjustRightInd w:val="0"/>
        <w:snapToGrid w:val="0"/>
        <w:spacing w:line="360" w:lineRule="auto"/>
        <w:ind w:firstLine="566"/>
        <w:jc w:val="both"/>
        <w:rPr>
          <w:color w:val="000000"/>
          <w:kern w:val="0"/>
        </w:rPr>
      </w:pPr>
      <w:r>
        <w:rPr>
          <w:color w:val="000000"/>
          <w:kern w:val="0"/>
        </w:rPr>
        <w:t>作业前或施工完毕后，安装和拆卸设备及管线时，可因用力过猛，配合不当，造成人员伤害，人员</w:t>
      </w:r>
      <w:r>
        <w:rPr>
          <w:rFonts w:hint="eastAsia"/>
          <w:color w:val="000000"/>
          <w:kern w:val="0"/>
          <w:lang w:val="en-US" w:eastAsia="zh-CN"/>
        </w:rPr>
        <w:t>搬抬设备</w:t>
      </w:r>
      <w:r>
        <w:rPr>
          <w:color w:val="000000"/>
          <w:kern w:val="0"/>
        </w:rPr>
        <w:t>时，可能因为手滑、绊倒等原因，发生砸伤人员的事故。</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3.2.</w:t>
      </w:r>
      <w:r>
        <w:rPr>
          <w:rFonts w:hint="eastAsia" w:eastAsia="黑体"/>
          <w:bCs/>
          <w:snapToGrid w:val="0"/>
          <w:color w:val="000000" w:themeColor="text1"/>
          <w:kern w:val="0"/>
          <w:sz w:val="28"/>
          <w:szCs w:val="28"/>
          <w:lang w:val="en-US" w:eastAsia="zh-CN"/>
          <w14:textFill>
            <w14:solidFill>
              <w14:schemeClr w14:val="tx1"/>
            </w14:solidFill>
          </w14:textFill>
        </w:rPr>
        <w:t>2 制氮、注氮</w:t>
      </w:r>
      <w:r>
        <w:rPr>
          <w:rFonts w:eastAsia="黑体"/>
          <w:bCs/>
          <w:snapToGrid w:val="0"/>
          <w:color w:val="000000" w:themeColor="text1"/>
          <w:kern w:val="0"/>
          <w:sz w:val="28"/>
          <w:szCs w:val="28"/>
          <w14:textFill>
            <w14:solidFill>
              <w14:schemeClr w14:val="tx1"/>
            </w14:solidFill>
          </w14:textFill>
        </w:rPr>
        <w:t>作业过程</w:t>
      </w:r>
    </w:p>
    <w:p>
      <w:pPr>
        <w:pStyle w:val="22"/>
        <w:adjustRightInd w:val="0"/>
        <w:snapToGrid w:val="0"/>
        <w:spacing w:after="0" w:line="360" w:lineRule="auto"/>
        <w:ind w:firstLine="564" w:firstLineChars="200"/>
        <w:rPr>
          <w:sz w:val="28"/>
          <w:szCs w:val="28"/>
        </w:rPr>
      </w:pPr>
      <w:r>
        <w:rPr>
          <w:sz w:val="28"/>
          <w:szCs w:val="28"/>
        </w:rPr>
        <w:t>制氮设备采用膜分离技术制氮，通过高压注氮机组将高压氮气注入油、气井内或其他装置，达到施工目的。正常工作时，空气通过制氮设备的空气压缩机压缩后经预处理系统除去油、尘埃等固体杂质及大部分的气态水</w:t>
      </w:r>
      <w:r>
        <w:rPr>
          <w:rFonts w:hint="eastAsia"/>
          <w:sz w:val="28"/>
          <w:szCs w:val="28"/>
        </w:rPr>
        <w:t>，</w:t>
      </w:r>
      <w:r>
        <w:rPr>
          <w:sz w:val="28"/>
          <w:szCs w:val="28"/>
        </w:rPr>
        <w:t>预热后进入膜分离器，渗透速率相当快的气体如水汽、氧气、氢气、二氧化碳等透过膜后，在膜的渗透侧被排除，而渗透速率相对慢的气体如氮气、氩气、甲烷和一氧化碳等被滞留在膜的滞留侧被富集；系统在PLC系统的控制下，通过调节气体流量、压力可实现连续稳定的输出氮气，产生纯度能达99.9%的气态氮，而且氮气的流量和纯度均可根据需要进行调节。分离出的氮气经增压机组增压后注入油气井内。</w:t>
      </w:r>
    </w:p>
    <w:p>
      <w:pPr>
        <w:pStyle w:val="64"/>
        <w:adjustRightInd w:val="0"/>
        <w:snapToGrid w:val="0"/>
        <w:spacing w:line="360" w:lineRule="auto"/>
        <w:ind w:firstLine="566"/>
        <w:jc w:val="both"/>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氮气发生车</w:t>
      </w:r>
      <w:r>
        <w:rPr>
          <w:color w:val="000000" w:themeColor="text1"/>
          <w14:textFill>
            <w14:solidFill>
              <w14:schemeClr w14:val="tx1"/>
            </w14:solidFill>
          </w14:textFill>
        </w:rPr>
        <w:t>辆停放位置不当，吸入的空气中含有油气等可燃气体，有可能形成爆炸性混合气体，遇点火源，可造成爆炸事故。</w:t>
      </w:r>
    </w:p>
    <w:p>
      <w:pPr>
        <w:pStyle w:val="64"/>
        <w:adjustRightInd w:val="0"/>
        <w:snapToGrid w:val="0"/>
        <w:spacing w:line="360" w:lineRule="auto"/>
        <w:ind w:firstLine="566"/>
        <w:jc w:val="both"/>
      </w:pPr>
      <w:r>
        <w:t>注氮压力最高可达到35M</w:t>
      </w:r>
      <w:r>
        <w:rPr>
          <w:rFonts w:hint="eastAsia"/>
        </w:rPr>
        <w:t>Pa</w:t>
      </w:r>
      <w:r>
        <w:t>，若管道刺漏，可造成人员受伤。</w:t>
      </w:r>
    </w:p>
    <w:p>
      <w:pPr>
        <w:pStyle w:val="64"/>
        <w:adjustRightInd w:val="0"/>
        <w:snapToGrid w:val="0"/>
        <w:spacing w:line="360" w:lineRule="auto"/>
        <w:ind w:firstLine="566"/>
        <w:jc w:val="both"/>
        <w:rPr>
          <w:bCs/>
        </w:rPr>
      </w:pPr>
      <w:r>
        <w:rPr>
          <w:bCs/>
        </w:rPr>
        <w:t>氮气属于窒息性气体，泄漏的高纯度氮气被人体吸入可造成人员窒息。</w:t>
      </w:r>
    </w:p>
    <w:p>
      <w:pPr>
        <w:pStyle w:val="64"/>
        <w:adjustRightInd w:val="0"/>
        <w:snapToGrid w:val="0"/>
        <w:spacing w:line="360" w:lineRule="auto"/>
        <w:ind w:firstLine="566"/>
        <w:jc w:val="both"/>
        <w:rPr>
          <w:bCs/>
        </w:rPr>
      </w:pPr>
      <w:r>
        <w:rPr>
          <w:bCs/>
        </w:rPr>
        <w:t>井场内泄漏的油气遇点火源，可能发生火灾爆炸事故；人员吸入大量的油气，可导致中毒和窒息事故。若油气中含有硫化氢气体，人员吸入硫化氢气体，可导致中毒。</w:t>
      </w:r>
    </w:p>
    <w:p>
      <w:pPr>
        <w:pStyle w:val="64"/>
        <w:adjustRightInd w:val="0"/>
        <w:snapToGrid w:val="0"/>
        <w:spacing w:line="360" w:lineRule="auto"/>
        <w:ind w:firstLine="566"/>
        <w:jc w:val="both"/>
        <w:rPr>
          <w:bCs/>
        </w:rPr>
      </w:pPr>
      <w:r>
        <w:rPr>
          <w:rFonts w:hint="eastAsia"/>
          <w:bCs/>
        </w:rPr>
        <w:t>注气（氮气）</w:t>
      </w:r>
      <w:r>
        <w:rPr>
          <w:bCs/>
        </w:rPr>
        <w:t>作业用的电气设备、设施未设置接地、接零保护或接地、接零保护失效，有发生触电的危险。</w:t>
      </w:r>
    </w:p>
    <w:p>
      <w:pPr>
        <w:pStyle w:val="64"/>
        <w:adjustRightInd w:val="0"/>
        <w:snapToGrid w:val="0"/>
        <w:spacing w:line="360" w:lineRule="auto"/>
        <w:ind w:firstLine="566"/>
        <w:jc w:val="both"/>
        <w:rPr>
          <w:bCs/>
        </w:rPr>
      </w:pPr>
      <w:r>
        <w:rPr>
          <w:bCs/>
        </w:rPr>
        <w:t>制氮注氮设备没有保护架，雨雪天设备湿滑，可导致巡检或操作人员从车上摔下，造成高处坠落事故。</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3.2.</w:t>
      </w:r>
      <w:r>
        <w:rPr>
          <w:rFonts w:hint="eastAsia" w:eastAsia="黑体"/>
          <w:bCs/>
          <w:snapToGrid w:val="0"/>
          <w:color w:val="000000" w:themeColor="text1"/>
          <w:kern w:val="0"/>
          <w:sz w:val="28"/>
          <w:szCs w:val="28"/>
          <w:lang w:val="en-US" w:eastAsia="zh-CN"/>
          <w14:textFill>
            <w14:solidFill>
              <w14:schemeClr w14:val="tx1"/>
            </w14:solidFill>
          </w14:textFill>
        </w:rPr>
        <w:t>3 注二氧化碳</w:t>
      </w:r>
      <w:r>
        <w:rPr>
          <w:rFonts w:eastAsia="黑体"/>
          <w:bCs/>
          <w:snapToGrid w:val="0"/>
          <w:color w:val="000000" w:themeColor="text1"/>
          <w:kern w:val="0"/>
          <w:sz w:val="28"/>
          <w:szCs w:val="28"/>
          <w14:textFill>
            <w14:solidFill>
              <w14:schemeClr w14:val="tx1"/>
            </w14:solidFill>
          </w14:textFill>
        </w:rPr>
        <w:t>作业过程</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油气田注</w:t>
      </w:r>
      <w:r>
        <w:rPr>
          <w:rFonts w:hint="eastAsia" w:cs="Times New Roman"/>
          <w:color w:val="000000" w:themeColor="text1"/>
          <w:lang w:val="en-US" w:eastAsia="zh-CN"/>
          <w14:textFill>
            <w14:solidFill>
              <w14:schemeClr w14:val="tx1"/>
            </w14:solidFill>
          </w14:textFill>
        </w:rPr>
        <w:t>入</w:t>
      </w:r>
      <w:r>
        <w:rPr>
          <w:rFonts w:hint="default" w:ascii="Times New Roman" w:hAnsi="Times New Roman" w:cs="Times New Roman"/>
          <w:color w:val="000000" w:themeColor="text1"/>
          <w14:textFill>
            <w14:solidFill>
              <w14:schemeClr w14:val="tx1"/>
            </w14:solidFill>
          </w14:textFill>
        </w:rPr>
        <w:t>二氧化碳涉及地面工程设计、井筒设计、施工管理、安全防护、事故应急等环节。</w:t>
      </w:r>
      <w:r>
        <w:rPr>
          <w:rFonts w:hint="eastAsia" w:cs="Times New Roman"/>
          <w:color w:val="000000" w:themeColor="text1"/>
          <w:lang w:val="en-US" w:eastAsia="zh-CN"/>
          <w14:textFill>
            <w14:solidFill>
              <w14:schemeClr w14:val="tx1"/>
            </w14:solidFill>
          </w14:textFill>
        </w:rPr>
        <w:t>注</w:t>
      </w:r>
      <w:r>
        <w:rPr>
          <w:rFonts w:hint="default" w:ascii="Times New Roman" w:hAnsi="Times New Roman" w:cs="Times New Roman"/>
          <w:color w:val="000000" w:themeColor="text1"/>
          <w14:textFill>
            <w14:solidFill>
              <w14:schemeClr w14:val="tx1"/>
            </w14:solidFill>
          </w14:textFill>
        </w:rPr>
        <w:t>二氧化碳设备设施</w:t>
      </w:r>
      <w:r>
        <w:rPr>
          <w:rFonts w:hint="eastAsia" w:cs="Times New Roman"/>
          <w:color w:val="000000" w:themeColor="text1"/>
          <w:lang w:val="en-US" w:eastAsia="zh-CN"/>
          <w14:textFill>
            <w14:solidFill>
              <w14:schemeClr w14:val="tx1"/>
            </w14:solidFill>
          </w14:textFill>
        </w:rPr>
        <w:t>在</w:t>
      </w:r>
      <w:r>
        <w:rPr>
          <w:rFonts w:hint="default" w:ascii="Times New Roman" w:hAnsi="Times New Roman" w:cs="Times New Roman"/>
          <w:color w:val="000000" w:themeColor="text1"/>
          <w14:textFill>
            <w14:solidFill>
              <w14:schemeClr w14:val="tx1"/>
            </w14:solidFill>
          </w14:textFill>
        </w:rPr>
        <w:t>低温高压运行</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容易出现</w:t>
      </w:r>
      <w:r>
        <w:rPr>
          <w:rFonts w:hint="default" w:ascii="Times New Roman" w:hAnsi="Times New Roman" w:cs="Times New Roman"/>
          <w:color w:val="000000" w:themeColor="text1"/>
          <w14:textFill>
            <w14:solidFill>
              <w14:schemeClr w14:val="tx1"/>
            </w14:solidFill>
          </w14:textFill>
        </w:rPr>
        <w:t>冻堵、脆断、腐蚀、爆炸、泄漏等设施事故</w:t>
      </w:r>
      <w:r>
        <w:rPr>
          <w:rFonts w:hint="eastAsia" w:cs="Times New Roman"/>
          <w:color w:val="000000" w:themeColor="text1"/>
          <w:lang w:val="en-US" w:eastAsia="zh-CN"/>
          <w14:textFill>
            <w14:solidFill>
              <w14:schemeClr w14:val="tx1"/>
            </w14:solidFill>
          </w14:textFill>
        </w:rPr>
        <w:t>泄漏，泄漏的液体二氧化碳</w:t>
      </w:r>
      <w:r>
        <w:rPr>
          <w:rFonts w:hint="default" w:ascii="Times New Roman" w:hAnsi="Times New Roman" w:cs="Times New Roman"/>
          <w:color w:val="000000" w:themeColor="text1"/>
          <w14:textFill>
            <w14:solidFill>
              <w14:schemeClr w14:val="tx1"/>
            </w14:solidFill>
          </w14:textFill>
        </w:rPr>
        <w:t>相态变化</w:t>
      </w:r>
      <w:r>
        <w:rPr>
          <w:rFonts w:hint="eastAsia"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多发人员冻伤、窒息及其他人身伤害事故。</w:t>
      </w:r>
    </w:p>
    <w:p>
      <w:pPr>
        <w:pStyle w:val="2"/>
        <w:spacing w:line="360" w:lineRule="auto"/>
        <w:ind w:firstLine="564"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注二氧化碳施工时，工作压力有时可达到40MPa，设备及高压管汇管件等，由于设计问题，施工过程中人员违规操作，设备问题等可能导致物体打击、机械伤害、爆炸（容器及管线管件）等事故的发生。施工过程中，涉及二氧化碳注入泵车、二氧化碳罐车等施工车辆，由于施工环境或者驾驶员问题可能导致车辆伤害，交叉作业过程管理不到位，也可能导致其他的伤害类型发现。</w:t>
      </w:r>
    </w:p>
    <w:p>
      <w:pPr>
        <w:adjustRightInd w:val="0"/>
        <w:snapToGrid w:val="0"/>
        <w:spacing w:line="360" w:lineRule="auto"/>
        <w:outlineLvl w:val="2"/>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3.2.</w:t>
      </w:r>
      <w:r>
        <w:rPr>
          <w:rFonts w:hint="eastAsia" w:eastAsia="黑体" w:cs="Times New Roman"/>
          <w:color w:val="000000" w:themeColor="text1"/>
          <w:kern w:val="0"/>
          <w:sz w:val="28"/>
          <w:szCs w:val="28"/>
          <w:lang w:val="en-US" w:eastAsia="zh-CN"/>
          <w14:textFill>
            <w14:solidFill>
              <w14:schemeClr w14:val="tx1"/>
            </w14:solidFill>
          </w14:textFill>
        </w:rPr>
        <w:t>4</w:t>
      </w:r>
      <w:r>
        <w:rPr>
          <w:rFonts w:hint="default" w:ascii="Times New Roman" w:hAnsi="Times New Roman" w:eastAsia="黑体" w:cs="Times New Roman"/>
          <w:color w:val="000000" w:themeColor="text1"/>
          <w:kern w:val="0"/>
          <w:sz w:val="28"/>
          <w:szCs w:val="28"/>
          <w14:textFill>
            <w14:solidFill>
              <w14:schemeClr w14:val="tx1"/>
            </w14:solidFill>
          </w14:textFill>
        </w:rPr>
        <w:t xml:space="preserve"> 酸化作业过程中危险性分析 </w:t>
      </w:r>
    </w:p>
    <w:p>
      <w:pPr>
        <w:pStyle w:val="64"/>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酸化作业具有高压危险，同时还需要使用盐酸、复合酸以及添加剂，操作不当可造成灼烫、中毒和窒息。</w:t>
      </w:r>
    </w:p>
    <w:p>
      <w:pPr>
        <w:pStyle w:val="64"/>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由于高压管汇因设计、材质以及腐蚀等原因造成的压力等级不合格等其他原因，出现高压管汇、井口的破裂和设备的损坏，酸性腐蚀性液体喷溅到人体无防护处，可导致灼烫事故。由于压力较高，酸液还可能导致人身伤害事故。若导致油气泄漏，可导致人员中毒和窒息，甚至火灾爆炸事故发生。</w:t>
      </w:r>
    </w:p>
    <w:p>
      <w:pPr>
        <w:adjustRightInd w:val="0"/>
        <w:snapToGrid w:val="0"/>
        <w:spacing w:line="360" w:lineRule="auto"/>
        <w:outlineLvl w:val="2"/>
        <w:rPr>
          <w:rFonts w:hint="default" w:ascii="Times New Roman" w:hAnsi="Times New Roman" w:eastAsia="黑体" w:cs="Times New Roman"/>
          <w:color w:val="000000" w:themeColor="text1"/>
          <w:kern w:val="0"/>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3.2.</w:t>
      </w:r>
      <w:r>
        <w:rPr>
          <w:rFonts w:hint="eastAsia" w:eastAsia="黑体" w:cs="Times New Roman"/>
          <w:color w:val="000000" w:themeColor="text1"/>
          <w:kern w:val="0"/>
          <w:sz w:val="28"/>
          <w:szCs w:val="28"/>
          <w:lang w:val="en-US" w:eastAsia="zh-CN"/>
          <w14:textFill>
            <w14:solidFill>
              <w14:schemeClr w14:val="tx1"/>
            </w14:solidFill>
          </w14:textFill>
        </w:rPr>
        <w:t>5</w:t>
      </w:r>
      <w:r>
        <w:rPr>
          <w:rFonts w:hint="default" w:ascii="Times New Roman" w:hAnsi="Times New Roman" w:eastAsia="黑体" w:cs="Times New Roman"/>
          <w:color w:val="000000" w:themeColor="text1"/>
          <w:kern w:val="0"/>
          <w:sz w:val="28"/>
          <w:szCs w:val="28"/>
          <w14:textFill>
            <w14:solidFill>
              <w14:schemeClr w14:val="tx1"/>
            </w14:solidFill>
          </w14:textFill>
        </w:rPr>
        <w:t xml:space="preserve"> </w:t>
      </w:r>
      <w:r>
        <w:rPr>
          <w:rFonts w:hint="eastAsia" w:eastAsia="黑体" w:cs="Times New Roman"/>
          <w:color w:val="000000" w:themeColor="text1"/>
          <w:kern w:val="0"/>
          <w:sz w:val="28"/>
          <w:szCs w:val="28"/>
          <w:lang w:val="en-US" w:eastAsia="zh-CN"/>
          <w14:textFill>
            <w14:solidFill>
              <w14:schemeClr w14:val="tx1"/>
            </w14:solidFill>
          </w14:textFill>
        </w:rPr>
        <w:t>防砂</w:t>
      </w:r>
      <w:r>
        <w:rPr>
          <w:rFonts w:hint="default" w:ascii="Times New Roman" w:hAnsi="Times New Roman" w:eastAsia="黑体" w:cs="Times New Roman"/>
          <w:color w:val="000000" w:themeColor="text1"/>
          <w:kern w:val="0"/>
          <w:sz w:val="28"/>
          <w:szCs w:val="28"/>
          <w14:textFill>
            <w14:solidFill>
              <w14:schemeClr w14:val="tx1"/>
            </w14:solidFill>
          </w14:textFill>
        </w:rPr>
        <w:t>作业过程中危险性分析</w:t>
      </w:r>
    </w:p>
    <w:p>
      <w:pPr>
        <w:pStyle w:val="64"/>
        <w:adjustRightInd w:val="0"/>
        <w:snapToGrid w:val="0"/>
        <w:spacing w:line="360" w:lineRule="auto"/>
        <w:ind w:firstLine="566"/>
        <w:jc w:val="both"/>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eastAsia" w:cs="Times New Roman"/>
          <w:color w:val="000000" w:themeColor="text1"/>
          <w:kern w:val="0"/>
          <w:lang w:val="en-US" w:eastAsia="zh-CN"/>
          <w14:textFill>
            <w14:solidFill>
              <w14:schemeClr w14:val="tx1"/>
            </w14:solidFill>
          </w14:textFill>
        </w:rPr>
        <w:t>防砂</w:t>
      </w:r>
      <w:r>
        <w:rPr>
          <w:rFonts w:hint="default" w:ascii="Times New Roman" w:hAnsi="Times New Roman" w:cs="Times New Roman"/>
          <w:color w:val="000000" w:themeColor="text1"/>
          <w:kern w:val="0"/>
          <w14:textFill>
            <w14:solidFill>
              <w14:schemeClr w14:val="tx1"/>
            </w14:solidFill>
          </w14:textFill>
        </w:rPr>
        <w:t>作业具有高压危险，</w:t>
      </w:r>
      <w:r>
        <w:rPr>
          <w:rFonts w:hint="eastAsia" w:cs="Times New Roman"/>
          <w:color w:val="000000" w:themeColor="text1"/>
          <w:kern w:val="0"/>
          <w:lang w:val="en-US" w:eastAsia="zh-CN"/>
          <w14:textFill>
            <w14:solidFill>
              <w14:schemeClr w14:val="tx1"/>
            </w14:solidFill>
          </w14:textFill>
        </w:rPr>
        <w:t>同时施工过程中涉及混砂车、仪表车泵车等施工车辆</w:t>
      </w:r>
      <w:r>
        <w:rPr>
          <w:rFonts w:hint="default" w:ascii="Times New Roman" w:hAnsi="Times New Roman" w:cs="Times New Roman"/>
          <w:color w:val="000000" w:themeColor="text1"/>
          <w:kern w:val="0"/>
          <w14:textFill>
            <w14:solidFill>
              <w14:schemeClr w14:val="tx1"/>
            </w14:solidFill>
          </w14:textFill>
        </w:rPr>
        <w:t>，</w:t>
      </w:r>
      <w:r>
        <w:rPr>
          <w:rFonts w:hint="eastAsia" w:cs="Times New Roman"/>
          <w:color w:val="000000" w:themeColor="text1"/>
          <w:kern w:val="0"/>
          <w:lang w:val="en-US" w:eastAsia="zh-CN"/>
          <w14:textFill>
            <w14:solidFill>
              <w14:schemeClr w14:val="tx1"/>
            </w14:solidFill>
          </w14:textFill>
        </w:rPr>
        <w:t>施工车辆较多，</w:t>
      </w:r>
      <w:r>
        <w:rPr>
          <w:rFonts w:hint="default" w:ascii="Times New Roman" w:hAnsi="Times New Roman" w:cs="Times New Roman"/>
          <w:color w:val="000000" w:themeColor="text1"/>
          <w:kern w:val="0"/>
          <w14:textFill>
            <w14:solidFill>
              <w14:schemeClr w14:val="tx1"/>
            </w14:solidFill>
          </w14:textFill>
        </w:rPr>
        <w:t>操作不当可造成</w:t>
      </w:r>
      <w:r>
        <w:rPr>
          <w:rFonts w:hint="eastAsia" w:cs="Times New Roman"/>
          <w:color w:val="000000" w:themeColor="text1"/>
          <w:kern w:val="0"/>
          <w:lang w:val="en-US" w:eastAsia="zh-CN"/>
          <w14:textFill>
            <w14:solidFill>
              <w14:schemeClr w14:val="tx1"/>
            </w14:solidFill>
          </w14:textFill>
        </w:rPr>
        <w:t>机械伤害、物体打击和车辆伤害等。</w:t>
      </w:r>
    </w:p>
    <w:p>
      <w:pPr>
        <w:pStyle w:val="2"/>
        <w:spacing w:line="360" w:lineRule="auto"/>
        <w:ind w:firstLine="564" w:firstLineChars="200"/>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由于高压管汇因设计、材质以及腐蚀等原因造成的压力等级不合格等其他原因，出现高压管汇、井口的破裂和设备的损坏。若油气泄漏，可导致人员中毒和窒息，甚至火灾爆炸事故发生。</w:t>
      </w:r>
    </w:p>
    <w:p>
      <w:pPr>
        <w:pStyle w:val="2"/>
        <w:spacing w:line="360" w:lineRule="auto"/>
        <w:ind w:firstLine="564"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kern w:val="0"/>
          <w:lang w:val="en-US" w:eastAsia="zh-CN"/>
          <w14:textFill>
            <w14:solidFill>
              <w14:schemeClr w14:val="tx1"/>
            </w14:solidFill>
          </w14:textFill>
        </w:rPr>
        <w:t>防砂施工过程中设计缺陷、</w:t>
      </w:r>
      <w:r>
        <w:rPr>
          <w:rFonts w:hint="eastAsia" w:cs="Times New Roman"/>
          <w:color w:val="000000" w:themeColor="text1"/>
          <w:lang w:val="en-US" w:eastAsia="zh-CN"/>
          <w14:textFill>
            <w14:solidFill>
              <w14:schemeClr w14:val="tx1"/>
            </w14:solidFill>
          </w14:textFill>
        </w:rPr>
        <w:t>设备问题等可能导致物体打击、机械伤害等事故的发生。施工过程中，涉及</w:t>
      </w:r>
      <w:r>
        <w:rPr>
          <w:rFonts w:hint="eastAsia" w:cs="Times New Roman"/>
          <w:color w:val="000000" w:themeColor="text1"/>
          <w:kern w:val="0"/>
          <w:lang w:val="en-US" w:eastAsia="zh-CN"/>
          <w14:textFill>
            <w14:solidFill>
              <w14:schemeClr w14:val="tx1"/>
            </w14:solidFill>
          </w14:textFill>
        </w:rPr>
        <w:t>混砂车、仪表车、泵车</w:t>
      </w:r>
      <w:r>
        <w:rPr>
          <w:rFonts w:hint="eastAsia" w:cs="Times New Roman"/>
          <w:color w:val="000000" w:themeColor="text1"/>
          <w:lang w:val="en-US" w:eastAsia="zh-CN"/>
          <w14:textFill>
            <w14:solidFill>
              <w14:schemeClr w14:val="tx1"/>
            </w14:solidFill>
          </w14:textFill>
        </w:rPr>
        <w:t>等施工车辆，由于施工环境或者驾驶员问题可能导致车辆伤害。</w:t>
      </w:r>
    </w:p>
    <w:p>
      <w:pPr>
        <w:adjustRightInd w:val="0"/>
        <w:snapToGrid w:val="0"/>
        <w:spacing w:line="360" w:lineRule="auto"/>
        <w:outlineLvl w:val="2"/>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3.2.</w:t>
      </w:r>
      <w:r>
        <w:rPr>
          <w:rFonts w:hint="eastAsia" w:eastAsia="黑体" w:cs="Times New Roman"/>
          <w:color w:val="000000" w:themeColor="text1"/>
          <w:kern w:val="0"/>
          <w:sz w:val="28"/>
          <w:szCs w:val="28"/>
          <w:lang w:val="en-US" w:eastAsia="zh-CN"/>
          <w14:textFill>
            <w14:solidFill>
              <w14:schemeClr w14:val="tx1"/>
            </w14:solidFill>
          </w14:textFill>
        </w:rPr>
        <w:t>6</w:t>
      </w:r>
      <w:r>
        <w:rPr>
          <w:rFonts w:hint="default" w:ascii="Times New Roman" w:hAnsi="Times New Roman" w:eastAsia="黑体" w:cs="Times New Roman"/>
          <w:color w:val="000000" w:themeColor="text1"/>
          <w:kern w:val="0"/>
          <w:sz w:val="28"/>
          <w:szCs w:val="28"/>
          <w14:textFill>
            <w14:solidFill>
              <w14:schemeClr w14:val="tx1"/>
            </w14:solidFill>
          </w14:textFill>
        </w:rPr>
        <w:t xml:space="preserve"> 堵水/调剖作业过程中危险性分析 </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堵水/调剖作业流程中的危险性主要是注入系统的高压力、高噪声等，主要危险、有害因素有超压爆裂、物体打击、触电、机械伤害等。</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1.超压爆裂</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堵水/调剖作业注入系统压力较高，当设备、管道存在缺陷、误操作造成憋压、带压（压力未放空）检维修等，压力超出设备、管道承压极限，导致超压爆裂。</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2.物体打击</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操作人员在操作高压注入设施上的阀门时，若操作人员违章作业，不遵守操作规程，阀门丝杠、手轮等部件飞出可能发生物体打击事故。未泄压情况下更换压力表，压力表飞出可能导致物体打击事故。</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高压管汇刺漏可能击伤人体，发生高压刺漏的原因主要有：若注入管线、阀组质量不合格，承压不够，可能发生管线破裂造成刺漏，注入管线受到内外腐蚀，管线长期运行可能产生腐蚀穿孔，导致刺漏。</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高压管线丝扣连接不规范，未拧紧，管线阀门、法兰等连接部位的密封件因老化、磨损，或者由于紧固件松动，而产生密封不良或失效等。</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堵水/调剖时，井口承受高压，井口设施可能由于质量问题或腐蚀等发生刺漏造成人员伤亡。</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3.其它危害</w:t>
      </w:r>
    </w:p>
    <w:p>
      <w:pPr>
        <w:pStyle w:val="2"/>
        <w:spacing w:line="360" w:lineRule="auto"/>
        <w:ind w:firstLine="564"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高压液体泄漏产生的噪声，电机、泵类设备产生的噪声，对人员健康有一定影响。操作人员若长期在高噪声、振动环境下工作，不仅会损伤他们的听觉，还会使工作人员的情绪烦躁，降低工作效率，有时甚至会导致误动作而引起事故的发生。</w:t>
      </w:r>
    </w:p>
    <w:p>
      <w:pPr>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3.2.</w:t>
      </w:r>
      <w:r>
        <w:rPr>
          <w:rFonts w:hint="eastAsia" w:eastAsia="黑体" w:cs="Times New Roman"/>
          <w:bCs/>
          <w:snapToGrid w:val="0"/>
          <w:color w:val="000000" w:themeColor="text1"/>
          <w:kern w:val="0"/>
          <w:sz w:val="28"/>
          <w:szCs w:val="28"/>
          <w:lang w:val="en-US" w:eastAsia="zh-CN"/>
          <w14:textFill>
            <w14:solidFill>
              <w14:schemeClr w14:val="tx1"/>
            </w14:solidFill>
          </w14:textFill>
        </w:rPr>
        <w:t>7</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特殊工艺技术服务</w:t>
      </w:r>
      <w:r>
        <w:rPr>
          <w:rFonts w:hint="eastAsia" w:ascii="Times New Roman" w:hAnsi="Times New Roman" w:eastAsia="黑体"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套管补贴</w:t>
      </w:r>
      <w:r>
        <w:rPr>
          <w:rFonts w:hint="eastAsia" w:ascii="Times New Roman" w:hAnsi="Times New Roman" w:eastAsia="黑体"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和井下复杂情况处理</w:t>
      </w:r>
      <w:r>
        <w:rPr>
          <w:rFonts w:hint="eastAsia" w:ascii="Times New Roman" w:hAnsi="Times New Roman" w:eastAsia="黑体" w:cs="Times New Roman"/>
          <w:bCs/>
          <w:snapToGrid w:val="0"/>
          <w:color w:val="000000" w:themeColor="text1"/>
          <w:kern w:val="0"/>
          <w:sz w:val="28"/>
          <w:szCs w:val="28"/>
          <w:lang w:eastAsia="zh-CN"/>
          <w14:textFill>
            <w14:solidFill>
              <w14:schemeClr w14:val="tx1"/>
            </w14:solidFill>
          </w14:textFill>
        </w:rPr>
        <w:t>（堵漏）</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作业流程危险性分析</w:t>
      </w:r>
    </w:p>
    <w:p>
      <w:pPr>
        <w:pStyle w:val="2"/>
        <w:keepNext w:val="0"/>
        <w:keepLines w:val="0"/>
        <w:pageBreakBefore w:val="0"/>
        <w:widowControl w:val="0"/>
        <w:kinsoku/>
        <w:wordWrap/>
        <w:autoSpaceDE/>
        <w:autoSpaceDN/>
        <w:bidi w:val="0"/>
        <w:adjustRightInd w:val="0"/>
        <w:snapToGrid w:val="0"/>
        <w:spacing w:line="360" w:lineRule="auto"/>
        <w:ind w:firstLine="564" w:firstLineChars="200"/>
        <w:textAlignment w:val="auto"/>
        <w:rPr>
          <w:rFonts w:hint="default" w:ascii="Times New Roman" w:hAnsi="Times New Roman" w:cs="Times New Roman"/>
          <w:bCs/>
          <w:snapToGrid w:val="0"/>
          <w:color w:val="000000" w:themeColor="text1"/>
          <w:kern w:val="0"/>
          <w14:textFill>
            <w14:solidFill>
              <w14:schemeClr w14:val="tx1"/>
            </w14:solidFill>
          </w14:textFill>
        </w:rPr>
      </w:pPr>
      <w:r>
        <w:rPr>
          <w:rFonts w:hint="eastAsia" w:cs="Times New Roman"/>
          <w:color w:val="000000" w:themeColor="text1"/>
          <w:lang w:val="en-US" w:eastAsia="zh-CN"/>
          <w14:textFill>
            <w14:solidFill>
              <w14:schemeClr w14:val="tx1"/>
            </w14:solidFill>
          </w14:textFill>
        </w:rPr>
        <w:t>鸿欣公司</w:t>
      </w:r>
      <w:r>
        <w:rPr>
          <w:rFonts w:hint="default" w:ascii="Times New Roman" w:hAnsi="Times New Roman" w:cs="Times New Roman"/>
          <w:color w:val="000000" w:themeColor="text1"/>
          <w14:textFill>
            <w14:solidFill>
              <w14:schemeClr w14:val="tx1"/>
            </w14:solidFill>
          </w14:textFill>
        </w:rPr>
        <w:t>特殊工艺技术服务</w:t>
      </w:r>
      <w:r>
        <w:rPr>
          <w:rFonts w:hint="eastAsia" w:cs="Times New Roman"/>
          <w:color w:val="000000" w:themeColor="text1"/>
          <w:lang w:eastAsia="zh-CN"/>
          <w14:textFill>
            <w14:solidFill>
              <w14:schemeClr w14:val="tx1"/>
            </w14:solidFill>
          </w14:textFill>
        </w:rPr>
        <w:t>（</w:t>
      </w:r>
      <w:r>
        <w:rPr>
          <w:rFonts w:hint="default" w:ascii="Times New Roman" w:hAnsi="Times New Roman" w:cs="Times New Roman"/>
          <w:b w:val="0"/>
          <w:bCs/>
          <w:color w:val="000000" w:themeColor="text1"/>
          <w:sz w:val="28"/>
          <w:szCs w:val="28"/>
          <w:lang w:val="en-US" w:eastAsia="zh-CN"/>
          <w14:textFill>
            <w14:solidFill>
              <w14:schemeClr w14:val="tx1"/>
            </w14:solidFill>
          </w14:textFill>
        </w:rPr>
        <w:t>套管补贴</w:t>
      </w:r>
      <w:r>
        <w:rPr>
          <w:rFonts w:hint="eastAsia"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和井下复杂情况处理</w:t>
      </w:r>
      <w:r>
        <w:rPr>
          <w:rFonts w:hint="eastAsia" w:cs="Times New Roman"/>
          <w:color w:val="000000" w:themeColor="text1"/>
          <w:lang w:eastAsia="zh-CN"/>
          <w14:textFill>
            <w14:solidFill>
              <w14:schemeClr w14:val="tx1"/>
            </w14:solidFill>
          </w14:textFill>
        </w:rPr>
        <w:t>（</w:t>
      </w:r>
      <w:r>
        <w:rPr>
          <w:rFonts w:hint="eastAsia"/>
          <w:color w:val="000000" w:themeColor="text1"/>
          <w:sz w:val="28"/>
          <w:szCs w:val="28"/>
          <w:lang w:eastAsia="zh-CN"/>
          <w14:textFill>
            <w14:solidFill>
              <w14:schemeClr w14:val="tx1"/>
            </w14:solidFill>
          </w14:textFill>
        </w:rPr>
        <w:t>堵漏</w:t>
      </w:r>
      <w:r>
        <w:rPr>
          <w:rFonts w:hint="eastAsia" w:cs="Times New Roman"/>
          <w:color w:val="000000" w:themeColor="text1"/>
          <w:lang w:eastAsia="zh-CN"/>
          <w14:textFill>
            <w14:solidFill>
              <w14:schemeClr w14:val="tx1"/>
            </w14:solidFill>
          </w14:textFill>
        </w:rPr>
        <w:t>）</w:t>
      </w:r>
      <w:r>
        <w:rPr>
          <w:rFonts w:hint="default" w:ascii="Times New Roman" w:hAnsi="Times New Roman" w:cs="Times New Roman"/>
          <w:bCs/>
          <w:snapToGrid w:val="0"/>
          <w:color w:val="000000" w:themeColor="text1"/>
          <w:kern w:val="0"/>
          <w14:textFill>
            <w14:solidFill>
              <w14:schemeClr w14:val="tx1"/>
            </w14:solidFill>
          </w14:textFill>
        </w:rPr>
        <w:t>主要伤害类型为机械伤害和物体打击。</w:t>
      </w:r>
    </w:p>
    <w:p>
      <w:pPr>
        <w:pStyle w:val="2"/>
        <w:keepNext w:val="0"/>
        <w:keepLines w:val="0"/>
        <w:pageBreakBefore w:val="0"/>
        <w:widowControl w:val="0"/>
        <w:kinsoku/>
        <w:wordWrap/>
        <w:autoSpaceDE/>
        <w:autoSpaceDN/>
        <w:bidi w:val="0"/>
        <w:adjustRightInd w:val="0"/>
        <w:snapToGrid w:val="0"/>
        <w:spacing w:line="360" w:lineRule="auto"/>
        <w:ind w:firstLine="564" w:firstLineChars="200"/>
        <w:textAlignment w:val="auto"/>
        <w:rPr>
          <w:rFonts w:hint="eastAsia" w:cs="Times New Roman"/>
          <w:bCs/>
          <w:snapToGrid w:val="0"/>
          <w:color w:val="000000" w:themeColor="text1"/>
          <w:kern w:val="0"/>
          <w:lang w:eastAsia="zh-CN"/>
          <w14:textFill>
            <w14:solidFill>
              <w14:schemeClr w14:val="tx1"/>
            </w14:solidFill>
          </w14:textFill>
        </w:rPr>
      </w:pPr>
      <w:r>
        <w:rPr>
          <w:rFonts w:hint="default" w:ascii="Times New Roman" w:hAnsi="Times New Roman" w:cs="Times New Roman"/>
          <w:bCs/>
          <w:snapToGrid w:val="0"/>
          <w:color w:val="000000" w:themeColor="text1"/>
          <w:kern w:val="0"/>
          <w14:textFill>
            <w14:solidFill>
              <w14:schemeClr w14:val="tx1"/>
            </w14:solidFill>
          </w14:textFill>
        </w:rPr>
        <w:t>在施工作业中，由于操作技术不熟练，对有关的安全操作规程不熟悉，或是在操作中注意力不集中、酒后上岗等，会引发机械伤害或物体打击</w:t>
      </w:r>
      <w:r>
        <w:rPr>
          <w:rFonts w:hint="eastAsia" w:cs="Times New Roman"/>
          <w:bCs/>
          <w:snapToGrid w:val="0"/>
          <w:color w:val="000000" w:themeColor="text1"/>
          <w:kern w:val="0"/>
          <w:lang w:eastAsia="zh-CN"/>
          <w14:textFill>
            <w14:solidFill>
              <w14:schemeClr w14:val="tx1"/>
            </w14:solidFill>
          </w14:textFill>
        </w:rPr>
        <w:t>。</w:t>
      </w:r>
    </w:p>
    <w:p>
      <w:pPr>
        <w:pStyle w:val="2"/>
        <w:keepNext w:val="0"/>
        <w:keepLines w:val="0"/>
        <w:pageBreakBefore w:val="0"/>
        <w:widowControl w:val="0"/>
        <w:kinsoku/>
        <w:wordWrap/>
        <w:autoSpaceDE/>
        <w:autoSpaceDN/>
        <w:bidi w:val="0"/>
        <w:adjustRightInd w:val="0"/>
        <w:snapToGrid w:val="0"/>
        <w:spacing w:line="360" w:lineRule="auto"/>
        <w:ind w:firstLine="564" w:firstLineChars="200"/>
        <w:textAlignment w:val="auto"/>
        <w:rPr>
          <w:rFonts w:hint="default" w:ascii="Times New Roman" w:hAnsi="Times New Roman" w:cs="Times New Roman"/>
          <w:bCs/>
          <w:snapToGrid w:val="0"/>
          <w:color w:val="000000" w:themeColor="text1"/>
          <w:kern w:val="0"/>
          <w14:textFill>
            <w14:solidFill>
              <w14:schemeClr w14:val="tx1"/>
            </w14:solidFill>
          </w14:textFill>
        </w:rPr>
      </w:pPr>
      <w:r>
        <w:rPr>
          <w:rFonts w:hint="default" w:ascii="Times New Roman" w:hAnsi="Times New Roman" w:cs="Times New Roman"/>
          <w:b w:val="0"/>
          <w:bCs/>
          <w:color w:val="000000" w:themeColor="text1"/>
          <w:sz w:val="28"/>
          <w:szCs w:val="28"/>
          <w14:textFill>
            <w14:solidFill>
              <w14:schemeClr w14:val="tx1"/>
            </w14:solidFill>
          </w14:textFill>
        </w:rPr>
        <w:t>特殊工艺技术服务</w:t>
      </w:r>
      <w:r>
        <w:rPr>
          <w:rFonts w:hint="default" w:ascii="Times New Roman" w:hAnsi="Times New Roman" w:cs="Times New Roman"/>
          <w:b w:val="0"/>
          <w:bCs/>
          <w:color w:val="000000" w:themeColor="text1"/>
          <w:sz w:val="28"/>
          <w:szCs w:val="28"/>
          <w:lang w:eastAsia="zh-CN"/>
          <w14:textFill>
            <w14:solidFill>
              <w14:schemeClr w14:val="tx1"/>
            </w14:solidFill>
          </w14:textFill>
        </w:rPr>
        <w:t>（</w:t>
      </w:r>
      <w:r>
        <w:rPr>
          <w:rFonts w:hint="default" w:ascii="Times New Roman" w:hAnsi="Times New Roman" w:cs="Times New Roman"/>
          <w:b w:val="0"/>
          <w:bCs/>
          <w:color w:val="000000" w:themeColor="text1"/>
          <w:sz w:val="28"/>
          <w:szCs w:val="28"/>
          <w:lang w:val="en-US" w:eastAsia="zh-CN"/>
          <w14:textFill>
            <w14:solidFill>
              <w14:schemeClr w14:val="tx1"/>
            </w14:solidFill>
          </w14:textFill>
        </w:rPr>
        <w:t>套管补贴）和</w:t>
      </w:r>
      <w:r>
        <w:rPr>
          <w:rFonts w:hint="default" w:ascii="Times New Roman" w:hAnsi="Times New Roman" w:cs="Times New Roman"/>
          <w:bCs/>
          <w:snapToGrid w:val="0"/>
          <w:color w:val="000000" w:themeColor="text1"/>
          <w:kern w:val="0"/>
          <w14:textFill>
            <w14:solidFill>
              <w14:schemeClr w14:val="tx1"/>
            </w14:solidFill>
          </w14:textFill>
        </w:rPr>
        <w:t>井下复杂情况处理（</w:t>
      </w:r>
      <w:r>
        <w:rPr>
          <w:rFonts w:hint="eastAsia" w:ascii="Times New Roman" w:hAnsi="Times New Roman" w:cs="Times New Roman"/>
          <w:bCs/>
          <w:snapToGrid w:val="0"/>
          <w:color w:val="000000" w:themeColor="text1"/>
          <w:kern w:val="0"/>
          <w:lang w:val="en-US" w:eastAsia="zh-CN"/>
          <w14:textFill>
            <w14:solidFill>
              <w14:schemeClr w14:val="tx1"/>
            </w14:solidFill>
          </w14:textFill>
        </w:rPr>
        <w:t>堵漏</w:t>
      </w:r>
      <w:r>
        <w:rPr>
          <w:rFonts w:hint="default" w:ascii="Times New Roman" w:hAnsi="Times New Roman" w:cs="Times New Roman"/>
          <w:bCs/>
          <w:snapToGrid w:val="0"/>
          <w:color w:val="000000" w:themeColor="text1"/>
          <w:kern w:val="0"/>
          <w14:textFill>
            <w14:solidFill>
              <w14:schemeClr w14:val="tx1"/>
            </w14:solidFill>
          </w14:textFill>
        </w:rPr>
        <w:t>）是处理井下事故作业</w:t>
      </w:r>
      <w:r>
        <w:rPr>
          <w:rFonts w:hint="eastAsia" w:ascii="Times New Roman" w:hAnsi="Times New Roman" w:cs="Times New Roman"/>
          <w:bCs/>
          <w:snapToGrid w:val="0"/>
          <w:color w:val="000000" w:themeColor="text1"/>
          <w:kern w:val="0"/>
          <w:lang w:val="en-US" w:eastAsia="zh-CN"/>
          <w14:textFill>
            <w14:solidFill>
              <w14:schemeClr w14:val="tx1"/>
            </w14:solidFill>
          </w14:textFill>
        </w:rPr>
        <w:t>的过程</w:t>
      </w:r>
      <w:r>
        <w:rPr>
          <w:rFonts w:hint="default" w:ascii="Times New Roman" w:hAnsi="Times New Roman" w:cs="Times New Roman"/>
          <w:bCs/>
          <w:snapToGrid w:val="0"/>
          <w:color w:val="000000" w:themeColor="text1"/>
          <w:kern w:val="0"/>
          <w14:textFill>
            <w14:solidFill>
              <w14:schemeClr w14:val="tx1"/>
            </w14:solidFill>
          </w14:textFill>
        </w:rPr>
        <w:t>，由于井下事故情况千差万别，</w:t>
      </w:r>
      <w:r>
        <w:rPr>
          <w:rFonts w:hint="eastAsia" w:ascii="Times New Roman" w:hAnsi="Times New Roman" w:cs="Times New Roman"/>
          <w:bCs/>
          <w:snapToGrid w:val="0"/>
          <w:color w:val="000000" w:themeColor="text1"/>
          <w:kern w:val="0"/>
          <w:lang w:val="en-US" w:eastAsia="zh-CN"/>
          <w14:textFill>
            <w14:solidFill>
              <w14:schemeClr w14:val="tx1"/>
            </w14:solidFill>
          </w14:textFill>
        </w:rPr>
        <w:t>施工作业中需要加压操作，如果未按照设计施工，设备故障，或者出现其他紧急情况现场作业人员处置不当等容易导致人员伤亡、财产损失的事故发生</w:t>
      </w:r>
      <w:r>
        <w:rPr>
          <w:rFonts w:hint="default" w:ascii="Times New Roman" w:hAnsi="Times New Roman" w:cs="Times New Roman"/>
          <w:bCs/>
          <w:snapToGrid w:val="0"/>
          <w:color w:val="000000" w:themeColor="text1"/>
          <w:kern w:val="0"/>
          <w14:textFill>
            <w14:solidFill>
              <w14:schemeClr w14:val="tx1"/>
            </w14:solidFill>
          </w14:textFill>
        </w:rPr>
        <w:t>。</w:t>
      </w:r>
    </w:p>
    <w:p>
      <w:pPr>
        <w:pStyle w:val="64"/>
        <w:keepNext w:val="0"/>
        <w:keepLines w:val="0"/>
        <w:pageBreakBefore w:val="0"/>
        <w:widowControl w:val="0"/>
        <w:kinsoku/>
        <w:wordWrap/>
        <w:autoSpaceDE/>
        <w:autoSpaceDN/>
        <w:bidi w:val="0"/>
        <w:adjustRightInd w:val="0"/>
        <w:snapToGrid w:val="0"/>
        <w:spacing w:line="360" w:lineRule="auto"/>
        <w:ind w:firstLine="0" w:firstLineChars="0"/>
        <w:jc w:val="both"/>
        <w:textAlignment w:val="auto"/>
        <w:outlineLvl w:val="2"/>
        <w:rPr>
          <w:rFonts w:hint="eastAsia" w:ascii="Times New Roman" w:hAnsi="Times New Roman" w:eastAsia="黑体" w:cs="Times New Roman"/>
          <w:bCs/>
          <w:snapToGrid w:val="0"/>
          <w:color w:val="000000" w:themeColor="text1"/>
          <w:kern w:val="0"/>
          <w:sz w:val="28"/>
          <w:szCs w:val="28"/>
          <w:lang w:val="en-US" w:eastAsia="zh-CN" w:bidi="ar-SA"/>
          <w14:textFill>
            <w14:solidFill>
              <w14:schemeClr w14:val="tx1"/>
            </w14:solidFill>
          </w14:textFill>
        </w:rPr>
      </w:pPr>
      <w:r>
        <w:rPr>
          <w:rFonts w:hint="eastAsia" w:ascii="Times New Roman" w:hAnsi="Times New Roman" w:eastAsia="黑体" w:cs="Times New Roman"/>
          <w:bCs/>
          <w:snapToGrid w:val="0"/>
          <w:color w:val="000000" w:themeColor="text1"/>
          <w:kern w:val="0"/>
          <w:sz w:val="28"/>
          <w:szCs w:val="28"/>
          <w:lang w:val="en-US" w:eastAsia="zh-CN" w:bidi="ar-SA"/>
          <w14:textFill>
            <w14:solidFill>
              <w14:schemeClr w14:val="tx1"/>
            </w14:solidFill>
          </w14:textFill>
        </w:rPr>
        <w:t>3.2.</w:t>
      </w:r>
      <w:r>
        <w:rPr>
          <w:rFonts w:hint="eastAsia" w:eastAsia="黑体" w:cs="Times New Roman"/>
          <w:bCs/>
          <w:snapToGrid w:val="0"/>
          <w:color w:val="000000" w:themeColor="text1"/>
          <w:kern w:val="0"/>
          <w:sz w:val="28"/>
          <w:szCs w:val="28"/>
          <w:lang w:val="en-US" w:eastAsia="zh-CN" w:bidi="ar-SA"/>
          <w14:textFill>
            <w14:solidFill>
              <w14:schemeClr w14:val="tx1"/>
            </w14:solidFill>
          </w14:textFill>
        </w:rPr>
        <w:t>8</w:t>
      </w:r>
      <w:r>
        <w:rPr>
          <w:rFonts w:hint="eastAsia" w:ascii="Times New Roman" w:hAnsi="Times New Roman" w:eastAsia="黑体" w:cs="Times New Roman"/>
          <w:bCs/>
          <w:snapToGrid w:val="0"/>
          <w:color w:val="000000" w:themeColor="text1"/>
          <w:kern w:val="0"/>
          <w:sz w:val="28"/>
          <w:szCs w:val="28"/>
          <w:lang w:val="en-US" w:eastAsia="zh-CN" w:bidi="ar-SA"/>
          <w14:textFill>
            <w14:solidFill>
              <w14:schemeClr w14:val="tx1"/>
            </w14:solidFill>
          </w14:textFill>
        </w:rPr>
        <w:t xml:space="preserve"> 临时用电作业危险性分析</w:t>
      </w:r>
    </w:p>
    <w:p>
      <w:pPr>
        <w:pStyle w:val="64"/>
        <w:keepNext w:val="0"/>
        <w:keepLines w:val="0"/>
        <w:pageBreakBefore w:val="0"/>
        <w:widowControl w:val="0"/>
        <w:kinsoku/>
        <w:wordWrap/>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1.施工现场需要临时用电，若电气设备安装、使用不合理，缺少保护装置，操作人员违章操作等原因，极易造成触电事故。</w:t>
      </w:r>
    </w:p>
    <w:p>
      <w:pPr>
        <w:pStyle w:val="64"/>
        <w:keepNext w:val="0"/>
        <w:keepLines w:val="0"/>
        <w:pageBreakBefore w:val="0"/>
        <w:widowControl w:val="0"/>
        <w:kinsoku/>
        <w:wordWrap/>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2.跨越安全围栏或超越安全警戒线，工作人员误碰带电设备，以及在带电设备附近使用钢卷尺等进行测量或携带金属超高物体在带电设备下行走可能造成触电事故。</w:t>
      </w:r>
    </w:p>
    <w:p>
      <w:pPr>
        <w:pStyle w:val="64"/>
        <w:keepNext w:val="0"/>
        <w:keepLines w:val="0"/>
        <w:pageBreakBefore w:val="0"/>
        <w:widowControl w:val="0"/>
        <w:kinsoku/>
        <w:wordWrap/>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3.施工现场混乱，造成电气设备安全设施不健全或损坏漏电，绝缘保护层破损或保护接地失效等，如未能及时发现并整改，可能造成触电或电气火灾事故。</w:t>
      </w:r>
    </w:p>
    <w:p>
      <w:pPr>
        <w:pStyle w:val="64"/>
        <w:keepNext w:val="0"/>
        <w:keepLines w:val="0"/>
        <w:pageBreakBefore w:val="0"/>
        <w:widowControl w:val="0"/>
        <w:kinsoku/>
        <w:wordWrap/>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4.电线裸露、乱拉、乱扯电线、湿手触动电器开关设备、绝缘胶鞋破损透水或用湿物去接触电器设备，有引发触电事故的可能性。</w:t>
      </w:r>
    </w:p>
    <w:p>
      <w:pPr>
        <w:pStyle w:val="64"/>
        <w:keepNext w:val="0"/>
        <w:keepLines w:val="0"/>
        <w:pageBreakBefore w:val="0"/>
        <w:widowControl w:val="0"/>
        <w:kinsoku/>
        <w:wordWrap/>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5.在带电设备附近进行作业，不符合安全距离或无监护措施，缺少安全标志或标志不明显等可能引发触电事故的发生。</w:t>
      </w:r>
    </w:p>
    <w:p>
      <w:pPr>
        <w:pStyle w:val="64"/>
        <w:adjustRightInd w:val="0"/>
        <w:snapToGrid w:val="0"/>
        <w:spacing w:line="360" w:lineRule="auto"/>
        <w:ind w:firstLine="0" w:firstLineChars="0"/>
        <w:jc w:val="both"/>
        <w:outlineLvl w:val="2"/>
        <w:rPr>
          <w:rFonts w:hint="default" w:ascii="Times New Roman" w:hAnsi="Times New Roman" w:eastAsia="黑体" w:cs="Times New Roman"/>
          <w:bCs/>
          <w:snapToGrid w:val="0"/>
          <w:color w:val="000000" w:themeColor="text1"/>
          <w:kern w:val="0"/>
          <w:sz w:val="28"/>
          <w:szCs w:val="28"/>
          <w:lang w:val="en-US" w:eastAsia="zh-CN" w:bidi="ar-SA"/>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lang w:val="en-US" w:eastAsia="zh-CN" w:bidi="ar-SA"/>
          <w14:textFill>
            <w14:solidFill>
              <w14:schemeClr w14:val="tx1"/>
            </w14:solidFill>
          </w14:textFill>
        </w:rPr>
        <w:t>3.2.</w:t>
      </w:r>
      <w:r>
        <w:rPr>
          <w:rFonts w:hint="eastAsia" w:eastAsia="黑体" w:cs="Times New Roman"/>
          <w:bCs/>
          <w:snapToGrid w:val="0"/>
          <w:color w:val="000000" w:themeColor="text1"/>
          <w:kern w:val="0"/>
          <w:sz w:val="28"/>
          <w:szCs w:val="28"/>
          <w:lang w:val="en-US" w:eastAsia="zh-CN" w:bidi="ar-SA"/>
          <w14:textFill>
            <w14:solidFill>
              <w14:schemeClr w14:val="tx1"/>
            </w14:solidFill>
          </w14:textFill>
        </w:rPr>
        <w:t>9</w:t>
      </w:r>
      <w:r>
        <w:rPr>
          <w:rFonts w:hint="default" w:ascii="Times New Roman" w:hAnsi="Times New Roman" w:eastAsia="黑体" w:cs="Times New Roman"/>
          <w:bCs/>
          <w:snapToGrid w:val="0"/>
          <w:color w:val="000000" w:themeColor="text1"/>
          <w:kern w:val="0"/>
          <w:sz w:val="28"/>
          <w:szCs w:val="28"/>
          <w:lang w:val="en-US" w:eastAsia="zh-CN" w:bidi="ar-SA"/>
          <w14:textFill>
            <w14:solidFill>
              <w14:schemeClr w14:val="tx1"/>
            </w14:solidFill>
          </w14:textFill>
        </w:rPr>
        <w:t xml:space="preserve"> 高处作业危险性分析</w:t>
      </w:r>
    </w:p>
    <w:p>
      <w:pPr>
        <w:pStyle w:val="96"/>
        <w:keepNext w:val="0"/>
        <w:keepLines w:val="0"/>
        <w:pageBreakBefore w:val="0"/>
        <w:widowControl w:val="0"/>
        <w:bidi w:val="0"/>
        <w:adjustRightInd w:val="0"/>
        <w:snapToGrid w:val="0"/>
        <w:rPr>
          <w:rFonts w:hint="default" w:ascii="Times New Roman" w:hAnsi="Times New Roman" w:cs="Times New Roman"/>
        </w:rPr>
      </w:pPr>
      <w:r>
        <w:rPr>
          <w:rFonts w:hint="default" w:ascii="Times New Roman" w:hAnsi="Times New Roman" w:cs="Times New Roman"/>
        </w:rPr>
        <w:t>检维修过程中，涉及到高处作业。高处作业时安全防护装置不完善或缺乏安全防护装置，人员安全培训不到位，作业时未正确使用安全带或安全带存在缺陷，作业中存在违章作业、违章指挥、违反劳动纪律的现象，均可导致高处坠落事故发生。</w:t>
      </w:r>
    </w:p>
    <w:p>
      <w:pPr>
        <w:keepNext/>
        <w:keepLines/>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3.2.10 交叉作业危险性分析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sz w:val="28"/>
        </w:rPr>
      </w:pPr>
      <w:r>
        <w:rPr>
          <w:rFonts w:hint="default" w:ascii="Times New Roman" w:hAnsi="Times New Roman" w:eastAsia="宋体" w:cs="Times New Roman"/>
          <w:color w:val="000000"/>
          <w:sz w:val="28"/>
        </w:rPr>
        <w:t>施工过程中</w:t>
      </w:r>
      <w:r>
        <w:rPr>
          <w:rFonts w:hint="eastAsia" w:ascii="Times New Roman" w:hAnsi="Times New Roman" w:eastAsia="宋体" w:cs="Times New Roman"/>
          <w:color w:val="000000"/>
          <w:sz w:val="28"/>
          <w:lang w:eastAsia="zh-CN"/>
        </w:rPr>
        <w:t>可能</w:t>
      </w:r>
      <w:r>
        <w:rPr>
          <w:rFonts w:hint="default" w:ascii="Times New Roman" w:hAnsi="Times New Roman" w:eastAsia="宋体" w:cs="Times New Roman"/>
          <w:color w:val="000000"/>
          <w:sz w:val="28"/>
        </w:rPr>
        <w:t>会存在交叉作业，双方或多方单位共同在一个井场工作，若不能互相配合，可能出现因交叉作业引发的安全事故。如施工作业时未告知作业场所存在的危险因素、防范措施以及事故应急措施，分工不明确，施工人员安全意识淡薄，遵守施工安全管理规定，违章操作，防护措施不到位，安全监督失职等引起的施工安全事故。</w:t>
      </w:r>
    </w:p>
    <w:p>
      <w:pPr>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3.2.</w:t>
      </w:r>
      <w:r>
        <w:rPr>
          <w:rFonts w:hint="eastAsia" w:eastAsia="黑体" w:cs="Times New Roman"/>
          <w:bCs/>
          <w:snapToGrid w:val="0"/>
          <w:color w:val="000000" w:themeColor="text1"/>
          <w:kern w:val="0"/>
          <w:sz w:val="28"/>
          <w:szCs w:val="28"/>
          <w:lang w:val="en-US" w:eastAsia="zh-CN"/>
          <w14:textFill>
            <w14:solidFill>
              <w14:schemeClr w14:val="tx1"/>
            </w14:solidFill>
          </w14:textFill>
        </w:rPr>
        <w:t xml:space="preserve">11 </w:t>
      </w:r>
      <w:r>
        <w:rPr>
          <w:rFonts w:hint="eastAsia" w:ascii="Times New Roman" w:hAnsi="Times New Roman" w:eastAsia="黑体" w:cs="Times New Roman"/>
          <w:bCs/>
          <w:snapToGrid w:val="0"/>
          <w:color w:val="000000" w:themeColor="text1"/>
          <w:kern w:val="0"/>
          <w:sz w:val="28"/>
          <w:szCs w:val="28"/>
          <w14:textFill>
            <w14:solidFill>
              <w14:schemeClr w14:val="tx1"/>
            </w14:solidFill>
          </w14:textFill>
        </w:rPr>
        <w:t>压力容器、高压管汇</w:t>
      </w:r>
    </w:p>
    <w:p>
      <w:pPr>
        <w:widowControl w:val="0"/>
        <w:overflowPunct w:val="0"/>
        <w:topLinePunct/>
        <w:adjustRightInd w:val="0"/>
        <w:snapToGrid w:val="0"/>
        <w:spacing w:line="360" w:lineRule="auto"/>
        <w:ind w:firstLine="564" w:firstLineChars="200"/>
        <w:jc w:val="both"/>
        <w:rPr>
          <w:rFonts w:ascii="Times New Roman" w:hAnsi="Times New Roman" w:eastAsia="宋体" w:cs="Times New Roman"/>
          <w:bCs/>
          <w:kern w:val="2"/>
          <w:sz w:val="28"/>
          <w:szCs w:val="28"/>
          <w:lang w:val="en-US" w:eastAsia="zh-CN" w:bidi="ar-SA"/>
        </w:rPr>
      </w:pPr>
      <w:r>
        <w:rPr>
          <w:rFonts w:ascii="Times New Roman" w:hAnsi="Times New Roman" w:eastAsia="宋体" w:cs="Times New Roman"/>
          <w:bCs/>
          <w:kern w:val="2"/>
          <w:sz w:val="28"/>
          <w:szCs w:val="28"/>
          <w:lang w:val="en-US" w:eastAsia="zh-CN" w:bidi="ar-SA"/>
        </w:rPr>
        <w:t>油气分离器、加热器壳体等属于压力容器，当压力超过设备承受范围，而安全阀因故障未启动，或因设备设计或材料缺陷，可能导致容器爆炸。</w:t>
      </w:r>
      <w:r>
        <w:rPr>
          <w:rFonts w:hint="eastAsia" w:ascii="Times New Roman" w:hAnsi="Times New Roman" w:eastAsia="宋体" w:cs="Times New Roman"/>
          <w:bCs/>
          <w:kern w:val="2"/>
          <w:sz w:val="28"/>
          <w:szCs w:val="28"/>
          <w:lang w:val="en-US" w:eastAsia="zh-CN" w:bidi="ar-SA"/>
        </w:rPr>
        <w:t>防砂、堵水调剖等施工中</w:t>
      </w:r>
      <w:r>
        <w:rPr>
          <w:rFonts w:ascii="Times New Roman" w:hAnsi="Times New Roman" w:eastAsia="宋体" w:cs="Times New Roman"/>
          <w:bCs/>
          <w:kern w:val="2"/>
          <w:sz w:val="28"/>
          <w:szCs w:val="28"/>
          <w:lang w:val="en-US" w:eastAsia="zh-CN" w:bidi="ar-SA"/>
        </w:rPr>
        <w:t>输送</w:t>
      </w:r>
      <w:r>
        <w:rPr>
          <w:rFonts w:hint="eastAsia" w:ascii="Times New Roman" w:hAnsi="Times New Roman" w:eastAsia="宋体" w:cs="Times New Roman"/>
          <w:bCs/>
          <w:kern w:val="2"/>
          <w:sz w:val="28"/>
          <w:szCs w:val="28"/>
          <w:lang w:val="en-US" w:eastAsia="zh-CN" w:bidi="ar-SA"/>
        </w:rPr>
        <w:t>物料的</w:t>
      </w:r>
      <w:r>
        <w:rPr>
          <w:rFonts w:ascii="Times New Roman" w:hAnsi="Times New Roman" w:eastAsia="宋体" w:cs="Times New Roman"/>
          <w:bCs/>
          <w:kern w:val="2"/>
          <w:sz w:val="28"/>
          <w:szCs w:val="28"/>
          <w:lang w:val="en-US" w:eastAsia="zh-CN" w:bidi="ar-SA"/>
        </w:rPr>
        <w:t>高压管道、弯头，若因材料缺陷、冲蚀变薄等原因致使管道、弯头承压能力下降，可发生</w:t>
      </w:r>
      <w:r>
        <w:rPr>
          <w:rFonts w:hint="eastAsia" w:ascii="Times New Roman" w:hAnsi="Times New Roman" w:eastAsia="宋体" w:cs="Times New Roman"/>
          <w:bCs/>
          <w:kern w:val="2"/>
          <w:sz w:val="28"/>
          <w:szCs w:val="28"/>
          <w:lang w:val="en-US" w:eastAsia="zh-CN" w:bidi="ar-SA"/>
        </w:rPr>
        <w:t>高压管汇</w:t>
      </w:r>
      <w:r>
        <w:rPr>
          <w:rFonts w:ascii="Times New Roman" w:hAnsi="Times New Roman" w:eastAsia="宋体" w:cs="Times New Roman"/>
          <w:bCs/>
          <w:kern w:val="2"/>
          <w:sz w:val="28"/>
          <w:szCs w:val="28"/>
          <w:lang w:val="en-US" w:eastAsia="zh-CN" w:bidi="ar-SA"/>
        </w:rPr>
        <w:t>爆裂事故。</w:t>
      </w:r>
    </w:p>
    <w:p>
      <w:pPr>
        <w:pStyle w:val="4"/>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b w:val="0"/>
          <w:bCs/>
          <w:color w:val="000000" w:themeColor="text1"/>
          <w:szCs w:val="32"/>
          <w14:textFill>
            <w14:solidFill>
              <w14:schemeClr w14:val="tx1"/>
            </w14:solidFill>
          </w14:textFill>
        </w:rPr>
      </w:pPr>
      <w:bookmarkStart w:id="64" w:name="_Toc12250"/>
      <w:bookmarkStart w:id="65" w:name="_Toc216105912"/>
      <w:bookmarkStart w:id="66" w:name="_Toc447782517"/>
      <w:bookmarkStart w:id="67" w:name="_Toc281310741"/>
      <w:r>
        <w:rPr>
          <w:rFonts w:ascii="Times New Roman" w:hAnsi="Times New Roman"/>
          <w:b w:val="0"/>
          <w:bCs/>
          <w:color w:val="000000" w:themeColor="text1"/>
          <w:szCs w:val="32"/>
          <w14:textFill>
            <w14:solidFill>
              <w14:schemeClr w14:val="tx1"/>
            </w14:solidFill>
          </w14:textFill>
        </w:rPr>
        <w:t>3.3 主要危险因素分析</w:t>
      </w:r>
      <w:bookmarkEnd w:id="64"/>
      <w:bookmarkEnd w:id="65"/>
      <w:bookmarkEnd w:id="66"/>
      <w:bookmarkEnd w:id="67"/>
    </w:p>
    <w:p>
      <w:pPr>
        <w:tabs>
          <w:tab w:val="left" w:pos="0"/>
          <w:tab w:val="left" w:pos="1080"/>
        </w:tabs>
        <w:adjustRightInd w:val="0"/>
        <w:snapToGrid w:val="0"/>
        <w:spacing w:line="360" w:lineRule="auto"/>
        <w:ind w:firstLine="564" w:firstLineChars="200"/>
        <w:rPr>
          <w:sz w:val="28"/>
          <w:szCs w:val="28"/>
        </w:rPr>
      </w:pPr>
      <w:r>
        <w:rPr>
          <w:sz w:val="28"/>
          <w:szCs w:val="28"/>
        </w:rPr>
        <w:t>井下作业受井下状况影响非常大，并且井下作业涉及野外临时用电，作业过程中可能突发井喷等事故，是多种风险性并存的作业。鸿欣公司</w:t>
      </w:r>
      <w:r>
        <w:rPr>
          <w:rFonts w:hint="eastAsia"/>
          <w:sz w:val="28"/>
          <w:szCs w:val="28"/>
          <w:lang w:val="en-US" w:eastAsia="zh-CN"/>
        </w:rPr>
        <w:t>井下作业</w:t>
      </w:r>
      <w:r>
        <w:rPr>
          <w:sz w:val="28"/>
          <w:szCs w:val="28"/>
        </w:rPr>
        <w:t>设备检维修作业的主要危险、有害因素有：火灾爆炸、井喷及井喷失控、容器爆炸、中毒和窒息、物体打击、机械伤害、触电、车辆伤害、高处坠落</w:t>
      </w:r>
      <w:r>
        <w:rPr>
          <w:rFonts w:hint="eastAsia"/>
          <w:sz w:val="28"/>
          <w:szCs w:val="28"/>
          <w:lang w:eastAsia="zh-CN"/>
        </w:rPr>
        <w:t>、</w:t>
      </w:r>
      <w:r>
        <w:rPr>
          <w:rFonts w:hint="eastAsia"/>
          <w:sz w:val="28"/>
          <w:szCs w:val="28"/>
          <w:lang w:val="en-US" w:eastAsia="zh-CN"/>
        </w:rPr>
        <w:t>灼烫</w:t>
      </w:r>
      <w:r>
        <w:rPr>
          <w:sz w:val="28"/>
          <w:szCs w:val="28"/>
        </w:rPr>
        <w:t>等。</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3.3.1 火灾爆炸</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石油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1.在现场进行作业期间，井口发生可燃气体泄漏，遇到点火源时就会发生火灾，且当达到可燃气体爆炸下限浓度时可能会发生爆炸事故；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2.在作业过程中发生井喷及由于设备本身存在缺陷或违章操作等导致易燃、易爆介质泄漏、聚集，遇点火源可能引起火灾、爆炸；</w:t>
      </w:r>
    </w:p>
    <w:p>
      <w:pPr>
        <w:adjustRightInd w:val="0"/>
        <w:snapToGrid w:val="0"/>
        <w:spacing w:line="360" w:lineRule="auto"/>
        <w:ind w:firstLine="564" w:firstLineChars="200"/>
        <w:rPr>
          <w:color w:val="0070C0"/>
          <w:sz w:val="28"/>
          <w:szCs w:val="28"/>
        </w:rPr>
      </w:pPr>
      <w:r>
        <w:rPr>
          <w:color w:val="000000" w:themeColor="text1"/>
          <w:sz w:val="28"/>
          <w:szCs w:val="28"/>
          <w14:textFill>
            <w14:solidFill>
              <w14:schemeClr w14:val="tx1"/>
            </w14:solidFill>
          </w14:textFill>
        </w:rPr>
        <w:t>3.仪器短路、过载、接触不良、散热不良，照明器具安置或使用不当等，易发生电气火灾。</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其中作业施工中易燃、易爆介质的来源主要有以下几方面：</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1.地层中碳氢化合物的溢出；</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2.井场使用的油料，如润滑油等可燃液体；</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3.作业施工时，落地原油，原油中溶解气、天然气的排放；发生“井喷”事故时，井场布满的石油；</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4.井场周围的干燥植物，如庄稼、荒草等；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5.施工营房内的可燃物，如棉被、衣物、塑料及其他可燃纤维材料；</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6.施工过程中的储存和使用的各类易燃、易爆化学助剂等；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7.工艺设备、装置、管线内残留的易燃、易爆介质；</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8.其他易燃、易爆介质。</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可能引发火灾爆炸的另一类危险因素是点火源。在作业施工现场可能出现的点火源主要有：吸烟明火、施工机械和施工车辆的排气管火花、电焊火花或其他燃烧设备的燃烧火焰、电气火花或电气运行高温、静电火花、机械火花、雷电以及在井场周围进行烧荒等明火。</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作业现场若消防设施摆放位置不规范、使用不当或保管不善，一旦发生火险，来不及扑灭，就会使火灾蔓延。作业队的工作性质是作业地点经常变动，频繁的搬迁作业对消防器材的完好性带来很大程度的影响。若不及时检查和更换，一旦发生火灾，就很难及时扑救，后果严重。</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另外，部分职工消防意识淡薄，也是发生火灾的原因之一。作业人员未进行安全防火知识教育培训上岗，未执行安全生产管理制度，违章作业，也可能导致火灾爆炸事故的发生。</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3.3.2 井喷及井喷失控</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井喷是指当井底压力远小于地层压力时，井内流体大量喷出，在地面形成较大喷势的现象称之为井喷。</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井喷失控是指井喷发生后，无法用常规方法控制井口而出现井口敞喷的现象称之为井喷失控。</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井下作业发生井喷事故的原因有：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1.井下作业施工设计未按照井控要求进行设计</w:t>
      </w:r>
      <w:r>
        <w:rPr>
          <w:rFonts w:hint="eastAsia"/>
          <w:color w:val="000000" w:themeColor="text1"/>
          <w:sz w:val="28"/>
          <w:szCs w:val="28"/>
          <w14:textFill>
            <w14:solidFill>
              <w14:schemeClr w14:val="tx1"/>
            </w14:solidFill>
          </w14:textFill>
        </w:rPr>
        <w:t>；</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2.井下作业施工作业过程中，发生溢流时关井方式不当；</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w:t>
      </w:r>
      <w:r>
        <w:rPr>
          <w:color w:val="000000" w:themeColor="text1"/>
          <w:sz w:val="28"/>
          <w:szCs w:val="28"/>
          <w14:textFill>
            <w14:solidFill>
              <w14:schemeClr w14:val="tx1"/>
            </w14:solidFill>
          </w14:textFill>
        </w:rPr>
        <w:t>.施工人员安全意识淡薄，误操作导致井喷事故；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4</w:t>
      </w:r>
      <w:r>
        <w:rPr>
          <w:color w:val="000000" w:themeColor="text1"/>
          <w:sz w:val="28"/>
          <w:szCs w:val="28"/>
          <w14:textFill>
            <w14:solidFill>
              <w14:schemeClr w14:val="tx1"/>
            </w14:solidFill>
          </w14:textFill>
        </w:rPr>
        <w:t>.气侵造成压井液密度降低，也可能导致井喷事故</w:t>
      </w:r>
      <w:r>
        <w:rPr>
          <w:rFonts w:hint="eastAsia"/>
          <w:color w:val="000000" w:themeColor="text1"/>
          <w:sz w:val="28"/>
          <w:szCs w:val="28"/>
          <w14:textFill>
            <w14:solidFill>
              <w14:schemeClr w14:val="tx1"/>
            </w14:solidFill>
          </w14:textFill>
        </w:rPr>
        <w:t>；</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5</w:t>
      </w:r>
      <w:r>
        <w:rPr>
          <w:color w:val="000000" w:themeColor="text1"/>
          <w:sz w:val="28"/>
          <w:szCs w:val="28"/>
          <w14:textFill>
            <w14:solidFill>
              <w14:schemeClr w14:val="tx1"/>
            </w14:solidFill>
          </w14:textFill>
        </w:rPr>
        <w:t>.规章制度不健全或执行不严、未制定突发事故抢险应急预案或未演练，应急能力差，井喷事故扩大。</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其危害性可概括以下方面：</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1.打乱全局的正常工作程序，影响全局生产；</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2.极易引起火灾（如井场、苇地及</w:t>
      </w:r>
      <w:r>
        <w:rPr>
          <w:rFonts w:hint="eastAsia"/>
          <w:color w:val="000000" w:themeColor="text1"/>
          <w:sz w:val="28"/>
          <w:szCs w:val="28"/>
          <w:lang w:val="en-US" w:eastAsia="zh-CN"/>
          <w14:textFill>
            <w14:solidFill>
              <w14:schemeClr w14:val="tx1"/>
            </w14:solidFill>
          </w14:textFill>
        </w:rPr>
        <w:t>树林</w:t>
      </w:r>
      <w:r>
        <w:rPr>
          <w:color w:val="000000" w:themeColor="text1"/>
          <w:sz w:val="28"/>
          <w:szCs w:val="28"/>
          <w14:textFill>
            <w14:solidFill>
              <w14:schemeClr w14:val="tx1"/>
            </w14:solidFill>
          </w14:textFill>
        </w:rPr>
        <w:t>）；</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3.影响井场周围居民的正常生活，甚至生命安全；</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4.污染环境，影响农田、水里和渔牧业生产以及交通、通讯的正常运行等；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5.伤害油气层，毁坏地下油气资源；</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6.造成人力及物力上的巨大损失，严重时造成机毁人亡和油气井报废。</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3.3.3 容器爆炸</w:t>
      </w:r>
    </w:p>
    <w:p>
      <w:pPr>
        <w:adjustRightInd w:val="0"/>
        <w:snapToGrid w:val="0"/>
        <w:spacing w:line="360" w:lineRule="auto"/>
        <w:ind w:firstLine="564" w:firstLineChars="200"/>
        <w:rPr>
          <w:color w:val="0070C0"/>
          <w:sz w:val="28"/>
          <w:szCs w:val="28"/>
        </w:rPr>
      </w:pPr>
      <w:r>
        <w:rPr>
          <w:color w:val="000000" w:themeColor="text1"/>
          <w:sz w:val="28"/>
          <w:szCs w:val="28"/>
          <w14:textFill>
            <w14:solidFill>
              <w14:schemeClr w14:val="tx1"/>
            </w14:solidFill>
          </w14:textFill>
        </w:rPr>
        <w:t>油气分离器</w:t>
      </w:r>
      <w:r>
        <w:rPr>
          <w:rFonts w:hint="eastAsia"/>
          <w:color w:val="000000" w:themeColor="text1"/>
          <w:sz w:val="28"/>
          <w:szCs w:val="28"/>
          <w14:textFill>
            <w14:solidFill>
              <w14:schemeClr w14:val="tx1"/>
            </w14:solidFill>
          </w14:textFill>
        </w:rPr>
        <w:t>、</w:t>
      </w:r>
      <w:r>
        <w:rPr>
          <w:color w:val="000000"/>
          <w:kern w:val="0"/>
          <w:sz w:val="28"/>
          <w:szCs w:val="28"/>
          <w:lang w:bidi="ar"/>
        </w:rPr>
        <w:t>电加热器壳体</w:t>
      </w:r>
      <w:r>
        <w:rPr>
          <w:color w:val="000000" w:themeColor="text1"/>
          <w:sz w:val="28"/>
          <w:szCs w:val="28"/>
          <w14:textFill>
            <w14:solidFill>
              <w14:schemeClr w14:val="tx1"/>
            </w14:solidFill>
          </w14:textFill>
        </w:rPr>
        <w:t>属于压力容器。</w:t>
      </w:r>
    </w:p>
    <w:p>
      <w:pPr>
        <w:adjustRightInd w:val="0"/>
        <w:snapToGrid w:val="0"/>
        <w:spacing w:line="360" w:lineRule="auto"/>
        <w:ind w:firstLine="564" w:firstLineChars="200"/>
        <w:jc w:val="left"/>
        <w:rPr>
          <w:color w:val="000000"/>
        </w:rPr>
      </w:pPr>
      <w:r>
        <w:rPr>
          <w:color w:val="000000"/>
          <w:kern w:val="0"/>
          <w:sz w:val="28"/>
          <w:szCs w:val="28"/>
        </w:rPr>
        <w:t>压力容器发生事故主要原因包括：设计错误、容器结构不合理、选材不当、腐蚀或冲蚀致强度不足、制造缺陷、安装不符合技术要求以及运行中的超压、超负荷和操作不当，没有执行在用压力容器定期检验和安全等级评定，导致压力容器失效，从而引发事故。压力容器的操作条件的频繁波动，对容器的抗疲劳破坏性能不利，过高的加载速度会降低材料的断裂韧性，即使容器存在微小缺陷，也可能在压力的快速冲击而发生脆性断裂。压力容器运行过程中如果发生误操作、过量冲载切安全保护装置失效，都会导致压力容器的压力升高，以至于超载，进而可能引发爆炸事故，一旦发生爆炸破裂，不但设备遭到严重破坏，而且往往波及很大的范围，毁坏周围的设备、设施，影响安全生产。</w:t>
      </w:r>
      <w:r>
        <w:rPr>
          <w:color w:val="000000"/>
          <w:kern w:val="0"/>
          <w:sz w:val="24"/>
        </w:rPr>
        <w:t xml:space="preserve"> </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3.3.4 中毒和窒息</w:t>
      </w:r>
    </w:p>
    <w:p>
      <w:pPr>
        <w:adjustRightInd w:val="0"/>
        <w:snapToGrid w:val="0"/>
        <w:spacing w:line="360" w:lineRule="auto"/>
        <w:ind w:firstLine="570"/>
        <w:rPr>
          <w:bCs/>
          <w:color w:val="auto"/>
          <w:sz w:val="28"/>
        </w:rPr>
      </w:pPr>
      <w:r>
        <w:rPr>
          <w:rFonts w:hint="eastAsia"/>
          <w:bCs/>
          <w:color w:val="auto"/>
          <w:sz w:val="28"/>
        </w:rPr>
        <w:t>注氮</w:t>
      </w:r>
      <w:r>
        <w:rPr>
          <w:rFonts w:hint="eastAsia"/>
          <w:bCs/>
          <w:color w:val="auto"/>
          <w:sz w:val="28"/>
          <w:lang w:eastAsia="zh-CN"/>
        </w:rPr>
        <w:t>、</w:t>
      </w:r>
      <w:r>
        <w:rPr>
          <w:rFonts w:hint="eastAsia"/>
          <w:bCs/>
          <w:color w:val="auto"/>
          <w:sz w:val="28"/>
          <w:lang w:val="en-US" w:eastAsia="zh-CN"/>
        </w:rPr>
        <w:t>二氧化碳</w:t>
      </w:r>
      <w:r>
        <w:rPr>
          <w:rFonts w:hint="eastAsia"/>
          <w:bCs/>
          <w:color w:val="auto"/>
          <w:sz w:val="28"/>
        </w:rPr>
        <w:t>管线发生刺漏，作业人员吸入大量的氮气</w:t>
      </w:r>
      <w:r>
        <w:rPr>
          <w:rFonts w:hint="eastAsia"/>
          <w:bCs/>
          <w:color w:val="auto"/>
          <w:sz w:val="28"/>
          <w:lang w:eastAsia="zh-CN"/>
        </w:rPr>
        <w:t>、</w:t>
      </w:r>
      <w:r>
        <w:rPr>
          <w:rFonts w:hint="eastAsia"/>
          <w:bCs/>
          <w:color w:val="auto"/>
          <w:sz w:val="28"/>
          <w:lang w:val="en-US" w:eastAsia="zh-CN"/>
        </w:rPr>
        <w:t>二氧化碳</w:t>
      </w:r>
      <w:r>
        <w:rPr>
          <w:rFonts w:hint="eastAsia"/>
          <w:bCs/>
          <w:color w:val="auto"/>
          <w:sz w:val="28"/>
        </w:rPr>
        <w:t>，可导致窒息。</w:t>
      </w:r>
    </w:p>
    <w:p>
      <w:pPr>
        <w:adjustRightInd w:val="0"/>
        <w:snapToGrid w:val="0"/>
        <w:spacing w:line="360" w:lineRule="auto"/>
        <w:ind w:firstLine="570"/>
        <w:rPr>
          <w:color w:val="000000" w:themeColor="text1"/>
          <w:sz w:val="28"/>
          <w:szCs w:val="28"/>
          <w14:textFill>
            <w14:solidFill>
              <w14:schemeClr w14:val="tx1"/>
            </w14:solidFill>
          </w14:textFill>
        </w:rPr>
      </w:pPr>
      <w:r>
        <w:rPr>
          <w:bCs/>
          <w:color w:val="000000" w:themeColor="text1"/>
          <w:sz w:val="28"/>
          <w14:textFill>
            <w14:solidFill>
              <w14:schemeClr w14:val="tx1"/>
            </w14:solidFill>
          </w14:textFill>
        </w:rPr>
        <w:t>由于设备、管线腐蚀、损坏漏气，或者井场周围地面大面积冒气，天然气在大气中达到一定浓度，会造成人员中毒。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bCs/>
          <w:color w:val="000000" w:themeColor="text1"/>
          <w:sz w:val="28"/>
          <w14:textFill>
            <w14:solidFill>
              <w14:schemeClr w14:val="tx1"/>
            </w14:solidFill>
          </w14:textFill>
        </w:rPr>
        <w:t>含硫气体对人体具有一定的毒性，当油气井内含有大量的硫化氢气体时，作业人员在此类油气井进行</w:t>
      </w:r>
      <w:r>
        <w:rPr>
          <w:color w:val="000000" w:themeColor="text1"/>
          <w:sz w:val="28"/>
          <w:szCs w:val="28"/>
          <w14:textFill>
            <w14:solidFill>
              <w14:schemeClr w14:val="tx1"/>
            </w14:solidFill>
          </w14:textFill>
        </w:rPr>
        <w:t>井下作业</w:t>
      </w:r>
      <w:r>
        <w:rPr>
          <w:bCs/>
          <w:color w:val="000000" w:themeColor="text1"/>
          <w:sz w:val="28"/>
          <w14:textFill>
            <w14:solidFill>
              <w14:schemeClr w14:val="tx1"/>
            </w14:solidFill>
          </w14:textFill>
        </w:rPr>
        <w:t>时，如果因井下情况不明或其他意外原因发生大量硫化氢气体泄漏，作业人员没有可靠的防护措施，可能导致作业人员中毒。</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不同浓度的硫化氢对人体的危害见下表3-</w:t>
      </w:r>
      <w:r>
        <w:rPr>
          <w:rFonts w:hint="eastAsia"/>
          <w:color w:val="000000" w:themeColor="text1"/>
          <w:sz w:val="28"/>
          <w:szCs w:val="28"/>
          <w:lang w:val="en-US" w:eastAsia="zh-CN"/>
          <w14:textFill>
            <w14:solidFill>
              <w14:schemeClr w14:val="tx1"/>
            </w14:solidFill>
          </w14:textFill>
        </w:rPr>
        <w:t>7</w:t>
      </w:r>
      <w:r>
        <w:rPr>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表3-</w:t>
      </w:r>
      <w:r>
        <w:rPr>
          <w:rFonts w:hint="eastAsia"/>
          <w:b/>
          <w:bCs/>
          <w:color w:val="000000" w:themeColor="text1"/>
          <w:sz w:val="24"/>
          <w:lang w:val="en-US" w:eastAsia="zh-CN"/>
          <w14:textFill>
            <w14:solidFill>
              <w14:schemeClr w14:val="tx1"/>
            </w14:solidFill>
          </w14:textFill>
        </w:rPr>
        <w:t>7</w:t>
      </w:r>
      <w:r>
        <w:rPr>
          <w:b/>
          <w:bCs/>
          <w:color w:val="000000" w:themeColor="text1"/>
          <w:sz w:val="24"/>
          <w14:textFill>
            <w14:solidFill>
              <w14:schemeClr w14:val="tx1"/>
            </w14:solidFill>
          </w14:textFill>
        </w:rPr>
        <w:t xml:space="preserve"> 硫化氢对人体的危害</w:t>
      </w:r>
    </w:p>
    <w:tbl>
      <w:tblPr>
        <w:tblStyle w:val="273"/>
        <w:tblW w:w="5016"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406"/>
        <w:gridCol w:w="1413"/>
        <w:gridCol w:w="1419"/>
        <w:gridCol w:w="411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64" w:hRule="atLeast"/>
          <w:tblHeader/>
        </w:trPr>
        <w:tc>
          <w:tcPr>
            <w:tcW w:w="2535" w:type="pct"/>
            <w:gridSpan w:val="3"/>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在空气中的浓度</w:t>
            </w:r>
          </w:p>
        </w:tc>
        <w:tc>
          <w:tcPr>
            <w:tcW w:w="2464" w:type="pct"/>
            <w:vMerge w:val="restar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暴露于硫化氢的典型特性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49" w:hRule="atLeast"/>
          <w:tblHeader/>
        </w:trPr>
        <w:tc>
          <w:tcPr>
            <w:tcW w:w="841"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%(体积分数)</w:t>
            </w:r>
          </w:p>
        </w:tc>
        <w:tc>
          <w:tcPr>
            <w:tcW w:w="845"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ppm</w:t>
            </w:r>
          </w:p>
        </w:tc>
        <w:tc>
          <w:tcPr>
            <w:tcW w:w="848"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mg/m³</w:t>
            </w:r>
          </w:p>
        </w:tc>
        <w:tc>
          <w:tcPr>
            <w:tcW w:w="2464" w:type="pct"/>
            <w:vMerge w:val="continue"/>
            <w:tcBorders>
              <w:tl2br w:val="nil"/>
              <w:tr2bl w:val="nil"/>
            </w:tcBorders>
            <w:vAlign w:val="center"/>
          </w:tcPr>
          <w:p>
            <w:pPr>
              <w:bidi w:val="0"/>
              <w:jc w:val="left"/>
              <w:rPr>
                <w:rFonts w:hint="default" w:ascii="Times New Roman" w:hAnsi="Times New Roman" w:eastAsia="宋体" w:cs="Times New Roman"/>
                <w:b/>
                <w:bCs/>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0.000013</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0.13</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0.18</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通常，在大气中含量为0.195mg/m³(0.13ppm)时，有明显和令人讨厌的气味，在大气中含量为6.9mg/m² (4.6ppm)时就相当明显。随着浓度的增加，嗅觉就会疲劳，气体不再能通过气味来辨别</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有令人讨厌的气味，眼睛可能受刺激，推荐的阈限值 (8h加权平均值)</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21.61</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推荐的15min短期暴露范围平均值</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0.002</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28.83</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在暴露1h或更长时间后，眼睛有烧灼感，呼吸道受到刺激</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72.07</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暴露15min或15min以上的时间后嗅觉就会丧失；时间超过1h,可能导致头痛、头晕和(或)摇晃；超过 75mg/m³(50ppm)将会出现肺浮肿，也会对人员的眼睛产生严重刺激或伤害</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144.14</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3min～5min就会出现咳嗽、眼睛受刺激和失去嗅觉；在5min～20min过后，呼吸就会变样、眼睛就会疼痛并昏昏欲睡；在1h后就会刺激喉道；延长暴露时间将逐渐加重这些症状</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0.03</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432.40</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明显的结膜炎和呼吸道刺激</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720.49</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短期暴露后就会不省人事，不迅速处理就会停止呼吸；头晕、失去理智和平衡感。患者需要迅速进行人工呼吸和(或)心肺复苏技术</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1008.55</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意识快速丧失，不迅速营救，呼吸就会停止并导致死亡。必须立即采取人工呼吸和(或)心肺复苏技术</w:t>
            </w:r>
            <w:r>
              <w:rPr>
                <w:rFonts w:hint="eastAsia" w:ascii="Times New Roman" w:hAnsi="Times New Roman"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0.10+</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1440.98+</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立即丧失知觉，会产生永久性的脑伤害或脑死亡。必须迅速进行营救，应用人工呼吸和(或)心肺复苏</w:t>
            </w:r>
            <w:r>
              <w:rPr>
                <w:rFonts w:hint="eastAsia" w:ascii="Times New Roman" w:hAnsi="Times New Roman" w:cs="Times New Roman"/>
                <w:sz w:val="21"/>
                <w:szCs w:val="21"/>
                <w:lang w:eastAsia="zh-CN"/>
              </w:rPr>
              <w:t>。</w:t>
            </w:r>
          </w:p>
        </w:tc>
      </w:tr>
    </w:tbl>
    <w:p>
      <w:pPr>
        <w:adjustRightInd w:val="0"/>
        <w:snapToGrid w:val="0"/>
        <w:spacing w:before="159" w:beforeLines="50"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3-</w:t>
      </w:r>
      <w:r>
        <w:rPr>
          <w:rFonts w:hint="eastAsia"/>
          <w:color w:val="000000" w:themeColor="text1"/>
          <w:sz w:val="28"/>
          <w:szCs w:val="28"/>
          <w:lang w:val="en-US" w:eastAsia="zh-CN"/>
          <w14:textFill>
            <w14:solidFill>
              <w14:schemeClr w14:val="tx1"/>
            </w14:solidFill>
          </w14:textFill>
        </w:rPr>
        <w:t>8</w:t>
      </w:r>
      <w:r>
        <w:rPr>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70C0"/>
          <w:sz w:val="28"/>
          <w:szCs w:val="28"/>
        </w:rPr>
      </w:pPr>
      <w:r>
        <w:rPr>
          <w:b/>
          <w:bCs/>
          <w:color w:val="000000" w:themeColor="text1"/>
          <w:sz w:val="24"/>
          <w14:textFill>
            <w14:solidFill>
              <w14:schemeClr w14:val="tx1"/>
            </w14:solidFill>
          </w14:textFill>
        </w:rPr>
        <w:t>表3-</w:t>
      </w: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 xml:space="preserve"> 二氧化硫对人体的危害</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660"/>
        <w:gridCol w:w="586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2660"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空气中浓度mg/m</w:t>
            </w:r>
            <w:r>
              <w:rPr>
                <w:b/>
                <w:color w:val="000000" w:themeColor="text1"/>
                <w:szCs w:val="21"/>
                <w:vertAlign w:val="superscript"/>
                <w14:textFill>
                  <w14:solidFill>
                    <w14:schemeClr w14:val="tx1"/>
                  </w14:solidFill>
                </w14:textFill>
              </w:rPr>
              <w:t>3</w:t>
            </w:r>
            <w:r>
              <w:rPr>
                <w:b/>
                <w:color w:val="000000" w:themeColor="text1"/>
                <w:szCs w:val="21"/>
                <w14:textFill>
                  <w14:solidFill>
                    <w14:schemeClr w14:val="tx1"/>
                  </w14:solidFill>
                </w14:textFill>
              </w:rPr>
              <w:t>（ppm）</w:t>
            </w:r>
          </w:p>
        </w:tc>
        <w:tc>
          <w:tcPr>
            <w:tcW w:w="5862"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2.71（1）</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5.42（2）</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13.50（5）</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32.49（12）</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271（100）</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406.35（150）</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1354.50（500）</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6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2708.99（1000）</w:t>
            </w:r>
          </w:p>
        </w:tc>
        <w:tc>
          <w:tcPr>
            <w:tcW w:w="5862" w:type="dxa"/>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如不立即救治就会导致死亡，应马上进行人工呼吸或心肺复苏</w:t>
            </w:r>
          </w:p>
        </w:tc>
      </w:tr>
    </w:tbl>
    <w:p>
      <w:pPr>
        <w:adjustRightInd w:val="0"/>
        <w:snapToGrid w:val="0"/>
        <w:spacing w:before="159" w:beforeLines="50"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3.3.5 物体打击</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物体打击事故是井场作业施工过程中发生频率最高的事故，引起物体打击事故的原因有：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1.进行管线、井口装置、设备等拆装作业时，用力过猛，致使部件或工具失控；</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w:t>
      </w:r>
      <w:r>
        <w:rPr>
          <w:color w:val="000000" w:themeColor="text1"/>
          <w:sz w:val="28"/>
          <w:szCs w:val="28"/>
          <w14:textFill>
            <w14:solidFill>
              <w14:schemeClr w14:val="tx1"/>
            </w14:solidFill>
          </w14:textFill>
        </w:rPr>
        <w:t>.高压作业中，由于压力过高、系统试压不合格、压力超过系统承受压力等级，引起管线破裂，流体刺漏、井口抬升等；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w:t>
      </w:r>
      <w:r>
        <w:rPr>
          <w:color w:val="000000" w:themeColor="text1"/>
          <w:sz w:val="28"/>
          <w:szCs w:val="28"/>
          <w14:textFill>
            <w14:solidFill>
              <w14:schemeClr w14:val="tx1"/>
            </w14:solidFill>
          </w14:textFill>
        </w:rPr>
        <w:t>.作业时高压管线未可靠固定，在升压过程中发生摆动。</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3.3.6 机械伤害</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地面管线</w:t>
      </w:r>
      <w:r>
        <w:rPr>
          <w:rFonts w:hint="eastAsia"/>
          <w:color w:val="000000" w:themeColor="text1"/>
          <w:sz w:val="28"/>
          <w:szCs w:val="28"/>
          <w:lang w:val="en-US" w:eastAsia="zh-CN"/>
          <w14:textFill>
            <w14:solidFill>
              <w14:schemeClr w14:val="tx1"/>
            </w14:solidFill>
          </w14:textFill>
        </w:rPr>
        <w:t>施工</w:t>
      </w:r>
      <w:r>
        <w:rPr>
          <w:color w:val="000000" w:themeColor="text1"/>
          <w:sz w:val="28"/>
          <w:szCs w:val="28"/>
          <w14:textFill>
            <w14:solidFill>
              <w14:schemeClr w14:val="tx1"/>
            </w14:solidFill>
          </w14:textFill>
        </w:rPr>
        <w:t>过程中，由于压力过高，管线不合格以及其他原因造成的地面管线憋坏，井口抬升，造成的人员伤亡，设备损坏。</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气源等）、检修过程中发生违章操作（如意外送电）、安全防护装置损坏或缺失等都可能引起机械伤害事故。</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3.3.7 触电</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电气设备、电气线路是引发触电事故的危险源。若电气设备、线路的绝缘损坏或因腐蚀、老化引起绝缘性能降低，带电体外露，安全距离不足，未设可靠的接地保护或漏电保护装置，人体直接或间接触及带电体，都会导致触电事故发生。</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野外露天设置的电气开关，经风吹日晒，易造成线路老化、设施锈蚀，造成接触不良。夏季雨水较多，各电气开关易吸潮造成短路，引发触电事故。</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3.3.8 车辆伤害</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井下作业流动性大，人员和设备的搬迁全部依靠运输车辆完成。石油企业的交通运输，往往车多路窄、经常在路面状况不良的道路上行驶，受人员、车辆、路况、天气等原因容易发生各种交通事故。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作业现场情况复杂，施工车辆在井场内移动（摆车）时，由于机械故障、视野不良、人员操作失误或违章等，可能造成井场内的人员碰伤、碾压、撞击等车辆伤害事故。</w:t>
      </w:r>
    </w:p>
    <w:p>
      <w:pPr>
        <w:adjustRightInd w:val="0"/>
        <w:snapToGrid w:val="0"/>
        <w:spacing w:line="360" w:lineRule="auto"/>
        <w:outlineLvl w:val="2"/>
        <w:rPr>
          <w:rFonts w:ascii="Times New Roman" w:hAnsi="Times New Roman" w:eastAsia="宋体" w:cs="Times New Roman"/>
          <w:kern w:val="2"/>
          <w:sz w:val="21"/>
          <w:szCs w:val="24"/>
          <w:lang w:val="en-US" w:eastAsia="zh-CN" w:bidi="ar-SA"/>
        </w:rPr>
      </w:pPr>
      <w:r>
        <w:rPr>
          <w:rFonts w:eastAsia="黑体"/>
          <w:bCs/>
          <w:snapToGrid w:val="0"/>
          <w:color w:val="000000" w:themeColor="text1"/>
          <w:kern w:val="0"/>
          <w:sz w:val="28"/>
          <w:szCs w:val="28"/>
          <w14:textFill>
            <w14:solidFill>
              <w14:schemeClr w14:val="tx1"/>
            </w14:solidFill>
          </w14:textFill>
        </w:rPr>
        <w:t>3.3.9 高处坠落</w:t>
      </w:r>
    </w:p>
    <w:p>
      <w:pPr>
        <w:pStyle w:val="96"/>
        <w:widowControl w:val="0"/>
        <w:adjustRightInd w:val="0"/>
        <w:snapToGrid w:val="0"/>
        <w:ind w:firstLine="566"/>
        <w:rPr>
          <w:rFonts w:ascii="Times New Roman" w:cs="Times New Roman"/>
        </w:rPr>
      </w:pPr>
      <w:r>
        <w:rPr>
          <w:rFonts w:ascii="Times New Roman" w:cs="Times New Roman"/>
        </w:rPr>
        <w:t>检维修过程中，涉及到高处作业。高处作业时安全防护装置不完善或缺乏安全防护装置，人员安全培训不到位，作业时未正确使用安全带或安全带存在缺陷，作业中存在违章作业、违章指挥、违反劳动纪律的现象，均可导致高处坠落事故发生。</w:t>
      </w:r>
    </w:p>
    <w:p>
      <w:pPr>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w:t>
      </w:r>
      <w:r>
        <w:rPr>
          <w:rFonts w:hint="eastAsia" w:eastAsia="黑体"/>
          <w:bCs/>
          <w:snapToGrid w:val="0"/>
          <w:color w:val="000000" w:themeColor="text1"/>
          <w:kern w:val="0"/>
          <w:sz w:val="28"/>
          <w:szCs w:val="28"/>
          <w:lang w:val="en-US" w:eastAsia="zh-CN"/>
          <w14:textFill>
            <w14:solidFill>
              <w14:schemeClr w14:val="tx1"/>
            </w14:solidFill>
          </w14:textFill>
        </w:rPr>
        <w:t>10</w:t>
      </w:r>
      <w:r>
        <w:rPr>
          <w:rFonts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lang w:val="en-US" w:eastAsia="zh-CN"/>
          <w14:textFill>
            <w14:solidFill>
              <w14:schemeClr w14:val="tx1"/>
            </w14:solidFill>
          </w14:textFill>
        </w:rPr>
        <w:t>灼烫</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eastAsia"/>
          <w:lang w:eastAsia="zh-CN"/>
        </w:rPr>
      </w:pPr>
      <w:r>
        <w:rPr>
          <w:rFonts w:hint="eastAsia"/>
          <w:bCs/>
          <w:color w:val="000000"/>
          <w:lang w:eastAsia="zh-CN"/>
        </w:rPr>
        <w:t>山东胜利油田鸿欣石油技术有限公司</w:t>
      </w:r>
      <w:r>
        <w:rPr>
          <w:rFonts w:hint="eastAsia"/>
          <w:lang w:eastAsia="zh-CN"/>
        </w:rPr>
        <w:t>在酸化作业过程中，涉及的酸液存在腐蚀性，若操作人员未佩戴相应防护用品，误接触，容易造成化学性灼伤，在作业车辆运行过程中，泵体高速运转，导致温度较高，操作人员误接触容易造成烫伤。</w:t>
      </w:r>
    </w:p>
    <w:p>
      <w:pPr>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3.3.</w:t>
      </w:r>
      <w:r>
        <w:rPr>
          <w:rFonts w:hint="eastAsia" w:eastAsia="黑体"/>
          <w:bCs/>
          <w:snapToGrid w:val="0"/>
          <w:color w:val="000000" w:themeColor="text1"/>
          <w:kern w:val="0"/>
          <w:sz w:val="28"/>
          <w:szCs w:val="28"/>
          <w:lang w:val="en-US" w:eastAsia="zh-CN"/>
          <w14:textFill>
            <w14:solidFill>
              <w14:schemeClr w14:val="tx1"/>
            </w14:solidFill>
          </w14:textFill>
        </w:rPr>
        <w:t>11</w:t>
      </w:r>
      <w:r>
        <w:rPr>
          <w:rFonts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lang w:val="en-US" w:eastAsia="zh-CN"/>
          <w14:textFill>
            <w14:solidFill>
              <w14:schemeClr w14:val="tx1"/>
            </w14:solidFill>
          </w14:textFill>
        </w:rPr>
        <w:t>其他伤害</w:t>
      </w:r>
    </w:p>
    <w:p>
      <w:pPr>
        <w:pStyle w:val="96"/>
        <w:widowControl w:val="0"/>
        <w:adjustRightInd w:val="0"/>
        <w:snapToGrid w:val="0"/>
        <w:ind w:firstLine="566"/>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cs="Times New Roman"/>
          <w:color w:val="000000" w:themeColor="text1"/>
          <w:kern w:val="2"/>
          <w:sz w:val="28"/>
          <w:szCs w:val="28"/>
          <w:lang w:val="en-US" w:eastAsia="zh-CN" w:bidi="ar-SA"/>
          <w14:textFill>
            <w14:solidFill>
              <w14:schemeClr w14:val="tx1"/>
            </w14:solidFill>
          </w14:textFill>
        </w:rPr>
        <w:t>注</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二氧化碳</w:t>
      </w:r>
      <w:r>
        <w:rPr>
          <w:rFonts w:hint="eastAsia" w:ascii="Times New Roman" w:cs="Times New Roman"/>
          <w:color w:val="000000" w:themeColor="text1"/>
          <w:kern w:val="2"/>
          <w:sz w:val="28"/>
          <w:szCs w:val="28"/>
          <w:lang w:val="en-US" w:eastAsia="zh-CN" w:bidi="ar-SA"/>
          <w14:textFill>
            <w14:solidFill>
              <w14:schemeClr w14:val="tx1"/>
            </w14:solidFill>
          </w14:textFill>
        </w:rPr>
        <w:t>施工过程中，液态的</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二氧化碳释放时，会快速由</w:t>
      </w:r>
      <w:r>
        <w:rPr>
          <w:rFonts w:hint="eastAsia" w:ascii="Times New Roman" w:cs="Times New Roman"/>
          <w:color w:val="000000" w:themeColor="text1"/>
          <w:kern w:val="2"/>
          <w:sz w:val="28"/>
          <w:szCs w:val="28"/>
          <w:lang w:val="en-US" w:eastAsia="zh-CN" w:bidi="ar-SA"/>
          <w14:textFill>
            <w14:solidFill>
              <w14:schemeClr w14:val="tx1"/>
            </w14:solidFill>
          </w14:textFill>
        </w:rPr>
        <w:t>液</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态升华为气态，这个过程会吸收大量的热。如果</w:t>
      </w:r>
      <w:r>
        <w:rPr>
          <w:rFonts w:hint="eastAsia" w:ascii="Times New Roman" w:cs="Times New Roman"/>
          <w:color w:val="000000" w:themeColor="text1"/>
          <w:kern w:val="2"/>
          <w:sz w:val="28"/>
          <w:szCs w:val="28"/>
          <w:lang w:val="en-US" w:eastAsia="zh-CN" w:bidi="ar-SA"/>
          <w14:textFill>
            <w14:solidFill>
              <w14:schemeClr w14:val="tx1"/>
            </w14:solidFill>
          </w14:textFill>
        </w:rPr>
        <w:t>设备管线泄漏，人员操作</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不当，二氧化碳会</w:t>
      </w:r>
      <w:r>
        <w:rPr>
          <w:rFonts w:hint="eastAsia" w:ascii="Times New Roman" w:cs="Times New Roman"/>
          <w:color w:val="000000" w:themeColor="text1"/>
          <w:kern w:val="2"/>
          <w:sz w:val="28"/>
          <w:szCs w:val="28"/>
          <w:lang w:val="en-US" w:eastAsia="zh-CN" w:bidi="ar-SA"/>
          <w14:textFill>
            <w14:solidFill>
              <w14:schemeClr w14:val="tx1"/>
            </w14:solidFill>
          </w14:textFill>
        </w:rPr>
        <w:t>造成冻伤事故的发生</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w:t>
      </w:r>
      <w:r>
        <w:rPr>
          <w:rFonts w:hint="eastAsia" w:ascii="Times New Roman" w:cs="Times New Roman"/>
          <w:color w:val="000000" w:themeColor="text1"/>
          <w:kern w:val="2"/>
          <w:sz w:val="28"/>
          <w:szCs w:val="28"/>
          <w:lang w:val="en-US" w:eastAsia="zh-CN" w:bidi="ar-SA"/>
          <w14:textFill>
            <w14:solidFill>
              <w14:schemeClr w14:val="tx1"/>
            </w14:solidFill>
          </w14:textFill>
        </w:rPr>
        <w:t>另外二氧化碳气化后</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低浓度二氧化碳对呼吸中枢有一定兴奋作用</w:t>
      </w:r>
      <w:r>
        <w:rPr>
          <w:rFonts w:hint="eastAsia" w:ascii="Times New Roman" w:cs="Times New Roman"/>
          <w:color w:val="000000" w:themeColor="text1"/>
          <w:kern w:val="2"/>
          <w:sz w:val="28"/>
          <w:szCs w:val="28"/>
          <w:lang w:val="en-US" w:eastAsia="zh-CN" w:bidi="ar-SA"/>
          <w14:textFill>
            <w14:solidFill>
              <w14:schemeClr w14:val="tx1"/>
            </w14:solidFill>
          </w14:textFill>
        </w:rPr>
        <w:t>，</w:t>
      </w:r>
      <w: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t>但是高浓度的二氧化碳也会对人体产生影响，当浓度高时能抑制呼吸中枢，浓度特别高时对呼吸中枢还有麻痹作用</w:t>
      </w:r>
      <w:r>
        <w:rPr>
          <w:rFonts w:hint="eastAsia" w:ascii="Times New Roman" w:cs="Times New Roman"/>
          <w:color w:val="000000" w:themeColor="text1"/>
          <w:kern w:val="2"/>
          <w:sz w:val="28"/>
          <w:szCs w:val="28"/>
          <w:lang w:val="en-US" w:eastAsia="zh-CN" w:bidi="ar-SA"/>
          <w14:textFill>
            <w14:solidFill>
              <w14:schemeClr w14:val="tx1"/>
            </w14:solidFill>
          </w14:textFill>
        </w:rPr>
        <w:t>，导致中毒窒息事故的发生。</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68" w:name="_Toc447782518"/>
      <w:bookmarkStart w:id="69" w:name="_Toc216105914"/>
      <w:bookmarkStart w:id="70" w:name="_Toc329433800"/>
      <w:bookmarkStart w:id="71" w:name="_Toc9265"/>
      <w:bookmarkStart w:id="72" w:name="_Toc281310743"/>
      <w:r>
        <w:rPr>
          <w:rFonts w:ascii="Times New Roman" w:hAnsi="Times New Roman"/>
          <w:b w:val="0"/>
          <w:bCs/>
          <w:color w:val="000000" w:themeColor="text1"/>
          <w:szCs w:val="32"/>
          <w14:textFill>
            <w14:solidFill>
              <w14:schemeClr w14:val="tx1"/>
            </w14:solidFill>
          </w14:textFill>
        </w:rPr>
        <w:t>3.4 主要有害因素辨识</w:t>
      </w:r>
      <w:bookmarkEnd w:id="68"/>
      <w:bookmarkEnd w:id="69"/>
      <w:bookmarkEnd w:id="70"/>
      <w:bookmarkEnd w:id="71"/>
      <w:bookmarkEnd w:id="72"/>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3.4.1 噪声危害</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各种机械运转设备如制氮设备、增压设备的</w:t>
      </w:r>
      <w:r>
        <w:rPr>
          <w:rFonts w:hint="eastAsia"/>
          <w:color w:val="000000" w:themeColor="text1"/>
          <w:sz w:val="28"/>
          <w:szCs w:val="28"/>
          <w:lang w:val="en-US" w:eastAsia="zh-CN"/>
          <w14:textFill>
            <w14:solidFill>
              <w14:schemeClr w14:val="tx1"/>
            </w14:solidFill>
          </w14:textFill>
        </w:rPr>
        <w:t>机泵</w:t>
      </w:r>
      <w:r>
        <w:rPr>
          <w:color w:val="000000" w:themeColor="text1"/>
          <w:sz w:val="28"/>
          <w:szCs w:val="28"/>
          <w14:textFill>
            <w14:solidFill>
              <w14:schemeClr w14:val="tx1"/>
            </w14:solidFill>
          </w14:textFill>
        </w:rPr>
        <w:t>等运转时，工具、部件碰撞时发出的机械性噪声，介质输送、排放产生的空气动力性噪声，混杂在一起，可引起作业场所噪声值超标。</w:t>
      </w:r>
      <w:r>
        <w:rPr>
          <w:bCs/>
          <w:color w:val="000000" w:themeColor="text1"/>
          <w:sz w:val="28"/>
          <w:szCs w:val="28"/>
          <w14:textFill>
            <w14:solidFill>
              <w14:schemeClr w14:val="tx1"/>
            </w14:solidFill>
          </w14:textFill>
        </w:rPr>
        <w:t>人员长期在高噪声环境下工作，会引发</w:t>
      </w:r>
      <w:r>
        <w:rPr>
          <w:color w:val="000000" w:themeColor="text1"/>
          <w:sz w:val="28"/>
          <w:szCs w:val="28"/>
          <w14:textFill>
            <w14:solidFill>
              <w14:schemeClr w14:val="tx1"/>
            </w14:solidFill>
          </w14:textFill>
        </w:rPr>
        <w:t>噪声危害，其主要症状有听力损伤、职业性噪声聋、神经系统功能紊乱，甚至引起心血管疾病及消化系统疾病的高发。</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3.4.2 毒物危害</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石油天然气工程施工过程中可能接触到天然气、油蒸气、硫化氢、氮气</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二氧化碳</w:t>
      </w:r>
      <w:r>
        <w:rPr>
          <w:color w:val="000000" w:themeColor="text1"/>
          <w:sz w:val="28"/>
          <w:szCs w:val="28"/>
          <w14:textFill>
            <w14:solidFill>
              <w14:schemeClr w14:val="tx1"/>
            </w14:solidFill>
          </w14:textFill>
        </w:rPr>
        <w:t>等有毒、有害物质。这些有毒、有害物质对呼吸道、肺组织有强烈的刺激、腐蚀作用，短时间内高浓度接触可引起急性中毒；长期低浓度接触会引起慢性毒物危害（慢性中毒）。主要危害症状有头痛、恶心，以及呼吸道疾病等。</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73" w:name="_Toc216105913"/>
      <w:bookmarkStart w:id="74" w:name="_Toc15849"/>
      <w:bookmarkStart w:id="75" w:name="_Toc281310742"/>
      <w:bookmarkStart w:id="76" w:name="_Toc447782519"/>
      <w:bookmarkStart w:id="77" w:name="_Toc329433801"/>
      <w:bookmarkStart w:id="78" w:name="_Toc281310744"/>
      <w:r>
        <w:rPr>
          <w:rFonts w:ascii="Times New Roman" w:hAnsi="Times New Roman"/>
          <w:b w:val="0"/>
          <w:bCs/>
          <w:color w:val="000000" w:themeColor="text1"/>
          <w:szCs w:val="32"/>
          <w14:textFill>
            <w14:solidFill>
              <w14:schemeClr w14:val="tx1"/>
            </w14:solidFill>
          </w14:textFill>
        </w:rPr>
        <w:t>3.5 自然灾害的影响</w:t>
      </w:r>
      <w:bookmarkEnd w:id="73"/>
      <w:bookmarkEnd w:id="74"/>
      <w:bookmarkEnd w:id="75"/>
      <w:bookmarkEnd w:id="76"/>
      <w:bookmarkEnd w:id="77"/>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鸿欣公司根据目前的业务需要，石油作业队伍长年处于野外作业环境中，易受到自然灾害如：雷电、大风、雨、寒冷、高温酷暑等的侵袭，发生一些灾害性的事故。此外施工作业流动性大，长距离的流动可能造成人员水土不服、气候不适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对本工程施工影响较大的自然灾害有：雷电袭击、高温、低温、地震灾害等。</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3.5.1 雷电袭击</w:t>
      </w:r>
    </w:p>
    <w:p>
      <w:pPr>
        <w:adjustRightInd w:val="0"/>
        <w:snapToGrid w:val="0"/>
        <w:spacing w:line="360" w:lineRule="auto"/>
        <w:ind w:firstLine="564" w:firstLineChars="200"/>
        <w:rPr>
          <w:color w:val="0070C0"/>
          <w:sz w:val="28"/>
          <w:szCs w:val="28"/>
        </w:rPr>
      </w:pPr>
      <w:r>
        <w:rPr>
          <w:color w:val="000000" w:themeColor="text1"/>
          <w:sz w:val="28"/>
          <w:szCs w:val="28"/>
          <w14:textFill>
            <w14:solidFill>
              <w14:schemeClr w14:val="tx1"/>
            </w14:solidFill>
          </w14:textFill>
        </w:rPr>
        <w:t>雷电是大自然中的静电放电现象，设备设施遭到雷电袭击时，会产生极高的电压和极大的电流，在其波及的范围内，可能造成设备或设施的损坏，直接或间接地造成人员伤亡。</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3.5.2 高温、低温</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在极端低温条件下，若无有效的防冻保温措施，人员在室外作业工作时间过长，可能引起人员冻伤。</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无论是高温还是低温环境，都可影响人员的情绪、反应灵敏性，增加违章事故发生的频率，并可能成为引发其他事故的诱因。</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3.5.3 地震灾害</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地震是地球内部突然发生的一系列弹性波，具有突发性和难以预报的特点，地震产生的强烈振动除可直接导致建构筑物倒塌、电杆折断、容器管道破裂、火灾爆炸之外，还会伴随出现断层、地裂、山崩、滑坡及地面隆起和下沉现象。对石油工业生产来说，地震会造成</w:t>
      </w:r>
      <w:r>
        <w:rPr>
          <w:rFonts w:hint="eastAsia"/>
          <w:color w:val="000000" w:themeColor="text1"/>
          <w:sz w:val="28"/>
          <w:szCs w:val="28"/>
          <w:lang w:val="en-US" w:eastAsia="zh-CN"/>
          <w14:textFill>
            <w14:solidFill>
              <w14:schemeClr w14:val="tx1"/>
            </w14:solidFill>
          </w14:textFill>
        </w:rPr>
        <w:t>设备设施</w:t>
      </w:r>
      <w:r>
        <w:rPr>
          <w:color w:val="000000" w:themeColor="text1"/>
          <w:sz w:val="28"/>
          <w:szCs w:val="28"/>
          <w14:textFill>
            <w14:solidFill>
              <w14:schemeClr w14:val="tx1"/>
            </w14:solidFill>
          </w14:textFill>
        </w:rPr>
        <w:t>、油（气）井毁坏、</w:t>
      </w:r>
      <w:r>
        <w:rPr>
          <w:rFonts w:hint="eastAsia"/>
          <w:color w:val="000000" w:themeColor="text1"/>
          <w:sz w:val="28"/>
          <w:szCs w:val="28"/>
          <w:lang w:val="en-US" w:eastAsia="zh-CN"/>
          <w14:textFill>
            <w14:solidFill>
              <w14:schemeClr w14:val="tx1"/>
            </w14:solidFill>
          </w14:textFill>
        </w:rPr>
        <w:t>管线</w:t>
      </w:r>
      <w:r>
        <w:rPr>
          <w:color w:val="000000" w:themeColor="text1"/>
          <w:sz w:val="28"/>
          <w:szCs w:val="28"/>
          <w14:textFill>
            <w14:solidFill>
              <w14:schemeClr w14:val="tx1"/>
            </w14:solidFill>
          </w14:textFill>
        </w:rPr>
        <w:t>及阀件断裂等危害，同时还可能伴随火灾、爆炸等严重的二次灾害的发生。</w:t>
      </w:r>
      <w:bookmarkStart w:id="79" w:name="_Toc329433802"/>
      <w:bookmarkStart w:id="80" w:name="_Toc447782520"/>
    </w:p>
    <w:bookmarkEnd w:id="78"/>
    <w:bookmarkEnd w:id="79"/>
    <w:bookmarkEnd w:id="80"/>
    <w:p>
      <w:pPr>
        <w:pStyle w:val="4"/>
        <w:keepNext w:val="0"/>
        <w:keepLines w:val="0"/>
        <w:adjustRightInd w:val="0"/>
        <w:snapToGrid w:val="0"/>
        <w:spacing w:before="0" w:after="0" w:line="360" w:lineRule="auto"/>
        <w:rPr>
          <w:rFonts w:hint="default" w:ascii="Times New Roman" w:hAnsi="Times New Roman" w:eastAsia="黑体"/>
          <w:b w:val="0"/>
          <w:bCs/>
          <w:color w:val="000000" w:themeColor="text1"/>
          <w:szCs w:val="32"/>
          <w:lang w:val="en-US" w:eastAsia="zh-CN"/>
          <w14:textFill>
            <w14:solidFill>
              <w14:schemeClr w14:val="tx1"/>
            </w14:solidFill>
          </w14:textFill>
        </w:rPr>
      </w:pPr>
      <w:bookmarkStart w:id="81" w:name="_Toc20776"/>
      <w:bookmarkStart w:id="82" w:name="_Toc7161"/>
      <w:bookmarkStart w:id="83" w:name="_Toc447782521"/>
      <w:bookmarkStart w:id="84" w:name="_Toc329433803"/>
      <w:bookmarkStart w:id="85" w:name="_Toc281310745"/>
      <w:r>
        <w:rPr>
          <w:rFonts w:ascii="Times New Roman" w:hAnsi="Times New Roman"/>
          <w:b w:val="0"/>
          <w:bCs/>
          <w:color w:val="000000" w:themeColor="text1"/>
          <w:szCs w:val="32"/>
          <w14:textFill>
            <w14:solidFill>
              <w14:schemeClr w14:val="tx1"/>
            </w14:solidFill>
          </w14:textFill>
        </w:rPr>
        <w:t>3.</w:t>
      </w:r>
      <w:r>
        <w:rPr>
          <w:rFonts w:hint="eastAsia" w:ascii="Times New Roman" w:hAnsi="Times New Roman"/>
          <w:b w:val="0"/>
          <w:bCs/>
          <w:color w:val="000000" w:themeColor="text1"/>
          <w:szCs w:val="32"/>
          <w:lang w:val="en-US" w:eastAsia="zh-CN"/>
          <w14:textFill>
            <w14:solidFill>
              <w14:schemeClr w14:val="tx1"/>
            </w14:solidFill>
          </w14:textFill>
        </w:rPr>
        <w:t>6</w:t>
      </w:r>
      <w:r>
        <w:rPr>
          <w:rFonts w:ascii="Times New Roman" w:hAnsi="Times New Roman"/>
          <w:b w:val="0"/>
          <w:bCs/>
          <w:color w:val="000000" w:themeColor="text1"/>
          <w:szCs w:val="32"/>
          <w14:textFill>
            <w14:solidFill>
              <w14:schemeClr w14:val="tx1"/>
            </w14:solidFill>
          </w14:textFill>
        </w:rPr>
        <w:t xml:space="preserve"> </w:t>
      </w:r>
      <w:r>
        <w:rPr>
          <w:rFonts w:hint="eastAsia" w:ascii="Times New Roman" w:hAnsi="Times New Roman"/>
          <w:b w:val="0"/>
          <w:bCs/>
          <w:color w:val="000000" w:themeColor="text1"/>
          <w:szCs w:val="32"/>
          <w:lang w:val="en-US" w:eastAsia="zh-CN"/>
          <w14:textFill>
            <w14:solidFill>
              <w14:schemeClr w14:val="tx1"/>
            </w14:solidFill>
          </w14:textFill>
        </w:rPr>
        <w:t>人的不安全行为和安全管理缺陷</w:t>
      </w:r>
      <w:bookmarkEnd w:id="81"/>
      <w:bookmarkEnd w:id="82"/>
    </w:p>
    <w:p>
      <w:pPr>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6</w:t>
      </w:r>
      <w:r>
        <w:rPr>
          <w:rFonts w:eastAsia="黑体"/>
          <w:bCs/>
          <w:snapToGrid w:val="0"/>
          <w:color w:val="000000" w:themeColor="text1"/>
          <w:kern w:val="0"/>
          <w:sz w:val="28"/>
          <w:szCs w:val="28"/>
          <w14:textFill>
            <w14:solidFill>
              <w14:schemeClr w14:val="tx1"/>
            </w14:solidFill>
          </w14:textFill>
        </w:rPr>
        <w:t xml:space="preserve">.1 </w:t>
      </w:r>
      <w:r>
        <w:rPr>
          <w:rFonts w:hint="eastAsia" w:eastAsia="黑体"/>
          <w:bCs/>
          <w:snapToGrid w:val="0"/>
          <w:color w:val="000000" w:themeColor="text1"/>
          <w:kern w:val="0"/>
          <w:sz w:val="28"/>
          <w:szCs w:val="28"/>
          <w:lang w:val="en-US" w:eastAsia="zh-CN"/>
          <w14:textFill>
            <w14:solidFill>
              <w14:schemeClr w14:val="tx1"/>
            </w14:solidFill>
          </w14:textFill>
        </w:rPr>
        <w:t>人的不安全行为</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大量事故的统计分析表明，大部分事故是由人的因素造成的。长期超负荷作业致使操作人员疲劳、</w:t>
      </w:r>
      <w:r>
        <w:rPr>
          <w:rFonts w:hint="eastAsia" w:cs="Times New Roman"/>
          <w:bCs/>
          <w:snapToGrid w:val="0"/>
          <w:color w:val="000000" w:themeColor="text1"/>
          <w:kern w:val="0"/>
          <w:sz w:val="28"/>
          <w:szCs w:val="28"/>
          <w:lang w:val="en-US" w:eastAsia="zh-CN"/>
          <w14:textFill>
            <w14:solidFill>
              <w14:schemeClr w14:val="tx1"/>
            </w14:solidFill>
          </w14:textFill>
        </w:rPr>
        <w:t>负荷超限、</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精力不集中导致误操作；疾病或饮酒致操作和指挥失误；操作人员从事禁忌作业引起事故；人员心理异常、故意犯错或存在识别功能缺陷均可导致事故。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人的不安全行为主要表现为以下几个方面：</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1</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不专心致志工作，麻痹大意或急躁慌张、判断失误导致事故发生。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2</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不按操作规程进行操作；不按规章制度进行巡回检查，甚至在岗上睡觉，或者串岗，脱岗，岗上看杂志、干私活，或交接班不具体等致使事故隐患不能及时发现，从而酿成事故。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3</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个人英雄主义：争强好胜，充英雄好汉，此类人员因与上岗干部、班组长、安全监管人员认识不同、感情不和，或受他人蛊惑而蓄意故犯、故意蛮干、违章操作，以泄私愤。</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4</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不求上进、不思进取、得过且过，对</w:t>
      </w:r>
      <w:r>
        <w:rPr>
          <w:rFonts w:hint="eastAsia" w:cs="Times New Roman"/>
          <w:bCs/>
          <w:snapToGrid w:val="0"/>
          <w:color w:val="000000" w:themeColor="text1"/>
          <w:kern w:val="0"/>
          <w:sz w:val="28"/>
          <w:szCs w:val="28"/>
          <w:lang w:val="en-US" w:eastAsia="zh-CN"/>
          <w14:textFill>
            <w14:solidFill>
              <w14:schemeClr w14:val="tx1"/>
            </w14:solidFill>
          </w14:textFill>
        </w:rPr>
        <w:t>施工</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中使用的各种物质组成、性质不了解，缺乏普通的和专业的安全知识，缺乏专业知识和</w:t>
      </w:r>
      <w:r>
        <w:rPr>
          <w:rFonts w:hint="eastAsia" w:cs="Times New Roman"/>
          <w:bCs/>
          <w:snapToGrid w:val="0"/>
          <w:color w:val="000000" w:themeColor="text1"/>
          <w:kern w:val="0"/>
          <w:sz w:val="28"/>
          <w:szCs w:val="28"/>
          <w:lang w:val="en-US" w:eastAsia="zh-CN"/>
          <w14:textFill>
            <w14:solidFill>
              <w14:schemeClr w14:val="tx1"/>
            </w14:solidFill>
          </w14:textFill>
        </w:rPr>
        <w:t>技术</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技能，因知识和技能的缺陷导致指挥或操作失误，引起事故。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5</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身体素质差，易疲劳；思想素质低，指挥者独断专行，违章指挥；操作者不负责任，擅离职守；承受不起生活和工作上的压力，心理变态、精神失常、神思恍惚，思想不集中；或过于兴奋，得意忘形等均有可能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6</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主要负责人不能保证安全资金的投入，管理人员安全意识不强，不认真落实防范措施，决策失误或指挥能力差，可间接导致事故发生或使事故扩大。</w:t>
      </w:r>
    </w:p>
    <w:p>
      <w:pPr>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6</w:t>
      </w:r>
      <w:r>
        <w:rPr>
          <w:rFonts w:eastAsia="黑体"/>
          <w:bCs/>
          <w:snapToGrid w:val="0"/>
          <w:color w:val="000000" w:themeColor="text1"/>
          <w:kern w:val="0"/>
          <w:sz w:val="28"/>
          <w:szCs w:val="28"/>
          <w14:textFill>
            <w14:solidFill>
              <w14:schemeClr w14:val="tx1"/>
            </w14:solidFill>
          </w14:textFill>
        </w:rPr>
        <w:t xml:space="preserve">.2 </w:t>
      </w:r>
      <w:r>
        <w:rPr>
          <w:rFonts w:hint="eastAsia" w:eastAsia="黑体"/>
          <w:bCs/>
          <w:snapToGrid w:val="0"/>
          <w:color w:val="000000" w:themeColor="text1"/>
          <w:kern w:val="0"/>
          <w:sz w:val="28"/>
          <w:szCs w:val="28"/>
          <w:lang w:val="en-US" w:eastAsia="zh-CN"/>
          <w14:textFill>
            <w14:solidFill>
              <w14:schemeClr w14:val="tx1"/>
            </w14:solidFill>
          </w14:textFill>
        </w:rPr>
        <w:t>安全管理缺陷</w:t>
      </w:r>
    </w:p>
    <w:p>
      <w:pPr>
        <w:adjustRightInd w:val="0"/>
        <w:snapToGrid w:val="0"/>
        <w:spacing w:line="360" w:lineRule="auto"/>
        <w:ind w:firstLine="564"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安全生产责任制不完善或未落实；</w:t>
      </w:r>
      <w:r>
        <w:rPr>
          <w:rFonts w:hint="eastAsia"/>
          <w:color w:val="000000" w:themeColor="text1"/>
          <w:sz w:val="28"/>
          <w:szCs w:val="28"/>
          <w14:textFill>
            <w14:solidFill>
              <w14:schemeClr w14:val="tx1"/>
            </w14:solidFill>
          </w14:textFill>
        </w:rPr>
        <w:t>未设置相应的</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管理机构或</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管理机构设置不合理，</w:t>
      </w:r>
      <w:r>
        <w:rPr>
          <w:rFonts w:hint="eastAsia"/>
          <w:color w:val="000000" w:themeColor="text1"/>
          <w:sz w:val="28"/>
          <w:szCs w:val="28"/>
          <w:lang w:val="en-US" w:eastAsia="zh-CN"/>
          <w14:textFill>
            <w14:solidFill>
              <w14:schemeClr w14:val="tx1"/>
            </w14:solidFill>
          </w14:textFill>
        </w:rPr>
        <w:t>人员配置不足，</w:t>
      </w:r>
      <w:r>
        <w:rPr>
          <w:rFonts w:hint="eastAsia"/>
          <w:color w:val="000000" w:themeColor="text1"/>
          <w:sz w:val="28"/>
          <w:szCs w:val="28"/>
          <w14:textFill>
            <w14:solidFill>
              <w14:schemeClr w14:val="tx1"/>
            </w14:solidFill>
          </w14:textFill>
        </w:rPr>
        <w:t>管理混乱；管理制度不健全或管理措施落实不到位，生产人员无章可循、行为随意、盲目乱干；</w:t>
      </w:r>
      <w:r>
        <w:rPr>
          <w:rFonts w:hint="eastAsia"/>
          <w:color w:val="000000" w:themeColor="text1"/>
          <w:sz w:val="28"/>
          <w:szCs w:val="28"/>
          <w:lang w:val="en-US" w:eastAsia="zh-CN"/>
          <w14:textFill>
            <w14:solidFill>
              <w14:schemeClr w14:val="tx1"/>
            </w14:solidFill>
          </w14:textFill>
        </w:rPr>
        <w:t>未建立安全投入制度，可导致安全投入不足；</w:t>
      </w:r>
      <w:r>
        <w:rPr>
          <w:rFonts w:hint="eastAsia"/>
          <w:color w:val="000000" w:themeColor="text1"/>
          <w:sz w:val="28"/>
          <w:szCs w:val="28"/>
          <w14:textFill>
            <w14:solidFill>
              <w14:schemeClr w14:val="tx1"/>
            </w14:solidFill>
          </w14:textFill>
        </w:rPr>
        <w:t>无相应的奖惩制度，会使人员无积极性、主动性，巡检不及时、不认真，交接班不具体；没有制定完善的安全操作规程，操作人员盲目乱干等；无培训制度，操作人员没有经过安全教育</w:t>
      </w:r>
      <w:r>
        <w:rPr>
          <w:rFonts w:hint="eastAsia"/>
          <w:color w:val="000000" w:themeColor="text1"/>
          <w:sz w:val="28"/>
          <w:szCs w:val="28"/>
          <w:lang w:val="en-US" w:eastAsia="zh-CN"/>
          <w14:textFill>
            <w14:solidFill>
              <w14:schemeClr w14:val="tx1"/>
            </w14:solidFill>
          </w14:textFill>
        </w:rPr>
        <w:t>培训</w:t>
      </w:r>
      <w:r>
        <w:rPr>
          <w:rFonts w:hint="eastAsia"/>
          <w:color w:val="000000" w:themeColor="text1"/>
          <w:sz w:val="28"/>
          <w:szCs w:val="28"/>
          <w14:textFill>
            <w14:solidFill>
              <w14:schemeClr w14:val="tx1"/>
            </w14:solidFill>
          </w14:textFill>
        </w:rPr>
        <w:t>和技能培训，让未经培训的</w:t>
      </w:r>
      <w:r>
        <w:rPr>
          <w:rFonts w:hint="eastAsia"/>
          <w:color w:val="000000" w:themeColor="text1"/>
          <w:sz w:val="28"/>
          <w:szCs w:val="28"/>
          <w:lang w:val="en-US" w:eastAsia="zh-CN"/>
          <w14:textFill>
            <w14:solidFill>
              <w14:schemeClr w14:val="tx1"/>
            </w14:solidFill>
          </w14:textFill>
        </w:rPr>
        <w:t>操作人员</w:t>
      </w:r>
      <w:r>
        <w:rPr>
          <w:rFonts w:hint="eastAsia"/>
          <w:color w:val="000000" w:themeColor="text1"/>
          <w:sz w:val="28"/>
          <w:szCs w:val="28"/>
          <w14:textFill>
            <w14:solidFill>
              <w14:schemeClr w14:val="tx1"/>
            </w14:solidFill>
          </w14:textFill>
        </w:rPr>
        <w:t>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eastAsia="宋体"/>
          <w:color w:val="000000" w:themeColor="text1"/>
          <w:lang w:val="en-US" w:eastAsia="zh-CN"/>
          <w14:textFill>
            <w14:solidFill>
              <w14:schemeClr w14:val="tx1"/>
            </w14:solidFill>
          </w14:textFill>
        </w:rPr>
      </w:pPr>
      <w:r>
        <w:rPr>
          <w:rFonts w:hint="eastAsia" w:ascii="宋体" w:hAnsi="宋体" w:cs="仿宋"/>
          <w:color w:val="000000" w:themeColor="text1"/>
          <w:szCs w:val="21"/>
          <w:lang w:val="en-US" w:eastAsia="zh-CN"/>
          <w14:textFill>
            <w14:solidFill>
              <w14:schemeClr w14:val="tx1"/>
            </w14:solidFill>
          </w14:textFill>
        </w:rPr>
        <w:t>未进行</w:t>
      </w:r>
      <w:r>
        <w:rPr>
          <w:rFonts w:hint="eastAsia" w:ascii="宋体" w:hAnsi="宋体" w:cs="仿宋"/>
          <w:color w:val="000000" w:themeColor="text1"/>
          <w:szCs w:val="21"/>
          <w14:textFill>
            <w14:solidFill>
              <w14:schemeClr w14:val="tx1"/>
            </w14:solidFill>
          </w14:textFill>
        </w:rPr>
        <w:t>识别生产中的所有常规和非常规活动存在的危害，以及所有生产现场使用设备设施和作业环境中存在的危害，采用科学合理的评估方法进行</w:t>
      </w:r>
      <w:r>
        <w:rPr>
          <w:rFonts w:hint="eastAsia" w:ascii="宋体" w:hAnsi="宋体" w:cs="仿宋"/>
          <w:color w:val="000000" w:themeColor="text1"/>
          <w:szCs w:val="21"/>
          <w:lang w:val="en-US" w:eastAsia="zh-CN"/>
          <w14:textFill>
            <w14:solidFill>
              <w14:schemeClr w14:val="tx1"/>
            </w14:solidFill>
          </w14:textFill>
        </w:rPr>
        <w:t>风险</w:t>
      </w:r>
      <w:r>
        <w:rPr>
          <w:rFonts w:hint="eastAsia" w:ascii="宋体" w:hAnsi="宋体" w:cs="仿宋"/>
          <w:color w:val="000000" w:themeColor="text1"/>
          <w:szCs w:val="21"/>
          <w14:textFill>
            <w14:solidFill>
              <w14:schemeClr w14:val="tx1"/>
            </w14:solidFill>
          </w14:textFill>
        </w:rPr>
        <w:t>评估</w:t>
      </w:r>
      <w:r>
        <w:rPr>
          <w:rFonts w:hint="eastAsia" w:ascii="宋体" w:hAnsi="宋体" w:cs="仿宋"/>
          <w:color w:val="000000" w:themeColor="text1"/>
          <w:szCs w:val="21"/>
          <w:lang w:val="en-US" w:eastAsia="zh-CN"/>
          <w14:textFill>
            <w14:solidFill>
              <w14:schemeClr w14:val="tx1"/>
            </w14:solidFill>
          </w14:textFill>
        </w:rPr>
        <w:t>并进行分级管</w:t>
      </w:r>
      <w:r>
        <w:rPr>
          <w:rFonts w:hint="eastAsia" w:ascii="宋体" w:hAnsi="宋体" w:cs="仿宋"/>
          <w:color w:val="000000" w:themeColor="text1"/>
          <w:szCs w:val="21"/>
          <w14:textFill>
            <w14:solidFill>
              <w14:schemeClr w14:val="tx1"/>
            </w14:solidFill>
          </w14:textFill>
        </w:rPr>
        <w:t>控</w:t>
      </w:r>
      <w:r>
        <w:rPr>
          <w:rFonts w:hint="eastAsia" w:ascii="宋体" w:hAnsi="宋体" w:cs="仿宋"/>
          <w:color w:val="000000" w:themeColor="text1"/>
          <w:szCs w:val="21"/>
          <w:lang w:eastAsia="zh-CN"/>
          <w14:textFill>
            <w14:solidFill>
              <w14:schemeClr w14:val="tx1"/>
            </w14:solidFill>
          </w14:textFill>
        </w:rPr>
        <w:t>；</w:t>
      </w:r>
      <w:r>
        <w:rPr>
          <w:rFonts w:hint="eastAsia" w:ascii="宋体" w:hAnsi="宋体" w:cs="仿宋"/>
          <w:color w:val="000000" w:themeColor="text1"/>
          <w:szCs w:val="21"/>
          <w:lang w:val="en-US" w:eastAsia="zh-CN"/>
          <w14:textFill>
            <w14:solidFill>
              <w14:schemeClr w14:val="tx1"/>
            </w14:solidFill>
          </w14:textFill>
        </w:rPr>
        <w:t>未定期</w:t>
      </w:r>
      <w:r>
        <w:rPr>
          <w:rFonts w:hint="eastAsia" w:ascii="宋体" w:hAnsi="宋体" w:cs="仿宋"/>
          <w:color w:val="000000" w:themeColor="text1"/>
          <w:szCs w:val="21"/>
          <w:lang w:eastAsia="zh-CN"/>
          <w14:textFill>
            <w14:solidFill>
              <w14:schemeClr w14:val="tx1"/>
            </w14:solidFill>
          </w14:textFill>
        </w:rPr>
        <w:t>组织安全生产管理人员、工程技术人员、岗位员工以及其他相关人员</w:t>
      </w:r>
      <w:r>
        <w:rPr>
          <w:rFonts w:hint="eastAsia" w:ascii="宋体" w:hAnsi="宋体" w:cs="仿宋"/>
          <w:color w:val="000000" w:themeColor="text1"/>
          <w:szCs w:val="21"/>
          <w:lang w:val="en-US" w:eastAsia="zh-CN"/>
          <w14:textFill>
            <w14:solidFill>
              <w14:schemeClr w14:val="tx1"/>
            </w14:solidFill>
          </w14:textFill>
        </w:rPr>
        <w:t>对</w:t>
      </w:r>
      <w:r>
        <w:rPr>
          <w:rFonts w:hint="eastAsia" w:ascii="宋体" w:hAnsi="宋体" w:cs="仿宋"/>
          <w:color w:val="000000" w:themeColor="text1"/>
          <w:szCs w:val="21"/>
          <w:lang w:eastAsia="zh-CN"/>
          <w14:textFill>
            <w14:solidFill>
              <w14:schemeClr w14:val="tx1"/>
            </w14:solidFill>
          </w14:textFill>
        </w:rPr>
        <w:t>事故隐患进行排查</w:t>
      </w:r>
      <w:r>
        <w:rPr>
          <w:rFonts w:hint="eastAsia" w:ascii="宋体" w:hAnsi="宋体" w:cs="仿宋"/>
          <w:color w:val="000000" w:themeColor="text1"/>
          <w:szCs w:val="21"/>
          <w:lang w:val="en-US" w:eastAsia="zh-CN"/>
          <w14:textFill>
            <w14:solidFill>
              <w14:schemeClr w14:val="tx1"/>
            </w14:solidFill>
          </w14:textFill>
        </w:rPr>
        <w:t>治理，设备设施带病运行而导致事故发生。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应急资源调查不充分；应急能力、风险评估不全面；应急预案不健全、可操作性不强、无针对性；应急预案培训不到位，应急预案演练不规范，应急预案评估不到位，现场负责人、监护人员、作业人员和应急救援人员均未掌握应急预案内容,不具备相应的应急处置能力，导致事故扩大。</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86" w:name="_Toc4559"/>
      <w:r>
        <w:rPr>
          <w:rFonts w:ascii="Times New Roman" w:hAnsi="Times New Roman"/>
          <w:b w:val="0"/>
          <w:bCs/>
          <w:color w:val="000000" w:themeColor="text1"/>
          <w:szCs w:val="32"/>
          <w14:textFill>
            <w14:solidFill>
              <w14:schemeClr w14:val="tx1"/>
            </w14:solidFill>
          </w14:textFill>
        </w:rPr>
        <w:t>3.</w:t>
      </w:r>
      <w:r>
        <w:rPr>
          <w:rFonts w:hint="eastAsia" w:ascii="Times New Roman" w:hAnsi="Times New Roman"/>
          <w:b w:val="0"/>
          <w:bCs/>
          <w:color w:val="000000" w:themeColor="text1"/>
          <w:szCs w:val="32"/>
          <w:lang w:val="en-US" w:eastAsia="zh-CN"/>
          <w14:textFill>
            <w14:solidFill>
              <w14:schemeClr w14:val="tx1"/>
            </w14:solidFill>
          </w14:textFill>
        </w:rPr>
        <w:t>7</w:t>
      </w:r>
      <w:r>
        <w:rPr>
          <w:rFonts w:ascii="Times New Roman" w:hAnsi="Times New Roman"/>
          <w:b w:val="0"/>
          <w:bCs/>
          <w:color w:val="000000" w:themeColor="text1"/>
          <w:szCs w:val="32"/>
          <w14:textFill>
            <w14:solidFill>
              <w14:schemeClr w14:val="tx1"/>
            </w14:solidFill>
          </w14:textFill>
        </w:rPr>
        <w:t xml:space="preserve"> 重大危险源辨识</w:t>
      </w:r>
      <w:bookmarkEnd w:id="86"/>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7</w:t>
      </w:r>
      <w:r>
        <w:rPr>
          <w:rFonts w:eastAsia="黑体"/>
          <w:bCs/>
          <w:snapToGrid w:val="0"/>
          <w:color w:val="000000" w:themeColor="text1"/>
          <w:kern w:val="0"/>
          <w:sz w:val="28"/>
          <w:szCs w:val="28"/>
          <w14:textFill>
            <w14:solidFill>
              <w14:schemeClr w14:val="tx1"/>
            </w14:solidFill>
          </w14:textFill>
        </w:rPr>
        <w:t>.1 重大危险源辨识依据</w:t>
      </w:r>
    </w:p>
    <w:p>
      <w:pPr>
        <w:adjustRightInd w:val="0"/>
        <w:snapToGrid w:val="0"/>
        <w:spacing w:line="360" w:lineRule="auto"/>
        <w:ind w:firstLine="564" w:firstLineChars="200"/>
        <w:rPr>
          <w:color w:val="000000"/>
          <w:sz w:val="28"/>
          <w:szCs w:val="28"/>
        </w:rPr>
      </w:pPr>
      <w:r>
        <w:rPr>
          <w:color w:val="000000"/>
          <w:sz w:val="28"/>
          <w:szCs w:val="28"/>
        </w:rPr>
        <w:t>依据《危险化学品重大危险源辨识》（GB18218-2018）和《危险化学品重大危险源监督管理暂行规定》（安监总局令第40号，79号令修订）规定，危险化学品重大危险源、危险化学品和临界量的定义如下：</w:t>
      </w:r>
    </w:p>
    <w:p>
      <w:pPr>
        <w:adjustRightInd w:val="0"/>
        <w:snapToGrid w:val="0"/>
        <w:spacing w:line="360" w:lineRule="auto"/>
        <w:ind w:firstLine="564" w:firstLineChars="200"/>
        <w:rPr>
          <w:color w:val="000000"/>
          <w:sz w:val="28"/>
          <w:szCs w:val="28"/>
        </w:rPr>
      </w:pPr>
      <w:r>
        <w:rPr>
          <w:color w:val="000000"/>
          <w:sz w:val="28"/>
          <w:szCs w:val="28"/>
        </w:rPr>
        <w:t>危险化学品重大危险源：指长期地或临时地生产、加工、使用或储存危险化学品，且危险化学品的数量等于或超过临界量的单元。</w:t>
      </w:r>
    </w:p>
    <w:p>
      <w:pPr>
        <w:adjustRightInd w:val="0"/>
        <w:snapToGrid w:val="0"/>
        <w:spacing w:line="360" w:lineRule="auto"/>
        <w:ind w:firstLine="564" w:firstLineChars="200"/>
        <w:rPr>
          <w:color w:val="000000"/>
          <w:sz w:val="28"/>
          <w:szCs w:val="28"/>
        </w:rPr>
      </w:pPr>
      <w:r>
        <w:rPr>
          <w:color w:val="000000"/>
          <w:sz w:val="28"/>
          <w:szCs w:val="28"/>
        </w:rPr>
        <w:t>生产单元：危险化学品的生产、加工及使用等的装置及设施，当装置及设施之间有切断阀时，以切断阀作为分隔界限划分为独立的单元。</w:t>
      </w:r>
    </w:p>
    <w:p>
      <w:pPr>
        <w:adjustRightInd w:val="0"/>
        <w:snapToGrid w:val="0"/>
        <w:spacing w:line="360" w:lineRule="auto"/>
        <w:ind w:firstLine="564" w:firstLineChars="200"/>
        <w:rPr>
          <w:color w:val="000000"/>
          <w:sz w:val="28"/>
          <w:szCs w:val="28"/>
        </w:rPr>
      </w:pPr>
      <w:r>
        <w:rPr>
          <w:color w:val="000000"/>
          <w:sz w:val="28"/>
          <w:szCs w:val="28"/>
        </w:rPr>
        <w:t>储存单元：用于储存危险化学品的储罐或仓库组成的相对独立的区域，储罐区以罐区防火堤为界限划分为独立的单元，仓库以独立库房（独立建筑物）为界限划分为独立的单元。</w:t>
      </w:r>
    </w:p>
    <w:p>
      <w:pPr>
        <w:adjustRightInd w:val="0"/>
        <w:snapToGrid w:val="0"/>
        <w:spacing w:line="360" w:lineRule="auto"/>
        <w:ind w:firstLine="564" w:firstLineChars="200"/>
        <w:rPr>
          <w:color w:val="000000"/>
          <w:sz w:val="28"/>
          <w:szCs w:val="28"/>
        </w:rPr>
      </w:pPr>
      <w:r>
        <w:rPr>
          <w:color w:val="000000"/>
          <w:sz w:val="28"/>
          <w:szCs w:val="28"/>
        </w:rPr>
        <w:t>临界量：指对于某种或某类危险化学品规定的数量，若单元中的危险化学品数量等于或超过该数量，则该单元定为重大危险源。</w:t>
      </w:r>
    </w:p>
    <w:p>
      <w:pPr>
        <w:adjustRightInd w:val="0"/>
        <w:snapToGrid w:val="0"/>
        <w:spacing w:line="360" w:lineRule="auto"/>
        <w:ind w:firstLine="564" w:firstLineChars="200"/>
        <w:rPr>
          <w:color w:val="000000"/>
          <w:sz w:val="28"/>
          <w:szCs w:val="28"/>
        </w:rPr>
      </w:pPr>
      <w:r>
        <w:rPr>
          <w:color w:val="000000"/>
          <w:sz w:val="28"/>
          <w:szCs w:val="28"/>
        </w:rPr>
        <w:t>依据《危险化学品重大危险源辨识》（GB18218-2018）第4.2.1生产单元、储存单元内存在危险化学品的数量等于或超过表1、表2规定的临界量，即被定为重大危险源。危险化学品的纯物质及其混合物应按GB 30000.2、GB 30000.3、GB 30000.4、GB30000.5、GB 30000.7、GB 30000.8、GB 30000.9、GB 30000.10、GB 30000.11、GB 30000.12、GB 30000.13、GB 30000.14、GB 30000.15、GB 30000.16、GB 30000.18的规定进行分类。</w:t>
      </w:r>
    </w:p>
    <w:p>
      <w:pPr>
        <w:adjustRightInd w:val="0"/>
        <w:snapToGrid w:val="0"/>
        <w:spacing w:line="360" w:lineRule="auto"/>
        <w:ind w:firstLine="564" w:firstLineChars="200"/>
        <w:rPr>
          <w:color w:val="000000"/>
          <w:sz w:val="28"/>
          <w:szCs w:val="28"/>
        </w:rPr>
      </w:pPr>
      <w:r>
        <w:rPr>
          <w:color w:val="000000"/>
          <w:sz w:val="28"/>
          <w:szCs w:val="28"/>
        </w:rPr>
        <w:t>单元内存在的危险化学品的数量根据处理危险化学品种类的多少区分为以下两种情况：</w:t>
      </w:r>
    </w:p>
    <w:p>
      <w:pPr>
        <w:adjustRightInd w:val="0"/>
        <w:snapToGrid w:val="0"/>
        <w:spacing w:line="360" w:lineRule="auto"/>
        <w:ind w:firstLine="564" w:firstLineChars="200"/>
        <w:rPr>
          <w:color w:val="000000"/>
          <w:sz w:val="28"/>
          <w:szCs w:val="28"/>
        </w:rPr>
      </w:pPr>
      <w:r>
        <w:rPr>
          <w:color w:val="000000"/>
          <w:sz w:val="28"/>
          <w:szCs w:val="28"/>
        </w:rPr>
        <w:t>①生产单元、储存单元内存在的危险化学品为单一品种，则该危险化学品的数量即为单元内危险化学品的总量，若等于或超过相应的临界量，则定为危险化学品重大危险源；</w:t>
      </w:r>
    </w:p>
    <w:p>
      <w:pPr>
        <w:adjustRightInd w:val="0"/>
        <w:snapToGrid w:val="0"/>
        <w:spacing w:line="360" w:lineRule="auto"/>
        <w:ind w:firstLine="564" w:firstLineChars="200"/>
        <w:rPr>
          <w:color w:val="000000"/>
          <w:sz w:val="28"/>
          <w:szCs w:val="28"/>
        </w:rPr>
      </w:pPr>
      <w:r>
        <w:rPr>
          <w:color w:val="000000"/>
          <w:sz w:val="28"/>
          <w:szCs w:val="28"/>
        </w:rPr>
        <w:t>②生产单元、储存单元内内存在的危险化学品为多品种时，则按下列公式计算，若满足下列公式，则定为危险化学品重大危险源。</w:t>
      </w:r>
    </w:p>
    <w:p>
      <w:pPr>
        <w:adjustRightInd w:val="0"/>
        <w:snapToGrid w:val="0"/>
        <w:spacing w:line="360" w:lineRule="auto"/>
        <w:ind w:firstLine="564" w:firstLineChars="200"/>
        <w:rPr>
          <w:color w:val="000000"/>
          <w:sz w:val="28"/>
          <w:szCs w:val="28"/>
        </w:rPr>
      </w:pPr>
      <w:r>
        <w:rPr>
          <w:color w:val="000000"/>
          <w:sz w:val="28"/>
          <w:szCs w:val="28"/>
        </w:rPr>
        <w:t>S=q</w:t>
      </w:r>
      <w:r>
        <w:rPr>
          <w:color w:val="000000"/>
          <w:sz w:val="28"/>
          <w:szCs w:val="28"/>
          <w:vertAlign w:val="subscript"/>
        </w:rPr>
        <w:t>1</w:t>
      </w:r>
      <w:r>
        <w:rPr>
          <w:color w:val="000000"/>
          <w:sz w:val="28"/>
          <w:szCs w:val="28"/>
        </w:rPr>
        <w:t>/Q</w:t>
      </w:r>
      <w:r>
        <w:rPr>
          <w:color w:val="000000"/>
          <w:sz w:val="28"/>
          <w:szCs w:val="28"/>
          <w:vertAlign w:val="subscript"/>
        </w:rPr>
        <w:t>1</w:t>
      </w:r>
      <w:r>
        <w:rPr>
          <w:color w:val="000000"/>
          <w:sz w:val="28"/>
          <w:szCs w:val="28"/>
        </w:rPr>
        <w:t xml:space="preserve"> + q</w:t>
      </w:r>
      <w:r>
        <w:rPr>
          <w:color w:val="000000"/>
          <w:sz w:val="28"/>
          <w:szCs w:val="28"/>
          <w:vertAlign w:val="subscript"/>
        </w:rPr>
        <w:t>2</w:t>
      </w:r>
      <w:r>
        <w:rPr>
          <w:color w:val="000000"/>
          <w:sz w:val="28"/>
          <w:szCs w:val="28"/>
        </w:rPr>
        <w:t>/Q</w:t>
      </w:r>
      <w:r>
        <w:rPr>
          <w:color w:val="000000"/>
          <w:sz w:val="28"/>
          <w:szCs w:val="28"/>
          <w:vertAlign w:val="subscript"/>
        </w:rPr>
        <w:t>2</w:t>
      </w:r>
      <w:r>
        <w:rPr>
          <w:color w:val="000000"/>
          <w:sz w:val="28"/>
          <w:szCs w:val="28"/>
        </w:rPr>
        <w:t xml:space="preserve"> + … + q</w:t>
      </w:r>
      <w:r>
        <w:rPr>
          <w:color w:val="000000"/>
          <w:sz w:val="28"/>
          <w:szCs w:val="28"/>
          <w:vertAlign w:val="subscript"/>
        </w:rPr>
        <w:t>n</w:t>
      </w:r>
      <w:r>
        <w:rPr>
          <w:color w:val="000000"/>
          <w:sz w:val="28"/>
          <w:szCs w:val="28"/>
        </w:rPr>
        <w:t>/Q</w:t>
      </w:r>
      <w:r>
        <w:rPr>
          <w:color w:val="000000"/>
          <w:sz w:val="28"/>
          <w:szCs w:val="28"/>
          <w:vertAlign w:val="subscript"/>
        </w:rPr>
        <w:t>n</w:t>
      </w:r>
      <w:r>
        <w:rPr>
          <w:color w:val="000000"/>
          <w:sz w:val="28"/>
          <w:szCs w:val="28"/>
        </w:rPr>
        <w:t xml:space="preserve"> ≥1    </w:t>
      </w:r>
    </w:p>
    <w:p>
      <w:pPr>
        <w:adjustRightInd w:val="0"/>
        <w:snapToGrid w:val="0"/>
        <w:spacing w:line="360" w:lineRule="auto"/>
        <w:ind w:firstLine="564" w:firstLineChars="200"/>
        <w:rPr>
          <w:color w:val="000000"/>
          <w:sz w:val="28"/>
          <w:szCs w:val="28"/>
        </w:rPr>
      </w:pPr>
      <w:r>
        <w:rPr>
          <w:color w:val="000000"/>
          <w:sz w:val="28"/>
          <w:szCs w:val="28"/>
        </w:rPr>
        <w:t>式中：</w:t>
      </w:r>
    </w:p>
    <w:p>
      <w:pPr>
        <w:adjustRightInd w:val="0"/>
        <w:snapToGrid w:val="0"/>
        <w:spacing w:line="360" w:lineRule="auto"/>
        <w:ind w:firstLine="564" w:firstLineChars="200"/>
        <w:rPr>
          <w:color w:val="000000"/>
          <w:sz w:val="28"/>
          <w:szCs w:val="28"/>
        </w:rPr>
      </w:pPr>
      <w:r>
        <w:rPr>
          <w:color w:val="000000"/>
          <w:sz w:val="28"/>
          <w:szCs w:val="28"/>
        </w:rPr>
        <w:t>S—辨识指标；</w:t>
      </w:r>
    </w:p>
    <w:p>
      <w:pPr>
        <w:adjustRightInd w:val="0"/>
        <w:snapToGrid w:val="0"/>
        <w:spacing w:line="360" w:lineRule="auto"/>
        <w:ind w:firstLine="564" w:firstLineChars="200"/>
        <w:rPr>
          <w:color w:val="000000"/>
          <w:sz w:val="28"/>
          <w:szCs w:val="28"/>
        </w:rPr>
      </w:pPr>
      <w:r>
        <w:rPr>
          <w:color w:val="000000"/>
          <w:sz w:val="28"/>
          <w:szCs w:val="28"/>
        </w:rPr>
        <w:t>q</w:t>
      </w:r>
      <w:r>
        <w:rPr>
          <w:color w:val="000000"/>
          <w:sz w:val="28"/>
          <w:szCs w:val="28"/>
          <w:vertAlign w:val="subscript"/>
        </w:rPr>
        <w:t>1</w:t>
      </w:r>
      <w:r>
        <w:rPr>
          <w:color w:val="000000"/>
          <w:sz w:val="28"/>
          <w:szCs w:val="28"/>
        </w:rPr>
        <w:t>，q</w:t>
      </w:r>
      <w:r>
        <w:rPr>
          <w:color w:val="000000"/>
          <w:sz w:val="28"/>
          <w:szCs w:val="28"/>
          <w:vertAlign w:val="subscript"/>
        </w:rPr>
        <w:t>2</w:t>
      </w:r>
      <w:r>
        <w:rPr>
          <w:color w:val="000000"/>
          <w:sz w:val="28"/>
          <w:szCs w:val="28"/>
        </w:rPr>
        <w:t>，…，q</w:t>
      </w:r>
      <w:r>
        <w:rPr>
          <w:color w:val="000000"/>
          <w:sz w:val="28"/>
          <w:szCs w:val="28"/>
          <w:vertAlign w:val="subscript"/>
        </w:rPr>
        <w:t>n</w:t>
      </w:r>
      <w:r>
        <w:rPr>
          <w:color w:val="000000"/>
          <w:sz w:val="28"/>
          <w:szCs w:val="28"/>
        </w:rPr>
        <w:t xml:space="preserve"> —每种危险化学品实际存在量，单位为t；</w:t>
      </w:r>
    </w:p>
    <w:p>
      <w:pPr>
        <w:adjustRightInd w:val="0"/>
        <w:snapToGrid w:val="0"/>
        <w:spacing w:line="360" w:lineRule="auto"/>
        <w:ind w:firstLine="564" w:firstLineChars="200"/>
        <w:rPr>
          <w:color w:val="000000"/>
          <w:sz w:val="28"/>
          <w:szCs w:val="28"/>
        </w:rPr>
      </w:pPr>
      <w:r>
        <w:rPr>
          <w:color w:val="000000"/>
          <w:sz w:val="28"/>
          <w:szCs w:val="28"/>
        </w:rPr>
        <w:t>Q</w:t>
      </w:r>
      <w:r>
        <w:rPr>
          <w:color w:val="000000"/>
          <w:sz w:val="28"/>
          <w:szCs w:val="28"/>
          <w:vertAlign w:val="subscript"/>
        </w:rPr>
        <w:t>1</w:t>
      </w:r>
      <w:r>
        <w:rPr>
          <w:color w:val="000000"/>
          <w:sz w:val="28"/>
          <w:szCs w:val="28"/>
        </w:rPr>
        <w:t>，Q</w:t>
      </w:r>
      <w:r>
        <w:rPr>
          <w:color w:val="000000"/>
          <w:sz w:val="28"/>
          <w:szCs w:val="28"/>
          <w:vertAlign w:val="subscript"/>
        </w:rPr>
        <w:t>2</w:t>
      </w:r>
      <w:r>
        <w:rPr>
          <w:color w:val="000000"/>
          <w:sz w:val="28"/>
          <w:szCs w:val="28"/>
        </w:rPr>
        <w:t>，…，Q</w:t>
      </w:r>
      <w:r>
        <w:rPr>
          <w:color w:val="000000"/>
          <w:sz w:val="28"/>
          <w:szCs w:val="28"/>
          <w:vertAlign w:val="subscript"/>
        </w:rPr>
        <w:t>n</w:t>
      </w:r>
      <w:r>
        <w:rPr>
          <w:color w:val="000000"/>
          <w:sz w:val="28"/>
          <w:szCs w:val="28"/>
        </w:rPr>
        <w:t xml:space="preserve"> —与各危险化学品相对应的临界量，单位为t。</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7</w:t>
      </w:r>
      <w:r>
        <w:rPr>
          <w:rFonts w:eastAsia="黑体"/>
          <w:bCs/>
          <w:snapToGrid w:val="0"/>
          <w:color w:val="000000" w:themeColor="text1"/>
          <w:kern w:val="0"/>
          <w:sz w:val="28"/>
          <w:szCs w:val="28"/>
          <w14:textFill>
            <w14:solidFill>
              <w14:schemeClr w14:val="tx1"/>
            </w14:solidFill>
          </w14:textFill>
        </w:rPr>
        <w:t>.2 重大危险源辨识过程</w:t>
      </w:r>
    </w:p>
    <w:p>
      <w:pPr>
        <w:adjustRightInd w:val="0"/>
        <w:snapToGrid w:val="0"/>
        <w:spacing w:line="360" w:lineRule="auto"/>
        <w:ind w:firstLine="564" w:firstLineChars="200"/>
        <w:rPr>
          <w:rFonts w:hint="eastAsia" w:eastAsia="宋体"/>
          <w:color w:val="000000" w:themeColor="text1"/>
          <w:sz w:val="28"/>
          <w:szCs w:val="28"/>
          <w:lang w:eastAsia="zh-CN"/>
          <w14:textFill>
            <w14:solidFill>
              <w14:schemeClr w14:val="tx1"/>
            </w14:solidFill>
          </w14:textFill>
        </w:rPr>
      </w:pPr>
      <w:r>
        <w:rPr>
          <w:color w:val="000000" w:themeColor="text1"/>
          <w:sz w:val="28"/>
          <w:szCs w:val="28"/>
          <w14:textFill>
            <w14:solidFill>
              <w14:schemeClr w14:val="tx1"/>
            </w14:solidFill>
          </w14:textFill>
        </w:rPr>
        <w:t>山东胜利油田鸿欣石油技术有限公司施工队，流动性很大，无固定的作业场所，</w:t>
      </w:r>
      <w:r>
        <w:rPr>
          <w:rFonts w:hint="eastAsia" w:ascii="Times New Roman" w:eastAsia="宋体"/>
          <w:color w:val="000000" w:themeColor="text1"/>
          <w:sz w:val="28"/>
          <w:szCs w:val="28"/>
          <w:lang w:val="en-US" w:eastAsia="zh-CN"/>
          <w14:textFill>
            <w14:solidFill>
              <w14:schemeClr w14:val="tx1"/>
            </w14:solidFill>
          </w14:textFill>
        </w:rPr>
        <w:t>现场无储存设施（酸化过程中使用物料由甲方提供，</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主要成分为盐酸、水和极少量氢氟酸</w:t>
      </w:r>
      <w:r>
        <w:rPr>
          <w:rFonts w:hint="eastAsia" w:cs="Times New Roman"/>
          <w:color w:val="000000" w:themeColor="text1"/>
          <w:kern w:val="2"/>
          <w:sz w:val="28"/>
          <w:szCs w:val="28"/>
          <w:lang w:val="en-US" w:eastAsia="zh-CN" w:bidi="ar-SA"/>
          <w14:textFill>
            <w14:solidFill>
              <w14:schemeClr w14:val="tx1"/>
            </w14:solidFill>
          </w14:textFill>
        </w:rPr>
        <w:t>，</w:t>
      </w:r>
      <w:r>
        <w:rPr>
          <w:rFonts w:hint="eastAsia" w:ascii="Times New Roman" w:eastAsia="宋体"/>
          <w:color w:val="000000" w:themeColor="text1"/>
          <w:sz w:val="28"/>
          <w:szCs w:val="28"/>
          <w:lang w:val="en-US" w:eastAsia="zh-CN"/>
          <w14:textFill>
            <w14:solidFill>
              <w14:schemeClr w14:val="tx1"/>
            </w14:solidFill>
          </w14:textFill>
        </w:rPr>
        <w:t>不构成重大危险源</w:t>
      </w:r>
      <w:r>
        <w:rPr>
          <w:rFonts w:hint="eastAsia" w:eastAsia="宋体"/>
          <w:color w:val="000000" w:themeColor="text1"/>
          <w:sz w:val="28"/>
          <w:szCs w:val="28"/>
          <w:lang w:eastAsia="zh-CN"/>
          <w14:textFill>
            <w14:solidFill>
              <w14:schemeClr w14:val="tx1"/>
            </w14:solidFill>
          </w14:textFill>
        </w:rPr>
        <w:t>）</w:t>
      </w:r>
      <w:r>
        <w:rPr>
          <w:rFonts w:hint="eastAsia" w:ascii="Times New Roman" w:eastAsia="宋体"/>
          <w:color w:val="000000" w:themeColor="text1"/>
          <w:sz w:val="28"/>
          <w:szCs w:val="28"/>
          <w:lang w:val="en-US" w:eastAsia="zh-CN"/>
          <w14:textFill>
            <w14:solidFill>
              <w14:schemeClr w14:val="tx1"/>
            </w14:solidFill>
          </w14:textFill>
        </w:rPr>
        <w:t>。</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7</w:t>
      </w:r>
      <w:r>
        <w:rPr>
          <w:rFonts w:eastAsia="黑体"/>
          <w:bCs/>
          <w:snapToGrid w:val="0"/>
          <w:color w:val="000000" w:themeColor="text1"/>
          <w:kern w:val="0"/>
          <w:sz w:val="28"/>
          <w:szCs w:val="28"/>
          <w14:textFill>
            <w14:solidFill>
              <w14:schemeClr w14:val="tx1"/>
            </w14:solidFill>
          </w14:textFill>
        </w:rPr>
        <w:t>.3 重大危险源辨识结果</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根据《危险化学品重大危险源辨识》（GB18218-2018）的有关规定，进行危险化学品重大危险源辨识可知：</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w:t>
      </w:r>
      <w:r>
        <w:rPr>
          <w:rFonts w:hint="eastAsia" w:eastAsia="宋体"/>
          <w:color w:val="000000" w:themeColor="text1"/>
          <w:sz w:val="28"/>
          <w:szCs w:val="28"/>
          <w:lang w:eastAsia="zh-CN"/>
          <w14:textFill>
            <w14:solidFill>
              <w14:schemeClr w14:val="tx1"/>
            </w14:solidFill>
          </w14:textFill>
        </w:rPr>
        <w:t>井下作业项目</w:t>
      </w:r>
      <w:r>
        <w:rPr>
          <w:color w:val="000000" w:themeColor="text1"/>
          <w:sz w:val="28"/>
          <w:szCs w:val="28"/>
          <w14:textFill>
            <w14:solidFill>
              <w14:schemeClr w14:val="tx1"/>
            </w14:solidFill>
          </w14:textFill>
        </w:rPr>
        <w:t>不构成危险化学品重大危险源。</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87" w:name="_Toc2859"/>
      <w:r>
        <w:rPr>
          <w:rFonts w:ascii="Times New Roman" w:hAnsi="Times New Roman"/>
          <w:b w:val="0"/>
          <w:bCs/>
          <w:color w:val="000000" w:themeColor="text1"/>
          <w:szCs w:val="32"/>
          <w14:textFill>
            <w14:solidFill>
              <w14:schemeClr w14:val="tx1"/>
            </w14:solidFill>
          </w14:textFill>
        </w:rPr>
        <w:t>3.</w:t>
      </w:r>
      <w:r>
        <w:rPr>
          <w:rFonts w:hint="eastAsia" w:ascii="Times New Roman" w:hAnsi="Times New Roman"/>
          <w:b w:val="0"/>
          <w:bCs/>
          <w:color w:val="000000" w:themeColor="text1"/>
          <w:szCs w:val="32"/>
          <w:lang w:val="en-US" w:eastAsia="zh-CN"/>
          <w14:textFill>
            <w14:solidFill>
              <w14:schemeClr w14:val="tx1"/>
            </w14:solidFill>
          </w14:textFill>
        </w:rPr>
        <w:t>8</w:t>
      </w:r>
      <w:r>
        <w:rPr>
          <w:rFonts w:ascii="Times New Roman" w:hAnsi="Times New Roman"/>
          <w:b w:val="0"/>
          <w:bCs/>
          <w:color w:val="000000" w:themeColor="text1"/>
          <w:szCs w:val="32"/>
          <w14:textFill>
            <w14:solidFill>
              <w14:schemeClr w14:val="tx1"/>
            </w14:solidFill>
          </w14:textFill>
        </w:rPr>
        <w:t xml:space="preserve"> </w:t>
      </w:r>
      <w:r>
        <w:rPr>
          <w:rFonts w:hint="eastAsia" w:ascii="Times New Roman" w:hAnsi="Times New Roman"/>
          <w:b w:val="0"/>
          <w:bCs/>
          <w:color w:val="000000" w:themeColor="text1"/>
          <w:szCs w:val="32"/>
          <w14:textFill>
            <w14:solidFill>
              <w14:schemeClr w14:val="tx1"/>
            </w14:solidFill>
          </w14:textFill>
        </w:rPr>
        <w:t>事故案例分析</w:t>
      </w:r>
      <w:bookmarkEnd w:id="87"/>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8</w:t>
      </w:r>
      <w:r>
        <w:rPr>
          <w:rFonts w:eastAsia="黑体"/>
          <w:bCs/>
          <w:snapToGrid w:val="0"/>
          <w:color w:val="000000" w:themeColor="text1"/>
          <w:kern w:val="0"/>
          <w:sz w:val="28"/>
          <w:szCs w:val="28"/>
          <w14:textFill>
            <w14:solidFill>
              <w14:schemeClr w14:val="tx1"/>
            </w14:solidFill>
          </w14:textFill>
        </w:rPr>
        <w:t>.</w:t>
      </w:r>
      <w:r>
        <w:rPr>
          <w:rFonts w:hint="eastAsia" w:eastAsia="黑体"/>
          <w:bCs/>
          <w:snapToGrid w:val="0"/>
          <w:color w:val="000000" w:themeColor="text1"/>
          <w:kern w:val="0"/>
          <w:sz w:val="28"/>
          <w:szCs w:val="28"/>
          <w14:textFill>
            <w14:solidFill>
              <w14:schemeClr w14:val="tx1"/>
            </w14:solidFill>
          </w14:textFill>
        </w:rPr>
        <w:t>1</w:t>
      </w:r>
      <w:r>
        <w:rPr>
          <w:rFonts w:eastAsia="黑体"/>
          <w:bCs/>
          <w:snapToGrid w:val="0"/>
          <w:color w:val="000000" w:themeColor="text1"/>
          <w:kern w:val="0"/>
          <w:sz w:val="28"/>
          <w:szCs w:val="28"/>
          <w14:textFill>
            <w14:solidFill>
              <w14:schemeClr w14:val="tx1"/>
            </w14:solidFill>
          </w14:textFill>
        </w:rPr>
        <w:t xml:space="preserve"> “8.3” 砸伤手事故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事故经过</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某</w:t>
      </w:r>
      <w:r>
        <w:rPr>
          <w:color w:val="000000" w:themeColor="text1"/>
          <w:sz w:val="28"/>
          <w:szCs w:val="28"/>
          <w14:textFill>
            <w14:solidFill>
              <w14:schemeClr w14:val="tx1"/>
            </w14:solidFill>
          </w14:textFill>
        </w:rPr>
        <w:t>年8月3日，某单位作业大队某队王某带领一班四名职工在某井倒换注汽井口，在清洁钢圈槽时，因注汽四通固定不牢，掉下砸在王某手部，致使中指前节断下，食指和无名指皮裂开</w:t>
      </w:r>
      <w:r>
        <w:rPr>
          <w:rFonts w:hint="eastAsia"/>
          <w:color w:val="000000" w:themeColor="text1"/>
          <w:sz w:val="28"/>
          <w:szCs w:val="28"/>
          <w14:textFill>
            <w14:solidFill>
              <w14:schemeClr w14:val="tx1"/>
            </w14:solidFill>
          </w14:textFill>
        </w:rPr>
        <w:t>。</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2.原因分析</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安全意识不强，防范措施不到位。</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3.防范措施</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（1）加强职工自我防范意识教育，强化安全教育培训。</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（2）强化风险识别，及时消除隐患。</w:t>
      </w:r>
    </w:p>
    <w:p>
      <w:pPr>
        <w:adjustRightInd w:val="0"/>
        <w:snapToGrid w:val="0"/>
        <w:spacing w:line="360" w:lineRule="auto"/>
        <w:outlineLvl w:val="2"/>
        <w:rPr>
          <w:rFonts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8</w:t>
      </w:r>
      <w:r>
        <w:rPr>
          <w:rFonts w:eastAsia="黑体"/>
          <w:bCs/>
          <w:snapToGrid w:val="0"/>
          <w:color w:val="000000" w:themeColor="text1"/>
          <w:kern w:val="0"/>
          <w:sz w:val="28"/>
          <w:szCs w:val="28"/>
          <w14:textFill>
            <w14:solidFill>
              <w14:schemeClr w14:val="tx1"/>
            </w14:solidFill>
          </w14:textFill>
        </w:rPr>
        <w:t>.</w:t>
      </w:r>
      <w:r>
        <w:rPr>
          <w:rFonts w:hint="eastAsia" w:eastAsia="黑体"/>
          <w:bCs/>
          <w:snapToGrid w:val="0"/>
          <w:color w:val="000000" w:themeColor="text1"/>
          <w:kern w:val="0"/>
          <w:sz w:val="28"/>
          <w:szCs w:val="28"/>
          <w14:textFill>
            <w14:solidFill>
              <w14:schemeClr w14:val="tx1"/>
            </w14:solidFill>
          </w14:textFill>
        </w:rPr>
        <w:t>2</w:t>
      </w:r>
      <w:r>
        <w:rPr>
          <w:rFonts w:hint="eastAsia" w:eastAsia="黑体"/>
          <w:bCs/>
          <w:snapToGrid w:val="0"/>
          <w:color w:val="000000" w:themeColor="text1"/>
          <w:kern w:val="0"/>
          <w:sz w:val="28"/>
          <w:szCs w:val="28"/>
          <w:lang w:val="en-US" w:eastAsia="zh-CN"/>
          <w14:textFill>
            <w14:solidFill>
              <w14:schemeClr w14:val="tx1"/>
            </w14:solidFill>
          </w14:textFill>
        </w:rPr>
        <w:t xml:space="preserve"> </w:t>
      </w:r>
      <w:r>
        <w:rPr>
          <w:rFonts w:hint="eastAsia" w:eastAsia="黑体"/>
          <w:bCs/>
          <w:snapToGrid w:val="0"/>
          <w:color w:val="000000" w:themeColor="text1"/>
          <w:kern w:val="0"/>
          <w:sz w:val="28"/>
          <w:szCs w:val="28"/>
          <w14:textFill>
            <w14:solidFill>
              <w14:schemeClr w14:val="tx1"/>
            </w14:solidFill>
          </w14:textFill>
        </w:rPr>
        <w:t>注氮施工时发生油管爆炸事故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1.事故经过</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某年12月4日，辽河油田在注</w:t>
      </w:r>
      <w:r>
        <w:rPr>
          <w:rFonts w:hint="eastAsia"/>
          <w:color w:val="000000" w:themeColor="text1"/>
          <w:sz w:val="28"/>
          <w:szCs w:val="28"/>
          <w:lang w:val="en-US" w:eastAsia="zh-CN"/>
          <w14:textFill>
            <w14:solidFill>
              <w14:schemeClr w14:val="tx1"/>
            </w14:solidFill>
          </w14:textFill>
        </w:rPr>
        <w:t>氮</w:t>
      </w:r>
      <w:r>
        <w:rPr>
          <w:rFonts w:hint="eastAsia"/>
          <w:color w:val="000000" w:themeColor="text1"/>
          <w:sz w:val="28"/>
          <w:szCs w:val="28"/>
          <w14:textFill>
            <w14:solidFill>
              <w14:schemeClr w14:val="tx1"/>
            </w14:solidFill>
          </w14:textFill>
        </w:rPr>
        <w:t>施工的开泵注氮瞬间发生了一起油管线粉碎性爆炸事故。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该管线长11m，系以井场一国产平式23”（63.5mm）油管（长8.5m，壁厚5.5mm）为主，与井口阀门高压弯头、泵车高压弯头组成。液氮泵车为美国产NPT360F15型。注氮车上柱塞泵预热运转后，井口阀门打开，就在泵工打开单流阀而迅速操纵注氮控制器时发生了燥炸事故。结果，油管残片（大的重达5.4kg）飞离井口百米以外，并将离井口8m的一人的右腿骨击断；液氮泵车的液氮储罐被残片击出一半径50mm、深15mm的圆坑；罐上一照明灯被打出60m之外。</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2.事故调查</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注氮时该井口阀门并未开通：在场人员反映，爆炸声响异常巨大，震耳欲聋，似有火光：残片内壁有积炭但无原油（爆炸前油管内壁挂有原油）：注氮泵保险压力定为30.0MPa，爆炸后即自动停泵；该液氮泵车自投产后，施工60多口井均正常；当时气温为7 C。</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正如前述，注氮单流阀全部打开后，由于注氮控制器操纵过猛，在井口阀门封堵的条件下，高压大排量（挖制排量为708L/s）的氮气瞬间充入管内，形成绝热压缩过程，将管线内的空气及甲烷气急剧高压压缩，并可能使混合气达到爆炸极限范围，而在高压条件下，甲烷混合气虽然加入惰性气体，但对其爆炸下限影响不大。这样，只要管内混合气部位的温度高于甲烷气的自燃温度537 C，就可能发生爆炸。</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这就是说，在绝热压缩过程中，油管内的温度达到781.8C，高于甲烷自燃温度，从而使压缩可燃气体自燃燥炸。其爆炸威力及瞬间高热远大于超压爆炸，致使油管呈粉碎状及存在热燃积炭。</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综合上述分析，可以认为该事故系可燃气体受绝热压缩引起的自燃爆炸事故。</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3.防范措施</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为防止同类事故重演，除了建立健全各种规章制度，提高氮车泵工的安全技术素质外，还应采取相应的预防措施：</w:t>
      </w:r>
    </w:p>
    <w:p>
      <w:pPr>
        <w:numPr>
          <w:ilvl w:val="0"/>
          <w:numId w:val="20"/>
        </w:numPr>
        <w:adjustRightInd w:val="0"/>
        <w:snapToGrid w:val="0"/>
        <w:spacing w:line="360" w:lineRule="auto"/>
        <w:ind w:firstLine="564"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务必确认并口阀门的开通情况。装接管线前，手动阀门试验开通情况；或接管线后开泵注氮，待泵压升至5 MPa时，关上单流阀，检查管线有无渗漏，打开井口阀门，观察压力表显示的压力如果发生变化，则证实井口阀门已经开通。</w:t>
      </w:r>
    </w:p>
    <w:p>
      <w:pPr>
        <w:numPr>
          <w:ilvl w:val="0"/>
          <w:numId w:val="20"/>
        </w:num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该注</w:t>
      </w:r>
      <w:r>
        <w:rPr>
          <w:rFonts w:hint="eastAsia"/>
          <w:color w:val="000000" w:themeColor="text1"/>
          <w:sz w:val="28"/>
          <w:szCs w:val="28"/>
          <w14:textFill>
            <w14:solidFill>
              <w14:schemeClr w14:val="tx1"/>
            </w14:solidFill>
          </w14:textFill>
        </w:rPr>
        <w:t>氮</w:t>
      </w:r>
      <w:r>
        <w:rPr>
          <w:color w:val="000000" w:themeColor="text1"/>
          <w:sz w:val="28"/>
          <w:szCs w:val="28"/>
          <w14:textFill>
            <w14:solidFill>
              <w14:schemeClr w14:val="tx1"/>
            </w14:solidFill>
          </w14:textFill>
        </w:rPr>
        <w:t>泵车的保险压力一直定为30MPa，实际上按地区的情况，宜定为15MPa</w:t>
      </w:r>
      <w:r>
        <w:rPr>
          <w:rFonts w:hint="eastAsia"/>
          <w:color w:val="000000" w:themeColor="text1"/>
          <w:sz w:val="28"/>
          <w:szCs w:val="28"/>
          <w14:textFill>
            <w14:solidFill>
              <w14:schemeClr w14:val="tx1"/>
            </w14:solidFill>
          </w14:textFill>
        </w:rPr>
        <w:t>。</w:t>
      </w:r>
    </w:p>
    <w:p>
      <w:pPr>
        <w:numPr>
          <w:ilvl w:val="0"/>
          <w:numId w:val="20"/>
        </w:num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注氮泵工打开单流阀后。应平稳绶慢地操纵注氮控制器，并密切注视压力表的反应，以随时进行应急处置</w:t>
      </w:r>
      <w:r>
        <w:rPr>
          <w:rFonts w:hint="eastAsia"/>
          <w:color w:val="000000" w:themeColor="text1"/>
          <w:sz w:val="28"/>
          <w:szCs w:val="28"/>
          <w14:textFill>
            <w14:solidFill>
              <w14:schemeClr w14:val="tx1"/>
            </w14:solidFill>
          </w14:textFill>
        </w:rPr>
        <w:t>。</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88" w:name="_Toc11694"/>
      <w:r>
        <w:rPr>
          <w:rFonts w:ascii="Times New Roman" w:hAnsi="Times New Roman"/>
          <w:b w:val="0"/>
          <w:bCs/>
          <w:color w:val="000000" w:themeColor="text1"/>
          <w:szCs w:val="32"/>
          <w14:textFill>
            <w14:solidFill>
              <w14:schemeClr w14:val="tx1"/>
            </w14:solidFill>
          </w14:textFill>
        </w:rPr>
        <w:t>3.</w:t>
      </w:r>
      <w:r>
        <w:rPr>
          <w:rFonts w:hint="eastAsia" w:ascii="Times New Roman" w:hAnsi="Times New Roman"/>
          <w:b w:val="0"/>
          <w:bCs/>
          <w:color w:val="000000" w:themeColor="text1"/>
          <w:szCs w:val="32"/>
          <w:lang w:val="en-US" w:eastAsia="zh-CN"/>
          <w14:textFill>
            <w14:solidFill>
              <w14:schemeClr w14:val="tx1"/>
            </w14:solidFill>
          </w14:textFill>
        </w:rPr>
        <w:t>9</w:t>
      </w:r>
      <w:r>
        <w:rPr>
          <w:rFonts w:ascii="Times New Roman" w:hAnsi="Times New Roman"/>
          <w:b w:val="0"/>
          <w:bCs/>
          <w:color w:val="000000" w:themeColor="text1"/>
          <w:szCs w:val="32"/>
          <w14:textFill>
            <w14:solidFill>
              <w14:schemeClr w14:val="tx1"/>
            </w14:solidFill>
          </w14:textFill>
        </w:rPr>
        <w:t xml:space="preserve"> 主要危险、有害因素分析结论</w:t>
      </w:r>
      <w:bookmarkEnd w:id="83"/>
      <w:bookmarkEnd w:id="84"/>
      <w:bookmarkEnd w:id="85"/>
      <w:bookmarkEnd w:id="88"/>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山东胜利油田鸿欣石油技术有限公司井下作业施工过程中，涉及的主要危险、有害物质有：原油、天然气、硫化氢、氮气</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二氧化碳、化学助剂、压井液、复合酸、盐酸、高压水</w:t>
      </w:r>
      <w:r>
        <w:rPr>
          <w:color w:val="000000" w:themeColor="text1"/>
          <w:sz w:val="28"/>
          <w:szCs w:val="28"/>
          <w14:textFill>
            <w14:solidFill>
              <w14:schemeClr w14:val="tx1"/>
            </w14:solidFill>
          </w14:textFill>
        </w:rPr>
        <w:t>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主要危险因素主要有：火灾爆炸、井喷及井喷失控、容器爆炸、中毒和窒息、物体打击、机械伤害、触电、车辆伤害</w:t>
      </w:r>
      <w:r>
        <w:rPr>
          <w:rFonts w:hint="eastAsia"/>
          <w:color w:val="000000" w:themeColor="text1"/>
          <w:sz w:val="28"/>
          <w:szCs w:val="28"/>
          <w14:textFill>
            <w14:solidFill>
              <w14:schemeClr w14:val="tx1"/>
            </w14:solidFill>
          </w14:textFill>
        </w:rPr>
        <w:t>、高处坠落</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灼烫、其他伤害</w:t>
      </w:r>
      <w:r>
        <w:rPr>
          <w:color w:val="000000" w:themeColor="text1"/>
          <w:sz w:val="28"/>
          <w:szCs w:val="28"/>
          <w14:textFill>
            <w14:solidFill>
              <w14:schemeClr w14:val="tx1"/>
            </w14:solidFill>
          </w14:textFill>
        </w:rPr>
        <w:t>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主要有害因素有噪声、毒物危害等。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自然灾害有：雷电袭击、高温、低温、地震灾害等。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w:t>
      </w:r>
      <w:r>
        <w:rPr>
          <w:rFonts w:hint="eastAsia"/>
          <w:color w:val="000000" w:themeColor="text1"/>
          <w:sz w:val="28"/>
          <w:szCs w:val="28"/>
          <w:lang w:eastAsia="zh-CN"/>
          <w14:textFill>
            <w14:solidFill>
              <w14:schemeClr w14:val="tx1"/>
            </w14:solidFill>
          </w14:textFill>
        </w:rPr>
        <w:t>井下作业项目</w:t>
      </w:r>
      <w:r>
        <w:rPr>
          <w:color w:val="000000" w:themeColor="text1"/>
          <w:sz w:val="28"/>
          <w:szCs w:val="28"/>
          <w14:textFill>
            <w14:solidFill>
              <w14:schemeClr w14:val="tx1"/>
            </w14:solidFill>
          </w14:textFill>
        </w:rPr>
        <w:t>未构成危险化学品重大危险源。</w:t>
      </w:r>
    </w:p>
    <w:p>
      <w:pPr>
        <w:adjustRightInd w:val="0"/>
        <w:snapToGrid w:val="0"/>
        <w:spacing w:line="360" w:lineRule="auto"/>
        <w:ind w:firstLine="564" w:firstLineChars="200"/>
        <w:rPr>
          <w:color w:val="0070C0"/>
          <w:sz w:val="28"/>
          <w:szCs w:val="28"/>
        </w:rPr>
      </w:pPr>
    </w:p>
    <w:p>
      <w:pPr>
        <w:adjustRightInd w:val="0"/>
        <w:snapToGrid w:val="0"/>
        <w:spacing w:line="360" w:lineRule="auto"/>
        <w:rPr>
          <w:color w:val="0070C0"/>
          <w:sz w:val="28"/>
          <w:szCs w:val="28"/>
        </w:rPr>
        <w:sectPr>
          <w:footerReference r:id="rId13" w:type="default"/>
          <w:pgSz w:w="11906" w:h="16838"/>
          <w:pgMar w:top="1440" w:right="1803" w:bottom="1440" w:left="1803" w:header="850" w:footer="992" w:gutter="0"/>
          <w:pgBorders>
            <w:top w:val="none" w:sz="0" w:space="0"/>
            <w:left w:val="none" w:sz="0" w:space="0"/>
            <w:bottom w:val="none" w:sz="0" w:space="0"/>
            <w:right w:val="none" w:sz="0" w:space="0"/>
          </w:pgBorders>
          <w:cols w:space="0" w:num="1"/>
          <w:docGrid w:type="linesAndChars" w:linePitch="319" w:charSpace="577"/>
        </w:sectPr>
      </w:pPr>
    </w:p>
    <w:bookmarkEnd w:id="14"/>
    <w:bookmarkEnd w:id="15"/>
    <w:bookmarkEnd w:id="16"/>
    <w:bookmarkEnd w:id="17"/>
    <w:bookmarkEnd w:id="23"/>
    <w:p>
      <w:pPr>
        <w:pStyle w:val="3"/>
        <w:keepNext w:val="0"/>
        <w:adjustRightInd w:val="0"/>
        <w:snapToGrid w:val="0"/>
        <w:spacing w:line="360" w:lineRule="auto"/>
        <w:rPr>
          <w:rFonts w:eastAsia="楷体_GB2312"/>
          <w:b/>
          <w:color w:val="000000" w:themeColor="text1"/>
          <w:sz w:val="36"/>
          <w:szCs w:val="36"/>
          <w14:textFill>
            <w14:solidFill>
              <w14:schemeClr w14:val="tx1"/>
            </w14:solidFill>
          </w14:textFill>
        </w:rPr>
      </w:pPr>
      <w:bookmarkStart w:id="89" w:name="_Toc202759432"/>
      <w:bookmarkStart w:id="90" w:name="_Toc215277173"/>
      <w:bookmarkStart w:id="91" w:name="_Toc298756206"/>
      <w:bookmarkStart w:id="92" w:name="_Toc244964631"/>
      <w:bookmarkStart w:id="93" w:name="_Toc291144373"/>
      <w:bookmarkStart w:id="94" w:name="_Toc31955"/>
      <w:bookmarkStart w:id="95" w:name="_Toc281310747"/>
      <w:r>
        <w:rPr>
          <w:rFonts w:eastAsia="楷体_GB2312"/>
          <w:b/>
          <w:color w:val="000000" w:themeColor="text1"/>
          <w:sz w:val="36"/>
          <w:szCs w:val="36"/>
          <w14:textFill>
            <w14:solidFill>
              <w14:schemeClr w14:val="tx1"/>
            </w14:solidFill>
          </w14:textFill>
        </w:rPr>
        <w:t>4 评价单元划分</w:t>
      </w:r>
      <w:bookmarkEnd w:id="89"/>
      <w:r>
        <w:rPr>
          <w:rFonts w:eastAsia="楷体_GB2312"/>
          <w:b/>
          <w:color w:val="000000" w:themeColor="text1"/>
          <w:sz w:val="36"/>
          <w:szCs w:val="36"/>
          <w14:textFill>
            <w14:solidFill>
              <w14:schemeClr w14:val="tx1"/>
            </w14:solidFill>
          </w14:textFill>
        </w:rPr>
        <w:t>及评价方法选择</w:t>
      </w:r>
      <w:bookmarkEnd w:id="90"/>
      <w:bookmarkEnd w:id="91"/>
      <w:bookmarkEnd w:id="92"/>
      <w:bookmarkEnd w:id="93"/>
      <w:bookmarkEnd w:id="94"/>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96" w:name="_Toc1033"/>
      <w:bookmarkStart w:id="97" w:name="_Toc298756207"/>
      <w:bookmarkStart w:id="98" w:name="_Toc244964632"/>
      <w:bookmarkStart w:id="99" w:name="_Toc215277174"/>
      <w:bookmarkStart w:id="100" w:name="_Toc291144374"/>
      <w:r>
        <w:rPr>
          <w:rFonts w:ascii="Times New Roman" w:hAnsi="Times New Roman"/>
          <w:b w:val="0"/>
          <w:bCs/>
          <w:color w:val="000000" w:themeColor="text1"/>
          <w:szCs w:val="32"/>
          <w14:textFill>
            <w14:solidFill>
              <w14:schemeClr w14:val="tx1"/>
            </w14:solidFill>
          </w14:textFill>
        </w:rPr>
        <w:t>4.1 评价单元划分</w:t>
      </w:r>
      <w:bookmarkEnd w:id="96"/>
      <w:bookmarkEnd w:id="97"/>
      <w:bookmarkEnd w:id="98"/>
      <w:bookmarkEnd w:id="99"/>
      <w:bookmarkEnd w:id="100"/>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4.1.1 划分原则</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评价单元是指在对工程危险、有害因素进行分析的基础上，根据评价目标和评价方法的需要，将整个系统划分成若干个有限的确定范围而分别进行评价的相对独立的装置、设施和场所。</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划分评价单元的一般性原则是按生产工艺功能、生产设施设备相对独立空间、危险有害因素类别及事故范围划分评价单元，使评价单元相对独立，具有明显特征界限。</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常用的评价单元的划分原则有：</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1</w:t>
      </w:r>
      <w:r>
        <w:rPr>
          <w:rFonts w:hint="eastAsia"/>
          <w:snapToGrid w:val="0"/>
          <w:color w:val="000000" w:themeColor="text1"/>
          <w:kern w:val="0"/>
          <w:sz w:val="28"/>
          <w14:textFill>
            <w14:solidFill>
              <w14:schemeClr w14:val="tx1"/>
            </w14:solidFill>
          </w14:textFill>
        </w:rPr>
        <w:t>.</w:t>
      </w:r>
      <w:r>
        <w:rPr>
          <w:snapToGrid w:val="0"/>
          <w:color w:val="000000" w:themeColor="text1"/>
          <w:kern w:val="0"/>
          <w:sz w:val="28"/>
          <w14:textFill>
            <w14:solidFill>
              <w14:schemeClr w14:val="tx1"/>
            </w14:solidFill>
          </w14:textFill>
        </w:rPr>
        <w:t>以危险、有害因素的类别为主划分；</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2</w:t>
      </w:r>
      <w:r>
        <w:rPr>
          <w:rFonts w:hint="eastAsia"/>
          <w:snapToGrid w:val="0"/>
          <w:color w:val="000000" w:themeColor="text1"/>
          <w:kern w:val="0"/>
          <w:sz w:val="28"/>
          <w14:textFill>
            <w14:solidFill>
              <w14:schemeClr w14:val="tx1"/>
            </w14:solidFill>
          </w14:textFill>
        </w:rPr>
        <w:t>.</w:t>
      </w:r>
      <w:r>
        <w:rPr>
          <w:snapToGrid w:val="0"/>
          <w:color w:val="000000" w:themeColor="text1"/>
          <w:kern w:val="0"/>
          <w:sz w:val="28"/>
          <w14:textFill>
            <w14:solidFill>
              <w14:schemeClr w14:val="tx1"/>
            </w14:solidFill>
          </w14:textFill>
        </w:rPr>
        <w:t>以装置和物质的特性划分。</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通过对山东胜利油田鸿欣石油技术有限公司生产过程中的危险、有害因素分析，结合本工程的特点和具体情况，本次评价按工艺流程，兼顾危险、有害因素的相似特性等进行评价单元的划分。</w:t>
      </w:r>
    </w:p>
    <w:p>
      <w:pPr>
        <w:pStyle w:val="5"/>
        <w:keepNext w:val="0"/>
        <w:keepLines w:val="0"/>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eastAsia="黑体"/>
          <w:b w:val="0"/>
          <w:snapToGrid w:val="0"/>
          <w:color w:val="000000" w:themeColor="text1"/>
          <w:kern w:val="0"/>
          <w:sz w:val="28"/>
          <w:szCs w:val="28"/>
          <w14:textFill>
            <w14:solidFill>
              <w14:schemeClr w14:val="tx1"/>
            </w14:solidFill>
          </w14:textFill>
        </w:rPr>
        <w:t>4.1.2 划分评价单元</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根据山东胜利油田鸿欣石油技术有限公司的实际情况和安全现状评价的需要，本次评价划分为以下2个评价单元进行评价：</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1</w:t>
      </w:r>
      <w:r>
        <w:rPr>
          <w:rFonts w:hint="eastAsia"/>
          <w:snapToGrid w:val="0"/>
          <w:color w:val="000000" w:themeColor="text1"/>
          <w:kern w:val="0"/>
          <w:sz w:val="28"/>
          <w14:textFill>
            <w14:solidFill>
              <w14:schemeClr w14:val="tx1"/>
            </w14:solidFill>
          </w14:textFill>
        </w:rPr>
        <w:t>.</w:t>
      </w:r>
      <w:r>
        <w:rPr>
          <w:snapToGrid w:val="0"/>
          <w:color w:val="000000" w:themeColor="text1"/>
          <w:kern w:val="0"/>
          <w:sz w:val="28"/>
          <w14:textFill>
            <w14:solidFill>
              <w14:schemeClr w14:val="tx1"/>
            </w14:solidFill>
          </w14:textFill>
        </w:rPr>
        <w:t>生产单元（主要针对山东胜利油田鸿欣石油技术有限公司井下作业所用主要设备、设施；生产作业场所的内、外部安全生产条件进行评价）。</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2</w:t>
      </w:r>
      <w:r>
        <w:rPr>
          <w:rFonts w:hint="eastAsia"/>
          <w:snapToGrid w:val="0"/>
          <w:color w:val="000000" w:themeColor="text1"/>
          <w:kern w:val="0"/>
          <w:sz w:val="28"/>
          <w14:textFill>
            <w14:solidFill>
              <w14:schemeClr w14:val="tx1"/>
            </w14:solidFill>
          </w14:textFill>
        </w:rPr>
        <w:t>.</w:t>
      </w:r>
      <w:r>
        <w:rPr>
          <w:snapToGrid w:val="0"/>
          <w:color w:val="000000" w:themeColor="text1"/>
          <w:kern w:val="0"/>
          <w:sz w:val="28"/>
          <w14:textFill>
            <w14:solidFill>
              <w14:schemeClr w14:val="tx1"/>
            </w14:solidFill>
          </w14:textFill>
        </w:rPr>
        <w:t>安全管理单元（主要针对山东胜利油田鸿欣石油技术有限公司在安全管理方面的各项安全生产条件进行评价）。</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01" w:name="_Toc291144375"/>
      <w:bookmarkStart w:id="102" w:name="_Toc1642"/>
      <w:bookmarkStart w:id="103" w:name="_Toc215277175"/>
      <w:bookmarkStart w:id="104" w:name="_Toc298756208"/>
      <w:bookmarkStart w:id="105" w:name="_Toc244964633"/>
      <w:r>
        <w:rPr>
          <w:rFonts w:ascii="Times New Roman" w:hAnsi="Times New Roman"/>
          <w:b w:val="0"/>
          <w:bCs/>
          <w:color w:val="000000" w:themeColor="text1"/>
          <w:szCs w:val="32"/>
          <w14:textFill>
            <w14:solidFill>
              <w14:schemeClr w14:val="tx1"/>
            </w14:solidFill>
          </w14:textFill>
        </w:rPr>
        <w:t>4.2 评价方法选择</w:t>
      </w:r>
      <w:bookmarkEnd w:id="101"/>
      <w:bookmarkEnd w:id="102"/>
      <w:bookmarkEnd w:id="103"/>
      <w:bookmarkEnd w:id="104"/>
      <w:bookmarkEnd w:id="105"/>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color w:val="000000" w:themeColor="text1"/>
          <w:sz w:val="28"/>
          <w14:textFill>
            <w14:solidFill>
              <w14:schemeClr w14:val="tx1"/>
            </w14:solidFill>
          </w14:textFill>
        </w:rPr>
        <w:t>根据《安全生产许可证条例》（国务院令[2004]第397号，2014修订版）、《非煤矿矿山企业安全生产许可证实施办法》（国家安全生产监督管理总局令[2009]第20号，2015修订版）的要求，</w:t>
      </w:r>
      <w:r>
        <w:rPr>
          <w:snapToGrid w:val="0"/>
          <w:color w:val="000000" w:themeColor="text1"/>
          <w:kern w:val="0"/>
          <w:sz w:val="28"/>
          <w14:textFill>
            <w14:solidFill>
              <w14:schemeClr w14:val="tx1"/>
            </w14:solidFill>
          </w14:textFill>
        </w:rPr>
        <w:t>本次评价选择以下安全检查表法（SCL）</w:t>
      </w:r>
      <w:r>
        <w:rPr>
          <w:rFonts w:hint="eastAsia"/>
          <w:snapToGrid w:val="0"/>
          <w:kern w:val="0"/>
          <w:sz w:val="28"/>
        </w:rPr>
        <w:t>和</w:t>
      </w:r>
      <w:r>
        <w:rPr>
          <w:rFonts w:hint="eastAsia"/>
          <w:sz w:val="28"/>
          <w:szCs w:val="28"/>
        </w:rPr>
        <w:t>作业条件危险性评价法（LEC）</w:t>
      </w:r>
      <w:r>
        <w:rPr>
          <w:color w:val="000000" w:themeColor="text1"/>
          <w:sz w:val="28"/>
          <w14:textFill>
            <w14:solidFill>
              <w14:schemeClr w14:val="tx1"/>
            </w14:solidFill>
          </w14:textFill>
        </w:rPr>
        <w:t>对该公司的各项安全生产条件进行评价</w:t>
      </w:r>
      <w:r>
        <w:rPr>
          <w:snapToGrid w:val="0"/>
          <w:color w:val="000000" w:themeColor="text1"/>
          <w:kern w:val="0"/>
          <w:sz w:val="28"/>
          <w14:textFill>
            <w14:solidFill>
              <w14:schemeClr w14:val="tx1"/>
            </w14:solidFill>
          </w14:textFill>
        </w:rPr>
        <w:t>。各评价方法的具体操作程序如下表：</w:t>
      </w:r>
    </w:p>
    <w:p>
      <w:pPr>
        <w:keepNext w:val="0"/>
        <w:keepLines w:val="0"/>
        <w:pageBreakBefore w:val="0"/>
        <w:widowControl w:val="0"/>
        <w:kinsoku/>
        <w:wordWrap/>
        <w:overflowPunct/>
        <w:topLinePunct w:val="0"/>
        <w:autoSpaceDE/>
        <w:autoSpaceDN/>
        <w:bidi w:val="0"/>
        <w:adjustRightInd w:val="0"/>
        <w:snapToGrid w:val="0"/>
        <w:spacing w:line="240" w:lineRule="auto"/>
        <w:ind w:firstLine="360" w:firstLineChars="150"/>
        <w:jc w:val="center"/>
        <w:textAlignment w:val="auto"/>
        <w:rPr>
          <w:b/>
          <w:bCs/>
          <w:snapToGrid w:val="0"/>
          <w:color w:val="000000" w:themeColor="text1"/>
          <w:kern w:val="0"/>
          <w:sz w:val="24"/>
          <w:szCs w:val="24"/>
          <w14:textFill>
            <w14:solidFill>
              <w14:schemeClr w14:val="tx1"/>
            </w14:solidFill>
          </w14:textFill>
        </w:rPr>
      </w:pPr>
      <w:r>
        <w:rPr>
          <w:b/>
          <w:bCs/>
          <w:snapToGrid w:val="0"/>
          <w:color w:val="000000" w:themeColor="text1"/>
          <w:kern w:val="0"/>
          <w:sz w:val="24"/>
          <w:szCs w:val="24"/>
          <w14:textFill>
            <w14:solidFill>
              <w14:schemeClr w14:val="tx1"/>
            </w14:solidFill>
          </w14:textFill>
        </w:rPr>
        <w:t>表4-1 各单元评价方法表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30"/>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12" w:space="0"/>
              <w:left w:val="single" w:color="auto" w:sz="12" w:space="0"/>
              <w:bottom w:val="single" w:color="auto" w:sz="6" w:space="0"/>
              <w:right w:val="single" w:color="auto" w:sz="6" w:space="0"/>
            </w:tcBorders>
            <w:vAlign w:val="center"/>
          </w:tcPr>
          <w:p>
            <w:pPr>
              <w:pStyle w:val="22"/>
              <w:adjustRightInd w:val="0"/>
              <w:snapToGrid w:val="0"/>
              <w:spacing w:after="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pStyle w:val="22"/>
              <w:adjustRightInd w:val="0"/>
              <w:snapToGrid w:val="0"/>
              <w:spacing w:after="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pStyle w:val="22"/>
              <w:adjustRightInd w:val="0"/>
              <w:snapToGrid w:val="0"/>
              <w:spacing w:after="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6" w:space="0"/>
              <w:right w:val="single" w:color="auto" w:sz="6" w:space="0"/>
            </w:tcBorders>
            <w:vAlign w:val="center"/>
          </w:tcPr>
          <w:p>
            <w:pPr>
              <w:pStyle w:val="22"/>
              <w:adjustRightInd w:val="0"/>
              <w:snapToGrid w:val="0"/>
              <w:spacing w:after="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762" w:type="dxa"/>
            <w:tcBorders>
              <w:top w:val="single" w:color="auto" w:sz="6" w:space="0"/>
              <w:left w:val="single" w:color="auto" w:sz="6" w:space="0"/>
              <w:bottom w:val="single" w:color="auto" w:sz="6" w:space="0"/>
              <w:right w:val="single" w:color="auto" w:sz="6" w:space="0"/>
            </w:tcBorders>
            <w:vAlign w:val="center"/>
          </w:tcPr>
          <w:p>
            <w:pPr>
              <w:pStyle w:val="22"/>
              <w:adjustRightInd w:val="0"/>
              <w:snapToGrid w:val="0"/>
              <w:spacing w:after="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pStyle w:val="22"/>
              <w:adjustRightInd w:val="0"/>
              <w:snapToGrid w:val="0"/>
              <w:spacing w:after="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SCL</w:t>
            </w:r>
            <w:r>
              <w:rPr>
                <w:rFonts w:hint="eastAsia"/>
                <w:szCs w:val="21"/>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12" w:space="0"/>
              <w:right w:val="single" w:color="auto" w:sz="6" w:space="0"/>
            </w:tcBorders>
            <w:vAlign w:val="center"/>
          </w:tcPr>
          <w:p>
            <w:pPr>
              <w:pStyle w:val="22"/>
              <w:adjustRightInd w:val="0"/>
              <w:snapToGrid w:val="0"/>
              <w:spacing w:after="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4762" w:type="dxa"/>
            <w:tcBorders>
              <w:top w:val="single" w:color="auto" w:sz="6" w:space="0"/>
              <w:left w:val="single" w:color="auto" w:sz="6" w:space="0"/>
              <w:bottom w:val="single" w:color="auto" w:sz="12" w:space="0"/>
              <w:right w:val="single" w:color="auto" w:sz="6" w:space="0"/>
            </w:tcBorders>
            <w:vAlign w:val="center"/>
          </w:tcPr>
          <w:p>
            <w:pPr>
              <w:pStyle w:val="22"/>
              <w:adjustRightInd w:val="0"/>
              <w:snapToGrid w:val="0"/>
              <w:spacing w:after="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pStyle w:val="22"/>
              <w:adjustRightInd w:val="0"/>
              <w:snapToGrid w:val="0"/>
              <w:spacing w:after="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SCL</w:t>
            </w:r>
          </w:p>
        </w:tc>
      </w:tr>
    </w:tbl>
    <w:p>
      <w:pPr>
        <w:pStyle w:val="5"/>
        <w:adjustRightInd w:val="0"/>
        <w:snapToGrid w:val="0"/>
        <w:spacing w:before="156" w:beforeLines="50" w:after="0" w:line="360" w:lineRule="auto"/>
        <w:rPr>
          <w:rFonts w:eastAsia="黑体"/>
          <w:b w:val="0"/>
          <w:snapToGrid w:val="0"/>
          <w:kern w:val="0"/>
          <w:sz w:val="28"/>
          <w:szCs w:val="28"/>
        </w:rPr>
      </w:pPr>
      <w:r>
        <w:rPr>
          <w:rFonts w:hint="eastAsia" w:eastAsia="黑体"/>
          <w:b w:val="0"/>
          <w:snapToGrid w:val="0"/>
          <w:kern w:val="0"/>
          <w:sz w:val="28"/>
          <w:szCs w:val="28"/>
        </w:rPr>
        <w:t>4.2.1</w:t>
      </w:r>
      <w:r>
        <w:rPr>
          <w:rFonts w:eastAsia="黑体"/>
          <w:b w:val="0"/>
          <w:snapToGrid w:val="0"/>
          <w:kern w:val="0"/>
          <w:sz w:val="28"/>
          <w:szCs w:val="28"/>
        </w:rPr>
        <w:t xml:space="preserve"> </w:t>
      </w:r>
      <w:r>
        <w:rPr>
          <w:rFonts w:hint="eastAsia" w:eastAsia="黑体"/>
          <w:b w:val="0"/>
          <w:snapToGrid w:val="0"/>
          <w:kern w:val="0"/>
          <w:sz w:val="28"/>
          <w:szCs w:val="28"/>
        </w:rPr>
        <w:t>安全检查表（SCL）</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snapToGrid w:val="0"/>
          <w:color w:val="000000" w:themeColor="text1"/>
          <w:kern w:val="0"/>
          <w:sz w:val="28"/>
          <w14:textFill>
            <w14:solidFill>
              <w14:schemeClr w14:val="tx1"/>
            </w14:solidFill>
          </w14:textFill>
        </w:rPr>
        <w:t>安全检查表以下列格式列出，对于符合要求的检查内容，在检查结果栏中标以“√”，对于不符合要求的检查项目在检查结果栏中标以“×”。见下表4-2。</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napToGrid w:val="0"/>
          <w:color w:val="000000" w:themeColor="text1"/>
          <w:kern w:val="0"/>
          <w:sz w:val="24"/>
          <w14:textFill>
            <w14:solidFill>
              <w14:schemeClr w14:val="tx1"/>
            </w14:solidFill>
          </w14:textFill>
        </w:rPr>
      </w:pPr>
      <w:r>
        <w:rPr>
          <w:b/>
          <w:snapToGrid w:val="0"/>
          <w:color w:val="000000" w:themeColor="text1"/>
          <w:kern w:val="0"/>
          <w:sz w:val="24"/>
          <w14:textFill>
            <w14:solidFill>
              <w14:schemeClr w14:val="tx1"/>
            </w14:solidFill>
          </w14:textFill>
        </w:rPr>
        <w:t>表4-2 安全检查表</w:t>
      </w:r>
    </w:p>
    <w:tbl>
      <w:tblPr>
        <w:tblStyle w:val="52"/>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1852"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检查项目</w:t>
            </w:r>
          </w:p>
        </w:tc>
        <w:tc>
          <w:tcPr>
            <w:tcW w:w="1852"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检查依据</w:t>
            </w:r>
          </w:p>
        </w:tc>
        <w:tc>
          <w:tcPr>
            <w:tcW w:w="1852"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检查结果</w:t>
            </w:r>
          </w:p>
        </w:tc>
        <w:tc>
          <w:tcPr>
            <w:tcW w:w="1852"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pStyle w:val="82"/>
              <w:rPr>
                <w:snapToGrid w:val="0"/>
                <w:color w:val="000000" w:themeColor="text1"/>
                <w14:textFill>
                  <w14:solidFill>
                    <w14:schemeClr w14:val="tx1"/>
                  </w14:solidFill>
                </w14:textFill>
              </w:rPr>
            </w:pPr>
          </w:p>
        </w:tc>
        <w:tc>
          <w:tcPr>
            <w:tcW w:w="1852" w:type="dxa"/>
            <w:vAlign w:val="center"/>
          </w:tcPr>
          <w:p>
            <w:pPr>
              <w:adjustRightInd w:val="0"/>
              <w:snapToGrid w:val="0"/>
              <w:rPr>
                <w:b/>
                <w:snapToGrid w:val="0"/>
                <w:color w:val="000000" w:themeColor="text1"/>
                <w:kern w:val="0"/>
                <w:szCs w:val="21"/>
                <w14:textFill>
                  <w14:solidFill>
                    <w14:schemeClr w14:val="tx1"/>
                  </w14:solidFill>
                </w14:textFill>
              </w:rPr>
            </w:pPr>
          </w:p>
        </w:tc>
        <w:tc>
          <w:tcPr>
            <w:tcW w:w="1852" w:type="dxa"/>
            <w:vAlign w:val="center"/>
          </w:tcPr>
          <w:p>
            <w:pPr>
              <w:adjustRightInd w:val="0"/>
              <w:snapToGrid w:val="0"/>
              <w:jc w:val="center"/>
              <w:rPr>
                <w:snapToGrid w:val="0"/>
                <w:color w:val="000000" w:themeColor="text1"/>
                <w:kern w:val="0"/>
                <w:szCs w:val="21"/>
                <w14:textFill>
                  <w14:solidFill>
                    <w14:schemeClr w14:val="tx1"/>
                  </w14:solidFill>
                </w14:textFill>
              </w:rPr>
            </w:pPr>
          </w:p>
        </w:tc>
        <w:tc>
          <w:tcPr>
            <w:tcW w:w="1852" w:type="dxa"/>
            <w:vAlign w:val="center"/>
          </w:tcPr>
          <w:p>
            <w:pPr>
              <w:adjustRightInd w:val="0"/>
              <w:snapToGrid w:val="0"/>
              <w:jc w:val="center"/>
              <w:rPr>
                <w:bCs/>
                <w:snapToGrid w:val="0"/>
                <w:color w:val="000000" w:themeColor="text1"/>
                <w:kern w:val="0"/>
                <w:szCs w:val="21"/>
                <w14:textFill>
                  <w14:solidFill>
                    <w14:schemeClr w14:val="tx1"/>
                  </w14:solidFill>
                </w14:textFill>
              </w:rPr>
            </w:pPr>
          </w:p>
        </w:tc>
        <w:tc>
          <w:tcPr>
            <w:tcW w:w="1852" w:type="dxa"/>
            <w:vAlign w:val="center"/>
          </w:tcPr>
          <w:p>
            <w:pPr>
              <w:pStyle w:val="82"/>
              <w:rPr>
                <w:snapToGrid w:val="0"/>
                <w:color w:val="000000" w:themeColor="text1"/>
                <w14:textFill>
                  <w14:solidFill>
                    <w14:schemeClr w14:val="tx1"/>
                  </w14:solidFill>
                </w14:textFill>
              </w:rPr>
            </w:pPr>
          </w:p>
        </w:tc>
      </w:tr>
    </w:tbl>
    <w:p>
      <w:pPr>
        <w:adjustRightInd w:val="0"/>
        <w:snapToGrid w:val="0"/>
        <w:spacing w:before="156" w:beforeLines="50"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安全检查表的具体操作程序如下：</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1</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熟悉系统</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包括系统结构、功能、工艺流程、主要设备、操作条件、平面布置、已有的安全卫生设施、安全管理现状等。</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2</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搜集资料</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搜集有关的安全法规、标准、制度以及本系统过去发生过事故的资料，作为编制安全检查表的依据。</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3</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划分单元</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按功能或结构将系统划分成子系统或单元。</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4</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编制安全检查表</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针对危险因素，依据有关法规、标准规定，参考过去的事故教训和本单位的经验确定安全检查表的检查要点、内容和为达到安全指标应采取的措施，并按照一定的要求编制安全检查表。</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5</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实施检查</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对照已编制完成的安全检查表，进行逐项检查，对检查项目的符合性作出判断。</w:t>
      </w:r>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6</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评价结果汇总</w:t>
      </w:r>
    </w:p>
    <w:p>
      <w:pPr>
        <w:snapToGrid w:val="0"/>
        <w:spacing w:line="360" w:lineRule="auto"/>
        <w:ind w:firstLine="560" w:firstLineChars="200"/>
        <w:rPr>
          <w:color w:val="0070C0"/>
          <w:szCs w:val="28"/>
        </w:rPr>
      </w:pPr>
      <w:r>
        <w:rPr>
          <w:color w:val="000000" w:themeColor="text1"/>
          <w:sz w:val="28"/>
          <w14:textFill>
            <w14:solidFill>
              <w14:schemeClr w14:val="tx1"/>
            </w14:solidFill>
          </w14:textFill>
        </w:rPr>
        <w:t>将检查的结果汇总，并据此提出具体的安全对策措施及建议。</w:t>
      </w:r>
      <w:bookmarkEnd w:id="95"/>
    </w:p>
    <w:p>
      <w:pPr>
        <w:pStyle w:val="5"/>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4.2.2</w:t>
      </w:r>
      <w:r>
        <w:rPr>
          <w:rFonts w:eastAsia="黑体"/>
          <w:b w:val="0"/>
          <w:snapToGrid w:val="0"/>
          <w:kern w:val="0"/>
          <w:sz w:val="28"/>
          <w:szCs w:val="28"/>
        </w:rPr>
        <w:t xml:space="preserve"> </w:t>
      </w:r>
      <w:r>
        <w:rPr>
          <w:rFonts w:hint="eastAsia" w:eastAsia="黑体"/>
          <w:b w:val="0"/>
          <w:snapToGrid w:val="0"/>
          <w:kern w:val="0"/>
          <w:sz w:val="28"/>
          <w:szCs w:val="28"/>
        </w:rPr>
        <w:t>作业条件危险性评价法（LEC）</w:t>
      </w:r>
    </w:p>
    <w:p>
      <w:pPr>
        <w:adjustRightInd w:val="0"/>
        <w:snapToGrid w:val="0"/>
        <w:spacing w:line="360" w:lineRule="auto"/>
        <w:ind w:firstLine="560" w:firstLineChars="200"/>
        <w:rPr>
          <w:snapToGrid w:val="0"/>
          <w:kern w:val="0"/>
          <w:sz w:val="28"/>
          <w:szCs w:val="28"/>
        </w:rPr>
      </w:pPr>
      <w:r>
        <w:rPr>
          <w:rFonts w:hint="eastAsia"/>
          <w:snapToGrid w:val="0"/>
          <w:kern w:val="0"/>
          <w:sz w:val="28"/>
          <w:szCs w:val="28"/>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打分”，然后根据公式计算出其危险程度。从而定量的对其危险性进行评价。</w:t>
      </w:r>
    </w:p>
    <w:p>
      <w:pPr>
        <w:adjustRightInd w:val="0"/>
        <w:snapToGrid w:val="0"/>
        <w:spacing w:line="360" w:lineRule="auto"/>
        <w:ind w:firstLine="560" w:firstLineChars="200"/>
        <w:rPr>
          <w:snapToGrid w:val="0"/>
          <w:kern w:val="0"/>
          <w:sz w:val="28"/>
          <w:szCs w:val="28"/>
        </w:rPr>
      </w:pPr>
      <w:r>
        <w:rPr>
          <w:rFonts w:hint="eastAsia"/>
          <w:snapToGrid w:val="0"/>
          <w:kern w:val="0"/>
          <w:sz w:val="28"/>
          <w:szCs w:val="28"/>
        </w:rPr>
        <w:t>作业条件危险性评价是一种简单的半定量评价，是根据事故发生的可能性、人员暴露于危险环境的频率程度和一旦发生事故可能造成的后果等因素来确定的。</w:t>
      </w:r>
    </w:p>
    <w:p>
      <w:pPr>
        <w:adjustRightInd w:val="0"/>
        <w:snapToGrid w:val="0"/>
        <w:spacing w:line="360" w:lineRule="auto"/>
        <w:ind w:firstLine="560" w:firstLineChars="200"/>
        <w:rPr>
          <w:snapToGrid w:val="0"/>
          <w:kern w:val="0"/>
          <w:sz w:val="28"/>
          <w:szCs w:val="28"/>
        </w:rPr>
      </w:pPr>
      <w:r>
        <w:rPr>
          <w:rFonts w:hint="eastAsia"/>
          <w:snapToGrid w:val="0"/>
          <w:kern w:val="0"/>
          <w:sz w:val="28"/>
          <w:szCs w:val="28"/>
        </w:rPr>
        <w:t>L-事故或危险时间发生的可能性；</w:t>
      </w:r>
    </w:p>
    <w:p>
      <w:pPr>
        <w:adjustRightInd w:val="0"/>
        <w:snapToGrid w:val="0"/>
        <w:spacing w:line="360" w:lineRule="auto"/>
        <w:ind w:firstLine="560" w:firstLineChars="200"/>
        <w:rPr>
          <w:snapToGrid w:val="0"/>
          <w:kern w:val="0"/>
          <w:sz w:val="28"/>
          <w:szCs w:val="28"/>
        </w:rPr>
      </w:pPr>
      <w:r>
        <w:rPr>
          <w:rFonts w:hint="eastAsia"/>
          <w:snapToGrid w:val="0"/>
          <w:kern w:val="0"/>
          <w:sz w:val="28"/>
          <w:szCs w:val="28"/>
        </w:rPr>
        <w:t>E—暴露于危险环境的频率；</w:t>
      </w:r>
    </w:p>
    <w:p>
      <w:pPr>
        <w:adjustRightInd w:val="0"/>
        <w:snapToGrid w:val="0"/>
        <w:spacing w:line="360" w:lineRule="auto"/>
        <w:ind w:firstLine="560" w:firstLineChars="200"/>
        <w:rPr>
          <w:snapToGrid w:val="0"/>
          <w:kern w:val="0"/>
          <w:sz w:val="28"/>
          <w:szCs w:val="28"/>
        </w:rPr>
      </w:pPr>
      <w:r>
        <w:rPr>
          <w:rFonts w:hint="eastAsia"/>
          <w:snapToGrid w:val="0"/>
          <w:kern w:val="0"/>
          <w:sz w:val="28"/>
          <w:szCs w:val="28"/>
        </w:rPr>
        <w:t>C—发生事故或危险事件的可能结果。</w:t>
      </w:r>
    </w:p>
    <w:p>
      <w:pPr>
        <w:adjustRightInd w:val="0"/>
        <w:snapToGrid w:val="0"/>
        <w:spacing w:line="360" w:lineRule="auto"/>
        <w:ind w:firstLine="560" w:firstLineChars="200"/>
        <w:rPr>
          <w:snapToGrid w:val="0"/>
          <w:kern w:val="0"/>
          <w:sz w:val="28"/>
          <w:szCs w:val="28"/>
        </w:rPr>
      </w:pPr>
      <w:r>
        <w:rPr>
          <w:rFonts w:hint="eastAsia"/>
          <w:snapToGrid w:val="0"/>
          <w:kern w:val="0"/>
          <w:sz w:val="28"/>
          <w:szCs w:val="28"/>
        </w:rPr>
        <w:t>作业条件的危险性：D=L·E·C</w:t>
      </w:r>
    </w:p>
    <w:p>
      <w:pPr>
        <w:numPr>
          <w:ilvl w:val="0"/>
          <w:numId w:val="21"/>
        </w:numPr>
        <w:autoSpaceDE w:val="0"/>
        <w:autoSpaceDN w:val="0"/>
        <w:adjustRightInd w:val="0"/>
        <w:snapToGrid w:val="0"/>
        <w:spacing w:line="360" w:lineRule="auto"/>
        <w:ind w:firstLine="560" w:firstLineChars="200"/>
        <w:rPr>
          <w:snapToGrid w:val="0"/>
          <w:kern w:val="0"/>
          <w:sz w:val="28"/>
          <w:szCs w:val="28"/>
        </w:rPr>
      </w:pPr>
      <w:r>
        <w:rPr>
          <w:rFonts w:hint="eastAsia"/>
          <w:snapToGrid w:val="0"/>
          <w:kern w:val="0"/>
          <w:sz w:val="28"/>
          <w:szCs w:val="28"/>
        </w:rPr>
        <w:t>E、C取值见表4-3、4-4、4-5，D值见表4-6。</w:t>
      </w:r>
    </w:p>
    <w:p>
      <w:pPr>
        <w:adjustRightInd w:val="0"/>
        <w:snapToGrid w:val="0"/>
        <w:jc w:val="center"/>
        <w:rPr>
          <w:b/>
          <w:bCs/>
          <w:snapToGrid w:val="0"/>
          <w:kern w:val="0"/>
          <w:sz w:val="24"/>
        </w:rPr>
      </w:pPr>
      <w:r>
        <w:rPr>
          <w:rFonts w:hint="eastAsia"/>
          <w:b/>
          <w:bCs/>
          <w:snapToGrid w:val="0"/>
          <w:kern w:val="0"/>
          <w:sz w:val="24"/>
        </w:rPr>
        <w:t>表4-3  发生事故或危险事件的可能性分值表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3256"/>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事故或危险情况发生可能性</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10*</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完全会被预料到</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0.5</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6</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相当可能</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0.2</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3</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不经常，但可能</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0.1*</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1*</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r>
              <w:rPr>
                <w:rFonts w:hint="eastAsia"/>
                <w:snapToGrid w:val="0"/>
                <w:kern w:val="0"/>
              </w:rPr>
              <w:t>完全意外，极少可能</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rPr>
            </w:pPr>
          </w:p>
        </w:tc>
      </w:tr>
    </w:tbl>
    <w:p>
      <w:pPr>
        <w:adjustRightInd w:val="0"/>
        <w:snapToGrid w:val="0"/>
        <w:spacing w:before="156" w:beforeLines="50"/>
        <w:jc w:val="center"/>
        <w:rPr>
          <w:b/>
          <w:bCs/>
          <w:snapToGrid w:val="0"/>
          <w:kern w:val="0"/>
          <w:sz w:val="24"/>
        </w:rPr>
      </w:pPr>
      <w:r>
        <w:rPr>
          <w:rFonts w:hint="eastAsia"/>
          <w:b/>
          <w:bCs/>
          <w:snapToGrid w:val="0"/>
          <w:kern w:val="0"/>
          <w:sz w:val="24"/>
        </w:rPr>
        <w:t>表4-4  暴露于危险环境的分值表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3256"/>
        <w:gridCol w:w="1218"/>
        <w:gridCol w:w="35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出现于危险环境的情况</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52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10*</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连续暴露于潜在危险环境</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2</w:t>
            </w:r>
          </w:p>
        </w:tc>
        <w:tc>
          <w:tcPr>
            <w:tcW w:w="352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1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6</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逐日在工作时间内暴露</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1*</w:t>
            </w:r>
          </w:p>
        </w:tc>
        <w:tc>
          <w:tcPr>
            <w:tcW w:w="352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1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3</w:t>
            </w:r>
          </w:p>
        </w:tc>
        <w:tc>
          <w:tcPr>
            <w:tcW w:w="325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每周一次或偶然地暴露</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0.1</w:t>
            </w:r>
          </w:p>
        </w:tc>
        <w:tc>
          <w:tcPr>
            <w:tcW w:w="352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非常罕见地暴露</w:t>
            </w:r>
          </w:p>
        </w:tc>
      </w:tr>
    </w:tbl>
    <w:p>
      <w:pPr>
        <w:adjustRightInd w:val="0"/>
        <w:snapToGrid w:val="0"/>
        <w:spacing w:before="156" w:beforeLines="50"/>
        <w:jc w:val="center"/>
        <w:rPr>
          <w:b/>
          <w:bCs/>
          <w:snapToGrid w:val="0"/>
          <w:kern w:val="0"/>
          <w:sz w:val="24"/>
        </w:rPr>
      </w:pPr>
      <w:r>
        <w:rPr>
          <w:rFonts w:hint="eastAsia"/>
          <w:b/>
          <w:bCs/>
          <w:snapToGrid w:val="0"/>
          <w:kern w:val="0"/>
          <w:sz w:val="24"/>
        </w:rPr>
        <w:t>表4-5 发生事故或危险时间的可能结果的分值表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707"/>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51"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707"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可能结果</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51"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100*</w:t>
            </w:r>
          </w:p>
        </w:tc>
        <w:tc>
          <w:tcPr>
            <w:tcW w:w="3707"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大灾难，许多人死亡</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7</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851"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40</w:t>
            </w:r>
          </w:p>
        </w:tc>
        <w:tc>
          <w:tcPr>
            <w:tcW w:w="3707"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灾难，数人死亡</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3</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51"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15</w:t>
            </w:r>
          </w:p>
        </w:tc>
        <w:tc>
          <w:tcPr>
            <w:tcW w:w="3707"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非常严重，一人死亡</w:t>
            </w:r>
          </w:p>
        </w:tc>
        <w:tc>
          <w:tcPr>
            <w:tcW w:w="1218"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1*</w:t>
            </w:r>
          </w:p>
        </w:tc>
        <w:tc>
          <w:tcPr>
            <w:tcW w:w="3340"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引人瞩目，需要救护</w:t>
            </w:r>
          </w:p>
        </w:tc>
      </w:tr>
    </w:tbl>
    <w:p>
      <w:pPr>
        <w:adjustRightInd w:val="0"/>
        <w:snapToGrid w:val="0"/>
        <w:spacing w:before="156" w:beforeLines="50"/>
        <w:jc w:val="center"/>
        <w:rPr>
          <w:b/>
          <w:bCs/>
          <w:snapToGrid w:val="0"/>
          <w:kern w:val="0"/>
          <w:sz w:val="24"/>
        </w:rPr>
      </w:pPr>
      <w:r>
        <w:rPr>
          <w:rFonts w:hint="eastAsia"/>
          <w:b/>
          <w:bCs/>
          <w:snapToGrid w:val="0"/>
          <w:kern w:val="0"/>
          <w:sz w:val="24"/>
        </w:rPr>
        <w:t>表4-6 作业条件危险性分值与危险程度表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663"/>
        <w:gridCol w:w="1203"/>
        <w:gridCol w:w="31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34"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66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危险程度</w:t>
            </w:r>
          </w:p>
        </w:tc>
        <w:tc>
          <w:tcPr>
            <w:tcW w:w="120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分值</w:t>
            </w:r>
          </w:p>
        </w:tc>
        <w:tc>
          <w:tcPr>
            <w:tcW w:w="3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b/>
                <w:snapToGrid w:val="0"/>
                <w:kern w:val="0"/>
                <w:szCs w:val="21"/>
              </w:rPr>
            </w:pPr>
            <w:r>
              <w:rPr>
                <w:rFonts w:hint="eastAsia"/>
                <w:b/>
                <w:snapToGrid w:val="0"/>
                <w:kern w:val="0"/>
                <w:szCs w:val="21"/>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134"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320</w:t>
            </w:r>
          </w:p>
        </w:tc>
        <w:tc>
          <w:tcPr>
            <w:tcW w:w="366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及其危险，不能继续作业</w:t>
            </w:r>
          </w:p>
        </w:tc>
        <w:tc>
          <w:tcPr>
            <w:tcW w:w="120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20-70</w:t>
            </w:r>
          </w:p>
        </w:tc>
        <w:tc>
          <w:tcPr>
            <w:tcW w:w="3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134"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160-320</w:t>
            </w:r>
          </w:p>
        </w:tc>
        <w:tc>
          <w:tcPr>
            <w:tcW w:w="366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高度危险，需要立即整改</w:t>
            </w:r>
          </w:p>
        </w:tc>
        <w:tc>
          <w:tcPr>
            <w:tcW w:w="120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20</w:t>
            </w:r>
          </w:p>
        </w:tc>
        <w:tc>
          <w:tcPr>
            <w:tcW w:w="3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134"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70-160</w:t>
            </w:r>
          </w:p>
        </w:tc>
        <w:tc>
          <w:tcPr>
            <w:tcW w:w="366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r>
              <w:rPr>
                <w:rFonts w:hint="eastAsia"/>
                <w:snapToGrid w:val="0"/>
                <w:kern w:val="0"/>
                <w:szCs w:val="21"/>
              </w:rPr>
              <w:t>显著危险，需要整改</w:t>
            </w:r>
          </w:p>
        </w:tc>
        <w:tc>
          <w:tcPr>
            <w:tcW w:w="1203"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p>
        </w:tc>
        <w:tc>
          <w:tcPr>
            <w:tcW w:w="3116" w:type="dxa"/>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snapToGrid w:val="0"/>
                <w:kern w:val="0"/>
                <w:szCs w:val="21"/>
              </w:rPr>
            </w:pPr>
          </w:p>
        </w:tc>
      </w:tr>
    </w:tbl>
    <w:p>
      <w:pPr>
        <w:adjustRightInd w:val="0"/>
        <w:snapToGrid w:val="0"/>
        <w:spacing w:line="360" w:lineRule="auto"/>
        <w:ind w:firstLine="560" w:firstLineChars="200"/>
        <w:rPr>
          <w:sz w:val="28"/>
        </w:rPr>
      </w:pPr>
    </w:p>
    <w:p>
      <w:pPr>
        <w:jc w:val="left"/>
        <w:rPr>
          <w:color w:val="0070C0"/>
          <w:sz w:val="28"/>
          <w:szCs w:val="28"/>
        </w:rPr>
      </w:pPr>
      <w:r>
        <w:rPr>
          <w:color w:val="0070C0"/>
          <w:szCs w:val="28"/>
        </w:rPr>
        <w:br w:type="page"/>
      </w:r>
    </w:p>
    <w:p>
      <w:pPr>
        <w:pStyle w:val="3"/>
        <w:keepNext w:val="0"/>
        <w:adjustRightInd w:val="0"/>
        <w:snapToGrid w:val="0"/>
        <w:spacing w:line="360" w:lineRule="auto"/>
        <w:rPr>
          <w:rFonts w:eastAsia="楷体_GB2312"/>
          <w:b/>
          <w:color w:val="000000" w:themeColor="text1"/>
          <w:sz w:val="36"/>
          <w:szCs w:val="36"/>
          <w14:textFill>
            <w14:solidFill>
              <w14:schemeClr w14:val="tx1"/>
            </w14:solidFill>
          </w14:textFill>
        </w:rPr>
      </w:pPr>
      <w:bookmarkStart w:id="106" w:name="_Toc281310749"/>
      <w:bookmarkStart w:id="107" w:name="_Toc446488249"/>
      <w:bookmarkStart w:id="108" w:name="_Toc416954893"/>
      <w:bookmarkStart w:id="109" w:name="_Toc5489"/>
      <w:r>
        <w:rPr>
          <w:rFonts w:eastAsia="楷体_GB2312"/>
          <w:b/>
          <w:color w:val="000000" w:themeColor="text1"/>
          <w:sz w:val="36"/>
          <w:szCs w:val="36"/>
          <w14:textFill>
            <w14:solidFill>
              <w14:schemeClr w14:val="tx1"/>
            </w14:solidFill>
          </w14:textFill>
        </w:rPr>
        <w:t xml:space="preserve">5 </w:t>
      </w:r>
      <w:r>
        <w:rPr>
          <w:rFonts w:hint="eastAsia" w:eastAsia="楷体_GB2312"/>
          <w:b/>
          <w:color w:val="000000" w:themeColor="text1"/>
          <w:sz w:val="36"/>
          <w:szCs w:val="36"/>
          <w14:textFill>
            <w14:solidFill>
              <w14:schemeClr w14:val="tx1"/>
            </w14:solidFill>
          </w14:textFill>
        </w:rPr>
        <w:t>定性定量</w:t>
      </w:r>
      <w:r>
        <w:rPr>
          <w:rFonts w:eastAsia="楷体_GB2312"/>
          <w:b/>
          <w:color w:val="000000" w:themeColor="text1"/>
          <w:sz w:val="36"/>
          <w:szCs w:val="36"/>
          <w14:textFill>
            <w14:solidFill>
              <w14:schemeClr w14:val="tx1"/>
            </w14:solidFill>
          </w14:textFill>
        </w:rPr>
        <w:t>评价</w:t>
      </w:r>
      <w:bookmarkEnd w:id="106"/>
      <w:bookmarkEnd w:id="107"/>
      <w:bookmarkEnd w:id="108"/>
      <w:bookmarkEnd w:id="109"/>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10" w:name="_Toc446488250"/>
      <w:bookmarkStart w:id="111" w:name="_Toc281310751"/>
      <w:bookmarkStart w:id="112" w:name="_Toc19274"/>
      <w:bookmarkStart w:id="113" w:name="_Toc416954894"/>
      <w:r>
        <w:rPr>
          <w:rFonts w:ascii="Times New Roman" w:hAnsi="Times New Roman"/>
          <w:b w:val="0"/>
          <w:bCs/>
          <w:color w:val="000000" w:themeColor="text1"/>
          <w:szCs w:val="32"/>
          <w14:textFill>
            <w14:solidFill>
              <w14:schemeClr w14:val="tx1"/>
            </w14:solidFill>
          </w14:textFill>
        </w:rPr>
        <w:t>5.1 生产单元安全检查表</w:t>
      </w:r>
      <w:bookmarkEnd w:id="110"/>
      <w:bookmarkEnd w:id="111"/>
      <w:bookmarkEnd w:id="112"/>
      <w:bookmarkEnd w:id="113"/>
    </w:p>
    <w:p>
      <w:pPr>
        <w:pStyle w:val="18"/>
        <w:adjustRightInd w:val="0"/>
        <w:snapToGrid w:val="0"/>
        <w:ind w:firstLine="560" w:firstLineChars="200"/>
        <w:jc w:val="both"/>
        <w:rPr>
          <w:rFonts w:ascii="Times New Roman" w:hAnsi="Times New Roman"/>
          <w:color w:val="000000" w:themeColor="text1"/>
          <w:sz w:val="28"/>
          <w14:textFill>
            <w14:solidFill>
              <w14:schemeClr w14:val="tx1"/>
            </w14:solidFill>
          </w14:textFill>
        </w:rPr>
      </w:pPr>
      <w:r>
        <w:rPr>
          <w:rFonts w:ascii="Times New Roman" w:hAnsi="Times New Roman"/>
          <w:color w:val="000000" w:themeColor="text1"/>
          <w:sz w:val="28"/>
          <w14:textFill>
            <w14:solidFill>
              <w14:schemeClr w14:val="tx1"/>
            </w14:solidFill>
          </w14:textFill>
        </w:rPr>
        <w:t>评价过程中，鸿欣公司</w:t>
      </w:r>
      <w:r>
        <w:rPr>
          <w:rFonts w:hint="eastAsia" w:ascii="Times New Roman" w:hAnsi="Times New Roman"/>
          <w:color w:val="000000" w:themeColor="text1"/>
          <w:sz w:val="28"/>
          <w14:textFill>
            <w14:solidFill>
              <w14:schemeClr w14:val="tx1"/>
            </w14:solidFill>
          </w14:textFill>
        </w:rPr>
        <w:t>注气</w:t>
      </w:r>
      <w:r>
        <w:rPr>
          <w:rFonts w:hint="eastAsia" w:ascii="Times New Roman" w:hAnsi="Times New Roman"/>
          <w:color w:val="000000" w:themeColor="text1"/>
          <w:sz w:val="28"/>
          <w:lang w:val="en-US" w:eastAsia="zh-CN"/>
          <w14:textFill>
            <w14:solidFill>
              <w14:schemeClr w14:val="tx1"/>
            </w14:solidFill>
          </w14:textFill>
        </w:rPr>
        <w:t>1</w:t>
      </w:r>
      <w:r>
        <w:rPr>
          <w:rFonts w:ascii="Times New Roman" w:hAnsi="Times New Roman"/>
          <w:color w:val="000000" w:themeColor="text1"/>
          <w:sz w:val="28"/>
          <w14:textFill>
            <w14:solidFill>
              <w14:schemeClr w14:val="tx1"/>
            </w14:solidFill>
          </w14:textFill>
        </w:rPr>
        <w:t>队在</w:t>
      </w:r>
      <w:bookmarkStart w:id="114" w:name="_Hlk535831811"/>
      <w:r>
        <w:rPr>
          <w:rFonts w:hint="eastAsia" w:ascii="Times New Roman" w:hAnsi="Times New Roman"/>
          <w:sz w:val="28"/>
          <w:szCs w:val="28"/>
        </w:rPr>
        <w:t>东营市</w:t>
      </w:r>
      <w:r>
        <w:rPr>
          <w:rFonts w:hint="eastAsia" w:ascii="Times New Roman" w:hAnsi="Times New Roman"/>
          <w:color w:val="auto"/>
          <w:sz w:val="28"/>
          <w:szCs w:val="28"/>
          <w:lang w:val="en-US" w:eastAsia="zh-CN"/>
        </w:rPr>
        <w:t>利津县明集</w:t>
      </w:r>
      <w:r>
        <w:rPr>
          <w:rFonts w:hint="eastAsia" w:ascii="Times New Roman" w:hAnsi="Times New Roman"/>
          <w:color w:val="000000" w:themeColor="text1"/>
          <w:sz w:val="28"/>
          <w:lang w:val="en-US" w:eastAsia="zh-CN"/>
          <w14:textFill>
            <w14:solidFill>
              <w14:schemeClr w14:val="tx1"/>
            </w14:solidFill>
          </w14:textFill>
        </w:rPr>
        <w:t>乡</w:t>
      </w:r>
      <w:r>
        <w:rPr>
          <w:rFonts w:ascii="Times New Roman" w:hAnsi="Times New Roman"/>
          <w:color w:val="000000" w:themeColor="text1"/>
          <w:sz w:val="28"/>
          <w14:textFill>
            <w14:solidFill>
              <w14:schemeClr w14:val="tx1"/>
            </w14:solidFill>
          </w14:textFill>
        </w:rPr>
        <w:t>王庄油田</w:t>
      </w:r>
      <w:r>
        <w:rPr>
          <w:rFonts w:hint="eastAsia" w:ascii="Times New Roman" w:hAnsi="Times New Roman"/>
          <w:color w:val="000000" w:themeColor="text1"/>
          <w:sz w:val="28"/>
          <w14:textFill>
            <w14:solidFill>
              <w14:schemeClr w14:val="tx1"/>
            </w14:solidFill>
          </w14:textFill>
        </w:rPr>
        <w:t>郑32-平20井</w:t>
      </w:r>
      <w:r>
        <w:rPr>
          <w:rFonts w:ascii="Times New Roman" w:hAnsi="Times New Roman"/>
          <w:color w:val="000000" w:themeColor="text1"/>
          <w:sz w:val="28"/>
          <w14:textFill>
            <w14:solidFill>
              <w14:schemeClr w14:val="tx1"/>
            </w14:solidFill>
          </w14:textFill>
        </w:rPr>
        <w:t>进</w:t>
      </w:r>
      <w:r>
        <w:rPr>
          <w:rFonts w:hint="eastAsia" w:ascii="Times New Roman" w:hAnsi="Times New Roman"/>
          <w:color w:val="000000" w:themeColor="text1"/>
          <w:sz w:val="28"/>
          <w14:textFill>
            <w14:solidFill>
              <w14:schemeClr w14:val="tx1"/>
            </w14:solidFill>
          </w14:textFill>
        </w:rPr>
        <w:t>行注气（二氧化碳）</w:t>
      </w:r>
      <w:r>
        <w:rPr>
          <w:rFonts w:hint="eastAsia" w:ascii="Times New Roman" w:hAnsi="Times New Roman"/>
          <w:color w:val="000000" w:themeColor="text1"/>
          <w:sz w:val="28"/>
          <w:lang w:val="en-US" w:eastAsia="zh-CN"/>
          <w14:textFill>
            <w14:solidFill>
              <w14:schemeClr w14:val="tx1"/>
            </w14:solidFill>
          </w14:textFill>
        </w:rPr>
        <w:t>施工</w:t>
      </w:r>
      <w:r>
        <w:rPr>
          <w:rFonts w:hint="eastAsia" w:ascii="Times New Roman" w:hAnsi="Times New Roman"/>
          <w:color w:val="000000" w:themeColor="text1"/>
          <w:sz w:val="28"/>
          <w:lang w:eastAsia="zh-CN"/>
          <w14:textFill>
            <w14:solidFill>
              <w14:schemeClr w14:val="tx1"/>
            </w14:solidFill>
          </w14:textFill>
        </w:rPr>
        <w:t>；</w:t>
      </w:r>
      <w:r>
        <w:rPr>
          <w:rFonts w:hint="eastAsia" w:ascii="Times New Roman" w:hAnsi="Times New Roman"/>
          <w:color w:val="000000" w:themeColor="text1"/>
          <w:sz w:val="28"/>
          <w14:textFill>
            <w14:solidFill>
              <w14:schemeClr w14:val="tx1"/>
            </w14:solidFill>
          </w14:textFill>
        </w:rPr>
        <w:t>注气</w:t>
      </w:r>
      <w:r>
        <w:rPr>
          <w:rFonts w:hint="eastAsia" w:ascii="Times New Roman" w:hAnsi="Times New Roman"/>
          <w:color w:val="000000" w:themeColor="text1"/>
          <w:sz w:val="28"/>
          <w:lang w:val="en-US" w:eastAsia="zh-CN"/>
          <w14:textFill>
            <w14:solidFill>
              <w14:schemeClr w14:val="tx1"/>
            </w14:solidFill>
          </w14:textFill>
        </w:rPr>
        <w:t>1</w:t>
      </w:r>
      <w:r>
        <w:rPr>
          <w:rFonts w:ascii="Times New Roman" w:hAnsi="Times New Roman"/>
          <w:color w:val="000000" w:themeColor="text1"/>
          <w:sz w:val="28"/>
          <w14:textFill>
            <w14:solidFill>
              <w14:schemeClr w14:val="tx1"/>
            </w14:solidFill>
          </w14:textFill>
        </w:rPr>
        <w:t>队在</w:t>
      </w:r>
      <w:r>
        <w:rPr>
          <w:rFonts w:hint="eastAsia" w:ascii="Times New Roman" w:hAnsi="Times New Roman"/>
          <w:sz w:val="28"/>
          <w:szCs w:val="28"/>
        </w:rPr>
        <w:t>东营市</w:t>
      </w:r>
      <w:r>
        <w:rPr>
          <w:rFonts w:hint="eastAsia" w:ascii="Times New Roman" w:hAnsi="Times New Roman"/>
          <w:color w:val="000000" w:themeColor="text1"/>
          <w:sz w:val="28"/>
          <w:lang w:val="en-US" w:eastAsia="zh-CN"/>
          <w14:textFill>
            <w14:solidFill>
              <w14:schemeClr w14:val="tx1"/>
            </w14:solidFill>
          </w14:textFill>
        </w:rPr>
        <w:t>胜坨油田3-4-460井</w:t>
      </w:r>
      <w:r>
        <w:rPr>
          <w:rFonts w:hint="eastAsia" w:ascii="Times New Roman" w:hAnsi="Times New Roman"/>
          <w:color w:val="000000" w:themeColor="text1"/>
          <w:sz w:val="28"/>
          <w14:textFill>
            <w14:solidFill>
              <w14:schemeClr w14:val="tx1"/>
            </w14:solidFill>
          </w14:textFill>
        </w:rPr>
        <w:t>进行</w:t>
      </w:r>
      <w:bookmarkEnd w:id="114"/>
      <w:r>
        <w:rPr>
          <w:rFonts w:hint="eastAsia" w:ascii="Times New Roman" w:hAnsi="Times New Roman"/>
          <w:color w:val="000000" w:themeColor="text1"/>
          <w:sz w:val="28"/>
          <w:lang w:val="en-US" w:eastAsia="zh-CN"/>
          <w14:textFill>
            <w14:solidFill>
              <w14:schemeClr w14:val="tx1"/>
            </w14:solidFill>
          </w14:textFill>
        </w:rPr>
        <w:t>注氮气施工；技术服务1队在山东省东营市广饶县</w:t>
      </w:r>
      <w:r>
        <w:rPr>
          <w:rFonts w:hint="eastAsia" w:ascii="Times New Roman" w:hAnsi="Times New Roman"/>
          <w:color w:val="000000" w:themeColor="text1"/>
          <w:sz w:val="28"/>
          <w14:textFill>
            <w14:solidFill>
              <w14:schemeClr w14:val="tx1"/>
            </w14:solidFill>
          </w14:textFill>
        </w:rPr>
        <w:t>草335-平40井</w:t>
      </w:r>
      <w:r>
        <w:rPr>
          <w:rFonts w:hint="eastAsia" w:ascii="Times New Roman" w:hAnsi="Times New Roman"/>
          <w:color w:val="000000" w:themeColor="text1"/>
          <w:sz w:val="28"/>
          <w:lang w:val="en-US" w:eastAsia="zh-CN"/>
          <w14:textFill>
            <w14:solidFill>
              <w14:schemeClr w14:val="tx1"/>
            </w14:solidFill>
          </w14:textFill>
        </w:rPr>
        <w:t>进行酸化施工；技术服务2队在</w:t>
      </w:r>
      <w:r>
        <w:rPr>
          <w:rFonts w:hint="eastAsia" w:ascii="Times New Roman" w:hAnsi="Times New Roman"/>
          <w:color w:val="000000" w:themeColor="text1"/>
          <w:sz w:val="28"/>
          <w14:textFill>
            <w14:solidFill>
              <w14:schemeClr w14:val="tx1"/>
            </w14:solidFill>
          </w14:textFill>
        </w:rPr>
        <w:t>东营市广饶县</w:t>
      </w:r>
      <w:r>
        <w:rPr>
          <w:rFonts w:hint="eastAsia" w:ascii="Times New Roman" w:hAnsi="Times New Roman"/>
          <w:color w:val="000000" w:themeColor="text1"/>
          <w:sz w:val="28"/>
          <w:lang w:val="en-US" w:eastAsia="zh-CN"/>
          <w14:textFill>
            <w14:solidFill>
              <w14:schemeClr w14:val="tx1"/>
            </w14:solidFill>
          </w14:textFill>
        </w:rPr>
        <w:t>草104-斜51井进</w:t>
      </w:r>
      <w:r>
        <w:rPr>
          <w:rFonts w:hint="eastAsia" w:ascii="Times New Roman" w:hAnsi="Times New Roman"/>
          <w:color w:val="000000" w:themeColor="text1"/>
          <w:sz w:val="28"/>
          <w14:textFill>
            <w14:solidFill>
              <w14:schemeClr w14:val="tx1"/>
            </w14:solidFill>
          </w14:textFill>
        </w:rPr>
        <w:t>防砂</w:t>
      </w:r>
      <w:r>
        <w:rPr>
          <w:rFonts w:hint="eastAsia" w:ascii="Times New Roman" w:hAnsi="Times New Roman"/>
          <w:color w:val="000000" w:themeColor="text1"/>
          <w:sz w:val="28"/>
          <w:lang w:val="en-US" w:eastAsia="zh-CN"/>
          <w14:textFill>
            <w14:solidFill>
              <w14:schemeClr w14:val="tx1"/>
            </w14:solidFill>
          </w14:textFill>
        </w:rPr>
        <w:t>施工；技术服务1队在</w:t>
      </w:r>
      <w:r>
        <w:rPr>
          <w:rFonts w:hint="eastAsia" w:ascii="Times New Roman" w:hAnsi="Times New Roman"/>
          <w:color w:val="000000" w:themeColor="text1"/>
          <w:sz w:val="28"/>
          <w14:textFill>
            <w14:solidFill>
              <w14:schemeClr w14:val="tx1"/>
            </w14:solidFill>
          </w14:textFill>
        </w:rPr>
        <w:t>草128-平30井</w:t>
      </w:r>
      <w:r>
        <w:rPr>
          <w:rFonts w:hint="eastAsia" w:ascii="Times New Roman" w:hAnsi="Times New Roman"/>
          <w:color w:val="000000" w:themeColor="text1"/>
          <w:sz w:val="28"/>
          <w:lang w:val="en-US" w:eastAsia="zh-CN"/>
          <w14:textFill>
            <w14:solidFill>
              <w14:schemeClr w14:val="tx1"/>
            </w14:solidFill>
          </w14:textFill>
        </w:rPr>
        <w:t>进行堵水调剖施工</w:t>
      </w:r>
      <w:r>
        <w:rPr>
          <w:rFonts w:hint="eastAsia" w:ascii="Times New Roman" w:hAnsi="Times New Roman"/>
          <w:color w:val="000000" w:themeColor="text1"/>
          <w:sz w:val="28"/>
          <w14:textFill>
            <w14:solidFill>
              <w14:schemeClr w14:val="tx1"/>
            </w14:solidFill>
          </w14:textFill>
        </w:rPr>
        <w:t>。</w:t>
      </w:r>
      <w:r>
        <w:rPr>
          <w:rFonts w:ascii="Times New Roman" w:hAnsi="Times New Roman"/>
          <w:color w:val="000000" w:themeColor="text1"/>
          <w:sz w:val="28"/>
          <w14:textFill>
            <w14:solidFill>
              <w14:schemeClr w14:val="tx1"/>
            </w14:solidFill>
          </w14:textFill>
        </w:rPr>
        <w:t>评价组</w:t>
      </w:r>
      <w:r>
        <w:rPr>
          <w:rFonts w:hint="eastAsia" w:ascii="Times New Roman" w:hAnsi="Times New Roman"/>
          <w:color w:val="000000" w:themeColor="text1"/>
          <w:sz w:val="28"/>
          <w:lang w:val="en-US" w:eastAsia="zh-CN"/>
          <w14:textFill>
            <w14:solidFill>
              <w14:schemeClr w14:val="tx1"/>
            </w14:solidFill>
          </w14:textFill>
        </w:rPr>
        <w:t>根据现场施工情况、</w:t>
      </w:r>
      <w:r>
        <w:rPr>
          <w:rFonts w:hint="eastAsia" w:ascii="Times New Roman" w:hAnsi="Times New Roman"/>
          <w:color w:val="000000" w:themeColor="text1"/>
          <w:sz w:val="28"/>
          <w14:textFill>
            <w14:solidFill>
              <w14:schemeClr w14:val="tx1"/>
            </w14:solidFill>
          </w14:textFill>
        </w:rPr>
        <w:t>作业资料</w:t>
      </w:r>
      <w:r>
        <w:rPr>
          <w:rFonts w:hint="eastAsia" w:ascii="Times New Roman" w:hAnsi="Times New Roman"/>
          <w:color w:val="000000" w:themeColor="text1"/>
          <w:sz w:val="28"/>
          <w:lang w:val="en-US" w:eastAsia="zh-CN"/>
          <w14:textFill>
            <w14:solidFill>
              <w14:schemeClr w14:val="tx1"/>
            </w14:solidFill>
          </w14:textFill>
        </w:rPr>
        <w:t>情况</w:t>
      </w:r>
      <w:r>
        <w:rPr>
          <w:rFonts w:ascii="Times New Roman" w:hAnsi="Times New Roman"/>
          <w:color w:val="000000" w:themeColor="text1"/>
          <w:sz w:val="28"/>
          <w14:textFill>
            <w14:solidFill>
              <w14:schemeClr w14:val="tx1"/>
            </w14:solidFill>
          </w14:textFill>
        </w:rPr>
        <w:t>进行检查评价。</w:t>
      </w:r>
    </w:p>
    <w:p>
      <w:pPr>
        <w:adjustRightInd w:val="0"/>
        <w:snapToGrid w:val="0"/>
        <w:spacing w:line="360" w:lineRule="auto"/>
        <w:outlineLvl w:val="2"/>
        <w:rPr>
          <w:rFonts w:eastAsia="黑体"/>
          <w:bCs/>
          <w:snapToGrid w:val="0"/>
          <w:color w:val="auto"/>
          <w:kern w:val="0"/>
          <w:sz w:val="28"/>
          <w:szCs w:val="28"/>
        </w:rPr>
      </w:pPr>
      <w:bookmarkStart w:id="115" w:name="_Toc472176361"/>
      <w:bookmarkStart w:id="116" w:name="_Toc472176467"/>
      <w:r>
        <w:rPr>
          <w:rFonts w:eastAsia="黑体"/>
          <w:bCs/>
          <w:snapToGrid w:val="0"/>
          <w:color w:val="auto"/>
          <w:kern w:val="0"/>
          <w:sz w:val="28"/>
          <w:szCs w:val="28"/>
        </w:rPr>
        <w:t>5.1.1 王庄油田</w:t>
      </w:r>
      <w:r>
        <w:rPr>
          <w:rFonts w:hint="eastAsia" w:eastAsia="黑体"/>
          <w:bCs/>
          <w:snapToGrid w:val="0"/>
          <w:color w:val="auto"/>
          <w:kern w:val="0"/>
          <w:sz w:val="28"/>
          <w:szCs w:val="28"/>
        </w:rPr>
        <w:t>郑32-平20井</w:t>
      </w:r>
      <w:r>
        <w:rPr>
          <w:rFonts w:hint="eastAsia" w:eastAsia="黑体"/>
          <w:bCs/>
          <w:snapToGrid w:val="0"/>
          <w:color w:val="auto"/>
          <w:kern w:val="0"/>
          <w:sz w:val="28"/>
          <w:szCs w:val="28"/>
          <w:lang w:eastAsia="zh-CN"/>
        </w:rPr>
        <w:t>（</w:t>
      </w:r>
      <w:r>
        <w:rPr>
          <w:rFonts w:hint="eastAsia" w:eastAsia="黑体"/>
          <w:bCs/>
          <w:snapToGrid w:val="0"/>
          <w:color w:val="auto"/>
          <w:kern w:val="0"/>
          <w:sz w:val="28"/>
          <w:szCs w:val="28"/>
        </w:rPr>
        <w:t>注气（二氧化碳）</w:t>
      </w:r>
      <w:r>
        <w:rPr>
          <w:rFonts w:hint="eastAsia" w:eastAsia="黑体"/>
          <w:bCs/>
          <w:snapToGrid w:val="0"/>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宋体" w:hAnsi="宋体" w:eastAsia="宋体" w:cs="宋体"/>
          <w:b/>
          <w:bCs w:val="0"/>
          <w:snapToGrid w:val="0"/>
          <w:kern w:val="0"/>
          <w:sz w:val="28"/>
          <w:szCs w:val="28"/>
          <w:lang w:val="en-US" w:eastAsia="zh-CN"/>
        </w:rPr>
      </w:pPr>
      <w:r>
        <w:rPr>
          <w:rFonts w:hint="eastAsia" w:ascii="宋体" w:hAnsi="宋体" w:cs="宋体"/>
          <w:b/>
          <w:bCs w:val="0"/>
          <w:snapToGrid w:val="0"/>
          <w:kern w:val="0"/>
          <w:sz w:val="28"/>
          <w:szCs w:val="28"/>
          <w:lang w:val="en-US" w:eastAsia="zh-CN"/>
        </w:rPr>
        <w:t>2、安全检查表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color w:val="000000" w:themeColor="text1"/>
          <w:sz w:val="28"/>
          <w14:textFill>
            <w14:solidFill>
              <w14:schemeClr w14:val="tx1"/>
            </w14:solidFill>
          </w14:textFill>
        </w:rPr>
      </w:pPr>
      <w:r>
        <w:rPr>
          <w:color w:val="000000" w:themeColor="text1"/>
          <w:sz w:val="28"/>
          <w14:textFill>
            <w14:solidFill>
              <w14:schemeClr w14:val="tx1"/>
            </w14:solidFill>
          </w14:textFill>
        </w:rPr>
        <w:t>本节根据《井下作业安全规程》（SY/T5727-2020）、《石油天然气钻井、开发、储运防火防爆安全生产技术规程》（SY/T5225-2019）、《</w:t>
      </w:r>
      <w:r>
        <w:rPr>
          <w:rFonts w:hint="default"/>
          <w:color w:val="000000" w:themeColor="text1"/>
          <w:sz w:val="28"/>
          <w14:textFill>
            <w14:solidFill>
              <w14:schemeClr w14:val="tx1"/>
            </w14:solidFill>
          </w14:textFill>
        </w:rPr>
        <w:t>石油天然气开发注二氧化碳安全规范</w:t>
      </w:r>
      <w:r>
        <w:rPr>
          <w:color w:val="000000" w:themeColor="text1"/>
          <w:sz w:val="28"/>
          <w14:textFill>
            <w14:solidFill>
              <w14:schemeClr w14:val="tx1"/>
            </w14:solidFill>
          </w14:textFill>
        </w:rPr>
        <w:t>》（SY/T6565-2018）</w:t>
      </w:r>
      <w:r>
        <w:rPr>
          <w:rFonts w:hint="eastAsia"/>
          <w:color w:val="000000" w:themeColor="text1"/>
          <w:sz w:val="28"/>
          <w:lang w:eastAsia="zh-CN"/>
          <w14:textFill>
            <w14:solidFill>
              <w14:schemeClr w14:val="tx1"/>
            </w14:solidFill>
          </w14:textFill>
        </w:rPr>
        <w:t>、</w:t>
      </w:r>
      <w:r>
        <w:rPr>
          <w:rFonts w:hint="eastAsia"/>
          <w:color w:val="000000" w:themeColor="text1"/>
          <w:sz w:val="28"/>
          <w:lang w:val="en-US" w:eastAsia="zh-CN"/>
          <w14:textFill>
            <w14:solidFill>
              <w14:schemeClr w14:val="tx1"/>
            </w14:solidFill>
          </w14:textFill>
        </w:rPr>
        <w:t>《液态二氧化碳吞吐推荐作法》（SY/T 6487-2018）</w:t>
      </w:r>
      <w:r>
        <w:rPr>
          <w:color w:val="000000" w:themeColor="text1"/>
          <w:sz w:val="28"/>
          <w14:textFill>
            <w14:solidFill>
              <w14:schemeClr w14:val="tx1"/>
            </w14:solidFill>
          </w14:textFill>
        </w:rPr>
        <w:t>等标准，对本项目生产单元进行安全评价，具体评价过程见表5-1。</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4"/>
          <w:szCs w:val="28"/>
          <w14:textFill>
            <w14:solidFill>
              <w14:schemeClr w14:val="tx1"/>
            </w14:solidFill>
          </w14:textFill>
        </w:rPr>
      </w:pPr>
      <w:r>
        <w:rPr>
          <w:b/>
          <w:color w:val="000000" w:themeColor="text1"/>
          <w:sz w:val="24"/>
          <w:szCs w:val="28"/>
          <w14:textFill>
            <w14:solidFill>
              <w14:schemeClr w14:val="tx1"/>
            </w14:solidFill>
          </w14:textFill>
        </w:rPr>
        <w:t>表5-1  生产单元安全检查表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560" w:firstLineChars="200"/>
        <w:textAlignment w:val="auto"/>
        <w:rPr>
          <w:rFonts w:hint="default"/>
          <w:color w:val="000000"/>
          <w:sz w:val="28"/>
          <w:szCs w:val="28"/>
        </w:rPr>
      </w:pPr>
      <w:r>
        <w:rPr>
          <w:rFonts w:hint="default" w:ascii="宋体"/>
          <w:color w:val="000000"/>
          <w:sz w:val="28"/>
          <w:szCs w:val="28"/>
        </w:rPr>
        <w:t>评价小结：</w:t>
      </w:r>
    </w:p>
    <w:p>
      <w:pPr>
        <w:adjustRightInd w:val="0"/>
        <w:snapToGrid w:val="0"/>
        <w:spacing w:beforeLines="0" w:afterLines="0" w:line="360" w:lineRule="auto"/>
        <w:ind w:firstLine="560" w:firstLineChars="200"/>
        <w:rPr>
          <w:rFonts w:hint="eastAsia" w:ascii="Times New Roman" w:hAnsi="Times New Roman" w:eastAsia="宋体" w:cs="Times New Roman"/>
          <w:color w:val="auto"/>
          <w:kern w:val="2"/>
          <w:sz w:val="28"/>
          <w:szCs w:val="28"/>
          <w:lang w:val="en-US" w:eastAsia="zh-CN" w:bidi="ar-SA"/>
        </w:rPr>
      </w:pPr>
      <w:r>
        <w:rPr>
          <w:rFonts w:hint="default" w:ascii="Times New Roman" w:hAnsi="Times New Roman"/>
          <w:color w:val="000000"/>
          <w:sz w:val="28"/>
          <w:szCs w:val="28"/>
        </w:rPr>
        <w:t>安全检查表共设</w:t>
      </w:r>
      <w:r>
        <w:rPr>
          <w:rFonts w:hint="eastAsia" w:ascii="Times New Roman" w:hAnsi="Times New Roman"/>
          <w:color w:val="000000"/>
          <w:sz w:val="28"/>
          <w:szCs w:val="28"/>
          <w:lang w:val="en-US" w:eastAsia="zh-CN"/>
        </w:rPr>
        <w:t>2</w:t>
      </w:r>
      <w:r>
        <w:rPr>
          <w:rFonts w:hint="eastAsia"/>
          <w:color w:val="000000"/>
          <w:sz w:val="28"/>
          <w:szCs w:val="28"/>
          <w:lang w:val="en-US" w:eastAsia="zh-CN"/>
        </w:rPr>
        <w:t>8</w:t>
      </w:r>
      <w:r>
        <w:rPr>
          <w:rFonts w:hint="default" w:ascii="Times New Roman" w:hAnsi="Times New Roman"/>
          <w:color w:val="000000"/>
          <w:sz w:val="28"/>
          <w:szCs w:val="28"/>
        </w:rPr>
        <w:t>项检查内容，</w:t>
      </w:r>
      <w:r>
        <w:rPr>
          <w:rFonts w:hint="eastAsia" w:ascii="Times New Roman" w:hAnsi="Times New Roman"/>
          <w:color w:val="000000"/>
          <w:sz w:val="28"/>
          <w:szCs w:val="28"/>
          <w:lang w:val="en-US" w:eastAsia="zh-CN"/>
        </w:rPr>
        <w:t>2</w:t>
      </w:r>
      <w:r>
        <w:rPr>
          <w:rFonts w:hint="eastAsia"/>
          <w:color w:val="000000"/>
          <w:sz w:val="28"/>
          <w:szCs w:val="28"/>
          <w:lang w:val="en-US" w:eastAsia="zh-CN"/>
        </w:rPr>
        <w:t>7</w:t>
      </w:r>
      <w:r>
        <w:rPr>
          <w:rFonts w:hint="default" w:ascii="Times New Roman" w:hAnsi="Times New Roman"/>
          <w:color w:val="000000"/>
          <w:sz w:val="28"/>
          <w:szCs w:val="28"/>
        </w:rPr>
        <w:t>项符合要求，</w:t>
      </w:r>
      <w:r>
        <w:rPr>
          <w:rFonts w:hint="eastAsia"/>
          <w:color w:val="000000"/>
          <w:sz w:val="28"/>
          <w:szCs w:val="28"/>
          <w:lang w:val="en-US" w:eastAsia="zh-CN"/>
        </w:rPr>
        <w:t>1</w:t>
      </w:r>
      <w:r>
        <w:rPr>
          <w:rFonts w:hint="default" w:ascii="Times New Roman" w:hAnsi="Times New Roman"/>
          <w:color w:val="000000"/>
          <w:sz w:val="28"/>
          <w:szCs w:val="28"/>
        </w:rPr>
        <w:t>项不符合</w:t>
      </w:r>
      <w:r>
        <w:rPr>
          <w:rFonts w:hint="eastAsia" w:ascii="Times New Roman" w:hAnsi="Times New Roman"/>
          <w:color w:val="000000"/>
          <w:sz w:val="28"/>
          <w:szCs w:val="28"/>
          <w:lang w:eastAsia="zh-CN"/>
        </w:rPr>
        <w:t>：</w:t>
      </w:r>
      <w:r>
        <w:rPr>
          <w:rFonts w:hint="eastAsia" w:ascii="Times New Roman" w:eastAsia="宋体"/>
          <w:sz w:val="28"/>
          <w:szCs w:val="28"/>
          <w:lang w:val="en-US" w:eastAsia="zh-CN"/>
        </w:rPr>
        <w:t>王庄油田郑32-平20井（注气（二氧化碳</w:t>
      </w:r>
      <w:r>
        <w:rPr>
          <w:rFonts w:hint="eastAsia" w:ascii="Times New Roman" w:hAnsi="Times New Roman" w:eastAsia="宋体" w:cs="Times New Roman"/>
          <w:color w:val="auto"/>
          <w:kern w:val="2"/>
          <w:sz w:val="28"/>
          <w:szCs w:val="28"/>
          <w:lang w:val="en-US" w:eastAsia="zh-CN" w:bidi="ar-SA"/>
        </w:rPr>
        <w:t>））现场作业未配备二氧化碳气体检测仪，操作人员未配备防冻服。</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eastAsia="黑体"/>
          <w:bCs/>
          <w:snapToGrid w:val="0"/>
          <w:color w:val="auto"/>
          <w:kern w:val="0"/>
          <w:sz w:val="28"/>
          <w:szCs w:val="28"/>
        </w:rPr>
      </w:pPr>
      <w:r>
        <w:rPr>
          <w:rFonts w:eastAsia="黑体"/>
          <w:bCs/>
          <w:snapToGrid w:val="0"/>
          <w:color w:val="auto"/>
          <w:kern w:val="0"/>
          <w:sz w:val="28"/>
          <w:szCs w:val="28"/>
        </w:rPr>
        <w:t>5.1.</w:t>
      </w:r>
      <w:r>
        <w:rPr>
          <w:rFonts w:hint="eastAsia" w:eastAsia="黑体"/>
          <w:bCs/>
          <w:snapToGrid w:val="0"/>
          <w:color w:val="auto"/>
          <w:kern w:val="0"/>
          <w:sz w:val="28"/>
          <w:szCs w:val="28"/>
          <w:lang w:val="en-US" w:eastAsia="zh-CN"/>
        </w:rPr>
        <w:t>2</w:t>
      </w:r>
      <w:r>
        <w:rPr>
          <w:rFonts w:eastAsia="黑体"/>
          <w:bCs/>
          <w:snapToGrid w:val="0"/>
          <w:color w:val="auto"/>
          <w:kern w:val="0"/>
          <w:sz w:val="28"/>
          <w:szCs w:val="28"/>
        </w:rPr>
        <w:t xml:space="preserve"> </w:t>
      </w:r>
      <w:r>
        <w:rPr>
          <w:rFonts w:hint="eastAsia" w:eastAsia="黑体"/>
          <w:bCs/>
          <w:snapToGrid w:val="0"/>
          <w:color w:val="auto"/>
          <w:kern w:val="0"/>
          <w:sz w:val="28"/>
          <w:szCs w:val="28"/>
          <w:lang w:val="en-US" w:eastAsia="zh-CN"/>
        </w:rPr>
        <w:t>胜坨油田3-4-460井（</w:t>
      </w:r>
      <w:r>
        <w:rPr>
          <w:rFonts w:hint="eastAsia" w:eastAsia="黑体"/>
          <w:bCs/>
          <w:snapToGrid w:val="0"/>
          <w:color w:val="auto"/>
          <w:kern w:val="0"/>
          <w:sz w:val="28"/>
          <w:szCs w:val="28"/>
        </w:rPr>
        <w:t>注气（氮气）</w:t>
      </w:r>
      <w:r>
        <w:rPr>
          <w:rFonts w:hint="eastAsia" w:eastAsia="黑体"/>
          <w:bCs/>
          <w:snapToGrid w:val="0"/>
          <w:color w:val="auto"/>
          <w:kern w:val="0"/>
          <w:sz w:val="28"/>
          <w:szCs w:val="28"/>
          <w:lang w:val="en-US" w:eastAsia="zh-CN"/>
        </w:rPr>
        <w:t>）</w:t>
      </w:r>
    </w:p>
    <w:p>
      <w:pPr>
        <w:pStyle w:val="218"/>
        <w:adjustRightInd w:val="0"/>
        <w:snapToGrid w:val="0"/>
        <w:spacing w:after="0" w:line="360" w:lineRule="auto"/>
        <w:ind w:firstLine="560" w:firstLineChars="200"/>
        <w:rPr>
          <w:rFonts w:hint="eastAsia"/>
          <w:b/>
          <w:bCs w:val="0"/>
          <w:sz w:val="28"/>
          <w:szCs w:val="28"/>
        </w:rPr>
      </w:pPr>
      <w:r>
        <w:rPr>
          <w:rFonts w:hint="eastAsia"/>
          <w:b/>
          <w:bCs w:val="0"/>
          <w:sz w:val="28"/>
          <w:szCs w:val="28"/>
        </w:rPr>
        <w:t>1</w:t>
      </w:r>
      <w:r>
        <w:rPr>
          <w:b/>
          <w:bCs w:val="0"/>
          <w:sz w:val="28"/>
          <w:szCs w:val="28"/>
        </w:rPr>
        <w:t>.</w:t>
      </w:r>
      <w:r>
        <w:rPr>
          <w:rFonts w:hint="eastAsia" w:ascii="宋体" w:hAnsi="宋体" w:eastAsia="宋体" w:cs="宋体"/>
          <w:b/>
          <w:bCs w:val="0"/>
          <w:snapToGrid w:val="0"/>
          <w:kern w:val="0"/>
          <w:sz w:val="28"/>
          <w:szCs w:val="28"/>
          <w:lang w:val="en-US" w:eastAsia="zh-CN"/>
        </w:rPr>
        <w:t>施工</w:t>
      </w:r>
      <w:r>
        <w:rPr>
          <w:rFonts w:hint="eastAsia" w:ascii="宋体" w:hAnsi="宋体" w:eastAsia="宋体" w:cs="宋体"/>
          <w:b/>
          <w:bCs w:val="0"/>
          <w:snapToGrid w:val="0"/>
          <w:kern w:val="0"/>
          <w:sz w:val="28"/>
          <w:szCs w:val="28"/>
        </w:rPr>
        <w:t>情况</w:t>
      </w:r>
      <w:r>
        <w:rPr>
          <w:rFonts w:hint="eastAsia" w:ascii="宋体" w:hAnsi="宋体" w:eastAsia="宋体" w:cs="宋体"/>
          <w:b/>
          <w:bCs w:val="0"/>
          <w:snapToGrid w:val="0"/>
          <w:kern w:val="0"/>
          <w:sz w:val="28"/>
          <w:szCs w:val="28"/>
          <w:lang w:val="en-US" w:eastAsia="zh-CN"/>
        </w:rPr>
        <w:t>简介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tabs>
          <w:tab w:val="left" w:pos="1604"/>
        </w:tabs>
        <w:kinsoku/>
        <w:wordWrap/>
        <w:overflowPunct/>
        <w:topLinePunct w:val="0"/>
        <w:autoSpaceDE/>
        <w:autoSpaceDN/>
        <w:bidi w:val="0"/>
        <w:adjustRightInd w:val="0"/>
        <w:snapToGrid w:val="0"/>
        <w:spacing w:line="360" w:lineRule="auto"/>
        <w:jc w:val="left"/>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宋体" w:hAnsi="宋体" w:eastAsia="宋体" w:cs="宋体"/>
          <w:b/>
          <w:bCs w:val="0"/>
          <w:snapToGrid w:val="0"/>
          <w:kern w:val="0"/>
          <w:sz w:val="28"/>
          <w:szCs w:val="28"/>
          <w:lang w:val="en-US" w:eastAsia="zh-CN"/>
        </w:rPr>
      </w:pPr>
      <w:r>
        <w:rPr>
          <w:rFonts w:hint="eastAsia" w:ascii="宋体" w:hAnsi="宋体" w:cs="宋体"/>
          <w:b/>
          <w:bCs w:val="0"/>
          <w:snapToGrid w:val="0"/>
          <w:kern w:val="0"/>
          <w:sz w:val="28"/>
          <w:szCs w:val="28"/>
          <w:lang w:val="en-US" w:eastAsia="zh-CN"/>
        </w:rPr>
        <w:t>2、安全检查表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color w:val="000000" w:themeColor="text1"/>
          <w:sz w:val="28"/>
          <w14:textFill>
            <w14:solidFill>
              <w14:schemeClr w14:val="tx1"/>
            </w14:solidFill>
          </w14:textFill>
        </w:rPr>
      </w:pPr>
      <w:r>
        <w:rPr>
          <w:color w:val="000000" w:themeColor="text1"/>
          <w:sz w:val="28"/>
          <w14:textFill>
            <w14:solidFill>
              <w14:schemeClr w14:val="tx1"/>
            </w14:solidFill>
          </w14:textFill>
        </w:rPr>
        <w:t>本节根据《井下作业安全规程》（SY/T5727-2020）、《石油天然气钻井、开发、储运防火防爆安全生产技术规程》（SY/T5225-2019）、《石油天然气钻采设备制氮注氮设备》（SY/T7425-2018）等标准，对本项目生产单元进行安全评价，具体评价过程见表5-</w:t>
      </w:r>
      <w:r>
        <w:rPr>
          <w:rFonts w:hint="eastAsia"/>
          <w:color w:val="000000" w:themeColor="text1"/>
          <w:sz w:val="28"/>
          <w:lang w:val="en-US" w:eastAsia="zh-CN"/>
          <w14:textFill>
            <w14:solidFill>
              <w14:schemeClr w14:val="tx1"/>
            </w14:solidFill>
          </w14:textFill>
        </w:rPr>
        <w:t>2</w:t>
      </w:r>
      <w:r>
        <w:rPr>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4"/>
          <w:szCs w:val="28"/>
          <w14:textFill>
            <w14:solidFill>
              <w14:schemeClr w14:val="tx1"/>
            </w14:solidFill>
          </w14:textFill>
        </w:rPr>
      </w:pPr>
      <w:r>
        <w:rPr>
          <w:b/>
          <w:color w:val="000000" w:themeColor="text1"/>
          <w:sz w:val="24"/>
          <w:szCs w:val="28"/>
          <w14:textFill>
            <w14:solidFill>
              <w14:schemeClr w14:val="tx1"/>
            </w14:solidFill>
          </w14:textFill>
        </w:rPr>
        <w:t>表5-</w:t>
      </w:r>
      <w:r>
        <w:rPr>
          <w:rFonts w:hint="eastAsia"/>
          <w:b/>
          <w:color w:val="000000" w:themeColor="text1"/>
          <w:sz w:val="24"/>
          <w:szCs w:val="28"/>
          <w:lang w:val="en-US" w:eastAsia="zh-CN"/>
          <w14:textFill>
            <w14:solidFill>
              <w14:schemeClr w14:val="tx1"/>
            </w14:solidFill>
          </w14:textFill>
        </w:rPr>
        <w:t>2</w:t>
      </w:r>
      <w:r>
        <w:rPr>
          <w:b/>
          <w:color w:val="000000" w:themeColor="text1"/>
          <w:sz w:val="24"/>
          <w:szCs w:val="28"/>
          <w14:textFill>
            <w14:solidFill>
              <w14:schemeClr w14:val="tx1"/>
            </w14:solidFill>
          </w14:textFill>
        </w:rPr>
        <w:t xml:space="preserve">  生产单元安全检查表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560" w:firstLineChars="200"/>
        <w:textAlignment w:val="auto"/>
        <w:rPr>
          <w:rFonts w:hint="default"/>
          <w:color w:val="000000"/>
          <w:sz w:val="28"/>
          <w:szCs w:val="28"/>
        </w:rPr>
      </w:pPr>
      <w:r>
        <w:rPr>
          <w:rFonts w:hint="default" w:ascii="宋体"/>
          <w:color w:val="000000"/>
          <w:sz w:val="28"/>
          <w:szCs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default" w:ascii="Times New Roman" w:hAnsi="Times New Roman"/>
          <w:color w:val="000000"/>
          <w:sz w:val="28"/>
          <w:szCs w:val="28"/>
        </w:rPr>
        <w:t>安全检查表共设</w:t>
      </w:r>
      <w:r>
        <w:rPr>
          <w:rFonts w:hint="eastAsia"/>
          <w:color w:val="000000"/>
          <w:sz w:val="28"/>
          <w:szCs w:val="28"/>
          <w:lang w:val="en-US" w:eastAsia="zh-CN"/>
        </w:rPr>
        <w:t>48</w:t>
      </w:r>
      <w:r>
        <w:rPr>
          <w:rFonts w:hint="default" w:ascii="Times New Roman" w:hAnsi="Times New Roman"/>
          <w:color w:val="000000"/>
          <w:sz w:val="28"/>
          <w:szCs w:val="28"/>
        </w:rPr>
        <w:t>项检查内容，</w:t>
      </w:r>
      <w:r>
        <w:rPr>
          <w:rFonts w:hint="eastAsia"/>
          <w:color w:val="000000"/>
          <w:sz w:val="28"/>
          <w:szCs w:val="28"/>
          <w:lang w:val="en-US" w:eastAsia="zh-CN"/>
        </w:rPr>
        <w:t>48</w:t>
      </w:r>
      <w:r>
        <w:rPr>
          <w:rFonts w:hint="default" w:ascii="Times New Roman" w:hAnsi="Times New Roman"/>
          <w:color w:val="000000"/>
          <w:sz w:val="28"/>
          <w:szCs w:val="28"/>
        </w:rPr>
        <w:t>项符合要求，</w:t>
      </w:r>
      <w:r>
        <w:rPr>
          <w:rFonts w:hint="eastAsia"/>
          <w:color w:val="000000"/>
          <w:sz w:val="28"/>
          <w:szCs w:val="28"/>
          <w:lang w:val="en-US" w:eastAsia="zh-CN"/>
        </w:rPr>
        <w:t>无</w:t>
      </w:r>
      <w:r>
        <w:rPr>
          <w:rFonts w:hint="default" w:ascii="Times New Roman" w:hAnsi="Times New Roman"/>
          <w:color w:val="000000"/>
          <w:sz w:val="28"/>
          <w:szCs w:val="28"/>
        </w:rPr>
        <w:t>不符合</w:t>
      </w:r>
      <w:r>
        <w:rPr>
          <w:rFonts w:hint="eastAsia"/>
          <w:color w:val="000000"/>
          <w:sz w:val="28"/>
          <w:szCs w:val="28"/>
          <w:lang w:val="en-US" w:eastAsia="zh-CN"/>
        </w:rPr>
        <w:t>项。</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eastAsia"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5.1.</w:t>
      </w:r>
      <w:r>
        <w:rPr>
          <w:rFonts w:hint="eastAsia" w:eastAsia="黑体"/>
          <w:bCs/>
          <w:snapToGrid w:val="0"/>
          <w:color w:val="000000" w:themeColor="text1"/>
          <w:kern w:val="0"/>
          <w:sz w:val="28"/>
          <w:szCs w:val="28"/>
          <w:lang w:val="en-US" w:eastAsia="zh-CN"/>
          <w14:textFill>
            <w14:solidFill>
              <w14:schemeClr w14:val="tx1"/>
            </w14:solidFill>
          </w14:textFill>
        </w:rPr>
        <w:t>3</w:t>
      </w:r>
      <w:r>
        <w:rPr>
          <w:rFonts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14:textFill>
            <w14:solidFill>
              <w14:schemeClr w14:val="tx1"/>
            </w14:solidFill>
          </w14:textFill>
        </w:rPr>
        <w:t>草335-平40井</w:t>
      </w:r>
      <w:r>
        <w:rPr>
          <w:rFonts w:hint="eastAsia" w:eastAsia="黑体"/>
          <w:bCs/>
          <w:snapToGrid w:val="0"/>
          <w:color w:val="000000" w:themeColor="text1"/>
          <w:kern w:val="0"/>
          <w:sz w:val="28"/>
          <w:szCs w:val="28"/>
          <w:lang w:eastAsia="zh-CN"/>
          <w14:textFill>
            <w14:solidFill>
              <w14:schemeClr w14:val="tx1"/>
            </w14:solidFill>
          </w14:textFill>
        </w:rPr>
        <w:t>（</w:t>
      </w:r>
      <w:r>
        <w:rPr>
          <w:rFonts w:hint="eastAsia" w:eastAsia="黑体"/>
          <w:bCs/>
          <w:snapToGrid w:val="0"/>
          <w:color w:val="000000" w:themeColor="text1"/>
          <w:kern w:val="0"/>
          <w:sz w:val="28"/>
          <w:szCs w:val="28"/>
          <w14:textFill>
            <w14:solidFill>
              <w14:schemeClr w14:val="tx1"/>
            </w14:solidFill>
          </w14:textFill>
        </w:rPr>
        <w:t>酸化</w:t>
      </w:r>
      <w:r>
        <w:rPr>
          <w:rFonts w:hint="eastAsia" w:eastAsia="黑体"/>
          <w:bCs/>
          <w:snapToGrid w:val="0"/>
          <w:color w:val="000000" w:themeColor="text1"/>
          <w:kern w:val="0"/>
          <w:sz w:val="28"/>
          <w:szCs w:val="28"/>
          <w:lang w:eastAsia="zh-CN"/>
          <w14:textFill>
            <w14:solidFill>
              <w14:schemeClr w14:val="tx1"/>
            </w14:solidFill>
          </w14:textFill>
        </w:rPr>
        <w:t>）</w:t>
      </w:r>
      <w:bookmarkEnd w:id="115"/>
      <w:bookmarkEnd w:id="116"/>
    </w:p>
    <w:p>
      <w:pPr>
        <w:pStyle w:val="218"/>
        <w:adjustRightInd w:val="0"/>
        <w:snapToGrid w:val="0"/>
        <w:spacing w:after="0" w:line="360" w:lineRule="auto"/>
        <w:ind w:firstLine="560" w:firstLineChars="200"/>
        <w:rPr>
          <w:rFonts w:hint="eastAsia"/>
          <w:b/>
          <w:bCs w:val="0"/>
          <w:sz w:val="28"/>
          <w:szCs w:val="28"/>
        </w:rPr>
      </w:pPr>
      <w:r>
        <w:rPr>
          <w:rFonts w:hint="eastAsia"/>
          <w:b/>
          <w:bCs w:val="0"/>
          <w:sz w:val="28"/>
          <w:szCs w:val="28"/>
        </w:rPr>
        <w:t>1</w:t>
      </w:r>
      <w:r>
        <w:rPr>
          <w:b/>
          <w:bCs w:val="0"/>
          <w:sz w:val="28"/>
          <w:szCs w:val="28"/>
        </w:rPr>
        <w:t>.</w:t>
      </w:r>
      <w:r>
        <w:rPr>
          <w:rFonts w:hint="eastAsia" w:ascii="宋体" w:hAnsi="宋体" w:eastAsia="宋体" w:cs="宋体"/>
          <w:b/>
          <w:bCs w:val="0"/>
          <w:snapToGrid w:val="0"/>
          <w:kern w:val="0"/>
          <w:sz w:val="28"/>
          <w:szCs w:val="28"/>
          <w:lang w:val="en-US" w:eastAsia="zh-CN"/>
        </w:rPr>
        <w:t>施工</w:t>
      </w:r>
      <w:r>
        <w:rPr>
          <w:rFonts w:hint="eastAsia" w:ascii="宋体" w:hAnsi="宋体" w:eastAsia="宋体" w:cs="宋体"/>
          <w:b/>
          <w:bCs w:val="0"/>
          <w:snapToGrid w:val="0"/>
          <w:kern w:val="0"/>
          <w:sz w:val="28"/>
          <w:szCs w:val="28"/>
        </w:rPr>
        <w:t>情况</w:t>
      </w:r>
      <w:r>
        <w:rPr>
          <w:rFonts w:hint="eastAsia" w:ascii="宋体" w:hAnsi="宋体" w:eastAsia="宋体" w:cs="宋体"/>
          <w:b/>
          <w:bCs w:val="0"/>
          <w:snapToGrid w:val="0"/>
          <w:kern w:val="0"/>
          <w:sz w:val="28"/>
          <w:szCs w:val="28"/>
          <w:lang w:val="en-US" w:eastAsia="zh-CN"/>
        </w:rPr>
        <w:t>简介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widowControl/>
        <w:adjustRightInd w:val="0"/>
        <w:snapToGrid w:val="0"/>
        <w:spacing w:beforeLines="0" w:afterLines="0" w:line="360" w:lineRule="auto"/>
        <w:ind w:firstLine="560" w:firstLineChars="200"/>
        <w:jc w:val="left"/>
        <w:rPr>
          <w:rFonts w:hint="default" w:ascii="宋体"/>
          <w:b/>
          <w:sz w:val="28"/>
          <w:szCs w:val="28"/>
        </w:rPr>
      </w:pPr>
      <w:r>
        <w:rPr>
          <w:rFonts w:hint="default" w:ascii="宋体"/>
          <w:b/>
          <w:sz w:val="28"/>
          <w:szCs w:val="28"/>
        </w:rPr>
        <w:t>2</w:t>
      </w:r>
      <w:r>
        <w:rPr>
          <w:rFonts w:hint="default"/>
          <w:b/>
          <w:sz w:val="28"/>
          <w:szCs w:val="28"/>
        </w:rPr>
        <w:t>.</w:t>
      </w:r>
      <w:r>
        <w:rPr>
          <w:rFonts w:hint="default" w:ascii="宋体"/>
          <w:b/>
          <w:sz w:val="28"/>
          <w:szCs w:val="28"/>
        </w:rPr>
        <w:t>安全检查表评价</w:t>
      </w:r>
    </w:p>
    <w:p>
      <w:pPr>
        <w:pStyle w:val="64"/>
        <w:adjustRightInd w:val="0"/>
        <w:snapToGrid w:val="0"/>
        <w:spacing w:beforeLines="0" w:afterLines="0" w:line="360" w:lineRule="auto"/>
        <w:ind w:firstLine="560"/>
        <w:jc w:val="both"/>
        <w:rPr>
          <w:rFonts w:hint="default" w:ascii="Times New Roman" w:hAnsi="Times New Roman"/>
          <w:b/>
          <w:sz w:val="24"/>
          <w:szCs w:val="28"/>
        </w:rPr>
      </w:pPr>
      <w:r>
        <w:rPr>
          <w:rFonts w:hint="default" w:ascii="Times New Roman" w:hAnsi="Times New Roman"/>
          <w:sz w:val="28"/>
          <w:szCs w:val="28"/>
        </w:rPr>
        <w:t>本节根据《石油天然气钻井、开发、储运防火防爆安全生产技术规程》（SY/T5225-2019）、《井下作业安全规程》（SY/T5727-2020）、《油水井酸化设计、施工及评价规范》（SY/T6334-2013）等标准，对本项目生产单元进行安全评价，具体评价过程见表。</w:t>
      </w:r>
    </w:p>
    <w:p>
      <w:pPr>
        <w:pStyle w:val="64"/>
        <w:adjustRightInd w:val="0"/>
        <w:snapToGrid w:val="0"/>
        <w:spacing w:beforeLines="0" w:afterLines="0"/>
        <w:ind w:firstLine="0" w:firstLineChars="0"/>
        <w:jc w:val="center"/>
        <w:rPr>
          <w:rFonts w:hint="default" w:ascii="Times New Roman" w:hAnsi="Times New Roman"/>
          <w:b/>
          <w:sz w:val="21"/>
          <w:szCs w:val="21"/>
        </w:rPr>
      </w:pPr>
      <w:r>
        <w:rPr>
          <w:rFonts w:hint="default" w:ascii="Times New Roman" w:hAnsi="Times New Roman"/>
          <w:b/>
          <w:sz w:val="21"/>
          <w:szCs w:val="21"/>
        </w:rPr>
        <w:t>表5-</w:t>
      </w:r>
      <w:r>
        <w:rPr>
          <w:rFonts w:hint="eastAsia" w:ascii="Times New Roman" w:hAnsi="Times New Roman"/>
          <w:b/>
          <w:sz w:val="21"/>
          <w:szCs w:val="21"/>
          <w:lang w:val="en-US" w:eastAsia="zh-CN"/>
        </w:rPr>
        <w:t>4</w:t>
      </w:r>
      <w:r>
        <w:rPr>
          <w:rFonts w:hint="default" w:ascii="Times New Roman" w:hAnsi="Times New Roman"/>
          <w:b/>
          <w:sz w:val="21"/>
          <w:szCs w:val="21"/>
        </w:rPr>
        <w:t xml:space="preserve">  生产单元安全检查表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560" w:firstLineChars="200"/>
        <w:textAlignment w:val="auto"/>
        <w:rPr>
          <w:rFonts w:hint="default" w:eastAsia="宋体"/>
          <w:color w:val="000000"/>
          <w:sz w:val="28"/>
          <w:szCs w:val="28"/>
        </w:rPr>
      </w:pPr>
      <w:r>
        <w:rPr>
          <w:rFonts w:hint="default" w:ascii="宋体" w:eastAsia="宋体"/>
          <w:color w:val="000000"/>
          <w:sz w:val="28"/>
          <w:szCs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宋体"/>
        </w:rPr>
      </w:pPr>
      <w:r>
        <w:rPr>
          <w:rFonts w:hint="default" w:ascii="Times New Roman" w:hAnsi="Times New Roman" w:eastAsia="宋体"/>
          <w:color w:val="000000"/>
          <w:sz w:val="28"/>
          <w:szCs w:val="28"/>
        </w:rPr>
        <w:t>安全检查表共设</w:t>
      </w:r>
      <w:r>
        <w:rPr>
          <w:rFonts w:hint="eastAsia" w:eastAsia="宋体"/>
          <w:color w:val="000000"/>
          <w:sz w:val="28"/>
          <w:szCs w:val="28"/>
          <w:lang w:val="en-US" w:eastAsia="zh-CN"/>
        </w:rPr>
        <w:t>22</w:t>
      </w:r>
      <w:r>
        <w:rPr>
          <w:rFonts w:hint="default" w:ascii="Times New Roman" w:hAnsi="Times New Roman" w:eastAsia="宋体"/>
          <w:color w:val="000000"/>
          <w:sz w:val="28"/>
          <w:szCs w:val="28"/>
        </w:rPr>
        <w:t>项检查内容，</w:t>
      </w:r>
      <w:r>
        <w:rPr>
          <w:rFonts w:hint="eastAsia" w:eastAsia="宋体"/>
          <w:color w:val="000000"/>
          <w:sz w:val="28"/>
          <w:szCs w:val="28"/>
          <w:lang w:val="en-US" w:eastAsia="zh-CN"/>
        </w:rPr>
        <w:t>22</w:t>
      </w:r>
      <w:r>
        <w:rPr>
          <w:rFonts w:hint="default" w:ascii="Times New Roman" w:hAnsi="Times New Roman" w:eastAsia="宋体"/>
          <w:color w:val="000000"/>
          <w:sz w:val="28"/>
          <w:szCs w:val="28"/>
        </w:rPr>
        <w:t>项符合要求，</w:t>
      </w:r>
      <w:r>
        <w:rPr>
          <w:rFonts w:hint="eastAsia" w:eastAsia="宋体"/>
          <w:color w:val="000000"/>
          <w:sz w:val="28"/>
          <w:szCs w:val="28"/>
          <w:lang w:val="en-US" w:eastAsia="zh-CN"/>
        </w:rPr>
        <w:t>无</w:t>
      </w:r>
      <w:r>
        <w:rPr>
          <w:rFonts w:hint="default" w:ascii="Times New Roman" w:hAnsi="Times New Roman" w:eastAsia="宋体"/>
          <w:color w:val="000000"/>
          <w:sz w:val="28"/>
          <w:szCs w:val="28"/>
        </w:rPr>
        <w:t>不符合</w:t>
      </w:r>
      <w:r>
        <w:rPr>
          <w:rFonts w:hint="eastAsia" w:eastAsia="宋体"/>
          <w:color w:val="000000"/>
          <w:sz w:val="28"/>
          <w:szCs w:val="28"/>
          <w:lang w:val="en-US" w:eastAsia="zh-CN"/>
        </w:rPr>
        <w:t>项。</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eastAsia" w:eastAsia="黑体"/>
          <w:bCs/>
          <w:snapToGrid w:val="0"/>
          <w:color w:val="000000" w:themeColor="text1"/>
          <w:kern w:val="0"/>
          <w:sz w:val="28"/>
          <w:szCs w:val="28"/>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5.1.</w:t>
      </w:r>
      <w:r>
        <w:rPr>
          <w:rFonts w:hint="eastAsia" w:eastAsia="黑体"/>
          <w:bCs/>
          <w:snapToGrid w:val="0"/>
          <w:color w:val="000000" w:themeColor="text1"/>
          <w:kern w:val="0"/>
          <w:sz w:val="28"/>
          <w:szCs w:val="28"/>
          <w:lang w:val="en-US" w:eastAsia="zh-CN"/>
          <w14:textFill>
            <w14:solidFill>
              <w14:schemeClr w14:val="tx1"/>
            </w14:solidFill>
          </w14:textFill>
        </w:rPr>
        <w:t>4</w:t>
      </w:r>
      <w:r>
        <w:rPr>
          <w:rFonts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lang w:val="en-US" w:eastAsia="zh-CN"/>
          <w14:textFill>
            <w14:solidFill>
              <w14:schemeClr w14:val="tx1"/>
            </w14:solidFill>
          </w14:textFill>
        </w:rPr>
        <w:t>草104-斜51井（</w:t>
      </w:r>
      <w:r>
        <w:rPr>
          <w:rFonts w:hint="eastAsia" w:eastAsia="黑体"/>
          <w:bCs/>
          <w:snapToGrid w:val="0"/>
          <w:color w:val="000000" w:themeColor="text1"/>
          <w:kern w:val="0"/>
          <w:sz w:val="28"/>
          <w:szCs w:val="28"/>
          <w14:textFill>
            <w14:solidFill>
              <w14:schemeClr w14:val="tx1"/>
            </w14:solidFill>
          </w14:textFill>
        </w:rPr>
        <w:t>防砂</w:t>
      </w:r>
      <w:r>
        <w:rPr>
          <w:rFonts w:hint="eastAsia" w:eastAsia="黑体"/>
          <w:bCs/>
          <w:snapToGrid w:val="0"/>
          <w:color w:val="000000" w:themeColor="text1"/>
          <w:kern w:val="0"/>
          <w:sz w:val="28"/>
          <w:szCs w:val="28"/>
          <w:lang w:val="en-US" w:eastAsia="zh-CN"/>
          <w14:textFill>
            <w14:solidFill>
              <w14:schemeClr w14:val="tx1"/>
            </w14:solidFill>
          </w14:textFill>
        </w:rPr>
        <w:t>）</w:t>
      </w:r>
    </w:p>
    <w:p>
      <w:pPr>
        <w:pStyle w:val="218"/>
        <w:adjustRightInd w:val="0"/>
        <w:snapToGrid w:val="0"/>
        <w:spacing w:after="0" w:line="360" w:lineRule="auto"/>
        <w:ind w:firstLine="560" w:firstLineChars="200"/>
        <w:rPr>
          <w:rFonts w:hint="eastAsia"/>
          <w:b/>
          <w:bCs w:val="0"/>
          <w:sz w:val="28"/>
          <w:szCs w:val="28"/>
        </w:rPr>
      </w:pPr>
      <w:r>
        <w:rPr>
          <w:rFonts w:hint="eastAsia"/>
          <w:b/>
          <w:bCs w:val="0"/>
          <w:sz w:val="28"/>
          <w:szCs w:val="28"/>
        </w:rPr>
        <w:t>1</w:t>
      </w:r>
      <w:r>
        <w:rPr>
          <w:b/>
          <w:bCs w:val="0"/>
          <w:sz w:val="28"/>
          <w:szCs w:val="28"/>
        </w:rPr>
        <w:t>.</w:t>
      </w:r>
      <w:r>
        <w:rPr>
          <w:rFonts w:hint="eastAsia" w:ascii="宋体" w:hAnsi="宋体" w:eastAsia="宋体" w:cs="宋体"/>
          <w:b/>
          <w:bCs w:val="0"/>
          <w:snapToGrid w:val="0"/>
          <w:kern w:val="0"/>
          <w:sz w:val="28"/>
          <w:szCs w:val="28"/>
          <w:lang w:val="en-US" w:eastAsia="zh-CN"/>
        </w:rPr>
        <w:t>施工</w:t>
      </w:r>
      <w:r>
        <w:rPr>
          <w:rFonts w:hint="eastAsia" w:ascii="宋体" w:hAnsi="宋体" w:eastAsia="宋体" w:cs="宋体"/>
          <w:b/>
          <w:bCs w:val="0"/>
          <w:snapToGrid w:val="0"/>
          <w:kern w:val="0"/>
          <w:sz w:val="28"/>
          <w:szCs w:val="28"/>
        </w:rPr>
        <w:t>情况</w:t>
      </w:r>
      <w:r>
        <w:rPr>
          <w:rFonts w:hint="eastAsia" w:ascii="宋体" w:hAnsi="宋体" w:eastAsia="宋体" w:cs="宋体"/>
          <w:b/>
          <w:bCs w:val="0"/>
          <w:snapToGrid w:val="0"/>
          <w:kern w:val="0"/>
          <w:sz w:val="28"/>
          <w:szCs w:val="28"/>
          <w:lang w:val="en-US" w:eastAsia="zh-CN"/>
        </w:rPr>
        <w:t>简介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560" w:firstLineChars="200"/>
        <w:jc w:val="left"/>
        <w:textAlignment w:val="auto"/>
        <w:rPr>
          <w:rFonts w:hint="default" w:ascii="宋体" w:hAnsi="Times New Roman" w:cs="Times New Roman"/>
          <w:b/>
          <w:sz w:val="28"/>
          <w:szCs w:val="28"/>
        </w:rPr>
      </w:pPr>
      <w:r>
        <w:rPr>
          <w:rFonts w:hint="default" w:ascii="宋体" w:hAnsi="Times New Roman" w:cs="Times New Roman"/>
          <w:b/>
          <w:sz w:val="28"/>
          <w:szCs w:val="28"/>
        </w:rPr>
        <w:t>2</w:t>
      </w:r>
      <w:r>
        <w:rPr>
          <w:rFonts w:hint="default" w:ascii="Times New Roman" w:hAnsi="Times New Roman" w:cs="Times New Roman"/>
          <w:b/>
          <w:sz w:val="28"/>
          <w:szCs w:val="28"/>
        </w:rPr>
        <w:t>.</w:t>
      </w:r>
      <w:r>
        <w:rPr>
          <w:rFonts w:hint="default" w:ascii="宋体" w:hAnsi="Times New Roman" w:cs="Times New Roman"/>
          <w:b/>
          <w:sz w:val="28"/>
          <w:szCs w:val="28"/>
        </w:rPr>
        <w:t>安全检查表评价</w:t>
      </w:r>
    </w:p>
    <w:p>
      <w:pPr>
        <w:pStyle w:val="50"/>
        <w:keepNext w:val="0"/>
        <w:keepLines w:val="0"/>
        <w:pageBreakBefore w:val="0"/>
        <w:widowControl w:val="0"/>
        <w:kinsoku/>
        <w:wordWrap/>
        <w:overflowPunct/>
        <w:topLinePunct w:val="0"/>
        <w:autoSpaceDE/>
        <w:autoSpaceDN/>
        <w:bidi w:val="0"/>
        <w:adjustRightInd w:val="0"/>
        <w:snapToGrid w:val="0"/>
        <w:spacing w:after="0" w:line="360" w:lineRule="auto"/>
        <w:ind w:firstLine="584" w:firstLineChars="200"/>
        <w:textAlignment w:val="auto"/>
        <w:rPr>
          <w:rFonts w:hint="eastAsia" w:ascii="Times New Roman" w:hAnsi="Times New Roman"/>
          <w:spacing w:val="6"/>
          <w:w w:val="100"/>
        </w:rPr>
      </w:pPr>
      <w:r>
        <w:rPr>
          <w:rFonts w:hint="default" w:ascii="Times New Roman" w:hAnsi="Times New Roman" w:eastAsia="宋体" w:cs="Times New Roman"/>
          <w:spacing w:val="6"/>
          <w:w w:val="100"/>
          <w:kern w:val="2"/>
          <w:sz w:val="28"/>
          <w:szCs w:val="28"/>
          <w:lang w:val="en-US" w:eastAsia="zh-CN" w:bidi="ar-SA"/>
        </w:rPr>
        <w:t>本节根据《石油天然气钻井、开发、储运防火防爆安全生产技术规程》（SY/T5225-2019）、《井下作业安全规程》（SY/T5727-2020）、《加固井壁和人工井壁防砂工艺作法》（SY/T 5338-2021）等标准，对本项目生产单元进行安全评价，具体评价过程见表。</w:t>
      </w:r>
    </w:p>
    <w:p>
      <w:pPr>
        <w:widowControl w:val="0"/>
        <w:overflowPunct w:val="0"/>
        <w:topLinePunct/>
        <w:adjustRightInd w:val="0"/>
        <w:snapToGrid w:val="0"/>
        <w:spacing w:beforeLines="0" w:afterLines="0"/>
        <w:ind w:firstLine="0" w:firstLineChars="0"/>
        <w:jc w:val="center"/>
        <w:rPr>
          <w:rFonts w:hint="default" w:ascii="宋体" w:hAnsi="Times New Roman" w:eastAsia="宋体" w:cs="Times New Roman"/>
          <w:b/>
          <w:kern w:val="2"/>
          <w:sz w:val="21"/>
          <w:szCs w:val="21"/>
          <w:lang w:val="en-US" w:eastAsia="zh-CN" w:bidi="ar-SA"/>
        </w:rPr>
      </w:pPr>
      <w:r>
        <w:rPr>
          <w:rFonts w:hint="default" w:ascii="宋体" w:hAnsi="Times New Roman" w:eastAsia="宋体" w:cs="Times New Roman"/>
          <w:b/>
          <w:kern w:val="2"/>
          <w:sz w:val="21"/>
          <w:szCs w:val="21"/>
          <w:lang w:val="en-US" w:eastAsia="zh-CN" w:bidi="ar-SA"/>
        </w:rPr>
        <w:t>表</w:t>
      </w:r>
      <w:r>
        <w:rPr>
          <w:rFonts w:hint="default" w:ascii="Times New Roman" w:hAnsi="Times New Roman" w:eastAsia="宋体" w:cs="Times New Roman"/>
          <w:b/>
          <w:kern w:val="2"/>
          <w:sz w:val="21"/>
          <w:szCs w:val="21"/>
          <w:lang w:val="en-US" w:eastAsia="zh-CN" w:bidi="ar-SA"/>
        </w:rPr>
        <w:t>5-</w:t>
      </w:r>
      <w:r>
        <w:rPr>
          <w:rFonts w:hint="eastAsia" w:ascii="Times New Roman" w:hAnsi="Times New Roman" w:cs="Times New Roman"/>
          <w:b/>
          <w:kern w:val="2"/>
          <w:sz w:val="21"/>
          <w:szCs w:val="21"/>
          <w:lang w:val="en-US" w:eastAsia="zh-CN" w:bidi="ar-SA"/>
        </w:rPr>
        <w:t>5</w:t>
      </w:r>
      <w:r>
        <w:rPr>
          <w:rFonts w:hint="default" w:ascii="宋体" w:hAnsi="Times New Roman" w:eastAsia="宋体" w:cs="Times New Roman"/>
          <w:b/>
          <w:kern w:val="2"/>
          <w:sz w:val="21"/>
          <w:szCs w:val="21"/>
          <w:lang w:val="en-US" w:eastAsia="zh-CN" w:bidi="ar-SA"/>
        </w:rPr>
        <w:t xml:space="preserve"> 生产单元安全检查表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560" w:firstLineChars="200"/>
        <w:textAlignment w:val="auto"/>
        <w:rPr>
          <w:rFonts w:hint="default" w:eastAsia="宋体"/>
          <w:color w:val="000000"/>
          <w:sz w:val="28"/>
          <w:szCs w:val="28"/>
        </w:rPr>
      </w:pPr>
      <w:r>
        <w:rPr>
          <w:rFonts w:hint="default" w:ascii="宋体" w:eastAsia="宋体"/>
          <w:color w:val="000000"/>
          <w:sz w:val="28"/>
          <w:szCs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宋体"/>
        </w:rPr>
      </w:pPr>
      <w:r>
        <w:rPr>
          <w:rFonts w:hint="default" w:ascii="Times New Roman" w:hAnsi="Times New Roman" w:eastAsia="宋体"/>
          <w:color w:val="000000"/>
          <w:sz w:val="28"/>
          <w:szCs w:val="28"/>
        </w:rPr>
        <w:t>安全检查表共设</w:t>
      </w:r>
      <w:r>
        <w:rPr>
          <w:rFonts w:hint="eastAsia" w:eastAsia="宋体"/>
          <w:color w:val="000000"/>
          <w:sz w:val="28"/>
          <w:szCs w:val="28"/>
          <w:lang w:val="en-US" w:eastAsia="zh-CN"/>
        </w:rPr>
        <w:t>2</w:t>
      </w:r>
      <w:r>
        <w:rPr>
          <w:rFonts w:hint="eastAsia"/>
          <w:color w:val="000000"/>
          <w:sz w:val="28"/>
          <w:szCs w:val="28"/>
          <w:lang w:val="en-US" w:eastAsia="zh-CN"/>
        </w:rPr>
        <w:t>1</w:t>
      </w:r>
      <w:r>
        <w:rPr>
          <w:rFonts w:hint="default" w:ascii="Times New Roman" w:hAnsi="Times New Roman" w:eastAsia="宋体"/>
          <w:color w:val="000000"/>
          <w:sz w:val="28"/>
          <w:szCs w:val="28"/>
        </w:rPr>
        <w:t>项检查内容，</w:t>
      </w:r>
      <w:r>
        <w:rPr>
          <w:rFonts w:hint="eastAsia"/>
          <w:color w:val="000000"/>
          <w:sz w:val="28"/>
          <w:szCs w:val="28"/>
          <w:lang w:val="en-US" w:eastAsia="zh-CN"/>
        </w:rPr>
        <w:t>21</w:t>
      </w:r>
      <w:r>
        <w:rPr>
          <w:rFonts w:hint="default" w:ascii="Times New Roman" w:hAnsi="Times New Roman" w:eastAsia="宋体"/>
          <w:color w:val="000000"/>
          <w:sz w:val="28"/>
          <w:szCs w:val="28"/>
        </w:rPr>
        <w:t>项符合要求，</w:t>
      </w:r>
      <w:r>
        <w:rPr>
          <w:rFonts w:hint="eastAsia" w:eastAsia="宋体"/>
          <w:color w:val="000000"/>
          <w:sz w:val="28"/>
          <w:szCs w:val="28"/>
          <w:lang w:val="en-US" w:eastAsia="zh-CN"/>
        </w:rPr>
        <w:t>无</w:t>
      </w:r>
      <w:r>
        <w:rPr>
          <w:rFonts w:hint="default" w:ascii="Times New Roman" w:hAnsi="Times New Roman" w:eastAsia="宋体"/>
          <w:color w:val="000000"/>
          <w:sz w:val="28"/>
          <w:szCs w:val="28"/>
        </w:rPr>
        <w:t>不符合</w:t>
      </w:r>
      <w:r>
        <w:rPr>
          <w:rFonts w:hint="eastAsia" w:eastAsia="宋体"/>
          <w:color w:val="000000"/>
          <w:sz w:val="28"/>
          <w:szCs w:val="28"/>
          <w:lang w:val="en-US" w:eastAsia="zh-CN"/>
        </w:rPr>
        <w:t>项。</w:t>
      </w:r>
    </w:p>
    <w:p>
      <w:pPr>
        <w:keepNext w:val="0"/>
        <w:keepLines w:val="0"/>
        <w:pageBreakBefore w:val="0"/>
        <w:widowControl w:val="0"/>
        <w:kinsoku/>
        <w:wordWrap/>
        <w:overflowPunct/>
        <w:topLinePunct w:val="0"/>
        <w:autoSpaceDE/>
        <w:autoSpaceDN/>
        <w:bidi w:val="0"/>
        <w:adjustRightInd w:val="0"/>
        <w:snapToGrid w:val="0"/>
        <w:spacing w:afterLines="0" w:line="360" w:lineRule="auto"/>
        <w:textAlignment w:val="auto"/>
        <w:outlineLvl w:val="2"/>
        <w:rPr>
          <w:rFonts w:hint="eastAsia" w:eastAsia="黑体"/>
          <w:snapToGrid w:val="0"/>
          <w:color w:val="auto"/>
          <w:kern w:val="0"/>
          <w:sz w:val="28"/>
          <w:szCs w:val="28"/>
        </w:rPr>
      </w:pPr>
      <w:r>
        <w:rPr>
          <w:rFonts w:hint="eastAsia" w:eastAsia="黑体"/>
          <w:snapToGrid w:val="0"/>
          <w:color w:val="auto"/>
          <w:kern w:val="0"/>
          <w:sz w:val="28"/>
          <w:szCs w:val="28"/>
        </w:rPr>
        <w:t>5.1.</w:t>
      </w:r>
      <w:r>
        <w:rPr>
          <w:rFonts w:hint="eastAsia" w:eastAsia="黑体"/>
          <w:snapToGrid w:val="0"/>
          <w:color w:val="auto"/>
          <w:kern w:val="0"/>
          <w:sz w:val="28"/>
          <w:szCs w:val="28"/>
          <w:lang w:val="en-US" w:eastAsia="zh-CN"/>
        </w:rPr>
        <w:t>5</w:t>
      </w:r>
      <w:r>
        <w:rPr>
          <w:rFonts w:hint="eastAsia" w:eastAsia="黑体"/>
          <w:snapToGrid w:val="0"/>
          <w:color w:val="auto"/>
          <w:kern w:val="0"/>
          <w:sz w:val="28"/>
          <w:szCs w:val="28"/>
        </w:rPr>
        <w:t xml:space="preserve"> 草128-平30井</w:t>
      </w:r>
      <w:r>
        <w:rPr>
          <w:rFonts w:hint="eastAsia" w:eastAsia="黑体"/>
          <w:snapToGrid w:val="0"/>
          <w:color w:val="auto"/>
          <w:kern w:val="0"/>
          <w:sz w:val="28"/>
          <w:szCs w:val="28"/>
          <w:lang w:eastAsia="zh-CN"/>
        </w:rPr>
        <w:t>（</w:t>
      </w:r>
      <w:r>
        <w:rPr>
          <w:rFonts w:hint="eastAsia" w:eastAsia="黑体"/>
          <w:snapToGrid w:val="0"/>
          <w:color w:val="auto"/>
          <w:kern w:val="0"/>
          <w:sz w:val="28"/>
          <w:szCs w:val="28"/>
        </w:rPr>
        <w:t>堵水调剖</w:t>
      </w:r>
      <w:r>
        <w:rPr>
          <w:rFonts w:hint="eastAsia" w:eastAsia="黑体"/>
          <w:snapToGrid w:val="0"/>
          <w:color w:val="auto"/>
          <w:kern w:val="0"/>
          <w:sz w:val="28"/>
          <w:szCs w:val="28"/>
          <w:lang w:eastAsia="zh-CN"/>
        </w:rPr>
        <w:t>）</w:t>
      </w:r>
    </w:p>
    <w:p>
      <w:pPr>
        <w:pStyle w:val="218"/>
        <w:adjustRightInd w:val="0"/>
        <w:snapToGrid w:val="0"/>
        <w:spacing w:beforeLines="0" w:after="0" w:afterLines="0" w:line="360" w:lineRule="auto"/>
        <w:ind w:firstLine="560" w:firstLineChars="200"/>
        <w:rPr>
          <w:rFonts w:hint="default" w:ascii="宋体"/>
          <w:b/>
          <w:sz w:val="28"/>
          <w:szCs w:val="28"/>
        </w:rPr>
      </w:pPr>
      <w:r>
        <w:rPr>
          <w:rFonts w:hint="default" w:ascii="宋体"/>
          <w:b/>
          <w:sz w:val="28"/>
          <w:szCs w:val="28"/>
        </w:rPr>
        <w:t>1</w:t>
      </w:r>
      <w:r>
        <w:rPr>
          <w:rFonts w:hint="default"/>
          <w:b/>
          <w:sz w:val="28"/>
          <w:szCs w:val="28"/>
        </w:rPr>
        <w:t>.</w:t>
      </w:r>
      <w:r>
        <w:rPr>
          <w:rFonts w:hint="default" w:ascii="宋体" w:hAnsi="宋体" w:cs="宋体"/>
          <w:b/>
          <w:snapToGrid w:val="0"/>
          <w:kern w:val="0"/>
          <w:sz w:val="28"/>
          <w:szCs w:val="28"/>
        </w:rPr>
        <w:t>施工情况简介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117" w:name="_Toc446488251"/>
      <w:bookmarkStart w:id="118" w:name="_Toc281310750"/>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宋体" w:hAnsi="宋体" w:eastAsia="宋体" w:cs="宋体"/>
          <w:b/>
          <w:bCs w:val="0"/>
          <w:snapToGrid w:val="0"/>
          <w:kern w:val="0"/>
          <w:sz w:val="28"/>
          <w:szCs w:val="28"/>
          <w:lang w:val="en-US" w:eastAsia="zh-CN"/>
        </w:rPr>
      </w:pPr>
      <w:r>
        <w:rPr>
          <w:rFonts w:hint="eastAsia" w:ascii="宋体" w:hAnsi="宋体" w:cs="宋体"/>
          <w:b/>
          <w:bCs w:val="0"/>
          <w:snapToGrid w:val="0"/>
          <w:kern w:val="0"/>
          <w:sz w:val="28"/>
          <w:szCs w:val="28"/>
          <w:lang w:val="en-US" w:eastAsia="zh-CN"/>
        </w:rPr>
        <w:t>2、安全检查表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color w:val="000000" w:themeColor="text1"/>
          <w:sz w:val="28"/>
          <w14:textFill>
            <w14:solidFill>
              <w14:schemeClr w14:val="tx1"/>
            </w14:solidFill>
          </w14:textFill>
        </w:rPr>
      </w:pPr>
      <w:r>
        <w:rPr>
          <w:color w:val="000000" w:themeColor="text1"/>
          <w:sz w:val="28"/>
          <w14:textFill>
            <w14:solidFill>
              <w14:schemeClr w14:val="tx1"/>
            </w14:solidFill>
          </w14:textFill>
        </w:rPr>
        <w:t>本节根据《井下作业安全规程》（SY/T5727-2020）、《石油天然气钻井、开发、储运防火防爆安全生产技术规程》（SY/T5225-2019）、《</w:t>
      </w:r>
      <w:r>
        <w:rPr>
          <w:rFonts w:hint="eastAsia"/>
          <w:color w:val="000000" w:themeColor="text1"/>
          <w:sz w:val="28"/>
          <w14:textFill>
            <w14:solidFill>
              <w14:schemeClr w14:val="tx1"/>
            </w14:solidFill>
          </w14:textFill>
        </w:rPr>
        <w:t>油井堵水作业方法 水玻璃-氯化钙堵水及调剖工艺作法</w:t>
      </w:r>
      <w:r>
        <w:rPr>
          <w:color w:val="000000" w:themeColor="text1"/>
          <w:sz w:val="28"/>
          <w14:textFill>
            <w14:solidFill>
              <w14:schemeClr w14:val="tx1"/>
            </w14:solidFill>
          </w14:textFill>
        </w:rPr>
        <w:t>》（SY/T5923-2012）等标准，对本项目生产单元进行安全评价，具体评价过程见表5-</w:t>
      </w:r>
      <w:r>
        <w:rPr>
          <w:rFonts w:hint="eastAsia"/>
          <w:color w:val="000000" w:themeColor="text1"/>
          <w:sz w:val="28"/>
          <w:lang w:val="en-US" w:eastAsia="zh-CN"/>
          <w14:textFill>
            <w14:solidFill>
              <w14:schemeClr w14:val="tx1"/>
            </w14:solidFill>
          </w14:textFill>
        </w:rPr>
        <w:t>7</w:t>
      </w:r>
      <w:r>
        <w:rPr>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4"/>
          <w:szCs w:val="28"/>
          <w14:textFill>
            <w14:solidFill>
              <w14:schemeClr w14:val="tx1"/>
            </w14:solidFill>
          </w14:textFill>
        </w:rPr>
      </w:pPr>
      <w:r>
        <w:rPr>
          <w:b/>
          <w:color w:val="000000" w:themeColor="text1"/>
          <w:sz w:val="24"/>
          <w:szCs w:val="28"/>
          <w14:textFill>
            <w14:solidFill>
              <w14:schemeClr w14:val="tx1"/>
            </w14:solidFill>
          </w14:textFill>
        </w:rPr>
        <w:t>表5-</w:t>
      </w:r>
      <w:r>
        <w:rPr>
          <w:rFonts w:hint="eastAsia"/>
          <w:b/>
          <w:color w:val="000000" w:themeColor="text1"/>
          <w:sz w:val="24"/>
          <w:szCs w:val="28"/>
          <w:lang w:val="en-US" w:eastAsia="zh-CN"/>
          <w14:textFill>
            <w14:solidFill>
              <w14:schemeClr w14:val="tx1"/>
            </w14:solidFill>
          </w14:textFill>
        </w:rPr>
        <w:t>7</w:t>
      </w:r>
      <w:r>
        <w:rPr>
          <w:b/>
          <w:color w:val="000000" w:themeColor="text1"/>
          <w:sz w:val="24"/>
          <w:szCs w:val="28"/>
          <w14:textFill>
            <w14:solidFill>
              <w14:schemeClr w14:val="tx1"/>
            </w14:solidFill>
          </w14:textFill>
        </w:rPr>
        <w:t xml:space="preserve">  生产单元安全检查表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560" w:firstLineChars="200"/>
        <w:textAlignment w:val="auto"/>
        <w:rPr>
          <w:rFonts w:hint="default"/>
          <w:color w:val="000000"/>
          <w:sz w:val="28"/>
          <w:szCs w:val="28"/>
        </w:rPr>
      </w:pPr>
      <w:r>
        <w:rPr>
          <w:rFonts w:hint="default" w:ascii="宋体"/>
          <w:color w:val="000000"/>
          <w:sz w:val="28"/>
          <w:szCs w:val="28"/>
        </w:rPr>
        <w:t>评价小结：</w:t>
      </w:r>
    </w:p>
    <w:p>
      <w:pPr>
        <w:adjustRightInd w:val="0"/>
        <w:snapToGrid w:val="0"/>
        <w:spacing w:beforeLines="0" w:afterLines="0" w:line="360" w:lineRule="auto"/>
        <w:ind w:firstLine="560" w:firstLineChars="200"/>
        <w:rPr>
          <w:rFonts w:hint="default"/>
          <w:sz w:val="28"/>
          <w:szCs w:val="28"/>
          <w:lang w:val="en-US" w:eastAsia="zh-CN"/>
        </w:rPr>
      </w:pPr>
      <w:r>
        <w:rPr>
          <w:rFonts w:hint="default" w:ascii="宋体"/>
          <w:color w:val="000000"/>
          <w:sz w:val="28"/>
          <w:szCs w:val="28"/>
        </w:rPr>
        <w:t>安全</w:t>
      </w:r>
      <w:r>
        <w:rPr>
          <w:rFonts w:hint="default"/>
          <w:sz w:val="28"/>
          <w:szCs w:val="28"/>
          <w:lang w:val="en-US" w:eastAsia="zh-CN"/>
        </w:rPr>
        <w:t>检查表共设</w:t>
      </w:r>
      <w:r>
        <w:rPr>
          <w:rFonts w:hint="eastAsia"/>
          <w:sz w:val="28"/>
          <w:szCs w:val="28"/>
          <w:lang w:val="en-US" w:eastAsia="zh-CN"/>
        </w:rPr>
        <w:t>33</w:t>
      </w:r>
      <w:r>
        <w:rPr>
          <w:rFonts w:hint="default"/>
          <w:sz w:val="28"/>
          <w:szCs w:val="28"/>
          <w:lang w:val="en-US" w:eastAsia="zh-CN"/>
        </w:rPr>
        <w:t>项检查内容，</w:t>
      </w:r>
      <w:r>
        <w:rPr>
          <w:rFonts w:hint="eastAsia"/>
          <w:sz w:val="28"/>
          <w:szCs w:val="28"/>
          <w:lang w:val="en-US" w:eastAsia="zh-CN"/>
        </w:rPr>
        <w:t>31</w:t>
      </w:r>
      <w:r>
        <w:rPr>
          <w:rFonts w:hint="default"/>
          <w:sz w:val="28"/>
          <w:szCs w:val="28"/>
          <w:lang w:val="en-US" w:eastAsia="zh-CN"/>
        </w:rPr>
        <w:t>项符合要求，</w:t>
      </w:r>
      <w:r>
        <w:rPr>
          <w:rFonts w:hint="eastAsia"/>
          <w:sz w:val="28"/>
          <w:szCs w:val="28"/>
          <w:lang w:val="en-US" w:eastAsia="zh-CN"/>
        </w:rPr>
        <w:t>2</w:t>
      </w:r>
      <w:r>
        <w:rPr>
          <w:rFonts w:hint="default"/>
          <w:sz w:val="28"/>
          <w:szCs w:val="28"/>
          <w:lang w:val="en-US" w:eastAsia="zh-CN"/>
        </w:rPr>
        <w:t>项不符合：</w:t>
      </w:r>
    </w:p>
    <w:p>
      <w:pPr>
        <w:adjustRightInd w:val="0"/>
        <w:snapToGrid w:val="0"/>
        <w:spacing w:beforeLines="0" w:afterLines="0" w:line="360" w:lineRule="auto"/>
        <w:ind w:firstLine="560" w:firstLineChars="200"/>
        <w:rPr>
          <w:rFonts w:hint="eastAsia"/>
          <w:sz w:val="28"/>
          <w:szCs w:val="28"/>
          <w:lang w:val="en-US" w:eastAsia="zh-CN"/>
        </w:rPr>
      </w:pPr>
      <w:bookmarkStart w:id="119" w:name="_Hlk535847503"/>
      <w:r>
        <w:rPr>
          <w:rFonts w:hint="eastAsia"/>
          <w:sz w:val="28"/>
          <w:szCs w:val="28"/>
          <w:lang w:val="en-US" w:eastAsia="zh-CN"/>
        </w:rPr>
        <w:t>1.草128-平30</w:t>
      </w:r>
      <w:r>
        <w:rPr>
          <w:rFonts w:hint="default"/>
          <w:sz w:val="28"/>
          <w:szCs w:val="28"/>
          <w:lang w:val="en-US" w:eastAsia="zh-CN"/>
        </w:rPr>
        <w:t>井场</w:t>
      </w:r>
      <w:r>
        <w:rPr>
          <w:rFonts w:hint="eastAsia"/>
          <w:sz w:val="28"/>
          <w:szCs w:val="28"/>
          <w:lang w:val="en-US" w:eastAsia="zh-CN"/>
        </w:rPr>
        <w:t>堵水调剖现场警戒线掉落</w:t>
      </w:r>
    </w:p>
    <w:p>
      <w:pPr>
        <w:adjustRightInd w:val="0"/>
        <w:snapToGrid w:val="0"/>
        <w:spacing w:beforeLines="0" w:afterLines="0" w:line="360" w:lineRule="auto"/>
        <w:ind w:firstLine="560" w:firstLineChars="200"/>
        <w:rPr>
          <w:rFonts w:hint="eastAsia"/>
          <w:sz w:val="28"/>
          <w:szCs w:val="28"/>
          <w:lang w:val="en-US" w:eastAsia="zh-CN"/>
        </w:rPr>
      </w:pPr>
      <w:r>
        <w:rPr>
          <w:rFonts w:hint="eastAsia"/>
          <w:sz w:val="28"/>
          <w:szCs w:val="28"/>
          <w:lang w:val="en-US" w:eastAsia="zh-CN"/>
        </w:rPr>
        <w:t>2.草128-平30</w:t>
      </w:r>
      <w:r>
        <w:rPr>
          <w:rFonts w:hint="default"/>
          <w:sz w:val="28"/>
          <w:szCs w:val="28"/>
          <w:lang w:val="en-US" w:eastAsia="zh-CN"/>
        </w:rPr>
        <w:t>井场值班房电缆架空敷设，对地距离不足2.5m。</w:t>
      </w:r>
    </w:p>
    <w:bookmarkEnd w:id="119"/>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eastAsia" w:eastAsia="黑体"/>
          <w:bCs/>
          <w:snapToGrid w:val="0"/>
          <w:color w:val="auto"/>
          <w:kern w:val="0"/>
          <w:sz w:val="28"/>
          <w:szCs w:val="28"/>
          <w:lang w:val="en-US" w:eastAsia="zh-CN"/>
        </w:rPr>
      </w:pPr>
      <w:r>
        <w:rPr>
          <w:rFonts w:hint="eastAsia" w:eastAsia="黑体"/>
          <w:bCs/>
          <w:snapToGrid w:val="0"/>
          <w:color w:val="auto"/>
          <w:kern w:val="0"/>
          <w:sz w:val="28"/>
          <w:szCs w:val="28"/>
          <w:lang w:val="en-US" w:eastAsia="zh-CN"/>
        </w:rPr>
        <w:t>5.1.6 其他作业类型（套管补贴、堵漏）</w:t>
      </w:r>
    </w:p>
    <w:p>
      <w:pPr>
        <w:pStyle w:val="218"/>
        <w:adjustRightInd w:val="0"/>
        <w:snapToGrid w:val="0"/>
        <w:spacing w:after="0" w:line="360" w:lineRule="auto"/>
        <w:ind w:firstLine="560" w:firstLineChars="200"/>
        <w:rPr>
          <w:rFonts w:hint="default"/>
          <w:b/>
          <w:bCs w:val="0"/>
          <w:sz w:val="28"/>
          <w:szCs w:val="28"/>
          <w:lang w:val="en-US" w:eastAsia="zh-CN"/>
        </w:rPr>
      </w:pPr>
      <w:r>
        <w:rPr>
          <w:rFonts w:hint="eastAsia"/>
          <w:b/>
          <w:bCs w:val="0"/>
          <w:sz w:val="28"/>
          <w:szCs w:val="28"/>
        </w:rPr>
        <w:t>1.</w:t>
      </w:r>
      <w:r>
        <w:rPr>
          <w:rFonts w:hint="eastAsia"/>
          <w:b/>
          <w:bCs w:val="0"/>
          <w:sz w:val="28"/>
          <w:szCs w:val="28"/>
          <w:lang w:val="en-US" w:eastAsia="zh-CN"/>
        </w:rPr>
        <w:t>套管补贴、堵漏人员情况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218"/>
        <w:adjustRightInd w:val="0"/>
        <w:snapToGrid w:val="0"/>
        <w:spacing w:after="0" w:line="360" w:lineRule="auto"/>
        <w:ind w:firstLine="560" w:firstLineChars="200"/>
        <w:rPr>
          <w:rFonts w:hint="default"/>
          <w:b/>
          <w:bCs w:val="0"/>
          <w:sz w:val="28"/>
          <w:szCs w:val="28"/>
          <w:lang w:val="en-US" w:eastAsia="zh-CN"/>
        </w:rPr>
      </w:pPr>
      <w:r>
        <w:rPr>
          <w:rFonts w:hint="eastAsia"/>
          <w:b/>
          <w:bCs w:val="0"/>
          <w:sz w:val="28"/>
          <w:szCs w:val="28"/>
          <w:lang w:val="en-US" w:eastAsia="zh-CN"/>
        </w:rPr>
        <w:t>2</w:t>
      </w:r>
      <w:r>
        <w:rPr>
          <w:rFonts w:hint="eastAsia"/>
          <w:b/>
          <w:bCs w:val="0"/>
          <w:sz w:val="28"/>
          <w:szCs w:val="28"/>
        </w:rPr>
        <w:t>.</w:t>
      </w:r>
      <w:r>
        <w:rPr>
          <w:rFonts w:hint="eastAsia"/>
          <w:b/>
          <w:bCs w:val="0"/>
          <w:sz w:val="28"/>
          <w:szCs w:val="28"/>
          <w:lang w:val="en-US" w:eastAsia="zh-CN"/>
        </w:rPr>
        <w:t>套管补贴、堵漏设备情况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pStyle w:val="218"/>
        <w:adjustRightInd w:val="0"/>
        <w:snapToGrid w:val="0"/>
        <w:spacing w:after="0" w:line="360" w:lineRule="auto"/>
        <w:ind w:firstLine="560" w:firstLineChars="200"/>
        <w:rPr>
          <w:rFonts w:hint="default"/>
          <w:b/>
          <w:bCs w:val="0"/>
          <w:sz w:val="28"/>
          <w:szCs w:val="28"/>
          <w:lang w:val="en-US" w:eastAsia="zh-CN"/>
        </w:rPr>
      </w:pPr>
      <w:r>
        <w:rPr>
          <w:rFonts w:hint="eastAsia"/>
          <w:b/>
          <w:bCs w:val="0"/>
          <w:sz w:val="28"/>
          <w:szCs w:val="28"/>
          <w:lang w:val="en-US" w:eastAsia="zh-CN"/>
        </w:rPr>
        <w:t>3.安全检查表（套管补贴、堵漏）</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14:textFill>
            <w14:solidFill>
              <w14:schemeClr w14:val="tx1"/>
            </w14:solidFill>
          </w14:textFill>
        </w:rPr>
      </w:pPr>
      <w:r>
        <w:rPr>
          <w:color w:val="000000" w:themeColor="text1"/>
          <w:sz w:val="28"/>
          <w14:textFill>
            <w14:solidFill>
              <w14:schemeClr w14:val="tx1"/>
            </w14:solidFill>
          </w14:textFill>
        </w:rPr>
        <w:t>本节根据《井下作业安全规程》（SY/T5727-2020）、《石油天然气钻井、开发、储运防火防爆安全生产技术规程》（SY/T5225-2019）、</w:t>
      </w:r>
      <w:r>
        <w:rPr>
          <w:rFonts w:hint="eastAsia"/>
          <w:lang w:eastAsia="zh-CN"/>
        </w:rPr>
        <w:t>《</w:t>
      </w:r>
      <w:r>
        <w:rPr>
          <w:rFonts w:hint="eastAsia"/>
        </w:rPr>
        <w:t>套管补贴工艺作法</w:t>
      </w:r>
      <w:r>
        <w:rPr>
          <w:rFonts w:hint="eastAsia"/>
          <w:lang w:eastAsia="zh-CN"/>
        </w:rPr>
        <w:t>》（SY/T5846-2020）、《</w:t>
      </w:r>
      <w:r>
        <w:rPr>
          <w:rFonts w:hint="eastAsia"/>
          <w:lang w:val="en-US" w:eastAsia="zh-CN"/>
        </w:rPr>
        <w:t>常规修井作业规程 第14部分：注塞、钻塞</w:t>
      </w:r>
      <w:r>
        <w:rPr>
          <w:rFonts w:hint="eastAsia"/>
          <w:lang w:eastAsia="zh-CN"/>
        </w:rPr>
        <w:t>》（</w:t>
      </w:r>
      <w:r>
        <w:rPr>
          <w:rFonts w:hint="eastAsia"/>
          <w:lang w:val="en-US" w:eastAsia="zh-CN"/>
        </w:rPr>
        <w:t>SY/T5587.14-2013</w:t>
      </w:r>
      <w:r>
        <w:rPr>
          <w:rFonts w:hint="eastAsia"/>
          <w:lang w:eastAsia="zh-CN"/>
        </w:rPr>
        <w:t>）</w:t>
      </w:r>
      <w:r>
        <w:rPr>
          <w:color w:val="000000" w:themeColor="text1"/>
          <w:sz w:val="28"/>
          <w14:textFill>
            <w14:solidFill>
              <w14:schemeClr w14:val="tx1"/>
            </w14:solidFill>
          </w14:textFill>
        </w:rPr>
        <w:t>等标准，对</w:t>
      </w:r>
      <w:r>
        <w:rPr>
          <w:rFonts w:hint="eastAsia"/>
          <w:color w:val="000000" w:themeColor="text1"/>
          <w:sz w:val="28"/>
          <w:lang w:val="en-US" w:eastAsia="zh-CN"/>
          <w14:textFill>
            <w14:solidFill>
              <w14:schemeClr w14:val="tx1"/>
            </w14:solidFill>
          </w14:textFill>
        </w:rPr>
        <w:t>本公司</w:t>
      </w:r>
      <w:r>
        <w:rPr>
          <w:color w:val="000000" w:themeColor="text1"/>
          <w:sz w:val="28"/>
          <w14:textFill>
            <w14:solidFill>
              <w14:schemeClr w14:val="tx1"/>
            </w14:solidFill>
          </w14:textFill>
        </w:rPr>
        <w:t>进行</w:t>
      </w:r>
      <w:r>
        <w:rPr>
          <w:rFonts w:hint="eastAsia"/>
          <w:color w:val="000000" w:themeColor="text1"/>
          <w:sz w:val="28"/>
          <w:lang w:val="en-US" w:eastAsia="zh-CN"/>
          <w14:textFill>
            <w14:solidFill>
              <w14:schemeClr w14:val="tx1"/>
            </w14:solidFill>
          </w14:textFill>
        </w:rPr>
        <w:t>套管补贴、堵漏</w:t>
      </w:r>
      <w:r>
        <w:rPr>
          <w:color w:val="000000" w:themeColor="text1"/>
          <w:sz w:val="28"/>
          <w14:textFill>
            <w14:solidFill>
              <w14:schemeClr w14:val="tx1"/>
            </w14:solidFill>
          </w14:textFill>
        </w:rPr>
        <w:t>安全评价，具体评价过程见表5-</w:t>
      </w:r>
      <w:r>
        <w:rPr>
          <w:rFonts w:hint="eastAsia"/>
          <w:color w:val="000000" w:themeColor="text1"/>
          <w:sz w:val="28"/>
          <w:lang w:val="en-US" w:eastAsia="zh-CN"/>
          <w14:textFill>
            <w14:solidFill>
              <w14:schemeClr w14:val="tx1"/>
            </w14:solidFill>
          </w14:textFill>
        </w:rPr>
        <w:t>8</w:t>
      </w:r>
      <w:r>
        <w:rPr>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4"/>
          <w:szCs w:val="28"/>
          <w14:textFill>
            <w14:solidFill>
              <w14:schemeClr w14:val="tx1"/>
            </w14:solidFill>
          </w14:textFill>
        </w:rPr>
      </w:pPr>
      <w:r>
        <w:rPr>
          <w:b/>
          <w:color w:val="000000" w:themeColor="text1"/>
          <w:sz w:val="24"/>
          <w:szCs w:val="28"/>
          <w14:textFill>
            <w14:solidFill>
              <w14:schemeClr w14:val="tx1"/>
            </w14:solidFill>
          </w14:textFill>
        </w:rPr>
        <w:t>表5-</w:t>
      </w:r>
      <w:r>
        <w:rPr>
          <w:rFonts w:hint="eastAsia"/>
          <w:b/>
          <w:color w:val="000000" w:themeColor="text1"/>
          <w:sz w:val="24"/>
          <w:szCs w:val="28"/>
          <w:lang w:val="en-US" w:eastAsia="zh-CN"/>
          <w14:textFill>
            <w14:solidFill>
              <w14:schemeClr w14:val="tx1"/>
            </w14:solidFill>
          </w14:textFill>
        </w:rPr>
        <w:t>8</w:t>
      </w:r>
      <w:r>
        <w:rPr>
          <w:b/>
          <w:color w:val="000000" w:themeColor="text1"/>
          <w:sz w:val="24"/>
          <w:szCs w:val="28"/>
          <w14:textFill>
            <w14:solidFill>
              <w14:schemeClr w14:val="tx1"/>
            </w14:solidFill>
          </w14:textFill>
        </w:rPr>
        <w:t xml:space="preserve">  生产单元安全检查表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560" w:firstLineChars="200"/>
        <w:textAlignment w:val="auto"/>
        <w:rPr>
          <w:rFonts w:hint="default"/>
          <w:color w:val="000000"/>
          <w:sz w:val="28"/>
          <w:szCs w:val="28"/>
        </w:rPr>
      </w:pPr>
      <w:r>
        <w:rPr>
          <w:rFonts w:hint="default" w:ascii="宋体"/>
          <w:color w:val="000000"/>
          <w:sz w:val="28"/>
          <w:szCs w:val="28"/>
        </w:rPr>
        <w:t>评价小结：</w:t>
      </w:r>
    </w:p>
    <w:p>
      <w:pPr>
        <w:adjustRightInd w:val="0"/>
        <w:snapToGrid w:val="0"/>
        <w:spacing w:beforeLines="0" w:afterLines="0" w:line="360" w:lineRule="auto"/>
        <w:ind w:firstLine="560" w:firstLineChars="200"/>
        <w:rPr>
          <w:rFonts w:hint="eastAsia" w:eastAsia="宋体"/>
          <w:color w:val="000000"/>
          <w:sz w:val="28"/>
          <w:szCs w:val="28"/>
          <w:lang w:eastAsia="zh-CN"/>
        </w:rPr>
      </w:pPr>
      <w:r>
        <w:rPr>
          <w:rFonts w:hint="default" w:ascii="宋体"/>
          <w:color w:val="000000"/>
          <w:sz w:val="28"/>
          <w:szCs w:val="28"/>
        </w:rPr>
        <w:t>安全检查表共设</w:t>
      </w:r>
      <w:r>
        <w:rPr>
          <w:rFonts w:hint="default" w:ascii="Times New Roman" w:hAnsi="Times New Roman" w:cs="Times New Roman"/>
          <w:color w:val="000000"/>
          <w:sz w:val="28"/>
          <w:szCs w:val="28"/>
          <w:lang w:val="en-US" w:eastAsia="zh-CN"/>
        </w:rPr>
        <w:t>27</w:t>
      </w:r>
      <w:r>
        <w:rPr>
          <w:rFonts w:hint="default" w:ascii="宋体"/>
          <w:color w:val="000000"/>
          <w:sz w:val="28"/>
          <w:szCs w:val="28"/>
        </w:rPr>
        <w:t>项检查内容，</w:t>
      </w:r>
      <w:r>
        <w:rPr>
          <w:rFonts w:hint="eastAsia" w:ascii="宋体"/>
          <w:color w:val="000000"/>
          <w:sz w:val="28"/>
          <w:szCs w:val="28"/>
          <w:lang w:val="en-US" w:eastAsia="zh-CN"/>
        </w:rPr>
        <w:t>无</w:t>
      </w:r>
      <w:r>
        <w:rPr>
          <w:rFonts w:hint="default" w:ascii="宋体"/>
          <w:color w:val="000000"/>
          <w:sz w:val="28"/>
          <w:szCs w:val="28"/>
        </w:rPr>
        <w:t>不符合</w:t>
      </w:r>
      <w:r>
        <w:rPr>
          <w:rFonts w:hint="eastAsia" w:ascii="宋体"/>
          <w:color w:val="000000"/>
          <w:sz w:val="28"/>
          <w:szCs w:val="28"/>
          <w:lang w:val="en-US" w:eastAsia="zh-CN"/>
        </w:rPr>
        <w:t>项</w:t>
      </w:r>
      <w:r>
        <w:rPr>
          <w:rFonts w:hint="eastAsia" w:ascii="宋体"/>
          <w:color w:val="000000"/>
          <w:sz w:val="28"/>
          <w:szCs w:val="28"/>
          <w:lang w:eastAsia="zh-CN"/>
        </w:rPr>
        <w:t>。</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20" w:name="_Toc20639"/>
      <w:r>
        <w:rPr>
          <w:rFonts w:ascii="Times New Roman" w:hAnsi="Times New Roman"/>
          <w:b w:val="0"/>
          <w:bCs/>
          <w:color w:val="000000" w:themeColor="text1"/>
          <w:szCs w:val="32"/>
          <w14:textFill>
            <w14:solidFill>
              <w14:schemeClr w14:val="tx1"/>
            </w14:solidFill>
          </w14:textFill>
        </w:rPr>
        <w:t>5.2 管理单元安全检查表</w:t>
      </w:r>
      <w:bookmarkEnd w:id="117"/>
      <w:bookmarkEnd w:id="118"/>
      <w:bookmarkEnd w:id="120"/>
    </w:p>
    <w:p>
      <w:pPr>
        <w:adjustRightInd w:val="0"/>
        <w:snapToGrid w:val="0"/>
        <w:spacing w:line="360" w:lineRule="auto"/>
        <w:ind w:firstLine="560" w:firstLineChars="200"/>
        <w:rPr>
          <w:color w:val="000000" w:themeColor="text1"/>
          <w:sz w:val="28"/>
          <w14:textFill>
            <w14:solidFill>
              <w14:schemeClr w14:val="tx1"/>
            </w14:solidFill>
          </w14:textFill>
        </w:rPr>
      </w:pPr>
      <w:r>
        <w:rPr>
          <w:color w:val="000000" w:themeColor="text1"/>
          <w:sz w:val="28"/>
          <w14:textFill>
            <w14:solidFill>
              <w14:schemeClr w14:val="tx1"/>
            </w14:solidFill>
          </w14:textFill>
        </w:rPr>
        <w:t>本节根据《中华人民共和国安全生产法》（</w:t>
      </w:r>
      <w:r>
        <w:rPr>
          <w:color w:val="auto"/>
          <w:sz w:val="28"/>
          <w:szCs w:val="28"/>
        </w:rPr>
        <w:t>主席令[2021]第88号</w:t>
      </w:r>
      <w:r>
        <w:rPr>
          <w:color w:val="000000" w:themeColor="text1"/>
          <w:sz w:val="28"/>
          <w14:textFill>
            <w14:solidFill>
              <w14:schemeClr w14:val="tx1"/>
            </w14:solidFill>
          </w14:textFill>
        </w:rPr>
        <w:t>）、《石油天然气安全规程》（AQ2012-2007）、《生产安全事故应急预案管理办法》（</w:t>
      </w:r>
      <w:r>
        <w:rPr>
          <w:rFonts w:hint="eastAsia"/>
          <w:color w:val="000000" w:themeColor="text1"/>
          <w:sz w:val="28"/>
          <w:lang w:val="en-US" w:eastAsia="zh-CN"/>
          <w14:textFill>
            <w14:solidFill>
              <w14:schemeClr w14:val="tx1"/>
            </w14:solidFill>
          </w14:textFill>
        </w:rPr>
        <w:t>应急管理部</w:t>
      </w:r>
      <w:r>
        <w:rPr>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2019</w:t>
      </w:r>
      <w:r>
        <w:rPr>
          <w:color w:val="000000" w:themeColor="text1"/>
          <w:sz w:val="28"/>
          <w14:textFill>
            <w14:solidFill>
              <w14:schemeClr w14:val="tx1"/>
            </w14:solidFill>
          </w14:textFill>
        </w:rPr>
        <w:t>]第</w:t>
      </w:r>
      <w:r>
        <w:rPr>
          <w:rFonts w:hint="eastAsia"/>
          <w:color w:val="000000" w:themeColor="text1"/>
          <w:sz w:val="28"/>
          <w:lang w:val="en-US" w:eastAsia="zh-CN"/>
          <w14:textFill>
            <w14:solidFill>
              <w14:schemeClr w14:val="tx1"/>
            </w14:solidFill>
          </w14:textFill>
        </w:rPr>
        <w:t>2</w:t>
      </w:r>
      <w:r>
        <w:rPr>
          <w:color w:val="000000" w:themeColor="text1"/>
          <w:sz w:val="28"/>
          <w14:textFill>
            <w14:solidFill>
              <w14:schemeClr w14:val="tx1"/>
            </w14:solidFill>
          </w14:textFill>
        </w:rPr>
        <w:t>号</w:t>
      </w:r>
      <w:r>
        <w:rPr>
          <w:rFonts w:hint="eastAsia"/>
          <w:color w:val="000000" w:themeColor="text1"/>
          <w:sz w:val="28"/>
          <w:lang w:eastAsia="zh-CN"/>
          <w14:textFill>
            <w14:solidFill>
              <w14:schemeClr w14:val="tx1"/>
            </w14:solidFill>
          </w14:textFill>
        </w:rPr>
        <w:t>，</w:t>
      </w:r>
      <w:r>
        <w:rPr>
          <w:color w:val="000000" w:themeColor="text1"/>
          <w:sz w:val="28"/>
          <w14:textFill>
            <w14:solidFill>
              <w14:schemeClr w14:val="tx1"/>
            </w14:solidFill>
          </w14:textFill>
        </w:rPr>
        <w:t>）等法律法规，对本项目安全管理单元进行安全评价，具体评价过程见表5-</w:t>
      </w:r>
      <w:r>
        <w:rPr>
          <w:rFonts w:hint="eastAsia"/>
          <w:color w:val="000000" w:themeColor="text1"/>
          <w:sz w:val="28"/>
          <w:lang w:val="en-US" w:eastAsia="zh-CN"/>
          <w14:textFill>
            <w14:solidFill>
              <w14:schemeClr w14:val="tx1"/>
            </w14:solidFill>
          </w14:textFill>
        </w:rPr>
        <w:t>9</w:t>
      </w:r>
      <w:r>
        <w:rPr>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color w:val="000000" w:themeColor="text1"/>
          <w:sz w:val="24"/>
          <w14:textFill>
            <w14:solidFill>
              <w14:schemeClr w14:val="tx1"/>
            </w14:solidFill>
          </w14:textFill>
        </w:rPr>
      </w:pPr>
      <w:r>
        <w:rPr>
          <w:b/>
          <w:color w:val="000000" w:themeColor="text1"/>
          <w:sz w:val="24"/>
          <w14:textFill>
            <w14:solidFill>
              <w14:schemeClr w14:val="tx1"/>
            </w14:solidFill>
          </w14:textFill>
        </w:rPr>
        <w:t>表5-</w:t>
      </w:r>
      <w:r>
        <w:rPr>
          <w:rFonts w:hint="eastAsia"/>
          <w:b/>
          <w:color w:val="000000" w:themeColor="text1"/>
          <w:sz w:val="24"/>
          <w:lang w:val="en-US" w:eastAsia="zh-CN"/>
          <w14:textFill>
            <w14:solidFill>
              <w14:schemeClr w14:val="tx1"/>
            </w14:solidFill>
          </w14:textFill>
        </w:rPr>
        <w:t>9</w:t>
      </w:r>
      <w:r>
        <w:rPr>
          <w:b/>
          <w:color w:val="000000" w:themeColor="text1"/>
          <w:sz w:val="24"/>
          <w14:textFill>
            <w14:solidFill>
              <w14:schemeClr w14:val="tx1"/>
            </w14:solidFill>
          </w14:textFill>
        </w:rPr>
        <w:t xml:space="preserve">  管理单元安全检查表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000000" w:themeColor="text1"/>
          <w:sz w:val="28"/>
          <w14:textFill>
            <w14:solidFill>
              <w14:schemeClr w14:val="tx1"/>
            </w14:solidFill>
          </w14:textFill>
        </w:rPr>
      </w:pPr>
      <w:r>
        <w:rPr>
          <w:color w:val="000000" w:themeColor="text1"/>
          <w:sz w:val="28"/>
          <w14:textFill>
            <w14:solidFill>
              <w14:schemeClr w14:val="tx1"/>
            </w14:solidFill>
          </w14:textFill>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szCs w:val="28"/>
          <w14:textFill>
            <w14:solidFill>
              <w14:schemeClr w14:val="tx1"/>
            </w14:solidFill>
          </w14:textFill>
        </w:rPr>
      </w:pPr>
      <w:r>
        <w:rPr>
          <w:color w:val="000000" w:themeColor="text1"/>
          <w:sz w:val="28"/>
          <w14:textFill>
            <w14:solidFill>
              <w14:schemeClr w14:val="tx1"/>
            </w14:solidFill>
          </w14:textFill>
        </w:rPr>
        <w:t>安全检查表共列出</w:t>
      </w:r>
      <w:r>
        <w:rPr>
          <w:rFonts w:hint="eastAsia"/>
          <w:color w:val="000000" w:themeColor="text1"/>
          <w:sz w:val="28"/>
          <w:lang w:val="en-US" w:eastAsia="zh-CN"/>
          <w14:textFill>
            <w14:solidFill>
              <w14:schemeClr w14:val="tx1"/>
            </w14:solidFill>
          </w14:textFill>
        </w:rPr>
        <w:t>42</w:t>
      </w:r>
      <w:r>
        <w:rPr>
          <w:color w:val="000000" w:themeColor="text1"/>
          <w:sz w:val="28"/>
          <w14:textFill>
            <w14:solidFill>
              <w14:schemeClr w14:val="tx1"/>
            </w14:solidFill>
          </w14:textFill>
        </w:rPr>
        <w:t>项检查内容，其中</w:t>
      </w:r>
      <w:r>
        <w:rPr>
          <w:rFonts w:hint="eastAsia"/>
          <w:color w:val="000000" w:themeColor="text1"/>
          <w:sz w:val="28"/>
          <w:lang w:val="en-US" w:eastAsia="zh-CN"/>
          <w14:textFill>
            <w14:solidFill>
              <w14:schemeClr w14:val="tx1"/>
            </w14:solidFill>
          </w14:textFill>
        </w:rPr>
        <w:t>4</w:t>
      </w:r>
      <w:r>
        <w:rPr>
          <w:color w:val="000000" w:themeColor="text1"/>
          <w:sz w:val="28"/>
          <w:szCs w:val="28"/>
          <w14:textFill>
            <w14:solidFill>
              <w14:schemeClr w14:val="tx1"/>
            </w14:solidFill>
          </w14:textFill>
        </w:rPr>
        <w:t>项不符合：</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r>
        <w:rPr>
          <w:rFonts w:hint="eastAsia"/>
          <w:color w:val="000000" w:themeColor="text1"/>
          <w:sz w:val="28"/>
          <w:szCs w:val="28"/>
          <w14:textFill>
            <w14:solidFill>
              <w14:schemeClr w14:val="tx1"/>
            </w14:solidFill>
          </w14:textFill>
        </w:rPr>
        <w:t>.</w:t>
      </w:r>
      <w:r>
        <w:rPr>
          <w:rFonts w:eastAsia="宋体"/>
          <w:color w:val="000000" w:themeColor="text1"/>
          <w:sz w:val="28"/>
          <w:szCs w:val="28"/>
          <w14:textFill>
            <w14:solidFill>
              <w14:schemeClr w14:val="tx1"/>
            </w14:solidFill>
          </w14:textFill>
        </w:rPr>
        <w:t>公司安全总监荣国栋未取得安全管理人员</w:t>
      </w:r>
      <w:r>
        <w:rPr>
          <w:rFonts w:hint="eastAsia" w:eastAsia="宋体"/>
          <w:color w:val="000000" w:themeColor="text1"/>
          <w:sz w:val="28"/>
          <w:szCs w:val="28"/>
          <w14:textFill>
            <w14:solidFill>
              <w14:schemeClr w14:val="tx1"/>
            </w14:solidFill>
          </w14:textFill>
        </w:rPr>
        <w:t>合格</w:t>
      </w:r>
      <w:r>
        <w:rPr>
          <w:rFonts w:eastAsia="宋体"/>
          <w:color w:val="000000" w:themeColor="text1"/>
          <w:sz w:val="28"/>
          <w:szCs w:val="28"/>
          <w14:textFill>
            <w14:solidFill>
              <w14:schemeClr w14:val="tx1"/>
            </w14:solidFill>
          </w14:textFill>
        </w:rPr>
        <w:t>证。</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w:t>
      </w:r>
      <w:r>
        <w:rPr>
          <w:rFonts w:hint="eastAsia"/>
          <w:color w:val="000000" w:themeColor="text1"/>
          <w:sz w:val="28"/>
          <w:szCs w:val="28"/>
          <w:lang w:val="en-US" w:eastAsia="zh-CN"/>
          <w14:textFill>
            <w14:solidFill>
              <w14:schemeClr w14:val="tx1"/>
            </w14:solidFill>
          </w14:textFill>
        </w:rPr>
        <w:t>注气（二氧化碳）操作人员未配备防冻服</w:t>
      </w:r>
      <w:r>
        <w:rPr>
          <w:color w:val="000000" w:themeColor="text1"/>
          <w:sz w:val="28"/>
          <w:szCs w:val="28"/>
          <w14:textFill>
            <w14:solidFill>
              <w14:schemeClr w14:val="tx1"/>
            </w14:solidFill>
          </w14:textFill>
        </w:rPr>
        <w:t>。</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3.企业安全费用提取未设置专户。</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4</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2021年、</w:t>
      </w:r>
      <w:r>
        <w:rPr>
          <w:rFonts w:hint="eastAsia"/>
          <w:sz w:val="28"/>
          <w:lang w:val="en-US" w:eastAsia="zh-CN"/>
        </w:rPr>
        <w:t>2022年1-2月</w:t>
      </w:r>
      <w:r>
        <w:rPr>
          <w:rFonts w:hint="eastAsia"/>
          <w:color w:val="000000" w:themeColor="text1"/>
          <w:sz w:val="28"/>
          <w:szCs w:val="28"/>
          <w:lang w:val="en-US" w:eastAsia="zh-CN"/>
          <w14:textFill>
            <w14:solidFill>
              <w14:schemeClr w14:val="tx1"/>
            </w14:solidFill>
          </w14:textFill>
        </w:rPr>
        <w:t>应急演练频次不足</w:t>
      </w:r>
      <w:r>
        <w:rPr>
          <w:color w:val="000000" w:themeColor="text1"/>
          <w:sz w:val="28"/>
          <w:szCs w:val="28"/>
          <w14:textFill>
            <w14:solidFill>
              <w14:schemeClr w14:val="tx1"/>
            </w14:solidFill>
          </w14:textFill>
        </w:rPr>
        <w:t>。</w:t>
      </w:r>
    </w:p>
    <w:p>
      <w:pPr>
        <w:pStyle w:val="4"/>
        <w:adjustRightInd w:val="0"/>
        <w:snapToGrid w:val="0"/>
        <w:spacing w:before="0" w:after="0" w:line="360" w:lineRule="auto"/>
        <w:rPr>
          <w:rFonts w:ascii="Times New Roman" w:hAnsi="Times New Roman"/>
          <w:sz w:val="28"/>
          <w:szCs w:val="28"/>
        </w:rPr>
      </w:pPr>
      <w:bookmarkStart w:id="121" w:name="_Toc7410"/>
      <w:bookmarkStart w:id="122" w:name="_Toc5890"/>
      <w:r>
        <w:rPr>
          <w:rFonts w:hint="eastAsia" w:ascii="Times New Roman" w:hAnsi="Times New Roman"/>
          <w:b w:val="0"/>
          <w:bCs/>
          <w:szCs w:val="32"/>
        </w:rPr>
        <w:t>5.3 作业条件危险性评价</w:t>
      </w:r>
      <w:bookmarkEnd w:id="121"/>
      <w:bookmarkEnd w:id="122"/>
    </w:p>
    <w:p>
      <w:pPr>
        <w:adjustRightInd w:val="0"/>
        <w:snapToGrid w:val="0"/>
        <w:spacing w:line="360" w:lineRule="auto"/>
        <w:ind w:firstLine="560" w:firstLineChars="200"/>
        <w:rPr>
          <w:sz w:val="28"/>
          <w:szCs w:val="28"/>
        </w:rPr>
      </w:pPr>
      <w:r>
        <w:rPr>
          <w:rFonts w:hint="eastAsia"/>
          <w:snapToGrid w:val="0"/>
          <w:kern w:val="0"/>
          <w:sz w:val="28"/>
          <w:szCs w:val="28"/>
        </w:rPr>
        <w:t>根据作业条件危险性评价法的规定，对该项目生产单元运行过程中事故或危险事件发生的可能性（L）、暴露于危险环境的频率（E）及危险严重程度（C）进行取值、计算，得出运行中主要危害的危险程度，详见表5-</w:t>
      </w:r>
      <w:r>
        <w:rPr>
          <w:rFonts w:hint="eastAsia"/>
          <w:snapToGrid w:val="0"/>
          <w:kern w:val="0"/>
          <w:sz w:val="28"/>
          <w:szCs w:val="28"/>
          <w:lang w:val="en-US" w:eastAsia="zh-CN"/>
        </w:rPr>
        <w:t>10</w:t>
      </w:r>
      <w:r>
        <w:rPr>
          <w:rFonts w:hint="eastAsia"/>
          <w:snapToGrid w:val="0"/>
          <w:kern w:val="0"/>
          <w:sz w:val="28"/>
          <w:szCs w:val="28"/>
        </w:rPr>
        <w:t>。</w:t>
      </w:r>
    </w:p>
    <w:p>
      <w:pPr>
        <w:keepNext w:val="0"/>
        <w:keepLines w:val="0"/>
        <w:pageBreakBefore w:val="0"/>
        <w:widowControl w:val="0"/>
        <w:shd w:val="clear"/>
        <w:kinsoku/>
        <w:wordWrap/>
        <w:overflowPunct/>
        <w:topLinePunct w:val="0"/>
        <w:autoSpaceDE/>
        <w:autoSpaceDN/>
        <w:bidi w:val="0"/>
        <w:adjustRightInd w:val="0"/>
        <w:snapToGrid w:val="0"/>
        <w:spacing w:line="240" w:lineRule="auto"/>
        <w:jc w:val="center"/>
        <w:textAlignment w:val="auto"/>
        <w:rPr>
          <w:sz w:val="28"/>
          <w:szCs w:val="28"/>
        </w:rPr>
      </w:pPr>
      <w:r>
        <w:rPr>
          <w:rFonts w:hint="eastAsia"/>
          <w:b/>
          <w:sz w:val="24"/>
        </w:rPr>
        <w:t>表5-</w:t>
      </w:r>
      <w:r>
        <w:rPr>
          <w:rFonts w:hint="eastAsia"/>
          <w:b/>
          <w:sz w:val="24"/>
          <w:lang w:val="en-US" w:eastAsia="zh-CN"/>
        </w:rPr>
        <w:t>10</w:t>
      </w:r>
      <w:r>
        <w:rPr>
          <w:rFonts w:hint="eastAsia"/>
          <w:b/>
          <w:sz w:val="24"/>
        </w:rPr>
        <w:t xml:space="preserve"> </w:t>
      </w:r>
      <w:r>
        <w:rPr>
          <w:b/>
          <w:sz w:val="24"/>
        </w:rPr>
        <w:t xml:space="preserve"> </w:t>
      </w:r>
      <w:r>
        <w:rPr>
          <w:rFonts w:hint="eastAsia"/>
          <w:b/>
          <w:sz w:val="24"/>
        </w:rPr>
        <w:t>施工过程作业条件危险性评价表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kern w:val="0"/>
          <w:sz w:val="28"/>
          <w:szCs w:val="28"/>
        </w:rPr>
      </w:pPr>
      <w:r>
        <w:rPr>
          <w:rFonts w:hint="eastAsia"/>
          <w:snapToGrid w:val="0"/>
          <w:kern w:val="0"/>
          <w:sz w:val="28"/>
          <w:szCs w:val="28"/>
        </w:rPr>
        <w:t>经计算得知：该项目</w:t>
      </w:r>
      <w:r>
        <w:rPr>
          <w:rFonts w:hint="eastAsia"/>
          <w:snapToGrid w:val="0"/>
          <w:kern w:val="0"/>
          <w:sz w:val="28"/>
          <w:szCs w:val="28"/>
          <w:lang w:val="en-US" w:eastAsia="zh-CN"/>
        </w:rPr>
        <w:t>井下作业</w:t>
      </w:r>
      <w:r>
        <w:rPr>
          <w:rFonts w:hint="eastAsia"/>
          <w:snapToGrid w:val="0"/>
          <w:kern w:val="0"/>
          <w:sz w:val="28"/>
          <w:szCs w:val="28"/>
        </w:rPr>
        <w:t>现场施工的火灾爆炸、井喷及井喷失控</w:t>
      </w:r>
      <w:r>
        <w:rPr>
          <w:rFonts w:hint="eastAsia"/>
          <w:snapToGrid w:val="0"/>
          <w:kern w:val="0"/>
          <w:sz w:val="28"/>
          <w:szCs w:val="28"/>
          <w:lang w:eastAsia="zh-CN"/>
        </w:rPr>
        <w:t>、</w:t>
      </w:r>
      <w:r>
        <w:rPr>
          <w:rFonts w:hint="eastAsia"/>
          <w:snapToGrid w:val="0"/>
          <w:kern w:val="0"/>
          <w:sz w:val="28"/>
          <w:szCs w:val="28"/>
          <w:lang w:val="en-US" w:eastAsia="zh-CN"/>
        </w:rPr>
        <w:t>硫化氢气体中毒窒息、高压管汇、泵类等刺漏</w:t>
      </w:r>
      <w:r>
        <w:rPr>
          <w:rFonts w:hint="eastAsia"/>
          <w:snapToGrid w:val="0"/>
          <w:kern w:val="0"/>
          <w:sz w:val="28"/>
          <w:szCs w:val="28"/>
        </w:rPr>
        <w:t>事故的危险程度为“可能危险”。接拆高压设备、管线</w:t>
      </w:r>
      <w:r>
        <w:rPr>
          <w:rFonts w:hint="eastAsia"/>
          <w:snapToGrid w:val="0"/>
          <w:kern w:val="0"/>
          <w:sz w:val="28"/>
          <w:szCs w:val="28"/>
          <w:lang w:eastAsia="zh-CN"/>
        </w:rPr>
        <w:t>，</w:t>
      </w:r>
      <w:r>
        <w:rPr>
          <w:rFonts w:hint="eastAsia"/>
          <w:snapToGrid w:val="0"/>
          <w:kern w:val="0"/>
          <w:sz w:val="28"/>
          <w:szCs w:val="28"/>
        </w:rPr>
        <w:t>引起火灾爆炸事故</w:t>
      </w:r>
      <w:r>
        <w:rPr>
          <w:rFonts w:hint="eastAsia"/>
          <w:snapToGrid w:val="0"/>
          <w:kern w:val="0"/>
          <w:sz w:val="28"/>
          <w:szCs w:val="28"/>
          <w:lang w:eastAsia="zh-CN"/>
        </w:rPr>
        <w:t>、</w:t>
      </w:r>
      <w:r>
        <w:rPr>
          <w:rFonts w:hint="eastAsia"/>
          <w:snapToGrid w:val="0"/>
          <w:kern w:val="0"/>
          <w:sz w:val="28"/>
          <w:szCs w:val="28"/>
          <w:lang w:val="en-US" w:eastAsia="zh-CN"/>
        </w:rPr>
        <w:t>物体打击</w:t>
      </w:r>
      <w:r>
        <w:rPr>
          <w:rFonts w:hint="eastAsia"/>
          <w:snapToGrid w:val="0"/>
          <w:kern w:val="0"/>
          <w:sz w:val="28"/>
          <w:szCs w:val="28"/>
        </w:rPr>
        <w:t>的危险程度也为“可能危险”，应作为本工程安全防范的重点。</w:t>
      </w:r>
    </w:p>
    <w:p>
      <w:pPr>
        <w:adjustRightInd w:val="0"/>
        <w:snapToGrid w:val="0"/>
        <w:spacing w:line="360" w:lineRule="auto"/>
        <w:ind w:firstLine="560" w:firstLineChars="200"/>
        <w:rPr>
          <w:color w:val="1F4E79" w:themeColor="accent1" w:themeShade="80"/>
          <w:sz w:val="28"/>
          <w:szCs w:val="28"/>
        </w:rPr>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pPr>
      <w:r>
        <w:rPr>
          <w:rFonts w:hint="eastAsia"/>
          <w:snapToGrid w:val="0"/>
          <w:kern w:val="0"/>
          <w:sz w:val="28"/>
          <w:szCs w:val="28"/>
        </w:rPr>
        <w:t>设备设施搬迁引起的车辆伤害、物体打击</w:t>
      </w:r>
      <w:r>
        <w:rPr>
          <w:rFonts w:hint="eastAsia"/>
          <w:snapToGrid w:val="0"/>
          <w:kern w:val="0"/>
          <w:sz w:val="28"/>
          <w:szCs w:val="28"/>
          <w:lang w:eastAsia="zh-CN"/>
        </w:rPr>
        <w:t>、</w:t>
      </w:r>
      <w:r>
        <w:rPr>
          <w:rFonts w:hint="eastAsia"/>
          <w:snapToGrid w:val="0"/>
          <w:kern w:val="0"/>
          <w:sz w:val="28"/>
          <w:szCs w:val="28"/>
          <w:lang w:val="en-US" w:eastAsia="zh-CN"/>
        </w:rPr>
        <w:t>触电</w:t>
      </w:r>
      <w:r>
        <w:rPr>
          <w:rFonts w:hint="eastAsia"/>
          <w:snapToGrid w:val="0"/>
          <w:kern w:val="0"/>
          <w:sz w:val="28"/>
          <w:szCs w:val="28"/>
        </w:rPr>
        <w:t>；施工的机械伤害、</w:t>
      </w:r>
      <w:r>
        <w:rPr>
          <w:rFonts w:hint="eastAsia"/>
          <w:snapToGrid w:val="0"/>
          <w:kern w:val="0"/>
          <w:sz w:val="28"/>
          <w:szCs w:val="28"/>
          <w:lang w:val="en-US" w:eastAsia="zh-CN"/>
        </w:rPr>
        <w:t>灼烫、冻伤、</w:t>
      </w:r>
      <w:r>
        <w:rPr>
          <w:rFonts w:hint="eastAsia"/>
          <w:snapToGrid w:val="0"/>
          <w:kern w:val="0"/>
          <w:sz w:val="28"/>
          <w:szCs w:val="28"/>
        </w:rPr>
        <w:t>容器爆炸、触电</w:t>
      </w:r>
      <w:r>
        <w:rPr>
          <w:rFonts w:hint="eastAsia"/>
          <w:snapToGrid w:val="0"/>
          <w:kern w:val="0"/>
          <w:sz w:val="28"/>
          <w:szCs w:val="28"/>
          <w:lang w:eastAsia="zh-CN"/>
        </w:rPr>
        <w:t>、</w:t>
      </w:r>
      <w:r>
        <w:rPr>
          <w:rFonts w:hint="eastAsia"/>
          <w:snapToGrid w:val="0"/>
          <w:kern w:val="0"/>
          <w:sz w:val="28"/>
          <w:szCs w:val="28"/>
          <w:lang w:val="en-US" w:eastAsia="zh-CN"/>
        </w:rPr>
        <w:t>注气（氮气、二氧化碳）施工氮气、二氧化碳引起的中毒窒息</w:t>
      </w:r>
      <w:r>
        <w:rPr>
          <w:rFonts w:hint="eastAsia"/>
          <w:snapToGrid w:val="0"/>
          <w:kern w:val="0"/>
          <w:sz w:val="28"/>
          <w:szCs w:val="28"/>
        </w:rPr>
        <w:t>等事故危险程度均为“稍有危险”，也应引起注意。</w:t>
      </w:r>
    </w:p>
    <w:p>
      <w:pPr>
        <w:pStyle w:val="3"/>
        <w:keepNext w:val="0"/>
        <w:adjustRightInd w:val="0"/>
        <w:snapToGrid w:val="0"/>
        <w:spacing w:line="360" w:lineRule="auto"/>
        <w:rPr>
          <w:rFonts w:eastAsia="楷体_GB2312"/>
          <w:b/>
          <w:color w:val="000000" w:themeColor="text1"/>
          <w:sz w:val="36"/>
          <w:szCs w:val="36"/>
          <w14:textFill>
            <w14:solidFill>
              <w14:schemeClr w14:val="tx1"/>
            </w14:solidFill>
          </w14:textFill>
        </w:rPr>
      </w:pPr>
      <w:bookmarkStart w:id="123" w:name="_Toc28725"/>
      <w:bookmarkStart w:id="124" w:name="_Toc281310753"/>
      <w:r>
        <w:rPr>
          <w:rFonts w:eastAsia="楷体_GB2312"/>
          <w:b/>
          <w:color w:val="000000" w:themeColor="text1"/>
          <w:sz w:val="36"/>
          <w:szCs w:val="36"/>
          <w14:textFill>
            <w14:solidFill>
              <w14:schemeClr w14:val="tx1"/>
            </w14:solidFill>
          </w14:textFill>
        </w:rPr>
        <w:t>6 安全对策措施与管理建议</w:t>
      </w:r>
      <w:bookmarkEnd w:id="123"/>
      <w:bookmarkEnd w:id="124"/>
    </w:p>
    <w:p>
      <w:pPr>
        <w:pStyle w:val="4"/>
        <w:keepNext w:val="0"/>
        <w:keepLines w:val="0"/>
        <w:adjustRightInd w:val="0"/>
        <w:snapToGrid w:val="0"/>
        <w:spacing w:before="0" w:after="0" w:line="360" w:lineRule="auto"/>
        <w:rPr>
          <w:rFonts w:ascii="Times New Roman" w:hAnsi="Times New Roman" w:eastAsia="楷体_GB2312"/>
          <w:color w:val="000000" w:themeColor="text1"/>
          <w:sz w:val="28"/>
          <w:szCs w:val="28"/>
          <w14:textFill>
            <w14:solidFill>
              <w14:schemeClr w14:val="tx1"/>
            </w14:solidFill>
          </w14:textFill>
        </w:rPr>
      </w:pPr>
      <w:bookmarkStart w:id="125" w:name="_Toc9769"/>
      <w:bookmarkStart w:id="126" w:name="_Toc281310754"/>
      <w:r>
        <w:rPr>
          <w:rFonts w:ascii="Times New Roman" w:hAnsi="Times New Roman"/>
          <w:b w:val="0"/>
          <w:bCs/>
          <w:color w:val="000000" w:themeColor="text1"/>
          <w:szCs w:val="32"/>
          <w14:textFill>
            <w14:solidFill>
              <w14:schemeClr w14:val="tx1"/>
            </w14:solidFill>
          </w14:textFill>
        </w:rPr>
        <w:t>6.1 安全对策措施</w:t>
      </w:r>
      <w:bookmarkEnd w:id="125"/>
      <w:bookmarkEnd w:id="126"/>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本次评价中发现的尚未完善或不符合要求的内容需整改如下：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spacing w:line="360" w:lineRule="auto"/>
        <w:ind w:firstLine="564" w:firstLineChars="200"/>
        <w:rPr>
          <w:color w:val="000000" w:themeColor="text1"/>
          <w:sz w:val="28"/>
          <w:szCs w:val="28"/>
          <w14:textFill>
            <w14:solidFill>
              <w14:schemeClr w14:val="tx1"/>
            </w14:solidFill>
          </w14:textFill>
        </w:rPr>
      </w:pPr>
      <w:bookmarkStart w:id="138" w:name="_GoBack"/>
      <w:bookmarkEnd w:id="138"/>
      <w:r>
        <w:rPr>
          <w:color w:val="000000" w:themeColor="text1"/>
          <w:sz w:val="28"/>
          <w:szCs w:val="28"/>
          <w14:textFill>
            <w14:solidFill>
              <w14:schemeClr w14:val="tx1"/>
            </w14:solidFill>
          </w14:textFill>
        </w:rPr>
        <w:t>企业整改情况见第7章隐患整改复查情况。</w:t>
      </w:r>
    </w:p>
    <w:p>
      <w:pPr>
        <w:pStyle w:val="4"/>
        <w:keepNext w:val="0"/>
        <w:keepLines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27" w:name="_Toc281310755"/>
      <w:bookmarkStart w:id="128" w:name="_Toc11202"/>
      <w:r>
        <w:rPr>
          <w:rFonts w:ascii="Times New Roman" w:hAnsi="Times New Roman"/>
          <w:b w:val="0"/>
          <w:bCs/>
          <w:color w:val="000000" w:themeColor="text1"/>
          <w:szCs w:val="32"/>
          <w14:textFill>
            <w14:solidFill>
              <w14:schemeClr w14:val="tx1"/>
            </w14:solidFill>
          </w14:textFill>
        </w:rPr>
        <w:t>6.2 安全管理建议</w:t>
      </w:r>
      <w:bookmarkEnd w:id="127"/>
      <w:bookmarkEnd w:id="128"/>
    </w:p>
    <w:p>
      <w:pPr>
        <w:adjustRightInd w:val="0"/>
        <w:snapToGrid w:val="0"/>
        <w:spacing w:line="360" w:lineRule="auto"/>
        <w:ind w:firstLine="564" w:firstLineChars="200"/>
        <w:rPr>
          <w:sz w:val="28"/>
          <w:szCs w:val="28"/>
        </w:rPr>
      </w:pPr>
      <w:r>
        <w:rPr>
          <w:sz w:val="28"/>
          <w:szCs w:val="28"/>
        </w:rPr>
        <w:t>针对本次评价中发现的问题，提出以下建议措施：</w:t>
      </w:r>
    </w:p>
    <w:p>
      <w:pPr>
        <w:adjustRightInd w:val="0"/>
        <w:snapToGrid w:val="0"/>
        <w:spacing w:line="360" w:lineRule="auto"/>
        <w:ind w:firstLine="564" w:firstLineChars="200"/>
        <w:rPr>
          <w:sz w:val="28"/>
          <w:szCs w:val="28"/>
        </w:rPr>
      </w:pPr>
      <w:r>
        <w:rPr>
          <w:rFonts w:hint="eastAsia"/>
          <w:sz w:val="28"/>
          <w:szCs w:val="28"/>
        </w:rPr>
        <w:t>1.安全总监荣国栋应具备与所从事的生产经营活动相适应的安全生产知识和管理能力，由主管的负有安全生产监督管理职责的部门对其安全生产知识和管理能力考核合格后方可任职。</w:t>
      </w:r>
    </w:p>
    <w:p>
      <w:pPr>
        <w:pStyle w:val="18"/>
        <w:adjustRightInd w:val="0"/>
        <w:snapToGrid w:val="0"/>
        <w:ind w:firstLine="564" w:firstLineChars="200"/>
        <w:jc w:val="both"/>
        <w:rPr>
          <w:rFonts w:hAnsi="宋体" w:cs="宋体"/>
          <w:sz w:val="28"/>
          <w:szCs w:val="28"/>
        </w:rPr>
      </w:pPr>
      <w:r>
        <w:rPr>
          <w:rFonts w:hint="eastAsia"/>
          <w:sz w:val="28"/>
          <w:szCs w:val="28"/>
        </w:rPr>
        <w:t>2.</w:t>
      </w:r>
      <w:r>
        <w:rPr>
          <w:rFonts w:hint="eastAsia" w:hAnsi="宋体" w:cs="宋体"/>
          <w:sz w:val="28"/>
          <w:szCs w:val="28"/>
        </w:rPr>
        <w:t>建议各作业队对所有相关的现场处置方案每半年全部演练一次，提高作业队伍现场应急处置能力。</w:t>
      </w:r>
    </w:p>
    <w:p>
      <w:pPr>
        <w:pStyle w:val="2"/>
        <w:spacing w:line="360" w:lineRule="auto"/>
        <w:ind w:firstLine="564" w:firstLineChars="200"/>
      </w:pPr>
      <w:r>
        <w:t>3</w:t>
      </w:r>
      <w:r>
        <w:rPr>
          <w:rFonts w:hint="eastAsia"/>
        </w:rPr>
        <w:t>.</w:t>
      </w:r>
      <w:r>
        <w:t>定期组织接触职业病危害因素的员工进行职业病体检，建立并完善职业健康监护档案。</w:t>
      </w:r>
    </w:p>
    <w:p>
      <w:pPr>
        <w:adjustRightInd w:val="0"/>
        <w:snapToGrid w:val="0"/>
        <w:spacing w:line="360" w:lineRule="auto"/>
        <w:ind w:firstLine="564" w:firstLineChars="200"/>
        <w:rPr>
          <w:sz w:val="28"/>
          <w:szCs w:val="28"/>
        </w:rPr>
      </w:pPr>
      <w:r>
        <w:rPr>
          <w:sz w:val="28"/>
          <w:szCs w:val="28"/>
        </w:rPr>
        <w:t>4</w:t>
      </w:r>
      <w:r>
        <w:rPr>
          <w:rFonts w:hint="eastAsia"/>
          <w:sz w:val="28"/>
          <w:szCs w:val="28"/>
        </w:rPr>
        <w:t>.</w:t>
      </w:r>
      <w:r>
        <w:rPr>
          <w:sz w:val="28"/>
          <w:szCs w:val="28"/>
        </w:rPr>
        <w:t>应加强对作业人员的培训取证工作，按照《生产经营单位安全培训规定》（国家安全监督管理总局令[2006]第3号，2015修订版）等要求，定期组织教育、练兵、应急演练等活动，以提高员工的安全意识和岗位操作技能。此外应掌握新入职员工与证书即将到期的员工的情况，及时进行相应岗位的培训并在取得相应</w:t>
      </w:r>
      <w:r>
        <w:rPr>
          <w:rFonts w:hint="eastAsia"/>
          <w:sz w:val="28"/>
          <w:szCs w:val="28"/>
        </w:rPr>
        <w:t>合格</w:t>
      </w:r>
      <w:r>
        <w:rPr>
          <w:sz w:val="28"/>
          <w:szCs w:val="28"/>
        </w:rPr>
        <w:t>证书后再安排进入井场作业。</w:t>
      </w:r>
    </w:p>
    <w:p>
      <w:pPr>
        <w:adjustRightInd w:val="0"/>
        <w:snapToGrid w:val="0"/>
        <w:spacing w:line="360" w:lineRule="auto"/>
        <w:ind w:firstLine="564" w:firstLineChars="200"/>
        <w:rPr>
          <w:sz w:val="28"/>
          <w:szCs w:val="28"/>
        </w:rPr>
      </w:pPr>
      <w:r>
        <w:rPr>
          <w:sz w:val="28"/>
          <w:szCs w:val="28"/>
        </w:rPr>
        <w:t>5</w:t>
      </w:r>
      <w:r>
        <w:rPr>
          <w:rFonts w:hint="eastAsia"/>
          <w:sz w:val="28"/>
          <w:szCs w:val="28"/>
        </w:rPr>
        <w:t>.</w:t>
      </w:r>
      <w:r>
        <w:rPr>
          <w:sz w:val="28"/>
          <w:szCs w:val="28"/>
        </w:rPr>
        <w:t>按照《山东省人民政府安全生产委员会关于规范和加强安全生产培训考核工作的指导意见》的要求，加强员工培训工作，在安全教育培训制度中增加“开工第一课”内容，并将“大学习、大培训、大考试”加入日常培训中。</w:t>
      </w:r>
    </w:p>
    <w:p>
      <w:pPr>
        <w:pStyle w:val="2"/>
        <w:spacing w:line="360" w:lineRule="auto"/>
        <w:ind w:firstLine="564" w:firstLineChars="200"/>
      </w:pPr>
      <w:r>
        <w:t>6</w:t>
      </w:r>
      <w:r>
        <w:rPr>
          <w:rFonts w:hint="eastAsia"/>
        </w:rPr>
        <w:t>.</w:t>
      </w:r>
      <w:r>
        <w:t>按照《井下作业安全规程》（SY/T 5727-2020）等标准规范要求，现场配备齐全安全警示标志，安全标志牌有破损、变形、褪色等应及时更换。</w:t>
      </w:r>
    </w:p>
    <w:p>
      <w:pPr>
        <w:adjustRightInd w:val="0"/>
        <w:snapToGrid w:val="0"/>
        <w:spacing w:line="360" w:lineRule="auto"/>
        <w:ind w:firstLine="564" w:firstLineChars="200"/>
        <w:rPr>
          <w:sz w:val="28"/>
          <w:szCs w:val="28"/>
        </w:rPr>
      </w:pPr>
      <w:r>
        <w:rPr>
          <w:sz w:val="28"/>
          <w:szCs w:val="28"/>
        </w:rPr>
        <w:t>7</w:t>
      </w:r>
      <w:r>
        <w:rPr>
          <w:rFonts w:hint="eastAsia"/>
          <w:sz w:val="28"/>
          <w:szCs w:val="28"/>
        </w:rPr>
        <w:t>.</w:t>
      </w:r>
      <w:r>
        <w:rPr>
          <w:color w:val="000000"/>
          <w:sz w:val="28"/>
          <w:szCs w:val="28"/>
        </w:rPr>
        <w:t>各种安全设施应有专人负责管理，不得随意拆除、挪用或弃置不用，按规定检查、检测和保养、维护。按照国家有关标准规范的要求，对安全设施定期更新与改进，确保安全设施齐全、有效</w:t>
      </w:r>
      <w:r>
        <w:rPr>
          <w:sz w:val="28"/>
          <w:szCs w:val="28"/>
        </w:rPr>
        <w:t>。</w:t>
      </w:r>
    </w:p>
    <w:p>
      <w:pPr>
        <w:adjustRightInd w:val="0"/>
        <w:snapToGrid w:val="0"/>
        <w:spacing w:line="360" w:lineRule="auto"/>
        <w:ind w:firstLine="564" w:firstLineChars="200"/>
        <w:rPr>
          <w:sz w:val="28"/>
          <w:szCs w:val="28"/>
        </w:rPr>
      </w:pPr>
      <w:r>
        <w:rPr>
          <w:sz w:val="28"/>
          <w:szCs w:val="28"/>
        </w:rPr>
        <w:t>8</w:t>
      </w:r>
      <w:r>
        <w:rPr>
          <w:rFonts w:hint="eastAsia"/>
          <w:sz w:val="28"/>
          <w:szCs w:val="28"/>
        </w:rPr>
        <w:t>.</w:t>
      </w:r>
      <w:r>
        <w:rPr>
          <w:sz w:val="28"/>
          <w:szCs w:val="28"/>
        </w:rPr>
        <w:t>对施工作业设备设施进行进行定期检测、探伤及更新，对安全阀、压力表等定期检测，保证其在安全有效期内使用，对气体检测仪和正压呼吸器等防护设施定期校验，保证设备设施和防护仪器完好可靠。</w:t>
      </w:r>
    </w:p>
    <w:p>
      <w:pPr>
        <w:pStyle w:val="2"/>
        <w:spacing w:line="360" w:lineRule="auto"/>
        <w:ind w:firstLine="564" w:firstLineChars="200"/>
      </w:pPr>
      <w:r>
        <w:t>9</w:t>
      </w:r>
      <w:r>
        <w:rPr>
          <w:rFonts w:hint="eastAsia"/>
        </w:rPr>
        <w:t>.</w:t>
      </w:r>
      <w:r>
        <w:t>每</w:t>
      </w:r>
      <w:r>
        <w:rPr>
          <w:rFonts w:hint="eastAsia"/>
        </w:rPr>
        <w:t>15天</w:t>
      </w:r>
      <w:r>
        <w:t>应对灭火器进行一次检查并做好记录。</w:t>
      </w:r>
    </w:p>
    <w:p>
      <w:pPr>
        <w:pStyle w:val="2"/>
        <w:spacing w:line="360" w:lineRule="auto"/>
        <w:ind w:firstLine="564" w:firstLineChars="200"/>
      </w:pPr>
      <w:r>
        <w:t>10</w:t>
      </w:r>
      <w:r>
        <w:rPr>
          <w:rFonts w:hint="eastAsia"/>
        </w:rPr>
        <w:t>.</w:t>
      </w:r>
      <w:r>
        <w:t>劳动防护用品按照国家有关标准规范的要求配备，并定期检查、维护，确保安全防护用品齐全、有效。</w:t>
      </w:r>
    </w:p>
    <w:p>
      <w:pPr>
        <w:adjustRightInd w:val="0"/>
        <w:snapToGrid w:val="0"/>
        <w:spacing w:line="360" w:lineRule="auto"/>
        <w:ind w:firstLine="564" w:firstLineChars="200"/>
        <w:rPr>
          <w:sz w:val="28"/>
          <w:szCs w:val="28"/>
        </w:rPr>
      </w:pPr>
      <w:r>
        <w:rPr>
          <w:sz w:val="28"/>
          <w:szCs w:val="28"/>
        </w:rPr>
        <w:t>11</w:t>
      </w:r>
      <w:r>
        <w:rPr>
          <w:rFonts w:hint="eastAsia"/>
          <w:sz w:val="28"/>
          <w:szCs w:val="28"/>
        </w:rPr>
        <w:t>.</w:t>
      </w:r>
      <w:r>
        <w:rPr>
          <w:sz w:val="28"/>
          <w:szCs w:val="28"/>
        </w:rPr>
        <w:t>作业期间，现场应统一指挥，明确施工的设计要求、地下情况、地面设备及技术要求，落实各项安全防范措施。在生产过程中，将安全生产的相关资料分类归档保存，主要包括作业人员名册、交接班记录、培训记录、事故和险情记录、安全设备维修记录情况等。</w:t>
      </w:r>
    </w:p>
    <w:p>
      <w:pPr>
        <w:pStyle w:val="2"/>
        <w:spacing w:line="360" w:lineRule="auto"/>
        <w:ind w:firstLine="564" w:firstLineChars="200"/>
      </w:pPr>
      <w:r>
        <w:t>12</w:t>
      </w:r>
      <w:r>
        <w:rPr>
          <w:rFonts w:hint="eastAsia"/>
        </w:rPr>
        <w:t>.</w:t>
      </w:r>
      <w:r>
        <w:t>作业时要佩戴好劳保用品，严格按照操作规程和安全管理规定的内容进行，确保人员安全，防止污染环境。</w:t>
      </w:r>
    </w:p>
    <w:p>
      <w:pPr>
        <w:pStyle w:val="2"/>
        <w:spacing w:line="360" w:lineRule="auto"/>
        <w:ind w:firstLine="564" w:firstLineChars="200"/>
      </w:pPr>
      <w:r>
        <w:t>13</w:t>
      </w:r>
      <w:r>
        <w:rPr>
          <w:rFonts w:hint="eastAsia"/>
        </w:rPr>
        <w:t>.</w:t>
      </w:r>
      <w:r>
        <w:rPr>
          <w:snapToGrid w:val="0"/>
          <w:kern w:val="0"/>
        </w:rPr>
        <w:t>建立安全投入的长效机制，生产经营单位应当确保本单位具备安全生产条件所必需的资金投入，安全生产资金投入纳入年度生产经营计划和财务预算，不得挪作他用。</w:t>
      </w:r>
    </w:p>
    <w:p>
      <w:pPr>
        <w:pStyle w:val="2"/>
        <w:spacing w:line="360" w:lineRule="auto"/>
        <w:ind w:firstLine="564" w:firstLineChars="200"/>
      </w:pPr>
      <w:r>
        <w:t>14</w:t>
      </w:r>
      <w:r>
        <w:rPr>
          <w:rFonts w:hint="eastAsia"/>
        </w:rPr>
        <w:t>.</w:t>
      </w:r>
      <w:r>
        <w:t>按照要求制定应急预案演练计划，做好应急救援预案的演练记录，演练后，对预案进行评估，找出存在不足和缺陷并进行修改。</w:t>
      </w:r>
    </w:p>
    <w:p>
      <w:pPr>
        <w:adjustRightInd w:val="0"/>
        <w:snapToGrid w:val="0"/>
        <w:spacing w:line="360" w:lineRule="auto"/>
        <w:ind w:firstLine="564" w:firstLineChars="200"/>
        <w:rPr>
          <w:sz w:val="28"/>
          <w:szCs w:val="28"/>
        </w:rPr>
      </w:pPr>
      <w:r>
        <w:rPr>
          <w:sz w:val="28"/>
          <w:szCs w:val="28"/>
        </w:rPr>
        <w:t>1</w:t>
      </w:r>
      <w:r>
        <w:rPr>
          <w:rFonts w:hint="eastAsia"/>
          <w:sz w:val="28"/>
          <w:szCs w:val="28"/>
        </w:rPr>
        <w:t>5.</w:t>
      </w:r>
      <w:r>
        <w:rPr>
          <w:sz w:val="28"/>
          <w:szCs w:val="28"/>
        </w:rPr>
        <w:t>完善安全生产风险分级管控制度，定期进行安全生产风险排查，对排查出的风险点按照危险性确定风险等级，对风险点进行公告警示，并采取相应的风险管控措施，实现风险的动态管理。</w:t>
      </w:r>
    </w:p>
    <w:p>
      <w:pPr>
        <w:adjustRightInd w:val="0"/>
        <w:snapToGrid w:val="0"/>
        <w:spacing w:line="360" w:lineRule="auto"/>
        <w:ind w:firstLine="564" w:firstLineChars="200"/>
        <w:rPr>
          <w:sz w:val="28"/>
          <w:szCs w:val="28"/>
        </w:rPr>
      </w:pPr>
      <w:r>
        <w:rPr>
          <w:sz w:val="28"/>
          <w:szCs w:val="28"/>
        </w:rPr>
        <w:t>1</w:t>
      </w:r>
      <w:r>
        <w:rPr>
          <w:rFonts w:hint="eastAsia"/>
          <w:sz w:val="28"/>
          <w:szCs w:val="28"/>
        </w:rPr>
        <w:t>6.</w:t>
      </w:r>
      <w:r>
        <w:rPr>
          <w:sz w:val="28"/>
          <w:szCs w:val="28"/>
        </w:rPr>
        <w:t>根据《非煤矿山企业安全生产风险分级管控体系细则》（DB37/T 2972-2017）、《非煤矿山企业生产安全事故隐患排查治理体系细则》（DB37/T 3013-2017）、《陆上石油和天然气开采企业安全生产风险分级管控体系建设实施指南》（DB 37/T 3331-2018）</w:t>
      </w:r>
      <w:r>
        <w:rPr>
          <w:rFonts w:hint="eastAsia"/>
          <w:sz w:val="28"/>
          <w:szCs w:val="28"/>
          <w:lang w:eastAsia="zh-CN"/>
        </w:rPr>
        <w:t>、</w:t>
      </w:r>
      <w:r>
        <w:rPr>
          <w:sz w:val="28"/>
          <w:szCs w:val="28"/>
        </w:rPr>
        <w:t>《陆上石油和天然气开采企业生产安全事故隐患排查治理体系实施指南》（DB 37/T 3332-2018）的要求，生产经营单位应按照企业实际情况不断完善风险分级管控和隐患排查治理体系，应当建立安全生产风险管理机制，定期进行安全生产风险排查，对排查出的风险点按照危险性确定风险等级，并采取相应的风险管控措施，对风险点进行公告警示。</w:t>
      </w:r>
    </w:p>
    <w:p>
      <w:pPr>
        <w:adjustRightInd w:val="0"/>
        <w:snapToGrid w:val="0"/>
        <w:spacing w:line="360" w:lineRule="auto"/>
        <w:ind w:firstLine="564" w:firstLineChars="200"/>
        <w:rPr>
          <w:sz w:val="28"/>
          <w:szCs w:val="28"/>
        </w:rPr>
      </w:pPr>
      <w:r>
        <w:rPr>
          <w:sz w:val="28"/>
          <w:szCs w:val="28"/>
        </w:rPr>
        <w:t>1</w:t>
      </w:r>
      <w:r>
        <w:rPr>
          <w:rFonts w:hint="eastAsia"/>
          <w:sz w:val="28"/>
          <w:szCs w:val="28"/>
        </w:rPr>
        <w:t>7.</w:t>
      </w:r>
      <w:r>
        <w:rPr>
          <w:sz w:val="28"/>
          <w:szCs w:val="28"/>
        </w:rPr>
        <w:t>根据《山东省生产安全事故隐患排查治理办法》（山东省人民政府令第347号）完善生产安全事故隐患排查治理工作。</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sz w:val="28"/>
          <w:szCs w:val="28"/>
        </w:rPr>
      </w:pPr>
      <w:r>
        <w:rPr>
          <w:rFonts w:hint="eastAsia"/>
          <w:sz w:val="28"/>
          <w:szCs w:val="28"/>
        </w:rPr>
        <w:t>18.</w:t>
      </w:r>
      <w:r>
        <w:rPr>
          <w:sz w:val="28"/>
          <w:szCs w:val="28"/>
          <w:lang w:eastAsia="zh-Hans"/>
        </w:rPr>
        <w:t>按照《山东省企业安全生产</w:t>
      </w:r>
      <w:r>
        <w:rPr>
          <w:sz w:val="28"/>
          <w:szCs w:val="28"/>
        </w:rPr>
        <w:t>“</w:t>
      </w:r>
      <w:r>
        <w:rPr>
          <w:sz w:val="28"/>
          <w:szCs w:val="28"/>
          <w:lang w:eastAsia="zh-Hans"/>
        </w:rPr>
        <w:t>晨会</w:t>
      </w:r>
      <w:r>
        <w:rPr>
          <w:sz w:val="28"/>
          <w:szCs w:val="28"/>
        </w:rPr>
        <w:t>”</w:t>
      </w:r>
      <w:r>
        <w:rPr>
          <w:sz w:val="28"/>
          <w:szCs w:val="28"/>
          <w:lang w:eastAsia="zh-Hans"/>
        </w:rPr>
        <w:t>制度规范（试行）》补充完善安全生产会议制度</w:t>
      </w:r>
      <w:r>
        <w:rPr>
          <w:sz w:val="28"/>
          <w:szCs w:val="28"/>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lang w:val="en-US" w:eastAsia="zh-CN"/>
        </w:rPr>
      </w:pPr>
      <w:r>
        <w:rPr>
          <w:rFonts w:hint="eastAsia" w:cs="Times New Roman"/>
          <w:sz w:val="28"/>
          <w:szCs w:val="28"/>
          <w:lang w:val="en-US" w:eastAsia="zh-CN"/>
        </w:rPr>
        <w:t>19.</w:t>
      </w:r>
      <w:r>
        <w:rPr>
          <w:rFonts w:hint="eastAsia"/>
          <w:sz w:val="28"/>
          <w:szCs w:val="28"/>
          <w:lang w:val="en-US" w:eastAsia="zh-CN"/>
        </w:rPr>
        <w:t>建议企业根据《变更管理制度》针对生产经营过程中的相关变更履行变更程序，在以后的安全生产管理过程中严格执行《变更管理制度》，并保存相关变更记录和资料。</w:t>
      </w:r>
    </w:p>
    <w:p>
      <w:pPr>
        <w:adjustRightInd w:val="0"/>
        <w:snapToGrid w:val="0"/>
        <w:spacing w:line="360" w:lineRule="auto"/>
        <w:ind w:firstLine="564" w:firstLineChars="200"/>
        <w:rPr>
          <w:sz w:val="28"/>
          <w:szCs w:val="28"/>
        </w:rPr>
      </w:pPr>
    </w:p>
    <w:p>
      <w:pPr>
        <w:adjustRightInd w:val="0"/>
        <w:snapToGrid w:val="0"/>
        <w:spacing w:line="360" w:lineRule="auto"/>
        <w:ind w:firstLine="564" w:firstLineChars="200"/>
        <w:rPr>
          <w:sz w:val="28"/>
          <w:szCs w:val="28"/>
        </w:rPr>
      </w:pPr>
    </w:p>
    <w:p>
      <w:pPr>
        <w:rPr>
          <w:rFonts w:eastAsia="楷体_GB2312"/>
          <w:b/>
          <w:color w:val="0070C0"/>
          <w:sz w:val="36"/>
          <w:szCs w:val="36"/>
        </w:rPr>
      </w:pPr>
      <w:bookmarkStart w:id="129" w:name="_Toc299030734"/>
      <w:bookmarkStart w:id="130" w:name="_Toc297764496"/>
      <w:bookmarkStart w:id="131" w:name="_Toc281310756"/>
      <w:r>
        <w:rPr>
          <w:rFonts w:eastAsia="楷体_GB2312"/>
          <w:b/>
          <w:color w:val="0070C0"/>
          <w:sz w:val="36"/>
          <w:szCs w:val="36"/>
        </w:rPr>
        <w:br w:type="page"/>
      </w:r>
    </w:p>
    <w:bookmarkEnd w:id="129"/>
    <w:bookmarkEnd w:id="130"/>
    <w:p>
      <w:pPr>
        <w:pStyle w:val="3"/>
        <w:keepNext w:val="0"/>
        <w:adjustRightInd w:val="0"/>
        <w:snapToGrid w:val="0"/>
        <w:spacing w:line="360" w:lineRule="auto"/>
        <w:rPr>
          <w:rFonts w:eastAsia="楷体_GB2312"/>
          <w:b/>
          <w:color w:val="000000" w:themeColor="text1"/>
          <w:sz w:val="36"/>
          <w:szCs w:val="36"/>
          <w14:textFill>
            <w14:solidFill>
              <w14:schemeClr w14:val="tx1"/>
            </w14:solidFill>
          </w14:textFill>
        </w:rPr>
      </w:pPr>
      <w:bookmarkStart w:id="132" w:name="_Toc16518"/>
      <w:bookmarkStart w:id="133" w:name="_Toc281310752"/>
      <w:bookmarkStart w:id="134" w:name="_Toc22214"/>
      <w:bookmarkStart w:id="135" w:name="_Toc321810989"/>
      <w:r>
        <w:rPr>
          <w:rFonts w:eastAsia="楷体_GB2312"/>
          <w:b/>
          <w:color w:val="000000" w:themeColor="text1"/>
          <w:sz w:val="36"/>
          <w:szCs w:val="36"/>
          <w14:textFill>
            <w14:solidFill>
              <w14:schemeClr w14:val="tx1"/>
            </w14:solidFill>
          </w14:textFill>
        </w:rPr>
        <w:t>7 隐患整改复查情况</w:t>
      </w:r>
      <w:bookmarkEnd w:id="132"/>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企业接受了本评价组提出的整改建议，对存在的问题进行了整改，本评价组对企业整改情况进行了现场复查，整改复查情况见表：</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rPr>
          <w:rFonts w:eastAsia="楷体_GB2312"/>
          <w:b/>
          <w:color w:val="000000" w:themeColor="text1"/>
          <w:sz w:val="36"/>
          <w:szCs w:val="36"/>
          <w14:textFill>
            <w14:solidFill>
              <w14:schemeClr w14:val="tx1"/>
            </w14:solidFill>
          </w14:textFill>
        </w:rPr>
      </w:pPr>
      <w:r>
        <w:rPr>
          <w:rFonts w:eastAsia="楷体_GB2312"/>
          <w:b/>
          <w:color w:val="000000" w:themeColor="text1"/>
          <w:sz w:val="36"/>
          <w:szCs w:val="36"/>
          <w14:textFill>
            <w14:solidFill>
              <w14:schemeClr w14:val="tx1"/>
            </w14:solidFill>
          </w14:textFill>
        </w:rPr>
        <w:br w:type="page"/>
      </w:r>
    </w:p>
    <w:p>
      <w:pPr>
        <w:adjustRightInd w:val="0"/>
        <w:snapToGrid w:val="0"/>
        <w:spacing w:line="360" w:lineRule="auto"/>
        <w:jc w:val="center"/>
        <w:outlineLvl w:val="0"/>
        <w:rPr>
          <w:rFonts w:eastAsia="楷体_GB2312"/>
          <w:b/>
          <w:color w:val="000000" w:themeColor="text1"/>
          <w:sz w:val="36"/>
          <w:szCs w:val="36"/>
          <w14:textFill>
            <w14:solidFill>
              <w14:schemeClr w14:val="tx1"/>
            </w14:solidFill>
          </w14:textFill>
        </w:rPr>
      </w:pPr>
      <w:bookmarkStart w:id="136" w:name="_Toc32195"/>
      <w:r>
        <w:rPr>
          <w:rFonts w:eastAsia="楷体_GB2312"/>
          <w:b/>
          <w:color w:val="000000" w:themeColor="text1"/>
          <w:sz w:val="36"/>
          <w:szCs w:val="36"/>
          <w14:textFill>
            <w14:solidFill>
              <w14:schemeClr w14:val="tx1"/>
            </w14:solidFill>
          </w14:textFill>
        </w:rPr>
        <w:t>8 安全生产条件分析评价</w:t>
      </w:r>
      <w:bookmarkEnd w:id="133"/>
      <w:bookmarkEnd w:id="134"/>
      <w:bookmarkEnd w:id="135"/>
      <w:bookmarkEnd w:id="136"/>
    </w:p>
    <w:p>
      <w:pPr>
        <w:adjustRightInd w:val="0"/>
        <w:snapToGrid w:val="0"/>
        <w:spacing w:line="360" w:lineRule="auto"/>
        <w:ind w:firstLine="564" w:firstLineChars="200"/>
        <w:rPr>
          <w:color w:val="000000"/>
          <w:sz w:val="28"/>
          <w:szCs w:val="28"/>
        </w:rPr>
      </w:pPr>
      <w:r>
        <w:rPr>
          <w:color w:val="000000"/>
          <w:sz w:val="28"/>
          <w:szCs w:val="28"/>
        </w:rPr>
        <w:t>根据</w:t>
      </w:r>
      <w:r>
        <w:rPr>
          <w:sz w:val="28"/>
        </w:rPr>
        <w:t>《非煤矿矿山企业安全生产许可证实施办法》（国家安全生产监督管理总局令[2009]第20号，2015修订版）</w:t>
      </w:r>
      <w:r>
        <w:rPr>
          <w:color w:val="000000"/>
          <w:sz w:val="28"/>
          <w:szCs w:val="28"/>
        </w:rPr>
        <w:t>、《山东省非煤矿矿山企业安全生产许可证实施方案》（鲁安监发[2009]133号）和本报告第5、6、7章的安全检查表的详细检查情况、安全对策措施和隐患整改复查情况，对</w:t>
      </w:r>
      <w:r>
        <w:rPr>
          <w:sz w:val="28"/>
          <w:szCs w:val="28"/>
        </w:rPr>
        <w:t>山东胜利油田鸿欣石油技术有限公司</w:t>
      </w:r>
      <w:r>
        <w:rPr>
          <w:rFonts w:hint="eastAsia"/>
          <w:sz w:val="28"/>
          <w:szCs w:val="28"/>
          <w:lang w:eastAsia="zh-CN"/>
        </w:rPr>
        <w:t>井下作业项目</w:t>
      </w:r>
      <w:r>
        <w:rPr>
          <w:sz w:val="28"/>
          <w:szCs w:val="28"/>
        </w:rPr>
        <w:t>是</w:t>
      </w:r>
      <w:r>
        <w:rPr>
          <w:color w:val="000000"/>
          <w:sz w:val="28"/>
          <w:szCs w:val="28"/>
        </w:rPr>
        <w:t>否具备非煤矿矿山企业的安全生产条件进行评价，评价结果汇总如下，见下表8-1。</w:t>
      </w:r>
    </w:p>
    <w:p>
      <w:pPr>
        <w:adjustRightInd w:val="0"/>
        <w:snapToGrid w:val="0"/>
        <w:spacing w:line="360" w:lineRule="auto"/>
        <w:jc w:val="center"/>
        <w:rPr>
          <w:b/>
          <w:sz w:val="24"/>
          <w:szCs w:val="28"/>
        </w:rPr>
      </w:pPr>
      <w:r>
        <w:rPr>
          <w:b/>
          <w:sz w:val="24"/>
          <w:szCs w:val="28"/>
        </w:rPr>
        <w:t>表8-1 非煤矿矿山企业安全生产许可证安全生产条件评价表</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spacing w:before="159" w:beforeLines="50" w:line="360" w:lineRule="auto"/>
        <w:ind w:firstLine="564" w:firstLineChars="200"/>
        <w:rPr>
          <w:color w:val="000000"/>
          <w:sz w:val="28"/>
          <w:szCs w:val="28"/>
        </w:rPr>
      </w:pPr>
      <w:r>
        <w:rPr>
          <w:color w:val="000000"/>
          <w:sz w:val="28"/>
          <w:szCs w:val="28"/>
        </w:rPr>
        <w:t>评价小结：</w:t>
      </w:r>
    </w:p>
    <w:p>
      <w:pPr>
        <w:adjustRightInd w:val="0"/>
        <w:snapToGrid w:val="0"/>
        <w:spacing w:line="360" w:lineRule="auto"/>
        <w:ind w:firstLine="564" w:firstLineChars="200"/>
        <w:rPr>
          <w:color w:val="000000"/>
          <w:sz w:val="28"/>
          <w:szCs w:val="28"/>
        </w:rPr>
        <w:sectPr>
          <w:footerReference r:id="rId15" w:type="default"/>
          <w:pgSz w:w="11906" w:h="16838"/>
          <w:pgMar w:top="1440" w:right="1803" w:bottom="1440" w:left="1803" w:header="850" w:footer="992" w:gutter="0"/>
          <w:pgBorders>
            <w:top w:val="none" w:sz="0" w:space="0"/>
            <w:left w:val="none" w:sz="0" w:space="0"/>
            <w:bottom w:val="none" w:sz="0" w:space="0"/>
            <w:right w:val="none" w:sz="0" w:space="0"/>
          </w:pgBorders>
          <w:cols w:space="0" w:num="1"/>
          <w:docGrid w:type="linesAndChars" w:linePitch="319" w:charSpace="577"/>
        </w:sectPr>
      </w:pPr>
      <w:r>
        <w:rPr>
          <w:color w:val="000000"/>
          <w:sz w:val="28"/>
          <w:szCs w:val="28"/>
        </w:rPr>
        <w:t>经过现场检查和评价，该企业涉及的</w:t>
      </w:r>
      <w:r>
        <w:rPr>
          <w:rFonts w:hint="eastAsia"/>
          <w:color w:val="000000"/>
          <w:sz w:val="28"/>
          <w:szCs w:val="28"/>
          <w:lang w:eastAsia="zh-CN"/>
        </w:rPr>
        <w:t>井下作业项目</w:t>
      </w:r>
      <w:r>
        <w:rPr>
          <w:color w:val="000000"/>
          <w:sz w:val="28"/>
          <w:szCs w:val="28"/>
        </w:rPr>
        <w:t>取证安全生产条件有11项检查项为符合，无不符合项，1项检查项为不涉及，因此</w:t>
      </w:r>
      <w:r>
        <w:rPr>
          <w:sz w:val="28"/>
          <w:szCs w:val="28"/>
        </w:rPr>
        <w:t>山东胜利油田鸿欣石油技术有限公司</w:t>
      </w:r>
      <w:r>
        <w:rPr>
          <w:bCs/>
          <w:sz w:val="28"/>
        </w:rPr>
        <w:t>具备</w:t>
      </w:r>
      <w:r>
        <w:rPr>
          <w:rFonts w:hint="eastAsia"/>
          <w:color w:val="000000"/>
          <w:sz w:val="28"/>
          <w:szCs w:val="28"/>
          <w:lang w:eastAsia="zh-CN"/>
        </w:rPr>
        <w:t>井下作业项目</w:t>
      </w:r>
      <w:r>
        <w:rPr>
          <w:bCs/>
          <w:sz w:val="28"/>
        </w:rPr>
        <w:t>的安全生产条件</w:t>
      </w:r>
      <w:r>
        <w:rPr>
          <w:color w:val="000000"/>
          <w:sz w:val="28"/>
          <w:szCs w:val="28"/>
        </w:rPr>
        <w:t>。</w:t>
      </w:r>
    </w:p>
    <w:p>
      <w:pPr>
        <w:adjustRightInd w:val="0"/>
        <w:snapToGrid w:val="0"/>
        <w:spacing w:line="360" w:lineRule="auto"/>
        <w:ind w:firstLine="484" w:firstLineChars="200"/>
        <w:jc w:val="center"/>
        <w:rPr>
          <w:b/>
          <w:sz w:val="24"/>
          <w:szCs w:val="28"/>
        </w:rPr>
      </w:pPr>
      <w:r>
        <w:rPr>
          <w:b/>
          <w:sz w:val="24"/>
          <w:szCs w:val="28"/>
        </w:rPr>
        <w:t>表8-2 非煤矿矿山企业安全生产许可证审查书</w:t>
      </w:r>
    </w:p>
    <w:p>
      <w:pPr>
        <w:keepNext w:val="0"/>
        <w:keepLines w:val="0"/>
        <w:pageBreakBefore w:val="0"/>
        <w:widowControl w:val="0"/>
        <w:kinsoku/>
        <w:wordWrap/>
        <w:overflowPunct/>
        <w:topLinePunct w:val="0"/>
        <w:autoSpaceDE/>
        <w:autoSpaceDN/>
        <w:bidi w:val="0"/>
        <w:adjustRightInd w:val="0"/>
        <w:snapToGrid w:val="0"/>
        <w:spacing w:line="360" w:lineRule="auto"/>
        <w:ind w:firstLine="564"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涉及企业机密，不予公开。</w:t>
      </w:r>
    </w:p>
    <w:p>
      <w:pPr>
        <w:adjustRightInd w:val="0"/>
        <w:snapToGrid w:val="0"/>
        <w:ind w:firstLine="424" w:firstLineChars="200"/>
        <w:rPr>
          <w:color w:val="000000"/>
          <w:szCs w:val="21"/>
        </w:rPr>
      </w:pPr>
    </w:p>
    <w:p>
      <w:pPr>
        <w:adjustRightInd w:val="0"/>
        <w:snapToGrid w:val="0"/>
        <w:ind w:firstLine="424" w:firstLineChars="200"/>
        <w:rPr>
          <w:color w:val="000000"/>
          <w:szCs w:val="21"/>
        </w:rPr>
      </w:pPr>
      <w:r>
        <w:rPr>
          <w:color w:val="000000"/>
          <w:szCs w:val="21"/>
        </w:rPr>
        <w:t>注：非煤矿矿山企业总部申请安全生产许可证，需审查第1、3、4、5、6项；金属非金属矿山企业申请安全生产许可证，需审查第1-12项，如果该单位从事爆破作业，还需审查第13项；尾矿库申请安全生产许可证，需审查第1、3、4、5、6、7、8、9、10、11、12项；地质勘探单位和采掘施工企业申请安全生产许可证，需审查第1、2、3、4、5、6、7、9、10、11项，如果该单位从事爆破作业，还需审查第13项；石油天然气勘探、开发生产和储运（陆上采油气、海上采油气、物探、钻井、测井、录井、井下作业、油田建设、海油工程、储运）单位申请安全生产许可证，需审查第1、3、4、5、6、7、8、9、10、11项（其中陆上采油气、海上采油气单位需增加审查第2、12项，储运单位需增加审查第12项）。</w:t>
      </w:r>
    </w:p>
    <w:p>
      <w:pPr>
        <w:adjustRightInd w:val="0"/>
        <w:snapToGrid w:val="0"/>
        <w:spacing w:before="159" w:beforeLines="50" w:line="360" w:lineRule="auto"/>
        <w:ind w:firstLine="564" w:firstLineChars="200"/>
        <w:rPr>
          <w:color w:val="000000"/>
          <w:sz w:val="28"/>
          <w:szCs w:val="28"/>
        </w:rPr>
      </w:pPr>
      <w:r>
        <w:rPr>
          <w:color w:val="000000"/>
          <w:sz w:val="28"/>
          <w:szCs w:val="28"/>
        </w:rPr>
        <w:t>评价小结：</w:t>
      </w:r>
    </w:p>
    <w:p>
      <w:pPr>
        <w:adjustRightInd w:val="0"/>
        <w:snapToGrid w:val="0"/>
        <w:spacing w:line="360" w:lineRule="auto"/>
        <w:ind w:firstLine="564" w:firstLineChars="200"/>
      </w:pPr>
      <w:r>
        <w:rPr>
          <w:color w:val="000000"/>
          <w:sz w:val="28"/>
          <w:szCs w:val="28"/>
        </w:rPr>
        <w:t>经过现场检查和评价，该企业涉及的</w:t>
      </w:r>
      <w:r>
        <w:rPr>
          <w:rFonts w:hint="eastAsia"/>
          <w:color w:val="000000"/>
          <w:sz w:val="28"/>
          <w:szCs w:val="28"/>
          <w:lang w:eastAsia="zh-CN"/>
        </w:rPr>
        <w:t>井下作业项目</w:t>
      </w:r>
      <w:r>
        <w:rPr>
          <w:color w:val="000000"/>
          <w:sz w:val="28"/>
          <w:szCs w:val="28"/>
        </w:rPr>
        <w:t>有10项审查项为符合，无不符合项，3项审查项为不涉及，因此</w:t>
      </w:r>
      <w:r>
        <w:rPr>
          <w:bCs/>
          <w:sz w:val="28"/>
        </w:rPr>
        <w:t>山东胜利油田鸿欣石油技术有限公司</w:t>
      </w:r>
      <w:r>
        <w:rPr>
          <w:rFonts w:hint="eastAsia"/>
          <w:bCs/>
          <w:sz w:val="28"/>
          <w:lang w:eastAsia="zh-CN"/>
        </w:rPr>
        <w:t>井下作业项目</w:t>
      </w:r>
      <w:r>
        <w:rPr>
          <w:bCs/>
          <w:sz w:val="28"/>
        </w:rPr>
        <w:t>的审查条件符合要求</w:t>
      </w:r>
      <w:r>
        <w:rPr>
          <w:color w:val="000000"/>
          <w:sz w:val="28"/>
          <w:szCs w:val="28"/>
        </w:rPr>
        <w:t>。</w:t>
      </w:r>
    </w:p>
    <w:p>
      <w:pPr>
        <w:pStyle w:val="3"/>
        <w:keepNext w:val="0"/>
        <w:adjustRightInd w:val="0"/>
        <w:snapToGrid w:val="0"/>
        <w:spacing w:line="360" w:lineRule="auto"/>
        <w:rPr>
          <w:rFonts w:eastAsia="楷体_GB2312"/>
          <w:b/>
          <w:color w:val="0070C0"/>
          <w:sz w:val="36"/>
          <w:szCs w:val="36"/>
        </w:rPr>
        <w:sectPr>
          <w:footerReference r:id="rId16" w:type="default"/>
          <w:pgSz w:w="16838" w:h="11906" w:orient="landscape"/>
          <w:pgMar w:top="1803" w:right="1440" w:bottom="1803" w:left="1440" w:header="850" w:footer="992" w:gutter="0"/>
          <w:pgBorders>
            <w:top w:val="none" w:sz="0" w:space="0"/>
            <w:left w:val="none" w:sz="0" w:space="0"/>
            <w:bottom w:val="none" w:sz="0" w:space="0"/>
            <w:right w:val="none" w:sz="0" w:space="0"/>
          </w:pgBorders>
          <w:cols w:space="0" w:num="1"/>
          <w:docGrid w:type="linesAndChars" w:linePitch="319" w:charSpace="577"/>
        </w:sectPr>
      </w:pPr>
    </w:p>
    <w:p>
      <w:pPr>
        <w:pStyle w:val="3"/>
        <w:keepNext w:val="0"/>
        <w:adjustRightInd w:val="0"/>
        <w:snapToGrid w:val="0"/>
        <w:spacing w:line="360" w:lineRule="auto"/>
        <w:rPr>
          <w:rFonts w:eastAsia="楷体_GB2312"/>
          <w:b/>
          <w:color w:val="000000" w:themeColor="text1"/>
          <w:sz w:val="36"/>
          <w:szCs w:val="36"/>
          <w14:textFill>
            <w14:solidFill>
              <w14:schemeClr w14:val="tx1"/>
            </w14:solidFill>
          </w14:textFill>
        </w:rPr>
      </w:pPr>
      <w:bookmarkStart w:id="137" w:name="_Toc20195"/>
      <w:r>
        <w:rPr>
          <w:rFonts w:eastAsia="楷体_GB2312"/>
          <w:b/>
          <w:color w:val="000000" w:themeColor="text1"/>
          <w:sz w:val="36"/>
          <w:szCs w:val="36"/>
          <w14:textFill>
            <w14:solidFill>
              <w14:schemeClr w14:val="tx1"/>
            </w14:solidFill>
          </w14:textFill>
        </w:rPr>
        <w:t>9 安全现状评价结论</w:t>
      </w:r>
      <w:bookmarkEnd w:id="131"/>
      <w:bookmarkEnd w:id="137"/>
    </w:p>
    <w:p>
      <w:pPr>
        <w:adjustRightInd w:val="0"/>
        <w:snapToGrid w:val="0"/>
        <w:spacing w:line="360" w:lineRule="auto"/>
        <w:ind w:firstLine="573"/>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根据山东胜利油田鸿欣石油技术有限公司提供的有关资料，本次评价在主要危险、有害因素辨识、分析的基础上，依据国家有关法律、法规、技术标准的要求，运用安全检查表等评价方法，对本项目进行了安全现状评价，得出以下评价结论：</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山东胜利油田鸿欣石油技术有限公司井下作业施工过程中，涉及的主要危险、有害物质有：原油、天然气、硫化氢、氮气</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二氧化碳、化学助剂、压井液、复合酸、盐酸、高压水</w:t>
      </w:r>
      <w:r>
        <w:rPr>
          <w:color w:val="000000" w:themeColor="text1"/>
          <w:sz w:val="28"/>
          <w:szCs w:val="28"/>
          <w14:textFill>
            <w14:solidFill>
              <w14:schemeClr w14:val="tx1"/>
            </w14:solidFill>
          </w14:textFill>
        </w:rPr>
        <w:t>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主要危险因素主要有：火灾爆炸、井喷及井喷失控、容器爆炸、中毒和窒息、物体打击、机械伤害、触电、车辆伤害</w:t>
      </w:r>
      <w:r>
        <w:rPr>
          <w:rFonts w:hint="eastAsia"/>
          <w:color w:val="000000" w:themeColor="text1"/>
          <w:sz w:val="28"/>
          <w:szCs w:val="28"/>
          <w14:textFill>
            <w14:solidFill>
              <w14:schemeClr w14:val="tx1"/>
            </w14:solidFill>
          </w14:textFill>
        </w:rPr>
        <w:t>、高处坠落</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灼烫、其他伤害</w:t>
      </w:r>
      <w:r>
        <w:rPr>
          <w:color w:val="000000" w:themeColor="text1"/>
          <w:sz w:val="28"/>
          <w:szCs w:val="28"/>
          <w14:textFill>
            <w14:solidFill>
              <w14:schemeClr w14:val="tx1"/>
            </w14:solidFill>
          </w14:textFill>
        </w:rPr>
        <w:t>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主要有害因素有噪声、毒物危害等。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自然灾害有：雷电袭击、高温、低温、地震灾害等。</w:t>
      </w:r>
    </w:p>
    <w:p>
      <w:pPr>
        <w:adjustRightInd w:val="0"/>
        <w:snapToGrid w:val="0"/>
        <w:spacing w:line="360" w:lineRule="auto"/>
        <w:ind w:firstLine="564"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w:t>
      </w:r>
      <w:r>
        <w:rPr>
          <w:rFonts w:hint="eastAsia"/>
          <w:color w:val="000000" w:themeColor="text1"/>
          <w:sz w:val="28"/>
          <w:szCs w:val="28"/>
          <w:lang w:eastAsia="zh-CN"/>
          <w14:textFill>
            <w14:solidFill>
              <w14:schemeClr w14:val="tx1"/>
            </w14:solidFill>
          </w14:textFill>
        </w:rPr>
        <w:t>井下作业项目</w:t>
      </w:r>
      <w:r>
        <w:rPr>
          <w:color w:val="000000" w:themeColor="text1"/>
          <w:sz w:val="28"/>
          <w:szCs w:val="28"/>
          <w14:textFill>
            <w14:solidFill>
              <w14:schemeClr w14:val="tx1"/>
            </w14:solidFill>
          </w14:textFill>
        </w:rPr>
        <w:t>未构成危险化学品重大危险源。</w:t>
      </w:r>
    </w:p>
    <w:p>
      <w:pPr>
        <w:adjustRightInd w:val="0"/>
        <w:snapToGrid w:val="0"/>
        <w:spacing w:line="360" w:lineRule="auto"/>
        <w:ind w:firstLine="573"/>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针对</w:t>
      </w:r>
      <w:r>
        <w:rPr>
          <w:color w:val="000000" w:themeColor="text1"/>
          <w:sz w:val="28"/>
          <w:szCs w:val="28"/>
          <w14:textFill>
            <w14:solidFill>
              <w14:schemeClr w14:val="tx1"/>
            </w14:solidFill>
          </w14:textFill>
        </w:rPr>
        <w:t>生产单元和管理单元</w:t>
      </w:r>
      <w:r>
        <w:rPr>
          <w:rFonts w:hint="eastAsia"/>
          <w:color w:val="000000" w:themeColor="text1"/>
          <w:sz w:val="28"/>
          <w:szCs w:val="28"/>
          <w:lang w:val="en-US" w:eastAsia="zh-CN"/>
          <w14:textFill>
            <w14:solidFill>
              <w14:schemeClr w14:val="tx1"/>
            </w14:solidFill>
          </w14:textFill>
        </w:rPr>
        <w:t>采用的</w:t>
      </w:r>
      <w:r>
        <w:rPr>
          <w:color w:val="000000" w:themeColor="text1"/>
          <w:sz w:val="28"/>
          <w:szCs w:val="28"/>
          <w14:textFill>
            <w14:solidFill>
              <w14:schemeClr w14:val="tx1"/>
            </w14:solidFill>
          </w14:textFill>
        </w:rPr>
        <w:t>安全检查表</w:t>
      </w:r>
      <w:r>
        <w:rPr>
          <w:rFonts w:hint="eastAsia"/>
          <w:color w:val="000000" w:themeColor="text1"/>
          <w:sz w:val="28"/>
          <w:szCs w:val="28"/>
          <w:lang w:val="en-US" w:eastAsia="zh-CN"/>
          <w14:textFill>
            <w14:solidFill>
              <w14:schemeClr w14:val="tx1"/>
            </w14:solidFill>
          </w14:textFill>
        </w:rPr>
        <w:t>评价方法</w:t>
      </w:r>
      <w:r>
        <w:rPr>
          <w:color w:val="000000" w:themeColor="text1"/>
          <w:sz w:val="28"/>
          <w:szCs w:val="28"/>
          <w14:textFill>
            <w14:solidFill>
              <w14:schemeClr w14:val="tx1"/>
            </w14:solidFill>
          </w14:textFill>
        </w:rPr>
        <w:t>，其中不符合或部分不符合项内容，鸿欣公司对其进行了整改。</w:t>
      </w:r>
    </w:p>
    <w:p>
      <w:pPr>
        <w:adjustRightInd w:val="0"/>
        <w:snapToGrid w:val="0"/>
        <w:spacing w:line="360" w:lineRule="auto"/>
        <w:ind w:firstLine="573"/>
        <w:rPr>
          <w:color w:val="000000" w:themeColor="text1"/>
          <w:sz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w:t>
      </w:r>
      <w:r>
        <w:rPr>
          <w:rFonts w:hint="eastAsia"/>
          <w:color w:val="000000" w:themeColor="text1"/>
          <w:sz w:val="28"/>
          <w:szCs w:val="28"/>
          <w:lang w:eastAsia="zh-CN"/>
          <w14:textFill>
            <w14:solidFill>
              <w14:schemeClr w14:val="tx1"/>
            </w14:solidFill>
          </w14:textFill>
        </w:rPr>
        <w:t>井下作业项目</w:t>
      </w:r>
      <w:r>
        <w:rPr>
          <w:color w:val="000000" w:themeColor="text1"/>
          <w:sz w:val="28"/>
          <w:szCs w:val="28"/>
          <w14:textFill>
            <w14:solidFill>
              <w14:schemeClr w14:val="tx1"/>
            </w14:solidFill>
          </w14:textFill>
        </w:rPr>
        <w:t>在其营业范围内。其</w:t>
      </w:r>
      <w:r>
        <w:rPr>
          <w:color w:val="000000" w:themeColor="text1"/>
          <w:sz w:val="28"/>
          <w14:textFill>
            <w14:solidFill>
              <w14:schemeClr w14:val="tx1"/>
            </w14:solidFill>
          </w14:textFill>
        </w:rPr>
        <w:t>主要负责人（法人）、安全管理人员经培训并考核合格，持有安全合格证</w:t>
      </w:r>
      <w:r>
        <w:rPr>
          <w:rFonts w:hint="eastAsia"/>
          <w:color w:val="000000" w:themeColor="text1"/>
          <w:sz w:val="28"/>
          <w14:textFill>
            <w14:solidFill>
              <w14:schemeClr w14:val="tx1"/>
            </w14:solidFill>
          </w14:textFill>
        </w:rPr>
        <w:t>。</w:t>
      </w:r>
      <w:r>
        <w:rPr>
          <w:color w:val="000000" w:themeColor="text1"/>
          <w:sz w:val="28"/>
          <w14:textFill>
            <w14:solidFill>
              <w14:schemeClr w14:val="tx1"/>
            </w14:solidFill>
          </w14:textFill>
        </w:rPr>
        <w:t>与</w:t>
      </w:r>
      <w:r>
        <w:rPr>
          <w:color w:val="000000" w:themeColor="text1"/>
          <w:sz w:val="28"/>
          <w:szCs w:val="28"/>
          <w14:textFill>
            <w14:solidFill>
              <w14:schemeClr w14:val="tx1"/>
            </w14:solidFill>
          </w14:textFill>
        </w:rPr>
        <w:t>井下作业相关的特种作业人员持证上岗，</w:t>
      </w:r>
      <w:r>
        <w:rPr>
          <w:color w:val="000000" w:themeColor="text1"/>
          <w:sz w:val="28"/>
          <w14:textFill>
            <w14:solidFill>
              <w14:schemeClr w14:val="tx1"/>
            </w14:solidFill>
          </w14:textFill>
        </w:rPr>
        <w:t>均在复审有效期内；操作人员均经过HSE、硫化氢防护、井控培训合格后，持证上岗；管理人员也根据有关规范要求，分别取得HSE、硫化氢防护、井控等证件。</w:t>
      </w:r>
    </w:p>
    <w:p>
      <w:pPr>
        <w:adjustRightInd w:val="0"/>
        <w:snapToGrid w:val="0"/>
        <w:spacing w:line="360" w:lineRule="auto"/>
        <w:ind w:firstLine="573"/>
        <w:rPr>
          <w:color w:val="000000" w:themeColor="text1"/>
          <w:sz w:val="28"/>
          <w14:textFill>
            <w14:solidFill>
              <w14:schemeClr w14:val="tx1"/>
            </w14:solidFill>
          </w14:textFill>
        </w:rPr>
      </w:pPr>
      <w:r>
        <w:rPr>
          <w:color w:val="000000" w:themeColor="text1"/>
          <w:sz w:val="28"/>
          <w:szCs w:val="28"/>
          <w14:textFill>
            <w14:solidFill>
              <w14:schemeClr w14:val="tx1"/>
            </w14:solidFill>
          </w14:textFill>
        </w:rPr>
        <w:t>鸿欣公司</w:t>
      </w:r>
      <w:r>
        <w:rPr>
          <w:color w:val="000000" w:themeColor="text1"/>
          <w:sz w:val="28"/>
          <w14:textFill>
            <w14:solidFill>
              <w14:schemeClr w14:val="tx1"/>
            </w14:solidFill>
          </w14:textFill>
        </w:rPr>
        <w:t>按要求设置安全生产管理机构，并配备专职安全管理人员；建立健全本单位主要负责人（法人）、其他负责人、</w:t>
      </w:r>
      <w:r>
        <w:rPr>
          <w:rFonts w:hint="eastAsia"/>
          <w:color w:val="000000" w:themeColor="text1"/>
          <w:sz w:val="28"/>
          <w:lang w:val="en-US" w:eastAsia="zh-CN"/>
          <w14:textFill>
            <w14:solidFill>
              <w14:schemeClr w14:val="tx1"/>
            </w14:solidFill>
          </w14:textFill>
        </w:rPr>
        <w:t>队长</w:t>
      </w:r>
      <w:r>
        <w:rPr>
          <w:color w:val="000000" w:themeColor="text1"/>
          <w:sz w:val="28"/>
          <w14:textFill>
            <w14:solidFill>
              <w14:schemeClr w14:val="tx1"/>
            </w14:solidFill>
          </w14:textFill>
        </w:rPr>
        <w:t>、一般从业人员等全体人员的安全生产责任</w:t>
      </w:r>
      <w:r>
        <w:rPr>
          <w:rFonts w:hint="eastAsia"/>
          <w:color w:val="000000" w:themeColor="text1"/>
          <w:sz w:val="28"/>
          <w14:textFill>
            <w14:solidFill>
              <w14:schemeClr w14:val="tx1"/>
            </w14:solidFill>
          </w14:textFill>
        </w:rPr>
        <w:t>制</w:t>
      </w:r>
      <w:r>
        <w:rPr>
          <w:color w:val="000000" w:themeColor="text1"/>
          <w:sz w:val="28"/>
          <w14:textFill>
            <w14:solidFill>
              <w14:schemeClr w14:val="tx1"/>
            </w14:solidFill>
          </w14:textFill>
        </w:rPr>
        <w:t>；安全管理制度和安全操作规程齐全；制定有应急救援预案并备案，建立了应急救援组织，配备有必要的应急救援器材、设备，制定有应急演练计划，并按照演练计划进行演练、评估。</w:t>
      </w:r>
    </w:p>
    <w:p>
      <w:pPr>
        <w:adjustRightInd w:val="0"/>
        <w:snapToGrid w:val="0"/>
        <w:spacing w:line="360" w:lineRule="auto"/>
        <w:ind w:firstLine="573"/>
        <w:rPr>
          <w:color w:val="000000" w:themeColor="text1"/>
          <w:sz w:val="28"/>
          <w14:textFill>
            <w14:solidFill>
              <w14:schemeClr w14:val="tx1"/>
            </w14:solidFill>
          </w14:textFill>
        </w:rPr>
      </w:pPr>
      <w:r>
        <w:rPr>
          <w:color w:val="000000" w:themeColor="text1"/>
          <w:sz w:val="28"/>
          <w14:textFill>
            <w14:solidFill>
              <w14:schemeClr w14:val="tx1"/>
            </w14:solidFill>
          </w14:textFill>
        </w:rPr>
        <w:t>鸿欣公司依法提取安全生产费用并使用；依法参加工伤保险，为从业人员缴纳工伤保险和安全生产责任险；按规定为从业人员配备符合国家标准要求的劳动防护用品；定期对危险性较大的设备设施、安全设施及附件等进行检测检验。</w:t>
      </w:r>
    </w:p>
    <w:p>
      <w:pPr>
        <w:adjustRightInd w:val="0"/>
        <w:snapToGrid w:val="0"/>
        <w:spacing w:line="360" w:lineRule="auto"/>
        <w:ind w:firstLine="570"/>
        <w:rPr>
          <w:b/>
          <w:color w:val="000000" w:themeColor="text1"/>
          <w:sz w:val="28"/>
          <w14:textFill>
            <w14:solidFill>
              <w14:schemeClr w14:val="tx1"/>
            </w14:solidFill>
          </w14:textFill>
        </w:rPr>
      </w:pPr>
      <w:r>
        <w:rPr>
          <w:b/>
          <w:color w:val="000000" w:themeColor="text1"/>
          <w:sz w:val="28"/>
          <w14:textFill>
            <w14:solidFill>
              <w14:schemeClr w14:val="tx1"/>
            </w14:solidFill>
          </w14:textFill>
        </w:rPr>
        <w:t>综上所述，山东胜利油田鸿欣石油技术有限公司</w:t>
      </w:r>
      <w:r>
        <w:rPr>
          <w:rFonts w:hint="eastAsia"/>
          <w:b/>
          <w:color w:val="000000" w:themeColor="text1"/>
          <w:sz w:val="28"/>
          <w:lang w:eastAsia="zh-CN"/>
          <w14:textFill>
            <w14:solidFill>
              <w14:schemeClr w14:val="tx1"/>
            </w14:solidFill>
          </w14:textFill>
        </w:rPr>
        <w:t>井下作业：注气（二氧化碳、氮气）、酸化、防砂、堵水</w:t>
      </w:r>
      <w:r>
        <w:rPr>
          <w:rFonts w:hint="eastAsia"/>
          <w:b/>
          <w:color w:val="000000" w:themeColor="text1"/>
          <w:sz w:val="28"/>
          <w:lang w:val="en-US" w:eastAsia="zh-CN"/>
          <w14:textFill>
            <w14:solidFill>
              <w14:schemeClr w14:val="tx1"/>
            </w14:solidFill>
          </w14:textFill>
        </w:rPr>
        <w:t>/</w:t>
      </w:r>
      <w:r>
        <w:rPr>
          <w:rFonts w:hint="eastAsia"/>
          <w:b/>
          <w:color w:val="000000" w:themeColor="text1"/>
          <w:sz w:val="28"/>
          <w:lang w:eastAsia="zh-CN"/>
          <w14:textFill>
            <w14:solidFill>
              <w14:schemeClr w14:val="tx1"/>
            </w14:solidFill>
          </w14:textFill>
        </w:rPr>
        <w:t>调剖、特殊工艺技术服务（套管补贴）、井下复杂情况处理（堵漏）项目</w:t>
      </w:r>
      <w:r>
        <w:rPr>
          <w:b/>
          <w:color w:val="000000" w:themeColor="text1"/>
          <w:sz w:val="28"/>
          <w14:textFill>
            <w14:solidFill>
              <w14:schemeClr w14:val="tx1"/>
            </w14:solidFill>
          </w14:textFill>
        </w:rPr>
        <w:t>具备法律法规、标准规范规定的安全生产条件。</w:t>
      </w:r>
    </w:p>
    <w:p>
      <w:pPr>
        <w:adjustRightInd w:val="0"/>
        <w:snapToGrid w:val="0"/>
        <w:spacing w:line="360" w:lineRule="auto"/>
        <w:ind w:firstLine="573"/>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山东胜利油田鸿欣石油技术有限公司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p>
      <w:pPr>
        <w:rPr>
          <w:rFonts w:hint="default"/>
          <w:color w:val="000000" w:themeColor="text1"/>
          <w:sz w:val="28"/>
          <w:szCs w:val="28"/>
          <w:lang w:val="en-US" w:eastAsia="zh-CN"/>
          <w14:textFill>
            <w14:solidFill>
              <w14:schemeClr w14:val="tx1"/>
            </w14:solidFill>
          </w14:textFill>
        </w:rPr>
      </w:pPr>
    </w:p>
    <w:sectPr>
      <w:pgSz w:w="11906" w:h="16838"/>
      <w:pgMar w:top="1440" w:right="1803" w:bottom="1440" w:left="1803" w:header="850" w:footer="992" w:gutter="0"/>
      <w:pgBorders>
        <w:top w:val="none" w:sz="0" w:space="0"/>
        <w:left w:val="none" w:sz="0" w:space="0"/>
        <w:bottom w:val="none" w:sz="0" w:space="0"/>
        <w:right w:val="none" w:sz="0" w:space="0"/>
      </w:pgBorders>
      <w:cols w:space="0" w:num="1"/>
      <w:docGrid w:type="linesAndChars" w:linePitch="319" w:charSpace="5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Garamond">
    <w:altName w:val="PMingLiU-ExtB"/>
    <w:panose1 w:val="02020404030301010803"/>
    <w:charset w:val="00"/>
    <w:family w:val="roman"/>
    <w:pitch w:val="default"/>
    <w:sig w:usb0="00000000" w:usb1="00000000" w:usb2="00000000" w:usb3="00000000" w:csb0="0000009F" w:csb1="DFD7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0002009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right" w:y="1"/>
      <w:ind w:firstLine="560"/>
      <w:rPr>
        <w:rStyle w:val="56"/>
      </w:rPr>
    </w:pPr>
    <w:r>
      <w:rPr>
        <w:rStyle w:val="56"/>
      </w:rPr>
      <w:fldChar w:fldCharType="begin"/>
    </w:r>
    <w:r>
      <w:rPr>
        <w:rStyle w:val="56"/>
      </w:rPr>
      <w:instrText xml:space="preserve">PAGE  </w:instrText>
    </w:r>
    <w:r>
      <w:rPr>
        <w:rStyle w:val="56"/>
      </w:rPr>
      <w:fldChar w:fldCharType="separate"/>
    </w:r>
    <w:r>
      <w:rPr>
        <w:rStyle w:val="56"/>
      </w:rPr>
      <w:t>2</w:t>
    </w:r>
    <w:r>
      <w:rPr>
        <w:rStyle w:val="56"/>
      </w:rPr>
      <w:fldChar w:fldCharType="end"/>
    </w:r>
  </w:p>
  <w:p>
    <w:pPr>
      <w:pStyle w:val="34"/>
      <w:ind w:right="360" w:firstLine="4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ind w:firstLine="4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jc w:val="center"/>
                          </w:pPr>
                          <w:r>
                            <w:fldChar w:fldCharType="begin"/>
                          </w:r>
                          <w:r>
                            <w:instrText xml:space="preserve">PAGE   \* MERGEFORMAT</w:instrText>
                          </w:r>
                          <w:r>
                            <w:fldChar w:fldCharType="separate"/>
                          </w:r>
                          <w:r>
                            <w:rPr>
                              <w:lang w:val="zh-CN"/>
                            </w:rPr>
                            <w:t>14</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YIoz46AgAAcg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AWCKM+OgIAAHIEAAAOAAAAAAAAAAEAIAAAAB8BAABkcnMvZTJvRG9j&#10;LnhtbFBLBQYAAAAABgAGAFkBAADL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14</w:t>
                    </w:r>
                    <w:r>
                      <w:rPr>
                        <w:lang w:val="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jc w:val="center"/>
                          </w:pPr>
                          <w:r>
                            <w:fldChar w:fldCharType="begin"/>
                          </w:r>
                          <w:r>
                            <w:instrText xml:space="preserve">PAGE   \* MERGEFORMAT</w:instrText>
                          </w:r>
                          <w:r>
                            <w:fldChar w:fldCharType="separate"/>
                          </w:r>
                          <w:r>
                            <w:rPr>
                              <w:lang w:val="zh-CN"/>
                            </w:rPr>
                            <w:t>80</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3GEQE6AgAAcQQAAA4AAABkcnMvZTJvRG9jLnhtbK1UzY7TMBC+I/EO&#10;lu80bYGqqp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BtxhEBOgIAAHEEAAAOAAAAAAAAAAEAIAAAAB8BAABkcnMvZTJvRG9j&#10;LnhtbFBLBQYAAAAABgAGAFkBAADL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80</w:t>
                    </w:r>
                    <w:r>
                      <w:rPr>
                        <w:lang w:val="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jc w:val="center"/>
                          </w:pPr>
                          <w:r>
                            <w:fldChar w:fldCharType="begin"/>
                          </w:r>
                          <w:r>
                            <w:instrText xml:space="preserve">PAGE   \* MERGEFORMAT</w:instrText>
                          </w:r>
                          <w:r>
                            <w:fldChar w:fldCharType="separate"/>
                          </w:r>
                          <w:r>
                            <w:rPr>
                              <w:lang w:val="zh-CN"/>
                            </w:rPr>
                            <w:t>110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4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8S2c6AgAAcQQAAA4AAABkcnMvZTJvRG9jLnhtbK1UzY7TMBC+I/EO&#10;lu80aRd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BafEtnOgIAAHEEAAAOAAAAAAAAAAEAIAAAAB8BAABkcnMvZTJvRG9j&#10;LnhtbFBLBQYAAAAABgAGAFkBAADL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110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51510" cy="300355"/>
              <wp:effectExtent l="0" t="0" r="0" b="0"/>
              <wp:wrapNone/>
              <wp:docPr id="25" name="文本框 19"/>
              <wp:cNvGraphicFramePr/>
              <a:graphic xmlns:a="http://schemas.openxmlformats.org/drawingml/2006/main">
                <a:graphicData uri="http://schemas.microsoft.com/office/word/2010/wordprocessingShape">
                  <wps:wsp>
                    <wps:cNvSpPr txBox="1"/>
                    <wps:spPr>
                      <a:xfrm>
                        <a:off x="0" y="0"/>
                        <a:ext cx="651510" cy="300355"/>
                      </a:xfrm>
                      <a:prstGeom prst="rect">
                        <a:avLst/>
                      </a:prstGeom>
                      <a:noFill/>
                      <a:ln w="6350">
                        <a:noFill/>
                      </a:ln>
                      <a:effectLst/>
                    </wps:spPr>
                    <wps:txbx>
                      <w:txbxContent>
                        <w:p>
                          <w:pPr>
                            <w:pStyle w:val="34"/>
                            <w:jc w:val="center"/>
                          </w:pPr>
                          <w:r>
                            <w:fldChar w:fldCharType="begin"/>
                          </w:r>
                          <w:r>
                            <w:instrText xml:space="preserve">PAGE   \* MERGEFORMAT</w:instrText>
                          </w:r>
                          <w:r>
                            <w:fldChar w:fldCharType="separate"/>
                          </w:r>
                          <w:r>
                            <w:rPr>
                              <w:lang w:val="zh-CN"/>
                            </w:rPr>
                            <w:t>126</w:t>
                          </w:r>
                          <w:r>
                            <w:rPr>
                              <w:lang w:val="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19" o:spid="_x0000_s1026" o:spt="202" type="#_x0000_t202" style="position:absolute;left:0pt;margin-top:0pt;height:23.65pt;width:51.3pt;mso-position-horizontal:center;mso-position-horizontal-relative:margin;z-index:251660288;mso-width-relative:page;mso-height-relative:page;" filled="f" stroked="f" coordsize="21600,21600"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BQXa10wAAAAQBAAAPAAAAAAAAAAEAIAAAACIAAABkcnMvZG93&#10;bnJldi54bWxQSwECFAAUAAAACACHTuJAiUa6uz4CAABxBAAADgAAAAAAAAABACAAAAAiAQAAZHJz&#10;L2Uyb0RvYy54bWxQSwUGAAAAAAYABgBZAQAA0gUAAAAA&#10;">
              <v:fill on="f" focussize="0,0"/>
              <v:stroke on="f" weight="0.5pt"/>
              <v:imagedata o:title=""/>
              <o:lock v:ext="edit" aspectratio="f"/>
              <v:textbox inset="0mm,0mm,0mm,0mm">
                <w:txbxContent>
                  <w:p>
                    <w:pPr>
                      <w:pStyle w:val="34"/>
                      <w:jc w:val="center"/>
                    </w:pPr>
                    <w:r>
                      <w:fldChar w:fldCharType="begin"/>
                    </w:r>
                    <w:r>
                      <w:instrText xml:space="preserve">PAGE   \* MERGEFORMAT</w:instrText>
                    </w:r>
                    <w:r>
                      <w:fldChar w:fldCharType="separate"/>
                    </w:r>
                    <w:r>
                      <w:rPr>
                        <w:lang w:val="zh-CN"/>
                      </w:rPr>
                      <w:t>126</w:t>
                    </w:r>
                    <w:r>
                      <w:rPr>
                        <w:lang w:val="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jc w:val="center"/>
                          </w:pPr>
                          <w:r>
                            <w:fldChar w:fldCharType="begin"/>
                          </w:r>
                          <w:r>
                            <w:instrText xml:space="preserve">PAGE   \* MERGEFORMAT</w:instrText>
                          </w:r>
                          <w:r>
                            <w:fldChar w:fldCharType="separate"/>
                          </w:r>
                          <w:r>
                            <w:rPr>
                              <w:lang w:val="zh-CN"/>
                            </w:rPr>
                            <w:t>138</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HUfV8I5AgAAcQQAAA4AAAAAAAAAAQAgAAAAHwEAAGRycy9lMm9Eb2Mu&#10;eG1sUEsFBgAAAAAGAAYAWQEAAMoFA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138</w:t>
                    </w:r>
                    <w:r>
                      <w:rPr>
                        <w:lang w:val="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firstLine="4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firstLine="44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15"/>
        <w:szCs w:val="15"/>
      </w:rPr>
    </w:pPr>
    <w:r>
      <w:rPr>
        <w:rFonts w:hint="eastAsia"/>
        <w:bCs/>
        <w:color w:val="000000"/>
        <w:lang w:eastAsia="zh-CN"/>
      </w:rPr>
      <w:t>山东胜利油田鸿欣石油技术有限公司井下作业项目</w:t>
    </w:r>
    <w:r>
      <w:rPr>
        <w:rFonts w:hint="eastAsia"/>
        <w:bCs/>
        <w:color w:val="000000"/>
      </w:rPr>
      <w:t>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957D0"/>
    <w:multiLevelType w:val="multilevel"/>
    <w:tmpl w:val="81D957D0"/>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1">
    <w:nsid w:val="8B16EC6A"/>
    <w:multiLevelType w:val="singleLevel"/>
    <w:tmpl w:val="8B16EC6A"/>
    <w:lvl w:ilvl="0" w:tentative="0">
      <w:start w:val="5"/>
      <w:numFmt w:val="decimal"/>
      <w:suff w:val="nothing"/>
      <w:lvlText w:val="%1）"/>
      <w:lvlJc w:val="left"/>
    </w:lvl>
  </w:abstractNum>
  <w:abstractNum w:abstractNumId="2">
    <w:nsid w:val="8E741C6F"/>
    <w:multiLevelType w:val="multilevel"/>
    <w:tmpl w:val="8E741C6F"/>
    <w:lvl w:ilvl="0" w:tentative="0">
      <w:start w:val="1"/>
      <w:numFmt w:val="decimal"/>
      <w:suff w:val="nothing"/>
      <w:lvlText w:val="%1."/>
      <w:lvlJc w:val="left"/>
      <w:pPr>
        <w:ind w:left="105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3">
    <w:nsid w:val="978A7D99"/>
    <w:multiLevelType w:val="singleLevel"/>
    <w:tmpl w:val="978A7D99"/>
    <w:lvl w:ilvl="0" w:tentative="0">
      <w:start w:val="1"/>
      <w:numFmt w:val="decimal"/>
      <w:lvlText w:val="%1)"/>
      <w:lvlJc w:val="left"/>
      <w:pPr>
        <w:ind w:left="425" w:hanging="425"/>
      </w:pPr>
      <w:rPr>
        <w:rFonts w:hint="default"/>
      </w:rPr>
    </w:lvl>
  </w:abstractNum>
  <w:abstractNum w:abstractNumId="4">
    <w:nsid w:val="9CA3E8B5"/>
    <w:multiLevelType w:val="singleLevel"/>
    <w:tmpl w:val="9CA3E8B5"/>
    <w:lvl w:ilvl="0" w:tentative="0">
      <w:start w:val="1"/>
      <w:numFmt w:val="decimal"/>
      <w:suff w:val="nothing"/>
      <w:lvlText w:val="（%1）"/>
      <w:lvlJc w:val="left"/>
    </w:lvl>
  </w:abstractNum>
  <w:abstractNum w:abstractNumId="5">
    <w:nsid w:val="ACAF7DD4"/>
    <w:multiLevelType w:val="singleLevel"/>
    <w:tmpl w:val="ACAF7DD4"/>
    <w:lvl w:ilvl="0" w:tentative="0">
      <w:start w:val="1"/>
      <w:numFmt w:val="decimal"/>
      <w:lvlText w:val="%1)"/>
      <w:lvlJc w:val="left"/>
      <w:pPr>
        <w:ind w:left="425" w:hanging="425"/>
      </w:pPr>
      <w:rPr>
        <w:rFonts w:hint="default"/>
      </w:rPr>
    </w:lvl>
  </w:abstractNum>
  <w:abstractNum w:abstractNumId="6">
    <w:nsid w:val="C8AD50A7"/>
    <w:multiLevelType w:val="multilevel"/>
    <w:tmpl w:val="C8AD50A7"/>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7">
    <w:nsid w:val="CCBDAC3B"/>
    <w:multiLevelType w:val="singleLevel"/>
    <w:tmpl w:val="CCBDAC3B"/>
    <w:lvl w:ilvl="0" w:tentative="0">
      <w:start w:val="1"/>
      <w:numFmt w:val="decimal"/>
      <w:lvlText w:val="%1)"/>
      <w:lvlJc w:val="left"/>
      <w:pPr>
        <w:ind w:left="425" w:hanging="425"/>
      </w:pPr>
      <w:rPr>
        <w:rFonts w:hint="default"/>
      </w:rPr>
    </w:lvl>
  </w:abstractNum>
  <w:abstractNum w:abstractNumId="8">
    <w:nsid w:val="F5B70CB4"/>
    <w:multiLevelType w:val="singleLevel"/>
    <w:tmpl w:val="F5B70CB4"/>
    <w:lvl w:ilvl="0" w:tentative="0">
      <w:start w:val="1"/>
      <w:numFmt w:val="decimal"/>
      <w:suff w:val="space"/>
      <w:lvlText w:val="%1."/>
      <w:lvlJc w:val="left"/>
    </w:lvl>
  </w:abstractNum>
  <w:abstractNum w:abstractNumId="9">
    <w:nsid w:val="0335F8ED"/>
    <w:multiLevelType w:val="multilevel"/>
    <w:tmpl w:val="0335F8ED"/>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10">
    <w:nsid w:val="0D08B109"/>
    <w:multiLevelType w:val="singleLevel"/>
    <w:tmpl w:val="0D08B109"/>
    <w:lvl w:ilvl="0" w:tentative="0">
      <w:start w:val="1"/>
      <w:numFmt w:val="decimal"/>
      <w:lvlText w:val="%1)"/>
      <w:lvlJc w:val="left"/>
      <w:pPr>
        <w:ind w:left="425" w:hanging="425"/>
      </w:pPr>
      <w:rPr>
        <w:rFonts w:hint="default"/>
      </w:rPr>
    </w:lvl>
  </w:abstractNum>
  <w:abstractNum w:abstractNumId="11">
    <w:nsid w:val="1B890CC9"/>
    <w:multiLevelType w:val="multilevel"/>
    <w:tmpl w:val="1B890CC9"/>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12">
    <w:nsid w:val="282C49B3"/>
    <w:multiLevelType w:val="multilevel"/>
    <w:tmpl w:val="282C49B3"/>
    <w:lvl w:ilvl="0" w:tentative="0">
      <w:start w:val="1"/>
      <w:numFmt w:val="decimalEnclosedCircle"/>
      <w:pStyle w:val="151"/>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13">
    <w:nsid w:val="34B4B941"/>
    <w:multiLevelType w:val="singleLevel"/>
    <w:tmpl w:val="34B4B941"/>
    <w:lvl w:ilvl="0" w:tentative="0">
      <w:start w:val="1"/>
      <w:numFmt w:val="decimal"/>
      <w:lvlText w:val="%1."/>
      <w:lvlJc w:val="left"/>
      <w:pPr>
        <w:tabs>
          <w:tab w:val="left" w:pos="312"/>
        </w:tabs>
      </w:pPr>
    </w:lvl>
  </w:abstractNum>
  <w:abstractNum w:abstractNumId="14">
    <w:nsid w:val="35090CB7"/>
    <w:multiLevelType w:val="singleLevel"/>
    <w:tmpl w:val="35090CB7"/>
    <w:lvl w:ilvl="0" w:tentative="0">
      <w:start w:val="7"/>
      <w:numFmt w:val="decimal"/>
      <w:suff w:val="nothing"/>
      <w:lvlText w:val="%1）"/>
      <w:lvlJc w:val="left"/>
    </w:lvl>
  </w:abstractNum>
  <w:abstractNum w:abstractNumId="15">
    <w:nsid w:val="4AC8E19C"/>
    <w:multiLevelType w:val="singleLevel"/>
    <w:tmpl w:val="4AC8E19C"/>
    <w:lvl w:ilvl="0" w:tentative="0">
      <w:start w:val="12"/>
      <w:numFmt w:val="upperLetter"/>
      <w:suff w:val="nothing"/>
      <w:lvlText w:val="%1、"/>
      <w:lvlJc w:val="left"/>
    </w:lvl>
  </w:abstractNum>
  <w:abstractNum w:abstractNumId="16">
    <w:nsid w:val="4BDB5DBF"/>
    <w:multiLevelType w:val="multilevel"/>
    <w:tmpl w:val="4BDB5DBF"/>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17">
    <w:nsid w:val="55338D22"/>
    <w:multiLevelType w:val="multilevel"/>
    <w:tmpl w:val="55338D22"/>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18">
    <w:nsid w:val="578F4838"/>
    <w:multiLevelType w:val="multilevel"/>
    <w:tmpl w:val="578F4838"/>
    <w:lvl w:ilvl="0" w:tentative="0">
      <w:start w:val="1"/>
      <w:numFmt w:val="decimal"/>
      <w:suff w:val="nothing"/>
      <w:lvlText w:val="%1."/>
      <w:lvlJc w:val="left"/>
      <w:pPr>
        <w:ind w:left="737" w:hanging="177"/>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9">
    <w:nsid w:val="67D11B0D"/>
    <w:multiLevelType w:val="multilevel"/>
    <w:tmpl w:val="67D11B0D"/>
    <w:lvl w:ilvl="0" w:tentative="0">
      <w:start w:val="1"/>
      <w:numFmt w:val="decimalEnclosedCircle"/>
      <w:pStyle w:val="131"/>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20">
    <w:nsid w:val="7F0255C5"/>
    <w:multiLevelType w:val="multilevel"/>
    <w:tmpl w:val="7F0255C5"/>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num w:numId="1">
    <w:abstractNumId w:val="19"/>
  </w:num>
  <w:num w:numId="2">
    <w:abstractNumId w:val="12"/>
  </w:num>
  <w:num w:numId="3">
    <w:abstractNumId w:val="16"/>
  </w:num>
  <w:num w:numId="4">
    <w:abstractNumId w:val="11"/>
  </w:num>
  <w:num w:numId="5">
    <w:abstractNumId w:val="6"/>
  </w:num>
  <w:num w:numId="6">
    <w:abstractNumId w:val="20"/>
  </w:num>
  <w:num w:numId="7">
    <w:abstractNumId w:val="17"/>
  </w:num>
  <w:num w:numId="8">
    <w:abstractNumId w:val="18"/>
  </w:num>
  <w:num w:numId="9">
    <w:abstractNumId w:val="0"/>
  </w:num>
  <w:num w:numId="10">
    <w:abstractNumId w:val="8"/>
  </w:num>
  <w:num w:numId="11">
    <w:abstractNumId w:val="13"/>
  </w:num>
  <w:num w:numId="12">
    <w:abstractNumId w:val="14"/>
  </w:num>
  <w:num w:numId="13">
    <w:abstractNumId w:val="1"/>
  </w:num>
  <w:num w:numId="14">
    <w:abstractNumId w:val="9"/>
  </w:num>
  <w:num w:numId="15">
    <w:abstractNumId w:val="2"/>
  </w:num>
  <w:num w:numId="16">
    <w:abstractNumId w:val="10"/>
  </w:num>
  <w:num w:numId="17">
    <w:abstractNumId w:val="5"/>
  </w:num>
  <w:num w:numId="18">
    <w:abstractNumId w:val="3"/>
  </w:num>
  <w:num w:numId="19">
    <w:abstractNumId w:val="7"/>
  </w:num>
  <w:num w:numId="20">
    <w:abstractNumId w:val="4"/>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hideSpellingErrors/>
  <w:documentProtection w:enforcement="0"/>
  <w:defaultTabStop w:val="420"/>
  <w:drawingGridHorizontalSpacing w:val="213"/>
  <w:drawingGridVerticalSpacing w:val="31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MWJiZmRjNjAyNTI1MGM0NzNmODQ5MzE2YTcwNDM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2D5E"/>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1FB"/>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860"/>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0F7"/>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3F5"/>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B63"/>
    <w:rsid w:val="00070C74"/>
    <w:rsid w:val="00070CBF"/>
    <w:rsid w:val="00070ED0"/>
    <w:rsid w:val="00070F7A"/>
    <w:rsid w:val="00070FD9"/>
    <w:rsid w:val="000710B9"/>
    <w:rsid w:val="00071149"/>
    <w:rsid w:val="000711BD"/>
    <w:rsid w:val="00071741"/>
    <w:rsid w:val="000717FD"/>
    <w:rsid w:val="000726D3"/>
    <w:rsid w:val="00072B52"/>
    <w:rsid w:val="00072E37"/>
    <w:rsid w:val="00073076"/>
    <w:rsid w:val="00073195"/>
    <w:rsid w:val="00073931"/>
    <w:rsid w:val="00073C03"/>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C76"/>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307F"/>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3D1F"/>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250A"/>
    <w:rsid w:val="000D3471"/>
    <w:rsid w:val="000D35B8"/>
    <w:rsid w:val="000D4930"/>
    <w:rsid w:val="000D4C0F"/>
    <w:rsid w:val="000D528B"/>
    <w:rsid w:val="000D55ED"/>
    <w:rsid w:val="000D5861"/>
    <w:rsid w:val="000D58BC"/>
    <w:rsid w:val="000D5925"/>
    <w:rsid w:val="000D64BA"/>
    <w:rsid w:val="000D6543"/>
    <w:rsid w:val="000D67F0"/>
    <w:rsid w:val="000D6EAC"/>
    <w:rsid w:val="000D774C"/>
    <w:rsid w:val="000D7AA5"/>
    <w:rsid w:val="000E0A26"/>
    <w:rsid w:val="000E0B90"/>
    <w:rsid w:val="000E0ECD"/>
    <w:rsid w:val="000E1217"/>
    <w:rsid w:val="000E12D0"/>
    <w:rsid w:val="000E2066"/>
    <w:rsid w:val="000E2E2C"/>
    <w:rsid w:val="000E31E4"/>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5EF4"/>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949"/>
    <w:rsid w:val="00157EBE"/>
    <w:rsid w:val="001609BA"/>
    <w:rsid w:val="00160E0B"/>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2A27"/>
    <w:rsid w:val="001733C5"/>
    <w:rsid w:val="00173910"/>
    <w:rsid w:val="00173FBC"/>
    <w:rsid w:val="00174529"/>
    <w:rsid w:val="001745DA"/>
    <w:rsid w:val="00175013"/>
    <w:rsid w:val="0017710D"/>
    <w:rsid w:val="001773AC"/>
    <w:rsid w:val="00177CD1"/>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8DD"/>
    <w:rsid w:val="00192F03"/>
    <w:rsid w:val="00193527"/>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2C9"/>
    <w:rsid w:val="001C059F"/>
    <w:rsid w:val="001C0662"/>
    <w:rsid w:val="001C0D86"/>
    <w:rsid w:val="001C12EE"/>
    <w:rsid w:val="001C16DC"/>
    <w:rsid w:val="001C1A1F"/>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9E9"/>
    <w:rsid w:val="001F0863"/>
    <w:rsid w:val="001F0901"/>
    <w:rsid w:val="001F09CB"/>
    <w:rsid w:val="001F0BD3"/>
    <w:rsid w:val="001F21C4"/>
    <w:rsid w:val="001F229F"/>
    <w:rsid w:val="001F24FB"/>
    <w:rsid w:val="001F28B3"/>
    <w:rsid w:val="001F2D6A"/>
    <w:rsid w:val="001F2E33"/>
    <w:rsid w:val="001F337B"/>
    <w:rsid w:val="001F392B"/>
    <w:rsid w:val="001F4388"/>
    <w:rsid w:val="001F469E"/>
    <w:rsid w:val="001F4DF0"/>
    <w:rsid w:val="001F52AB"/>
    <w:rsid w:val="001F560B"/>
    <w:rsid w:val="001F584E"/>
    <w:rsid w:val="001F5EF6"/>
    <w:rsid w:val="001F649F"/>
    <w:rsid w:val="001F6A5A"/>
    <w:rsid w:val="001F70E3"/>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0C1"/>
    <w:rsid w:val="0024028F"/>
    <w:rsid w:val="00240589"/>
    <w:rsid w:val="002407A0"/>
    <w:rsid w:val="00240A33"/>
    <w:rsid w:val="00240C9F"/>
    <w:rsid w:val="0024126C"/>
    <w:rsid w:val="0024144B"/>
    <w:rsid w:val="0024188F"/>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1BC2"/>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FB2"/>
    <w:rsid w:val="002B1057"/>
    <w:rsid w:val="002B15A1"/>
    <w:rsid w:val="002B18E3"/>
    <w:rsid w:val="002B1A39"/>
    <w:rsid w:val="002B1C5A"/>
    <w:rsid w:val="002B1D44"/>
    <w:rsid w:val="002B1E3C"/>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094"/>
    <w:rsid w:val="002C3B3D"/>
    <w:rsid w:val="002C3FB1"/>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E7E10"/>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34D"/>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915"/>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901"/>
    <w:rsid w:val="003C7F2D"/>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00"/>
    <w:rsid w:val="003F4A4F"/>
    <w:rsid w:val="003F5925"/>
    <w:rsid w:val="003F6291"/>
    <w:rsid w:val="003F6353"/>
    <w:rsid w:val="003F63C4"/>
    <w:rsid w:val="003F6AE2"/>
    <w:rsid w:val="003F6FA3"/>
    <w:rsid w:val="003F7336"/>
    <w:rsid w:val="003F782F"/>
    <w:rsid w:val="003F7B56"/>
    <w:rsid w:val="003F7BB9"/>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09F4"/>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0"/>
    <w:rsid w:val="00436A3B"/>
    <w:rsid w:val="00436AE1"/>
    <w:rsid w:val="0043713B"/>
    <w:rsid w:val="00437887"/>
    <w:rsid w:val="00437BBF"/>
    <w:rsid w:val="00437D24"/>
    <w:rsid w:val="00437DA3"/>
    <w:rsid w:val="00440426"/>
    <w:rsid w:val="00440765"/>
    <w:rsid w:val="00440797"/>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37C"/>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7D5"/>
    <w:rsid w:val="004B189C"/>
    <w:rsid w:val="004B2064"/>
    <w:rsid w:val="004B25F9"/>
    <w:rsid w:val="004B29F2"/>
    <w:rsid w:val="004B2C6E"/>
    <w:rsid w:val="004B2C87"/>
    <w:rsid w:val="004B3760"/>
    <w:rsid w:val="004B3ED9"/>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4FD"/>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CBD"/>
    <w:rsid w:val="00517231"/>
    <w:rsid w:val="00517519"/>
    <w:rsid w:val="00517B1E"/>
    <w:rsid w:val="005201D7"/>
    <w:rsid w:val="00520256"/>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0E7"/>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76C"/>
    <w:rsid w:val="005A0978"/>
    <w:rsid w:val="005A0A43"/>
    <w:rsid w:val="005A0F2D"/>
    <w:rsid w:val="005A14B3"/>
    <w:rsid w:val="005A1A5F"/>
    <w:rsid w:val="005A20AF"/>
    <w:rsid w:val="005A23AC"/>
    <w:rsid w:val="005A2837"/>
    <w:rsid w:val="005A2861"/>
    <w:rsid w:val="005A30A5"/>
    <w:rsid w:val="005A445F"/>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0D48"/>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4FD"/>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714"/>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30EB"/>
    <w:rsid w:val="00663AC7"/>
    <w:rsid w:val="00663B38"/>
    <w:rsid w:val="00663C42"/>
    <w:rsid w:val="00664459"/>
    <w:rsid w:val="00664465"/>
    <w:rsid w:val="00664FE3"/>
    <w:rsid w:val="00665325"/>
    <w:rsid w:val="0066555B"/>
    <w:rsid w:val="00665891"/>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729"/>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5C6"/>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104"/>
    <w:rsid w:val="007156BD"/>
    <w:rsid w:val="00715DA4"/>
    <w:rsid w:val="0071666E"/>
    <w:rsid w:val="00717778"/>
    <w:rsid w:val="00717875"/>
    <w:rsid w:val="00717950"/>
    <w:rsid w:val="00717BBD"/>
    <w:rsid w:val="00717DEA"/>
    <w:rsid w:val="00717F0F"/>
    <w:rsid w:val="00720175"/>
    <w:rsid w:val="00720776"/>
    <w:rsid w:val="0072098C"/>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A6B"/>
    <w:rsid w:val="00727BEE"/>
    <w:rsid w:val="00727CC0"/>
    <w:rsid w:val="0073070B"/>
    <w:rsid w:val="007308C6"/>
    <w:rsid w:val="00731323"/>
    <w:rsid w:val="00731561"/>
    <w:rsid w:val="007315FC"/>
    <w:rsid w:val="00731643"/>
    <w:rsid w:val="007319C2"/>
    <w:rsid w:val="00731A7E"/>
    <w:rsid w:val="0073383D"/>
    <w:rsid w:val="00733B08"/>
    <w:rsid w:val="00734DDF"/>
    <w:rsid w:val="00735187"/>
    <w:rsid w:val="00735448"/>
    <w:rsid w:val="00735C14"/>
    <w:rsid w:val="00735E3F"/>
    <w:rsid w:val="00735F03"/>
    <w:rsid w:val="007363BE"/>
    <w:rsid w:val="00736FB9"/>
    <w:rsid w:val="00737057"/>
    <w:rsid w:val="007372C0"/>
    <w:rsid w:val="007402BD"/>
    <w:rsid w:val="00740E71"/>
    <w:rsid w:val="0074121F"/>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478BF"/>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16E"/>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850"/>
    <w:rsid w:val="007E5FB9"/>
    <w:rsid w:val="007E5FF9"/>
    <w:rsid w:val="007E60EC"/>
    <w:rsid w:val="007E6F38"/>
    <w:rsid w:val="007E7481"/>
    <w:rsid w:val="007E77FD"/>
    <w:rsid w:val="007E7944"/>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9CE"/>
    <w:rsid w:val="00810A91"/>
    <w:rsid w:val="00811DED"/>
    <w:rsid w:val="008120BC"/>
    <w:rsid w:val="0081239A"/>
    <w:rsid w:val="008125C6"/>
    <w:rsid w:val="00813067"/>
    <w:rsid w:val="00813B60"/>
    <w:rsid w:val="00813CF1"/>
    <w:rsid w:val="00813F4C"/>
    <w:rsid w:val="0081414F"/>
    <w:rsid w:val="008141F1"/>
    <w:rsid w:val="00814D1F"/>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47DD"/>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4D9F"/>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0E0"/>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0A9"/>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3212"/>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0EC"/>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903"/>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3BD"/>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96"/>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667"/>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17D97"/>
    <w:rsid w:val="00A212B2"/>
    <w:rsid w:val="00A21AFE"/>
    <w:rsid w:val="00A222E4"/>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1CCE"/>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61E"/>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9F7"/>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D1E"/>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E73"/>
    <w:rsid w:val="00AF2F58"/>
    <w:rsid w:val="00AF32FA"/>
    <w:rsid w:val="00AF3368"/>
    <w:rsid w:val="00AF3946"/>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5FA4"/>
    <w:rsid w:val="00B26665"/>
    <w:rsid w:val="00B266C8"/>
    <w:rsid w:val="00B268B8"/>
    <w:rsid w:val="00B301C6"/>
    <w:rsid w:val="00B30B6D"/>
    <w:rsid w:val="00B314FD"/>
    <w:rsid w:val="00B315C7"/>
    <w:rsid w:val="00B31F4C"/>
    <w:rsid w:val="00B3240C"/>
    <w:rsid w:val="00B3254D"/>
    <w:rsid w:val="00B32610"/>
    <w:rsid w:val="00B32660"/>
    <w:rsid w:val="00B33340"/>
    <w:rsid w:val="00B33F14"/>
    <w:rsid w:val="00B34816"/>
    <w:rsid w:val="00B348F2"/>
    <w:rsid w:val="00B34B3C"/>
    <w:rsid w:val="00B355EA"/>
    <w:rsid w:val="00B3588E"/>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6FE0"/>
    <w:rsid w:val="00B770A0"/>
    <w:rsid w:val="00B77387"/>
    <w:rsid w:val="00B77388"/>
    <w:rsid w:val="00B77602"/>
    <w:rsid w:val="00B77612"/>
    <w:rsid w:val="00B777B4"/>
    <w:rsid w:val="00B777FB"/>
    <w:rsid w:val="00B779B4"/>
    <w:rsid w:val="00B77AB4"/>
    <w:rsid w:val="00B77B4F"/>
    <w:rsid w:val="00B77E65"/>
    <w:rsid w:val="00B802DF"/>
    <w:rsid w:val="00B8059E"/>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18D0"/>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BD6"/>
    <w:rsid w:val="00BE3FF7"/>
    <w:rsid w:val="00BE4048"/>
    <w:rsid w:val="00BE4164"/>
    <w:rsid w:val="00BE4661"/>
    <w:rsid w:val="00BE4954"/>
    <w:rsid w:val="00BE4AF9"/>
    <w:rsid w:val="00BE5119"/>
    <w:rsid w:val="00BE5CA9"/>
    <w:rsid w:val="00BE5D46"/>
    <w:rsid w:val="00BE5EDA"/>
    <w:rsid w:val="00BE6118"/>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1A"/>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376"/>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0C8"/>
    <w:rsid w:val="00C52E58"/>
    <w:rsid w:val="00C538E0"/>
    <w:rsid w:val="00C539B4"/>
    <w:rsid w:val="00C53EF6"/>
    <w:rsid w:val="00C542AB"/>
    <w:rsid w:val="00C5437C"/>
    <w:rsid w:val="00C54427"/>
    <w:rsid w:val="00C5502C"/>
    <w:rsid w:val="00C5596A"/>
    <w:rsid w:val="00C55AA5"/>
    <w:rsid w:val="00C55D38"/>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B9B"/>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845"/>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1CA"/>
    <w:rsid w:val="00CD22A2"/>
    <w:rsid w:val="00CD2410"/>
    <w:rsid w:val="00CD2EE5"/>
    <w:rsid w:val="00CD3187"/>
    <w:rsid w:val="00CD3730"/>
    <w:rsid w:val="00CD4067"/>
    <w:rsid w:val="00CD40D3"/>
    <w:rsid w:val="00CD41BB"/>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7BC"/>
    <w:rsid w:val="00CE5D73"/>
    <w:rsid w:val="00CE608A"/>
    <w:rsid w:val="00CE6370"/>
    <w:rsid w:val="00CE6720"/>
    <w:rsid w:val="00CE72CE"/>
    <w:rsid w:val="00CE7E7B"/>
    <w:rsid w:val="00CF065B"/>
    <w:rsid w:val="00CF0E26"/>
    <w:rsid w:val="00CF0E29"/>
    <w:rsid w:val="00CF1176"/>
    <w:rsid w:val="00CF126D"/>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464"/>
    <w:rsid w:val="00CF5589"/>
    <w:rsid w:val="00CF57F7"/>
    <w:rsid w:val="00CF627B"/>
    <w:rsid w:val="00CF739D"/>
    <w:rsid w:val="00D00458"/>
    <w:rsid w:val="00D00721"/>
    <w:rsid w:val="00D0077E"/>
    <w:rsid w:val="00D010C8"/>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32F"/>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977"/>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C62"/>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5D88"/>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08D6"/>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1"/>
    <w:rsid w:val="00E118A5"/>
    <w:rsid w:val="00E11974"/>
    <w:rsid w:val="00E11C79"/>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39"/>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3EE"/>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D8B"/>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74A"/>
    <w:rsid w:val="00EA1B51"/>
    <w:rsid w:val="00EA2446"/>
    <w:rsid w:val="00EA245B"/>
    <w:rsid w:val="00EA269C"/>
    <w:rsid w:val="00EA28B1"/>
    <w:rsid w:val="00EA3994"/>
    <w:rsid w:val="00EA3B3B"/>
    <w:rsid w:val="00EA4D4B"/>
    <w:rsid w:val="00EA5555"/>
    <w:rsid w:val="00EA55E6"/>
    <w:rsid w:val="00EA5616"/>
    <w:rsid w:val="00EA678D"/>
    <w:rsid w:val="00EA694A"/>
    <w:rsid w:val="00EA6D4A"/>
    <w:rsid w:val="00EA7C7A"/>
    <w:rsid w:val="00EA7D4E"/>
    <w:rsid w:val="00EB1B96"/>
    <w:rsid w:val="00EB2914"/>
    <w:rsid w:val="00EB2C7D"/>
    <w:rsid w:val="00EB2D2D"/>
    <w:rsid w:val="00EB3F0C"/>
    <w:rsid w:val="00EB4B15"/>
    <w:rsid w:val="00EB4DDE"/>
    <w:rsid w:val="00EB4E2F"/>
    <w:rsid w:val="00EB50AE"/>
    <w:rsid w:val="00EB55DF"/>
    <w:rsid w:val="00EB5F53"/>
    <w:rsid w:val="00EB6CA2"/>
    <w:rsid w:val="00EB6FEE"/>
    <w:rsid w:val="00EB74A2"/>
    <w:rsid w:val="00EB7722"/>
    <w:rsid w:val="00EB7799"/>
    <w:rsid w:val="00EC02ED"/>
    <w:rsid w:val="00EC04E0"/>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C779A"/>
    <w:rsid w:val="00ED0C0E"/>
    <w:rsid w:val="00ED17DD"/>
    <w:rsid w:val="00ED2B53"/>
    <w:rsid w:val="00ED30F1"/>
    <w:rsid w:val="00ED38A5"/>
    <w:rsid w:val="00ED3D17"/>
    <w:rsid w:val="00ED401D"/>
    <w:rsid w:val="00ED4179"/>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365"/>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517"/>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06C0"/>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393"/>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5F9"/>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47A"/>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1BF2F12"/>
    <w:rsid w:val="02387809"/>
    <w:rsid w:val="03867C89"/>
    <w:rsid w:val="03DA159F"/>
    <w:rsid w:val="04135CD1"/>
    <w:rsid w:val="04BF2A1D"/>
    <w:rsid w:val="04C3724D"/>
    <w:rsid w:val="055769B1"/>
    <w:rsid w:val="06053215"/>
    <w:rsid w:val="06146F5E"/>
    <w:rsid w:val="06553FDE"/>
    <w:rsid w:val="06FD5893"/>
    <w:rsid w:val="07FC1DA7"/>
    <w:rsid w:val="081E3EF2"/>
    <w:rsid w:val="083C0FC0"/>
    <w:rsid w:val="08483231"/>
    <w:rsid w:val="08937A42"/>
    <w:rsid w:val="09D96E50"/>
    <w:rsid w:val="0A7E1D45"/>
    <w:rsid w:val="0A915570"/>
    <w:rsid w:val="0AD35020"/>
    <w:rsid w:val="0B5F192E"/>
    <w:rsid w:val="0C310820"/>
    <w:rsid w:val="0C8A4B07"/>
    <w:rsid w:val="0CD02680"/>
    <w:rsid w:val="0D3C0C15"/>
    <w:rsid w:val="0D4A0B2F"/>
    <w:rsid w:val="0D7D0067"/>
    <w:rsid w:val="0DD612EC"/>
    <w:rsid w:val="0E884F40"/>
    <w:rsid w:val="10326AE3"/>
    <w:rsid w:val="103A2EA9"/>
    <w:rsid w:val="104E2980"/>
    <w:rsid w:val="10A3197A"/>
    <w:rsid w:val="10C77A7F"/>
    <w:rsid w:val="10D32466"/>
    <w:rsid w:val="10ED6DB5"/>
    <w:rsid w:val="113746B6"/>
    <w:rsid w:val="11582DF1"/>
    <w:rsid w:val="12224FE4"/>
    <w:rsid w:val="126910CD"/>
    <w:rsid w:val="13237233"/>
    <w:rsid w:val="133C7772"/>
    <w:rsid w:val="13CD5449"/>
    <w:rsid w:val="142C45C0"/>
    <w:rsid w:val="15F44823"/>
    <w:rsid w:val="15F847E9"/>
    <w:rsid w:val="177E5132"/>
    <w:rsid w:val="17824A97"/>
    <w:rsid w:val="18021404"/>
    <w:rsid w:val="18E9125E"/>
    <w:rsid w:val="19507579"/>
    <w:rsid w:val="19B05388"/>
    <w:rsid w:val="19E80F89"/>
    <w:rsid w:val="1A1A1F08"/>
    <w:rsid w:val="1A5C44E5"/>
    <w:rsid w:val="1B491C12"/>
    <w:rsid w:val="1B962D20"/>
    <w:rsid w:val="1BDE0D52"/>
    <w:rsid w:val="1C2D43C1"/>
    <w:rsid w:val="1C331705"/>
    <w:rsid w:val="1C573273"/>
    <w:rsid w:val="1D935DB5"/>
    <w:rsid w:val="1EE610FD"/>
    <w:rsid w:val="1F535376"/>
    <w:rsid w:val="1F9A5C92"/>
    <w:rsid w:val="1FE3010E"/>
    <w:rsid w:val="20037C9A"/>
    <w:rsid w:val="205D2757"/>
    <w:rsid w:val="210A1DE8"/>
    <w:rsid w:val="21A71E44"/>
    <w:rsid w:val="21D042EC"/>
    <w:rsid w:val="22363B5E"/>
    <w:rsid w:val="22FD012B"/>
    <w:rsid w:val="256C21BE"/>
    <w:rsid w:val="26047712"/>
    <w:rsid w:val="26415BF2"/>
    <w:rsid w:val="272142CA"/>
    <w:rsid w:val="277F3399"/>
    <w:rsid w:val="27B458CA"/>
    <w:rsid w:val="282E2F15"/>
    <w:rsid w:val="28675F60"/>
    <w:rsid w:val="28912F73"/>
    <w:rsid w:val="28AD4AA7"/>
    <w:rsid w:val="294A1318"/>
    <w:rsid w:val="29856253"/>
    <w:rsid w:val="29B12696"/>
    <w:rsid w:val="29B81EFE"/>
    <w:rsid w:val="29E916EB"/>
    <w:rsid w:val="2A2519F9"/>
    <w:rsid w:val="2A3F7B3A"/>
    <w:rsid w:val="2A527E40"/>
    <w:rsid w:val="2B31651D"/>
    <w:rsid w:val="2BF55A6D"/>
    <w:rsid w:val="2BF64366"/>
    <w:rsid w:val="2E0E6167"/>
    <w:rsid w:val="2E7F6567"/>
    <w:rsid w:val="2F106B71"/>
    <w:rsid w:val="2F6308B5"/>
    <w:rsid w:val="2F723057"/>
    <w:rsid w:val="2F7B61FB"/>
    <w:rsid w:val="30943245"/>
    <w:rsid w:val="30ED68AB"/>
    <w:rsid w:val="31542BFB"/>
    <w:rsid w:val="31E84BE2"/>
    <w:rsid w:val="3258290C"/>
    <w:rsid w:val="328A2EBA"/>
    <w:rsid w:val="32A73338"/>
    <w:rsid w:val="32B5313C"/>
    <w:rsid w:val="356C3BDA"/>
    <w:rsid w:val="35D877B0"/>
    <w:rsid w:val="35E101D8"/>
    <w:rsid w:val="36892E69"/>
    <w:rsid w:val="3728651A"/>
    <w:rsid w:val="38591F6D"/>
    <w:rsid w:val="3865023F"/>
    <w:rsid w:val="394229AB"/>
    <w:rsid w:val="394F5908"/>
    <w:rsid w:val="39517B4B"/>
    <w:rsid w:val="3A2C774F"/>
    <w:rsid w:val="3A8744E5"/>
    <w:rsid w:val="3AAA59DA"/>
    <w:rsid w:val="3BE7020B"/>
    <w:rsid w:val="3C292C3F"/>
    <w:rsid w:val="3C626897"/>
    <w:rsid w:val="3CFC5045"/>
    <w:rsid w:val="3CFC682E"/>
    <w:rsid w:val="3D2340EF"/>
    <w:rsid w:val="3D5E3A56"/>
    <w:rsid w:val="3DCC110C"/>
    <w:rsid w:val="3DDC3376"/>
    <w:rsid w:val="3EC63925"/>
    <w:rsid w:val="3FD44611"/>
    <w:rsid w:val="3FF6391F"/>
    <w:rsid w:val="3FFD2AA6"/>
    <w:rsid w:val="4232036F"/>
    <w:rsid w:val="42B02E64"/>
    <w:rsid w:val="42B149BC"/>
    <w:rsid w:val="42F26B44"/>
    <w:rsid w:val="439914D0"/>
    <w:rsid w:val="442C0F97"/>
    <w:rsid w:val="44661C72"/>
    <w:rsid w:val="4495549D"/>
    <w:rsid w:val="44AE70C3"/>
    <w:rsid w:val="453B6FB5"/>
    <w:rsid w:val="455720A7"/>
    <w:rsid w:val="45804154"/>
    <w:rsid w:val="45D60BA5"/>
    <w:rsid w:val="472E3747"/>
    <w:rsid w:val="49930974"/>
    <w:rsid w:val="49B87880"/>
    <w:rsid w:val="4A3B7A40"/>
    <w:rsid w:val="4B70795D"/>
    <w:rsid w:val="4BC029EC"/>
    <w:rsid w:val="4D115B26"/>
    <w:rsid w:val="4D1D4409"/>
    <w:rsid w:val="4D357A66"/>
    <w:rsid w:val="4DB52955"/>
    <w:rsid w:val="4E3C2580"/>
    <w:rsid w:val="4ED76646"/>
    <w:rsid w:val="4F2242C5"/>
    <w:rsid w:val="4F890899"/>
    <w:rsid w:val="4FA47E3D"/>
    <w:rsid w:val="4FAE1D52"/>
    <w:rsid w:val="4FF4230E"/>
    <w:rsid w:val="50232156"/>
    <w:rsid w:val="505C5736"/>
    <w:rsid w:val="50E74DEB"/>
    <w:rsid w:val="50F74EE4"/>
    <w:rsid w:val="52067C23"/>
    <w:rsid w:val="52DC12E9"/>
    <w:rsid w:val="53A414A2"/>
    <w:rsid w:val="54005A75"/>
    <w:rsid w:val="541F239D"/>
    <w:rsid w:val="543B2947"/>
    <w:rsid w:val="5473753B"/>
    <w:rsid w:val="54956D09"/>
    <w:rsid w:val="54CE3057"/>
    <w:rsid w:val="552117F7"/>
    <w:rsid w:val="55627866"/>
    <w:rsid w:val="56456832"/>
    <w:rsid w:val="565E627F"/>
    <w:rsid w:val="57063BDC"/>
    <w:rsid w:val="571B4BCB"/>
    <w:rsid w:val="574A04A7"/>
    <w:rsid w:val="57DE0540"/>
    <w:rsid w:val="5865648B"/>
    <w:rsid w:val="58CD1CE2"/>
    <w:rsid w:val="590D3D39"/>
    <w:rsid w:val="5BF9035A"/>
    <w:rsid w:val="5C5E240A"/>
    <w:rsid w:val="5D171FD9"/>
    <w:rsid w:val="5D3E2358"/>
    <w:rsid w:val="5D445BF6"/>
    <w:rsid w:val="5D513E91"/>
    <w:rsid w:val="5D7D6838"/>
    <w:rsid w:val="5F4859E1"/>
    <w:rsid w:val="5F7C0DD0"/>
    <w:rsid w:val="5F8944D2"/>
    <w:rsid w:val="5FC819CE"/>
    <w:rsid w:val="5FE00138"/>
    <w:rsid w:val="5FE70F2A"/>
    <w:rsid w:val="600C26E6"/>
    <w:rsid w:val="61095FF9"/>
    <w:rsid w:val="610D7D14"/>
    <w:rsid w:val="61AE6457"/>
    <w:rsid w:val="61B82271"/>
    <w:rsid w:val="62080EC5"/>
    <w:rsid w:val="62B07D42"/>
    <w:rsid w:val="63327077"/>
    <w:rsid w:val="63535F2A"/>
    <w:rsid w:val="64440D17"/>
    <w:rsid w:val="64504C5E"/>
    <w:rsid w:val="651540A3"/>
    <w:rsid w:val="6516447C"/>
    <w:rsid w:val="665E09E7"/>
    <w:rsid w:val="66FB1218"/>
    <w:rsid w:val="672A2AB5"/>
    <w:rsid w:val="67AD0F16"/>
    <w:rsid w:val="686B4CF0"/>
    <w:rsid w:val="69245590"/>
    <w:rsid w:val="692E26C1"/>
    <w:rsid w:val="69912070"/>
    <w:rsid w:val="6A146D7C"/>
    <w:rsid w:val="6A2F48AB"/>
    <w:rsid w:val="6A793230"/>
    <w:rsid w:val="6AAA163C"/>
    <w:rsid w:val="6B8A3161"/>
    <w:rsid w:val="6B971C99"/>
    <w:rsid w:val="6C88336E"/>
    <w:rsid w:val="6D393A2F"/>
    <w:rsid w:val="6D6078D5"/>
    <w:rsid w:val="6EE27128"/>
    <w:rsid w:val="6EFF538B"/>
    <w:rsid w:val="6F072AD2"/>
    <w:rsid w:val="6F44679C"/>
    <w:rsid w:val="6F5A07DC"/>
    <w:rsid w:val="70C65D5F"/>
    <w:rsid w:val="712978E8"/>
    <w:rsid w:val="714E33D8"/>
    <w:rsid w:val="728F054F"/>
    <w:rsid w:val="72BB0EC2"/>
    <w:rsid w:val="72BF1C12"/>
    <w:rsid w:val="72E0674B"/>
    <w:rsid w:val="735869D3"/>
    <w:rsid w:val="74F14727"/>
    <w:rsid w:val="74F74DBD"/>
    <w:rsid w:val="751F7C29"/>
    <w:rsid w:val="756E19CB"/>
    <w:rsid w:val="75A73B69"/>
    <w:rsid w:val="75C56285"/>
    <w:rsid w:val="75CA782B"/>
    <w:rsid w:val="75CF2034"/>
    <w:rsid w:val="75E85191"/>
    <w:rsid w:val="76676C00"/>
    <w:rsid w:val="78016897"/>
    <w:rsid w:val="7824422E"/>
    <w:rsid w:val="789E7146"/>
    <w:rsid w:val="78B50D05"/>
    <w:rsid w:val="78F42608"/>
    <w:rsid w:val="791557CF"/>
    <w:rsid w:val="7A84398A"/>
    <w:rsid w:val="7AE97538"/>
    <w:rsid w:val="7AF0161E"/>
    <w:rsid w:val="7B2E6D76"/>
    <w:rsid w:val="7B4C246F"/>
    <w:rsid w:val="7B767F7C"/>
    <w:rsid w:val="7CFE09E0"/>
    <w:rsid w:val="7E041703"/>
    <w:rsid w:val="7E3A6A90"/>
    <w:rsid w:val="7E7876F7"/>
    <w:rsid w:val="7EFF1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5"/>
    <w:qFormat/>
    <w:uiPriority w:val="0"/>
    <w:pPr>
      <w:keepNext/>
      <w:jc w:val="center"/>
      <w:outlineLvl w:val="0"/>
    </w:pPr>
    <w:rPr>
      <w:sz w:val="28"/>
      <w:szCs w:val="20"/>
    </w:rPr>
  </w:style>
  <w:style w:type="paragraph" w:styleId="4">
    <w:name w:val="heading 2"/>
    <w:basedOn w:val="1"/>
    <w:next w:val="1"/>
    <w:link w:val="66"/>
    <w:qFormat/>
    <w:uiPriority w:val="0"/>
    <w:pPr>
      <w:keepNext/>
      <w:keepLines/>
      <w:spacing w:before="260" w:after="260" w:line="416" w:lineRule="auto"/>
      <w:outlineLvl w:val="1"/>
    </w:pPr>
    <w:rPr>
      <w:rFonts w:ascii="Arial" w:hAnsi="Arial" w:eastAsia="黑体"/>
      <w:b/>
      <w:sz w:val="32"/>
      <w:szCs w:val="20"/>
    </w:rPr>
  </w:style>
  <w:style w:type="paragraph" w:styleId="5">
    <w:name w:val="heading 3"/>
    <w:basedOn w:val="1"/>
    <w:next w:val="1"/>
    <w:link w:val="65"/>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227"/>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8">
    <w:name w:val="heading 6"/>
    <w:basedOn w:val="1"/>
    <w:next w:val="1"/>
    <w:link w:val="228"/>
    <w:qFormat/>
    <w:uiPriority w:val="0"/>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link w:val="229"/>
    <w:qFormat/>
    <w:uiPriority w:val="0"/>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11">
    <w:name w:val="heading 9"/>
    <w:basedOn w:val="1"/>
    <w:next w:val="1"/>
    <w:link w:val="230"/>
    <w:qFormat/>
    <w:uiPriority w:val="0"/>
    <w:pPr>
      <w:keepNext/>
      <w:keepLines/>
      <w:tabs>
        <w:tab w:val="left" w:pos="1584"/>
      </w:tabs>
      <w:snapToGrid w:val="0"/>
      <w:spacing w:before="240" w:after="64" w:line="360" w:lineRule="auto"/>
      <w:ind w:left="1584" w:hanging="1584"/>
      <w:outlineLvl w:val="8"/>
    </w:pPr>
    <w:rPr>
      <w:sz w:val="24"/>
      <w:szCs w:val="28"/>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color w:val="000000"/>
      <w:sz w:val="28"/>
      <w:szCs w:val="28"/>
    </w:rPr>
  </w:style>
  <w:style w:type="paragraph" w:styleId="12">
    <w:name w:val="toc 7"/>
    <w:basedOn w:val="1"/>
    <w:next w:val="1"/>
    <w:qFormat/>
    <w:uiPriority w:val="0"/>
    <w:pPr>
      <w:ind w:left="2520" w:leftChars="1200"/>
    </w:pPr>
    <w:rPr>
      <w:rFonts w:ascii="宋体"/>
    </w:rPr>
  </w:style>
  <w:style w:type="paragraph" w:styleId="13">
    <w:name w:val="Note Heading"/>
    <w:basedOn w:val="1"/>
    <w:next w:val="1"/>
    <w:link w:val="242"/>
    <w:qFormat/>
    <w:uiPriority w:val="0"/>
    <w:pPr>
      <w:jc w:val="center"/>
    </w:pPr>
    <w:rPr>
      <w:rFonts w:ascii="宋体"/>
      <w:szCs w:val="21"/>
    </w:rPr>
  </w:style>
  <w:style w:type="paragraph" w:styleId="14">
    <w:name w:val="index 8"/>
    <w:basedOn w:val="1"/>
    <w:next w:val="1"/>
    <w:qFormat/>
    <w:uiPriority w:val="0"/>
    <w:pPr>
      <w:ind w:left="1400" w:leftChars="1400"/>
    </w:pPr>
    <w:rPr>
      <w:szCs w:val="20"/>
    </w:rPr>
  </w:style>
  <w:style w:type="paragraph" w:styleId="15">
    <w:name w:val="Normal Indent"/>
    <w:basedOn w:val="1"/>
    <w:link w:val="226"/>
    <w:qFormat/>
    <w:uiPriority w:val="0"/>
    <w:pPr>
      <w:ind w:firstLine="420" w:firstLineChars="200"/>
    </w:pPr>
  </w:style>
  <w:style w:type="paragraph" w:styleId="16">
    <w:name w:val="index 5"/>
    <w:basedOn w:val="1"/>
    <w:next w:val="1"/>
    <w:qFormat/>
    <w:uiPriority w:val="0"/>
    <w:pPr>
      <w:ind w:left="800" w:leftChars="800"/>
    </w:pPr>
    <w:rPr>
      <w:szCs w:val="20"/>
    </w:rPr>
  </w:style>
  <w:style w:type="paragraph" w:styleId="17">
    <w:name w:val="Document Map"/>
    <w:basedOn w:val="1"/>
    <w:semiHidden/>
    <w:qFormat/>
    <w:uiPriority w:val="0"/>
    <w:pPr>
      <w:shd w:val="clear" w:color="auto" w:fill="000080"/>
    </w:pPr>
  </w:style>
  <w:style w:type="paragraph" w:styleId="18">
    <w:name w:val="annotation text"/>
    <w:basedOn w:val="1"/>
    <w:link w:val="247"/>
    <w:qFormat/>
    <w:uiPriority w:val="0"/>
    <w:pPr>
      <w:widowControl/>
      <w:tabs>
        <w:tab w:val="left" w:pos="377"/>
      </w:tabs>
      <w:spacing w:line="360" w:lineRule="auto"/>
      <w:jc w:val="left"/>
    </w:pPr>
    <w:rPr>
      <w:rFonts w:ascii="宋体"/>
      <w:kern w:val="0"/>
      <w:sz w:val="24"/>
    </w:rPr>
  </w:style>
  <w:style w:type="paragraph" w:styleId="19">
    <w:name w:val="index 6"/>
    <w:basedOn w:val="1"/>
    <w:next w:val="1"/>
    <w:qFormat/>
    <w:uiPriority w:val="0"/>
    <w:pPr>
      <w:ind w:left="1000" w:leftChars="1000"/>
    </w:pPr>
    <w:rPr>
      <w:szCs w:val="20"/>
    </w:rPr>
  </w:style>
  <w:style w:type="paragraph" w:styleId="20">
    <w:name w:val="Salutation"/>
    <w:basedOn w:val="1"/>
    <w:next w:val="1"/>
    <w:qFormat/>
    <w:uiPriority w:val="0"/>
    <w:rPr>
      <w:sz w:val="24"/>
      <w:szCs w:val="20"/>
    </w:rPr>
  </w:style>
  <w:style w:type="paragraph" w:styleId="21">
    <w:name w:val="Body Text 3"/>
    <w:basedOn w:val="1"/>
    <w:qFormat/>
    <w:uiPriority w:val="0"/>
    <w:pPr>
      <w:spacing w:line="360" w:lineRule="auto"/>
    </w:pPr>
    <w:rPr>
      <w:sz w:val="24"/>
    </w:rPr>
  </w:style>
  <w:style w:type="paragraph" w:styleId="22">
    <w:name w:val="Body Text"/>
    <w:basedOn w:val="1"/>
    <w:next w:val="1"/>
    <w:link w:val="234"/>
    <w:qFormat/>
    <w:uiPriority w:val="0"/>
    <w:pPr>
      <w:spacing w:after="120"/>
    </w:pPr>
  </w:style>
  <w:style w:type="paragraph" w:styleId="23">
    <w:name w:val="Body Text Indent"/>
    <w:basedOn w:val="1"/>
    <w:next w:val="15"/>
    <w:qFormat/>
    <w:uiPriority w:val="0"/>
    <w:pPr>
      <w:ind w:firstLine="538" w:firstLineChars="192"/>
    </w:pPr>
    <w:rPr>
      <w:rFonts w:ascii="宋体" w:hAnsi="宋体"/>
      <w:color w:val="FF0000"/>
      <w:sz w:val="28"/>
      <w:szCs w:val="28"/>
    </w:rPr>
  </w:style>
  <w:style w:type="paragraph" w:styleId="24">
    <w:name w:val="Block Text"/>
    <w:basedOn w:val="1"/>
    <w:qFormat/>
    <w:uiPriority w:val="0"/>
    <w:pPr>
      <w:adjustRightInd w:val="0"/>
      <w:spacing w:line="360" w:lineRule="auto"/>
      <w:ind w:left="57" w:right="57" w:firstLine="539"/>
      <w:textAlignment w:val="baseline"/>
    </w:pPr>
    <w:rPr>
      <w:spacing w:val="20"/>
      <w:kern w:val="0"/>
      <w:sz w:val="24"/>
      <w:szCs w:val="20"/>
    </w:rPr>
  </w:style>
  <w:style w:type="paragraph" w:styleId="25">
    <w:name w:val="index 4"/>
    <w:basedOn w:val="1"/>
    <w:next w:val="1"/>
    <w:qFormat/>
    <w:uiPriority w:val="0"/>
    <w:pPr>
      <w:ind w:left="600" w:leftChars="600"/>
    </w:pPr>
    <w:rPr>
      <w:szCs w:val="20"/>
    </w:rPr>
  </w:style>
  <w:style w:type="paragraph" w:styleId="26">
    <w:name w:val="toc 5"/>
    <w:basedOn w:val="1"/>
    <w:next w:val="1"/>
    <w:qFormat/>
    <w:uiPriority w:val="0"/>
    <w:pPr>
      <w:ind w:left="840"/>
      <w:jc w:val="left"/>
    </w:pPr>
    <w:rPr>
      <w:sz w:val="18"/>
      <w:szCs w:val="18"/>
    </w:rPr>
  </w:style>
  <w:style w:type="paragraph" w:styleId="27">
    <w:name w:val="toc 3"/>
    <w:basedOn w:val="1"/>
    <w:next w:val="1"/>
    <w:qFormat/>
    <w:uiPriority w:val="39"/>
    <w:pPr>
      <w:ind w:left="840" w:leftChars="400"/>
    </w:pPr>
  </w:style>
  <w:style w:type="paragraph" w:styleId="28">
    <w:name w:val="Plain Text"/>
    <w:basedOn w:val="1"/>
    <w:link w:val="233"/>
    <w:qFormat/>
    <w:uiPriority w:val="0"/>
    <w:rPr>
      <w:rFonts w:ascii="宋体" w:hAnsi="Courier New"/>
      <w:szCs w:val="20"/>
    </w:rPr>
  </w:style>
  <w:style w:type="paragraph" w:styleId="29">
    <w:name w:val="toc 8"/>
    <w:basedOn w:val="1"/>
    <w:next w:val="1"/>
    <w:qFormat/>
    <w:uiPriority w:val="0"/>
    <w:pPr>
      <w:ind w:left="1470"/>
      <w:jc w:val="left"/>
    </w:pPr>
    <w:rPr>
      <w:sz w:val="18"/>
      <w:szCs w:val="18"/>
    </w:rPr>
  </w:style>
  <w:style w:type="paragraph" w:styleId="30">
    <w:name w:val="index 3"/>
    <w:basedOn w:val="1"/>
    <w:next w:val="1"/>
    <w:qFormat/>
    <w:uiPriority w:val="0"/>
    <w:pPr>
      <w:ind w:left="400" w:leftChars="400"/>
    </w:pPr>
    <w:rPr>
      <w:szCs w:val="20"/>
    </w:rPr>
  </w:style>
  <w:style w:type="paragraph" w:styleId="31">
    <w:name w:val="Date"/>
    <w:basedOn w:val="1"/>
    <w:next w:val="1"/>
    <w:qFormat/>
    <w:uiPriority w:val="0"/>
    <w:pPr>
      <w:adjustRightInd w:val="0"/>
      <w:spacing w:line="360" w:lineRule="auto"/>
      <w:textAlignment w:val="baseline"/>
    </w:pPr>
    <w:rPr>
      <w:rFonts w:ascii="宋体"/>
      <w:spacing w:val="10"/>
      <w:kern w:val="0"/>
      <w:sz w:val="28"/>
      <w:szCs w:val="20"/>
    </w:rPr>
  </w:style>
  <w:style w:type="paragraph" w:styleId="32">
    <w:name w:val="Body Text Indent 2"/>
    <w:basedOn w:val="1"/>
    <w:qFormat/>
    <w:uiPriority w:val="0"/>
    <w:pPr>
      <w:spacing w:after="120" w:line="480" w:lineRule="auto"/>
      <w:ind w:left="420" w:leftChars="200"/>
    </w:pPr>
  </w:style>
  <w:style w:type="paragraph" w:styleId="33">
    <w:name w:val="Balloon Text"/>
    <w:basedOn w:val="1"/>
    <w:link w:val="239"/>
    <w:qFormat/>
    <w:uiPriority w:val="0"/>
    <w:rPr>
      <w:sz w:val="18"/>
      <w:szCs w:val="18"/>
    </w:rPr>
  </w:style>
  <w:style w:type="paragraph" w:styleId="34">
    <w:name w:val="footer"/>
    <w:basedOn w:val="1"/>
    <w:link w:val="232"/>
    <w:qFormat/>
    <w:uiPriority w:val="0"/>
    <w:pPr>
      <w:tabs>
        <w:tab w:val="center" w:pos="4153"/>
        <w:tab w:val="right" w:pos="8306"/>
      </w:tabs>
      <w:snapToGrid w:val="0"/>
      <w:jc w:val="left"/>
    </w:pPr>
    <w:rPr>
      <w:sz w:val="18"/>
      <w:szCs w:val="18"/>
    </w:rPr>
  </w:style>
  <w:style w:type="paragraph" w:styleId="35">
    <w:name w:val="header"/>
    <w:basedOn w:val="1"/>
    <w:link w:val="231"/>
    <w:qFormat/>
    <w:uiPriority w:val="0"/>
    <w:pPr>
      <w:pBdr>
        <w:bottom w:val="single" w:color="auto" w:sz="6" w:space="1"/>
      </w:pBdr>
      <w:tabs>
        <w:tab w:val="center" w:pos="4153"/>
        <w:tab w:val="right" w:pos="8306"/>
      </w:tabs>
      <w:snapToGrid w:val="0"/>
      <w:jc w:val="center"/>
    </w:pPr>
    <w:rPr>
      <w:sz w:val="18"/>
      <w:szCs w:val="18"/>
    </w:rPr>
  </w:style>
  <w:style w:type="paragraph" w:styleId="36">
    <w:name w:val="toc 1"/>
    <w:basedOn w:val="1"/>
    <w:next w:val="1"/>
    <w:qFormat/>
    <w:uiPriority w:val="39"/>
    <w:pPr>
      <w:tabs>
        <w:tab w:val="right" w:leader="dot" w:pos="8302"/>
      </w:tabs>
      <w:adjustRightInd w:val="0"/>
      <w:snapToGrid w:val="0"/>
    </w:pPr>
    <w:rPr>
      <w:sz w:val="28"/>
    </w:rPr>
  </w:style>
  <w:style w:type="paragraph" w:styleId="37">
    <w:name w:val="toc 4"/>
    <w:basedOn w:val="1"/>
    <w:next w:val="1"/>
    <w:qFormat/>
    <w:uiPriority w:val="0"/>
    <w:pPr>
      <w:ind w:left="630"/>
      <w:jc w:val="left"/>
    </w:pPr>
    <w:rPr>
      <w:sz w:val="18"/>
      <w:szCs w:val="18"/>
    </w:rPr>
  </w:style>
  <w:style w:type="paragraph" w:styleId="38">
    <w:name w:val="toc 6"/>
    <w:basedOn w:val="1"/>
    <w:next w:val="1"/>
    <w:qFormat/>
    <w:uiPriority w:val="0"/>
    <w:pPr>
      <w:ind w:left="2100" w:leftChars="1000"/>
    </w:pPr>
    <w:rPr>
      <w:rFonts w:ascii="宋体"/>
    </w:rPr>
  </w:style>
  <w:style w:type="paragraph" w:styleId="39">
    <w:name w:val="Body Text Indent 3"/>
    <w:basedOn w:val="1"/>
    <w:qFormat/>
    <w:uiPriority w:val="0"/>
    <w:pPr>
      <w:spacing w:after="120"/>
      <w:ind w:left="420" w:leftChars="200"/>
    </w:pPr>
    <w:rPr>
      <w:sz w:val="16"/>
      <w:szCs w:val="16"/>
    </w:rPr>
  </w:style>
  <w:style w:type="paragraph" w:styleId="40">
    <w:name w:val="index 7"/>
    <w:basedOn w:val="1"/>
    <w:next w:val="1"/>
    <w:qFormat/>
    <w:uiPriority w:val="0"/>
    <w:pPr>
      <w:ind w:left="1200" w:leftChars="1200"/>
    </w:pPr>
    <w:rPr>
      <w:szCs w:val="20"/>
    </w:rPr>
  </w:style>
  <w:style w:type="paragraph" w:styleId="41">
    <w:name w:val="index 9"/>
    <w:basedOn w:val="1"/>
    <w:next w:val="1"/>
    <w:qFormat/>
    <w:uiPriority w:val="0"/>
    <w:pPr>
      <w:ind w:left="1600" w:leftChars="1600"/>
    </w:pPr>
    <w:rPr>
      <w:szCs w:val="20"/>
    </w:rPr>
  </w:style>
  <w:style w:type="paragraph" w:styleId="42">
    <w:name w:val="toc 2"/>
    <w:basedOn w:val="1"/>
    <w:next w:val="1"/>
    <w:qFormat/>
    <w:uiPriority w:val="39"/>
    <w:pPr>
      <w:tabs>
        <w:tab w:val="right" w:leader="dot" w:pos="8296"/>
      </w:tabs>
      <w:adjustRightInd w:val="0"/>
      <w:snapToGrid w:val="0"/>
      <w:spacing w:line="300" w:lineRule="auto"/>
      <w:ind w:left="200" w:leftChars="200"/>
    </w:pPr>
    <w:rPr>
      <w:bCs/>
      <w:sz w:val="24"/>
      <w:szCs w:val="28"/>
    </w:rPr>
  </w:style>
  <w:style w:type="paragraph" w:styleId="43">
    <w:name w:val="toc 9"/>
    <w:basedOn w:val="1"/>
    <w:next w:val="1"/>
    <w:qFormat/>
    <w:uiPriority w:val="0"/>
    <w:pPr>
      <w:ind w:left="1680"/>
      <w:jc w:val="left"/>
    </w:pPr>
    <w:rPr>
      <w:sz w:val="18"/>
      <w:szCs w:val="18"/>
    </w:rPr>
  </w:style>
  <w:style w:type="paragraph" w:styleId="44">
    <w:name w:val="Body Text 2"/>
    <w:basedOn w:val="1"/>
    <w:qFormat/>
    <w:uiPriority w:val="0"/>
    <w:rPr>
      <w:rFonts w:ascii="宋体" w:hAnsi="宋体"/>
      <w:sz w:val="24"/>
      <w:szCs w:val="21"/>
    </w:rPr>
  </w:style>
  <w:style w:type="paragraph" w:styleId="4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6">
    <w:name w:val="index 1"/>
    <w:basedOn w:val="1"/>
    <w:next w:val="1"/>
    <w:semiHidden/>
    <w:qFormat/>
    <w:uiPriority w:val="0"/>
    <w:pPr>
      <w:spacing w:line="360" w:lineRule="exact"/>
    </w:pPr>
    <w:rPr>
      <w:szCs w:val="20"/>
    </w:rPr>
  </w:style>
  <w:style w:type="paragraph" w:styleId="47">
    <w:name w:val="index 2"/>
    <w:basedOn w:val="1"/>
    <w:next w:val="1"/>
    <w:qFormat/>
    <w:uiPriority w:val="0"/>
    <w:pPr>
      <w:ind w:left="200" w:leftChars="200"/>
    </w:pPr>
    <w:rPr>
      <w:szCs w:val="20"/>
    </w:rPr>
  </w:style>
  <w:style w:type="paragraph" w:styleId="48">
    <w:name w:val="Title"/>
    <w:basedOn w:val="1"/>
    <w:qFormat/>
    <w:uiPriority w:val="0"/>
    <w:pPr>
      <w:spacing w:line="360" w:lineRule="auto"/>
      <w:jc w:val="center"/>
      <w:outlineLvl w:val="0"/>
    </w:pPr>
    <w:rPr>
      <w:rFonts w:ascii="宋体" w:hAnsi="Arial" w:cs="Arial"/>
      <w:b/>
      <w:bCs/>
      <w:sz w:val="32"/>
      <w:szCs w:val="18"/>
    </w:rPr>
  </w:style>
  <w:style w:type="paragraph" w:styleId="49">
    <w:name w:val="annotation subject"/>
    <w:basedOn w:val="18"/>
    <w:next w:val="18"/>
    <w:link w:val="248"/>
    <w:qFormat/>
    <w:uiPriority w:val="0"/>
    <w:rPr>
      <w:b/>
      <w:bCs/>
    </w:rPr>
  </w:style>
  <w:style w:type="paragraph" w:styleId="50">
    <w:name w:val="Body Text First Indent"/>
    <w:basedOn w:val="22"/>
    <w:qFormat/>
    <w:uiPriority w:val="0"/>
    <w:pPr>
      <w:spacing w:line="440" w:lineRule="atLeast"/>
      <w:ind w:firstLine="493"/>
    </w:pPr>
    <w:rPr>
      <w:spacing w:val="6"/>
      <w:w w:val="92"/>
      <w:kern w:val="24"/>
      <w:sz w:val="26"/>
      <w:szCs w:val="20"/>
    </w:rPr>
  </w:style>
  <w:style w:type="paragraph" w:styleId="51">
    <w:name w:val="Body Text First Indent 2"/>
    <w:basedOn w:val="23"/>
    <w:next w:val="22"/>
    <w:unhideWhenUsed/>
    <w:qFormat/>
    <w:uiPriority w:val="0"/>
    <w:pPr>
      <w:spacing w:beforeLines="0" w:afterLines="0"/>
      <w:ind w:firstLine="420" w:firstLineChars="200"/>
    </w:pPr>
    <w:rPr>
      <w:rFonts w:hint="eastAsia"/>
      <w:sz w:val="28"/>
      <w:szCs w:val="28"/>
    </w:rPr>
  </w:style>
  <w:style w:type="table" w:styleId="53">
    <w:name w:val="Table Grid"/>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basedOn w:val="54"/>
    <w:qFormat/>
    <w:uiPriority w:val="99"/>
    <w:rPr>
      <w:color w:val="0033CC"/>
      <w:u w:val="single"/>
    </w:rPr>
  </w:style>
  <w:style w:type="character" w:styleId="58">
    <w:name w:val="Emphasis"/>
    <w:basedOn w:val="54"/>
    <w:qFormat/>
    <w:uiPriority w:val="0"/>
    <w:rPr>
      <w:i/>
    </w:rPr>
  </w:style>
  <w:style w:type="character" w:styleId="59">
    <w:name w:val="Hyperlink"/>
    <w:basedOn w:val="54"/>
    <w:qFormat/>
    <w:uiPriority w:val="99"/>
    <w:rPr>
      <w:color w:val="0033CC"/>
      <w:u w:val="single"/>
    </w:rPr>
  </w:style>
  <w:style w:type="character" w:styleId="60">
    <w:name w:val="annotation reference"/>
    <w:qFormat/>
    <w:uiPriority w:val="0"/>
    <w:rPr>
      <w:sz w:val="21"/>
      <w:szCs w:val="21"/>
    </w:rPr>
  </w:style>
  <w:style w:type="paragraph" w:customStyle="1" w:styleId="61">
    <w:name w:val="TOAHeading"/>
    <w:basedOn w:val="1"/>
    <w:next w:val="1"/>
    <w:qFormat/>
    <w:uiPriority w:val="0"/>
    <w:pPr>
      <w:spacing w:before="120"/>
      <w:textAlignment w:val="baseline"/>
    </w:pPr>
    <w:rPr>
      <w:rFonts w:ascii="Arial" w:hAnsi="Arial"/>
      <w:sz w:val="24"/>
    </w:rPr>
  </w:style>
  <w:style w:type="paragraph" w:customStyle="1" w:styleId="62">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63">
    <w:name w:val="Normal Indent1"/>
    <w:basedOn w:val="1"/>
    <w:qFormat/>
    <w:uiPriority w:val="0"/>
    <w:pPr>
      <w:ind w:firstLine="420" w:firstLineChars="200"/>
    </w:pPr>
  </w:style>
  <w:style w:type="paragraph" w:customStyle="1" w:styleId="64">
    <w:name w:val="li_正文"/>
    <w:basedOn w:val="1"/>
    <w:qFormat/>
    <w:uiPriority w:val="0"/>
    <w:pPr>
      <w:tabs>
        <w:tab w:val="left" w:pos="2574"/>
      </w:tabs>
      <w:overflowPunct w:val="0"/>
      <w:topLinePunct/>
      <w:ind w:firstLine="480" w:firstLineChars="200"/>
      <w:jc w:val="left"/>
    </w:pPr>
    <w:rPr>
      <w:sz w:val="28"/>
      <w:szCs w:val="28"/>
    </w:rPr>
  </w:style>
  <w:style w:type="character" w:customStyle="1" w:styleId="65">
    <w:name w:val="标题 3 Char"/>
    <w:link w:val="5"/>
    <w:qFormat/>
    <w:uiPriority w:val="0"/>
    <w:rPr>
      <w:b/>
      <w:bCs/>
      <w:kern w:val="2"/>
      <w:sz w:val="32"/>
      <w:szCs w:val="32"/>
    </w:rPr>
  </w:style>
  <w:style w:type="character" w:customStyle="1" w:styleId="66">
    <w:name w:val="标题 2 Char"/>
    <w:link w:val="4"/>
    <w:qFormat/>
    <w:uiPriority w:val="0"/>
    <w:rPr>
      <w:rFonts w:ascii="Arial" w:hAnsi="Arial" w:eastAsia="黑体"/>
      <w:b/>
      <w:kern w:val="2"/>
      <w:sz w:val="32"/>
      <w:lang w:val="en-US" w:eastAsia="zh-CN" w:bidi="ar-SA"/>
    </w:rPr>
  </w:style>
  <w:style w:type="paragraph" w:customStyle="1" w:styleId="67">
    <w:name w:val="Char"/>
    <w:basedOn w:val="1"/>
    <w:link w:val="265"/>
    <w:qFormat/>
    <w:uiPriority w:val="0"/>
    <w:pPr>
      <w:spacing w:line="360" w:lineRule="auto"/>
    </w:pPr>
    <w:rPr>
      <w:sz w:val="24"/>
    </w:rPr>
  </w:style>
  <w:style w:type="paragraph" w:customStyle="1" w:styleId="68">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69">
    <w:name w:val="表格内"/>
    <w:basedOn w:val="1"/>
    <w:qFormat/>
    <w:uiPriority w:val="0"/>
    <w:pPr>
      <w:adjustRightInd w:val="0"/>
      <w:spacing w:line="240" w:lineRule="atLeast"/>
      <w:jc w:val="center"/>
      <w:textAlignment w:val="baseline"/>
    </w:pPr>
    <w:rPr>
      <w:rFonts w:ascii="宋体"/>
      <w:kern w:val="0"/>
      <w:sz w:val="28"/>
      <w:szCs w:val="20"/>
    </w:rPr>
  </w:style>
  <w:style w:type="paragraph" w:customStyle="1" w:styleId="70">
    <w:name w:val="样式1"/>
    <w:basedOn w:val="22"/>
    <w:qFormat/>
    <w:uiPriority w:val="0"/>
    <w:pPr>
      <w:tabs>
        <w:tab w:val="left" w:pos="567"/>
      </w:tabs>
      <w:spacing w:line="360" w:lineRule="auto"/>
      <w:jc w:val="center"/>
    </w:pPr>
    <w:rPr>
      <w:sz w:val="24"/>
      <w:szCs w:val="20"/>
    </w:rPr>
  </w:style>
  <w:style w:type="paragraph" w:customStyle="1" w:styleId="71">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2">
    <w:name w:val="表格1"/>
    <w:basedOn w:val="1"/>
    <w:qFormat/>
    <w:uiPriority w:val="0"/>
    <w:pPr>
      <w:adjustRightInd w:val="0"/>
      <w:jc w:val="center"/>
      <w:textAlignment w:val="baseline"/>
    </w:pPr>
    <w:rPr>
      <w:rFonts w:ascii="宋体"/>
      <w:kern w:val="0"/>
      <w:sz w:val="24"/>
      <w:szCs w:val="20"/>
    </w:rPr>
  </w:style>
  <w:style w:type="paragraph" w:customStyle="1" w:styleId="73">
    <w:name w:val="表格2"/>
    <w:basedOn w:val="1"/>
    <w:qFormat/>
    <w:uiPriority w:val="0"/>
    <w:pPr>
      <w:adjustRightInd w:val="0"/>
      <w:jc w:val="center"/>
      <w:textAlignment w:val="baseline"/>
    </w:pPr>
    <w:rPr>
      <w:rFonts w:ascii="宋体"/>
      <w:kern w:val="0"/>
      <w:szCs w:val="20"/>
    </w:rPr>
  </w:style>
  <w:style w:type="paragraph" w:customStyle="1" w:styleId="74">
    <w:name w:val="xl23"/>
    <w:basedOn w:val="1"/>
    <w:qFormat/>
    <w:uiPriority w:val="0"/>
    <w:pPr>
      <w:widowControl/>
      <w:spacing w:before="100" w:after="100"/>
      <w:jc w:val="center"/>
    </w:pPr>
    <w:rPr>
      <w:rFonts w:ascii="宋体" w:hAnsi="宋体"/>
      <w:kern w:val="0"/>
      <w:sz w:val="24"/>
      <w:szCs w:val="20"/>
    </w:rPr>
  </w:style>
  <w:style w:type="paragraph" w:customStyle="1" w:styleId="75">
    <w:name w:val="表内文字"/>
    <w:basedOn w:val="1"/>
    <w:qFormat/>
    <w:uiPriority w:val="0"/>
    <w:pPr>
      <w:widowControl/>
      <w:adjustRightInd w:val="0"/>
      <w:snapToGrid w:val="0"/>
      <w:jc w:val="center"/>
    </w:pPr>
    <w:rPr>
      <w:kern w:val="0"/>
      <w:sz w:val="24"/>
      <w:szCs w:val="20"/>
    </w:rPr>
  </w:style>
  <w:style w:type="paragraph" w:customStyle="1" w:styleId="76">
    <w:name w:val="BIG BOLD"/>
    <w:basedOn w:val="1"/>
    <w:qFormat/>
    <w:uiPriority w:val="0"/>
    <w:pPr>
      <w:tabs>
        <w:tab w:val="left" w:leader="underscore" w:pos="1134"/>
      </w:tabs>
    </w:pPr>
    <w:rPr>
      <w:szCs w:val="20"/>
    </w:rPr>
  </w:style>
  <w:style w:type="paragraph" w:customStyle="1" w:styleId="77">
    <w:name w:val="表内5"/>
    <w:basedOn w:val="15"/>
    <w:link w:val="235"/>
    <w:qFormat/>
    <w:uiPriority w:val="0"/>
    <w:pPr>
      <w:adjustRightInd w:val="0"/>
      <w:snapToGrid w:val="0"/>
      <w:ind w:firstLine="0" w:firstLineChars="0"/>
      <w:jc w:val="center"/>
    </w:pPr>
    <w:rPr>
      <w:rFonts w:ascii="宋体" w:hAnsi="宋体"/>
      <w:kern w:val="0"/>
      <w:szCs w:val="21"/>
    </w:rPr>
  </w:style>
  <w:style w:type="paragraph" w:customStyle="1" w:styleId="78">
    <w:name w:val="燕山正文"/>
    <w:basedOn w:val="1"/>
    <w:link w:val="236"/>
    <w:qFormat/>
    <w:uiPriority w:val="0"/>
    <w:pPr>
      <w:tabs>
        <w:tab w:val="left" w:pos="4680"/>
      </w:tabs>
      <w:adjustRightInd w:val="0"/>
      <w:snapToGrid w:val="0"/>
      <w:spacing w:line="360" w:lineRule="auto"/>
      <w:ind w:firstLine="560" w:firstLineChars="200"/>
    </w:pPr>
    <w:rPr>
      <w:rFonts w:ascii="宋体" w:hAnsi="宋体"/>
      <w:color w:val="000000"/>
      <w:sz w:val="28"/>
      <w:szCs w:val="28"/>
    </w:rPr>
  </w:style>
  <w:style w:type="paragraph" w:customStyle="1" w:styleId="79">
    <w:name w:val="安评节"/>
    <w:basedOn w:val="4"/>
    <w:qFormat/>
    <w:uiPriority w:val="0"/>
    <w:pPr>
      <w:tabs>
        <w:tab w:val="left" w:pos="567"/>
      </w:tabs>
      <w:overflowPunct w:val="0"/>
      <w:autoSpaceDE w:val="0"/>
      <w:autoSpaceDN w:val="0"/>
      <w:adjustRightInd w:val="0"/>
      <w:spacing w:before="120" w:after="120" w:line="360" w:lineRule="auto"/>
      <w:ind w:firstLine="200" w:firstLineChars="200"/>
      <w:jc w:val="center"/>
      <w:textAlignment w:val="baseline"/>
    </w:pPr>
    <w:rPr>
      <w:rFonts w:ascii="黑体" w:hAnsi="宋体" w:eastAsia="楷体_GB2312"/>
      <w:kern w:val="16"/>
      <w:szCs w:val="32"/>
    </w:rPr>
  </w:style>
  <w:style w:type="paragraph" w:customStyle="1" w:styleId="80">
    <w:name w:val="安评章"/>
    <w:basedOn w:val="3"/>
    <w:qFormat/>
    <w:uiPriority w:val="0"/>
    <w:pPr>
      <w:keepLines/>
      <w:tabs>
        <w:tab w:val="left" w:pos="567"/>
      </w:tabs>
      <w:overflowPunct w:val="0"/>
      <w:autoSpaceDE w:val="0"/>
      <w:autoSpaceDN w:val="0"/>
      <w:adjustRightInd w:val="0"/>
      <w:spacing w:before="100" w:after="100" w:line="360" w:lineRule="auto"/>
      <w:ind w:firstLine="562" w:firstLineChars="200"/>
      <w:textAlignment w:val="baseline"/>
    </w:pPr>
    <w:rPr>
      <w:rFonts w:ascii="宋体" w:hAnsi="宋体" w:eastAsia="黑体"/>
      <w:b/>
      <w:spacing w:val="20"/>
      <w:kern w:val="16"/>
      <w:sz w:val="32"/>
    </w:rPr>
  </w:style>
  <w:style w:type="paragraph" w:customStyle="1" w:styleId="81">
    <w:name w:val="节下项目标题"/>
    <w:basedOn w:val="1"/>
    <w:next w:val="1"/>
    <w:link w:val="237"/>
    <w:qFormat/>
    <w:uiPriority w:val="0"/>
    <w:pPr>
      <w:spacing w:line="360" w:lineRule="auto"/>
      <w:ind w:firstLine="200" w:firstLineChars="200"/>
      <w:jc w:val="left"/>
    </w:pPr>
    <w:rPr>
      <w:rFonts w:ascii="宋体" w:hAnsi="宋体" w:eastAsia="黑体"/>
      <w:b/>
      <w:sz w:val="28"/>
    </w:rPr>
  </w:style>
  <w:style w:type="paragraph" w:customStyle="1" w:styleId="82">
    <w:name w:val="表内序号"/>
    <w:basedOn w:val="1"/>
    <w:qFormat/>
    <w:uiPriority w:val="0"/>
    <w:pPr>
      <w:adjustRightInd w:val="0"/>
      <w:snapToGrid w:val="0"/>
      <w:spacing w:before="20" w:after="20"/>
      <w:jc w:val="center"/>
    </w:pPr>
    <w:rPr>
      <w:szCs w:val="20"/>
    </w:rPr>
  </w:style>
  <w:style w:type="paragraph" w:customStyle="1" w:styleId="83">
    <w:name w:val="表格标题"/>
    <w:basedOn w:val="1"/>
    <w:link w:val="238"/>
    <w:qFormat/>
    <w:uiPriority w:val="0"/>
    <w:pPr>
      <w:spacing w:line="360" w:lineRule="auto"/>
      <w:ind w:firstLine="200" w:firstLineChars="200"/>
      <w:jc w:val="center"/>
    </w:pPr>
    <w:rPr>
      <w:rFonts w:ascii="宋体" w:hAnsi="宋体"/>
      <w:spacing w:val="20"/>
      <w:sz w:val="24"/>
      <w:szCs w:val="20"/>
    </w:rPr>
  </w:style>
  <w:style w:type="paragraph" w:customStyle="1" w:styleId="84">
    <w:name w:val="标题1"/>
    <w:basedOn w:val="3"/>
    <w:qFormat/>
    <w:uiPriority w:val="0"/>
    <w:pPr>
      <w:keepLines/>
      <w:snapToGrid w:val="0"/>
      <w:spacing w:beforeLines="50" w:afterLines="50" w:line="360" w:lineRule="auto"/>
      <w:jc w:val="left"/>
    </w:pPr>
    <w:rPr>
      <w:rFonts w:eastAsia="黑体" w:cs="宋体"/>
      <w:b/>
      <w:kern w:val="44"/>
      <w:sz w:val="32"/>
    </w:rPr>
  </w:style>
  <w:style w:type="paragraph" w:customStyle="1" w:styleId="85">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6">
    <w:name w:val="1"/>
    <w:basedOn w:val="1"/>
    <w:next w:val="28"/>
    <w:qFormat/>
    <w:uiPriority w:val="0"/>
    <w:rPr>
      <w:rFonts w:ascii="宋体" w:hAnsi="Courier New"/>
      <w:szCs w:val="21"/>
    </w:rPr>
  </w:style>
  <w:style w:type="paragraph" w:customStyle="1" w:styleId="87">
    <w:name w:val="样式 样式 首行缩进:  0.99 厘米 行距: 最小值 23 磅 + 行距: 最小值 24 磅"/>
    <w:basedOn w:val="1"/>
    <w:qFormat/>
    <w:uiPriority w:val="0"/>
    <w:pPr>
      <w:snapToGrid w:val="0"/>
      <w:spacing w:line="520" w:lineRule="atLeast"/>
      <w:ind w:firstLine="680"/>
    </w:pPr>
    <w:rPr>
      <w:spacing w:val="12"/>
      <w:kern w:val="24"/>
      <w:sz w:val="28"/>
      <w:szCs w:val="28"/>
    </w:rPr>
  </w:style>
  <w:style w:type="paragraph" w:customStyle="1" w:styleId="88">
    <w:name w:val="xl32"/>
    <w:basedOn w:val="1"/>
    <w:qFormat/>
    <w:uiPriority w:val="0"/>
    <w:pPr>
      <w:widowControl/>
      <w:pBdr>
        <w:left w:val="single" w:color="auto" w:sz="4" w:space="0"/>
      </w:pBdr>
      <w:tabs>
        <w:tab w:val="left" w:pos="720"/>
      </w:tabs>
      <w:adjustRightInd w:val="0"/>
      <w:snapToGrid w:val="0"/>
      <w:spacing w:before="100" w:after="100" w:line="360" w:lineRule="atLeast"/>
      <w:jc w:val="center"/>
      <w:textAlignment w:val="center"/>
    </w:pPr>
    <w:rPr>
      <w:rFonts w:ascii="Arial" w:hAnsi="Arial" w:eastAsia="Arial Unicode MS"/>
      <w:kern w:val="0"/>
      <w:sz w:val="24"/>
      <w:szCs w:val="20"/>
    </w:rPr>
  </w:style>
  <w:style w:type="paragraph" w:customStyle="1" w:styleId="89">
    <w:name w:val="表格"/>
    <w:basedOn w:val="1"/>
    <w:qFormat/>
    <w:uiPriority w:val="0"/>
    <w:pPr>
      <w:widowControl/>
      <w:jc w:val="center"/>
    </w:pPr>
    <w:rPr>
      <w:rFonts w:ascii="宋体" w:hAnsi="宋体"/>
      <w:snapToGrid w:val="0"/>
      <w:kern w:val="0"/>
      <w:sz w:val="24"/>
      <w:szCs w:val="21"/>
    </w:rPr>
  </w:style>
  <w:style w:type="paragraph" w:customStyle="1" w:styleId="90">
    <w:name w:val="样式3"/>
    <w:basedOn w:val="1"/>
    <w:qFormat/>
    <w:uiPriority w:val="0"/>
    <w:pPr>
      <w:adjustRightInd w:val="0"/>
      <w:spacing w:before="240" w:line="460" w:lineRule="exact"/>
      <w:jc w:val="left"/>
      <w:textAlignment w:val="baseline"/>
    </w:pPr>
    <w:rPr>
      <w:rFonts w:ascii="黑体" w:eastAsia="黑体"/>
      <w:kern w:val="0"/>
      <w:sz w:val="28"/>
      <w:szCs w:val="20"/>
    </w:rPr>
  </w:style>
  <w:style w:type="paragraph" w:customStyle="1" w:styleId="91">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92">
    <w:name w:val="标三"/>
    <w:basedOn w:val="5"/>
    <w:qFormat/>
    <w:uiPriority w:val="0"/>
    <w:pPr>
      <w:spacing w:before="0" w:after="0" w:line="240" w:lineRule="auto"/>
      <w:jc w:val="center"/>
    </w:pPr>
    <w:rPr>
      <w:b w:val="0"/>
      <w:sz w:val="24"/>
      <w:szCs w:val="24"/>
    </w:rPr>
  </w:style>
  <w:style w:type="paragraph" w:customStyle="1" w:styleId="93">
    <w:name w:val="默认段落字体 Para Char Char Char Char Char Char Char"/>
    <w:basedOn w:val="1"/>
    <w:qFormat/>
    <w:uiPriority w:val="0"/>
    <w:pPr>
      <w:spacing w:line="360" w:lineRule="auto"/>
    </w:pPr>
    <w:rPr>
      <w:sz w:val="24"/>
    </w:rPr>
  </w:style>
  <w:style w:type="paragraph" w:customStyle="1" w:styleId="94">
    <w:name w:val="Char Char Char Char Char Char Char"/>
    <w:basedOn w:val="1"/>
    <w:qFormat/>
    <w:uiPriority w:val="0"/>
  </w:style>
  <w:style w:type="paragraph" w:customStyle="1" w:styleId="95">
    <w:name w:val="样式 正文 首行缩进:  2 字符 SL CON + (符号) 宋体 首行缩进:  2 字符"/>
    <w:basedOn w:val="1"/>
    <w:qFormat/>
    <w:uiPriority w:val="0"/>
    <w:pPr>
      <w:widowControl/>
      <w:tabs>
        <w:tab w:val="left" w:pos="377"/>
      </w:tabs>
      <w:spacing w:line="360" w:lineRule="auto"/>
      <w:ind w:firstLine="200" w:firstLineChars="200"/>
    </w:pPr>
    <w:rPr>
      <w:rFonts w:ascii="宋体" w:hAnsi="宋体" w:cs="宋体"/>
      <w:kern w:val="0"/>
      <w:sz w:val="28"/>
      <w:szCs w:val="20"/>
    </w:rPr>
  </w:style>
  <w:style w:type="paragraph" w:customStyle="1" w:styleId="96">
    <w:name w:val="样式 正文 首行缩进:  2 字符 SL CON + 首行缩进:  2 字符 + 首行缩进:  2 字符 + 首行缩..."/>
    <w:basedOn w:val="97"/>
    <w:qFormat/>
    <w:uiPriority w:val="0"/>
    <w:pPr>
      <w:tabs>
        <w:tab w:val="left" w:pos="377"/>
      </w:tabs>
      <w:ind w:firstLine="560"/>
    </w:pPr>
  </w:style>
  <w:style w:type="paragraph" w:customStyle="1" w:styleId="97">
    <w:name w:val="样式 样式 正文 首行缩进:  2 字符 SL CON + 首行缩进:  2 字符 + 首行缩进:  2 字符"/>
    <w:basedOn w:val="98"/>
    <w:qFormat/>
    <w:uiPriority w:val="0"/>
    <w:pPr>
      <w:tabs>
        <w:tab w:val="left" w:pos="377"/>
      </w:tabs>
    </w:pPr>
  </w:style>
  <w:style w:type="paragraph" w:customStyle="1" w:styleId="98">
    <w:name w:val="样式 正文 首行缩进:  2 字符 SL CON + 首行缩进:  2 字符"/>
    <w:basedOn w:val="99"/>
    <w:qFormat/>
    <w:uiPriority w:val="0"/>
    <w:pPr>
      <w:tabs>
        <w:tab w:val="left" w:pos="377"/>
      </w:tabs>
    </w:pPr>
    <w:rPr>
      <w:szCs w:val="20"/>
    </w:rPr>
  </w:style>
  <w:style w:type="paragraph" w:customStyle="1" w:styleId="99">
    <w:name w:val="正文 首行缩进:  2 字符 SL CON"/>
    <w:basedOn w:val="1"/>
    <w:qFormat/>
    <w:uiPriority w:val="0"/>
    <w:pPr>
      <w:widowControl/>
      <w:tabs>
        <w:tab w:val="left" w:pos="377"/>
      </w:tabs>
      <w:spacing w:line="360" w:lineRule="auto"/>
      <w:ind w:firstLine="200" w:firstLineChars="200"/>
    </w:pPr>
    <w:rPr>
      <w:rFonts w:ascii="宋体" w:cs="宋体"/>
      <w:kern w:val="0"/>
      <w:sz w:val="28"/>
    </w:rPr>
  </w:style>
  <w:style w:type="paragraph" w:customStyle="1" w:styleId="100">
    <w:name w:val="主标题 样式 小一 加粗 居中(SL CON)"/>
    <w:basedOn w:val="1"/>
    <w:qFormat/>
    <w:uiPriority w:val="0"/>
    <w:pPr>
      <w:widowControl/>
      <w:tabs>
        <w:tab w:val="left" w:pos="377"/>
      </w:tabs>
      <w:spacing w:line="360" w:lineRule="auto"/>
      <w:jc w:val="center"/>
    </w:pPr>
    <w:rPr>
      <w:rFonts w:ascii="宋体" w:cs="宋体"/>
      <w:b/>
      <w:bCs/>
      <w:kern w:val="0"/>
      <w:sz w:val="48"/>
      <w:szCs w:val="20"/>
    </w:rPr>
  </w:style>
  <w:style w:type="paragraph" w:customStyle="1" w:styleId="101">
    <w:name w:val="报告的名称 样式 宋体 小初号 加粗 居中(SL CON)"/>
    <w:basedOn w:val="1"/>
    <w:qFormat/>
    <w:uiPriority w:val="0"/>
    <w:pPr>
      <w:widowControl/>
      <w:tabs>
        <w:tab w:val="left" w:pos="377"/>
      </w:tabs>
      <w:spacing w:line="360" w:lineRule="auto"/>
      <w:jc w:val="center"/>
    </w:pPr>
    <w:rPr>
      <w:rFonts w:ascii="宋体" w:hAnsi="宋体" w:eastAsia="黑体" w:cs="宋体"/>
      <w:b/>
      <w:bCs/>
      <w:kern w:val="0"/>
      <w:sz w:val="72"/>
      <w:szCs w:val="20"/>
    </w:rPr>
  </w:style>
  <w:style w:type="paragraph" w:customStyle="1" w:styleId="102">
    <w:name w:val="日期时间 样式 四号 居中 行距: 1.5 倍行距(SL CON)"/>
    <w:basedOn w:val="1"/>
    <w:qFormat/>
    <w:uiPriority w:val="0"/>
    <w:pPr>
      <w:widowControl/>
      <w:tabs>
        <w:tab w:val="left" w:pos="377"/>
      </w:tabs>
      <w:spacing w:line="360" w:lineRule="auto"/>
      <w:jc w:val="center"/>
    </w:pPr>
    <w:rPr>
      <w:rFonts w:ascii="宋体" w:cs="宋体"/>
      <w:kern w:val="0"/>
      <w:sz w:val="28"/>
      <w:szCs w:val="28"/>
    </w:rPr>
  </w:style>
  <w:style w:type="paragraph" w:customStyle="1" w:styleId="103">
    <w:name w:val="样式 首行缩进:  1.7 厘米 行距: 1.5 倍行距"/>
    <w:basedOn w:val="1"/>
    <w:qFormat/>
    <w:uiPriority w:val="0"/>
    <w:pPr>
      <w:widowControl/>
      <w:tabs>
        <w:tab w:val="left" w:pos="377"/>
      </w:tabs>
      <w:spacing w:line="360" w:lineRule="auto"/>
      <w:ind w:firstLine="963"/>
    </w:pPr>
    <w:rPr>
      <w:rFonts w:ascii="宋体" w:cs="宋体"/>
      <w:kern w:val="0"/>
      <w:sz w:val="32"/>
      <w:szCs w:val="20"/>
    </w:rPr>
  </w:style>
  <w:style w:type="paragraph" w:customStyle="1" w:styleId="104">
    <w:name w:val="SL CON-项目编号"/>
    <w:basedOn w:val="1"/>
    <w:qFormat/>
    <w:uiPriority w:val="0"/>
    <w:pPr>
      <w:adjustRightInd w:val="0"/>
      <w:spacing w:line="360" w:lineRule="auto"/>
      <w:jc w:val="center"/>
      <w:textAlignment w:val="baseline"/>
    </w:pPr>
    <w:rPr>
      <w:rFonts w:ascii="宋体" w:cs="宋体"/>
      <w:kern w:val="0"/>
      <w:sz w:val="34"/>
      <w:szCs w:val="20"/>
    </w:rPr>
  </w:style>
  <w:style w:type="paragraph" w:customStyle="1" w:styleId="105">
    <w:name w:val="标题 2 SL CON"/>
    <w:basedOn w:val="1"/>
    <w:next w:val="1"/>
    <w:qFormat/>
    <w:uiPriority w:val="0"/>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106">
    <w:name w:val="图样式 居中 SL CON"/>
    <w:basedOn w:val="1"/>
    <w:qFormat/>
    <w:uiPriority w:val="0"/>
    <w:pPr>
      <w:widowControl/>
      <w:tabs>
        <w:tab w:val="left" w:pos="377"/>
      </w:tabs>
      <w:spacing w:line="360" w:lineRule="auto"/>
      <w:jc w:val="center"/>
    </w:pPr>
    <w:rPr>
      <w:rFonts w:ascii="宋体" w:cs="宋体"/>
      <w:kern w:val="0"/>
      <w:sz w:val="24"/>
      <w:szCs w:val="20"/>
    </w:rPr>
  </w:style>
  <w:style w:type="paragraph" w:customStyle="1" w:styleId="107">
    <w:name w:val="表（或图）标题 样式 宋体 小四号 居中 SL CON"/>
    <w:basedOn w:val="1"/>
    <w:qFormat/>
    <w:uiPriority w:val="0"/>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108">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09">
    <w:name w:val="公式书写 居中 段前: 6 磅 段后: 6 磅 SL CON"/>
    <w:basedOn w:val="1"/>
    <w:link w:val="244"/>
    <w:qFormat/>
    <w:uiPriority w:val="0"/>
    <w:pPr>
      <w:widowControl/>
      <w:tabs>
        <w:tab w:val="left" w:pos="377"/>
      </w:tabs>
      <w:spacing w:before="120" w:after="120" w:line="360" w:lineRule="auto"/>
      <w:jc w:val="center"/>
    </w:pPr>
    <w:rPr>
      <w:rFonts w:ascii="宋体" w:cs="宋体"/>
      <w:kern w:val="0"/>
      <w:sz w:val="24"/>
      <w:szCs w:val="20"/>
    </w:rPr>
  </w:style>
  <w:style w:type="paragraph" w:customStyle="1" w:styleId="110">
    <w:name w:val="公式书写（编号） 居中 段前: 6 磅 段后: 6 磅 SL CON + (符号) 宋体"/>
    <w:basedOn w:val="109"/>
    <w:link w:val="245"/>
    <w:qFormat/>
    <w:uiPriority w:val="0"/>
  </w:style>
  <w:style w:type="paragraph" w:customStyle="1" w:styleId="111">
    <w:name w:val="样式 (符号) 宋体"/>
    <w:basedOn w:val="1"/>
    <w:qFormat/>
    <w:uiPriority w:val="0"/>
    <w:pPr>
      <w:widowControl/>
      <w:tabs>
        <w:tab w:val="left" w:pos="377"/>
      </w:tabs>
      <w:spacing w:line="360" w:lineRule="auto"/>
      <w:ind w:firstLine="480" w:firstLineChars="200"/>
    </w:pPr>
    <w:rPr>
      <w:rFonts w:ascii="宋体" w:hAnsi="宋体" w:cs="宋体"/>
      <w:kern w:val="0"/>
      <w:sz w:val="28"/>
      <w:szCs w:val="20"/>
    </w:rPr>
  </w:style>
  <w:style w:type="paragraph" w:customStyle="1" w:styleId="112">
    <w:name w:val="样式 标题 3 SL CON + 段前: 0.5 行"/>
    <w:basedOn w:val="1"/>
    <w:qFormat/>
    <w:uiPriority w:val="0"/>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113">
    <w:name w:val="Char Char Char Char Char Char Char Char Char Char"/>
    <w:basedOn w:val="1"/>
    <w:qFormat/>
    <w:uiPriority w:val="0"/>
    <w:pPr>
      <w:spacing w:line="360" w:lineRule="auto"/>
    </w:pPr>
    <w:rPr>
      <w:sz w:val="24"/>
    </w:rPr>
  </w:style>
  <w:style w:type="paragraph" w:customStyle="1" w:styleId="114">
    <w:name w:val="Char Char Char2 Char"/>
    <w:basedOn w:val="1"/>
    <w:qFormat/>
    <w:uiPriority w:val="0"/>
    <w:rPr>
      <w:rFonts w:ascii="Tahoma" w:hAnsi="Tahoma"/>
      <w:sz w:val="24"/>
      <w:szCs w:val="20"/>
    </w:rPr>
  </w:style>
  <w:style w:type="paragraph" w:customStyle="1" w:styleId="115">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16">
    <w:name w:val="Char1 Char Char Char"/>
    <w:basedOn w:val="1"/>
    <w:qFormat/>
    <w:uiPriority w:val="0"/>
    <w:pPr>
      <w:spacing w:line="360" w:lineRule="auto"/>
    </w:pPr>
    <w:rPr>
      <w:sz w:val="24"/>
    </w:rPr>
  </w:style>
  <w:style w:type="paragraph" w:customStyle="1" w:styleId="117">
    <w:name w:val="样式 正文 首行缩进 SL CON"/>
    <w:basedOn w:val="97"/>
    <w:qFormat/>
    <w:uiPriority w:val="0"/>
    <w:pPr>
      <w:ind w:firstLine="560"/>
    </w:pPr>
  </w:style>
  <w:style w:type="paragraph" w:customStyle="1" w:styleId="118">
    <w:name w:val="标题 3 SL CON"/>
    <w:basedOn w:val="1"/>
    <w:next w:val="1"/>
    <w:qFormat/>
    <w:uiPriority w:val="0"/>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119">
    <w:name w:val="Char Char Char Char"/>
    <w:basedOn w:val="1"/>
    <w:semiHidden/>
    <w:qFormat/>
    <w:uiPriority w:val="0"/>
  </w:style>
  <w:style w:type="paragraph" w:customStyle="1" w:styleId="120">
    <w:name w:val="Char Char Char Char Char Char Char Char Char Char5"/>
    <w:basedOn w:val="1"/>
    <w:qFormat/>
    <w:uiPriority w:val="0"/>
    <w:pPr>
      <w:spacing w:line="360" w:lineRule="auto"/>
    </w:pPr>
    <w:rPr>
      <w:sz w:val="24"/>
    </w:rPr>
  </w:style>
  <w:style w:type="paragraph" w:customStyle="1" w:styleId="121">
    <w:name w:val="Char Char Char Char Char Char Char Char Char Char4"/>
    <w:basedOn w:val="1"/>
    <w:qFormat/>
    <w:uiPriority w:val="0"/>
    <w:pPr>
      <w:spacing w:line="360" w:lineRule="auto"/>
    </w:pPr>
    <w:rPr>
      <w:sz w:val="24"/>
    </w:rPr>
  </w:style>
  <w:style w:type="paragraph" w:customStyle="1" w:styleId="122">
    <w:name w:val="正文首行缩进1"/>
    <w:basedOn w:val="1"/>
    <w:qFormat/>
    <w:uiPriority w:val="0"/>
    <w:pPr>
      <w:spacing w:line="500" w:lineRule="exact"/>
      <w:ind w:firstLine="520" w:firstLineChars="200"/>
    </w:pPr>
    <w:rPr>
      <w:sz w:val="26"/>
    </w:rPr>
  </w:style>
  <w:style w:type="paragraph" w:customStyle="1" w:styleId="123">
    <w:name w:val="Char Char Char Char Char Char Char Char Char Char3"/>
    <w:basedOn w:val="1"/>
    <w:qFormat/>
    <w:uiPriority w:val="0"/>
    <w:pPr>
      <w:spacing w:line="360" w:lineRule="auto"/>
    </w:pPr>
    <w:rPr>
      <w:sz w:val="24"/>
    </w:rPr>
  </w:style>
  <w:style w:type="paragraph" w:customStyle="1" w:styleId="124">
    <w:name w:val="表（或图）标题 样式 宋体 五号 居中 SL CON"/>
    <w:basedOn w:val="1"/>
    <w:qFormat/>
    <w:uiPriority w:val="0"/>
    <w:pPr>
      <w:widowControl/>
      <w:tabs>
        <w:tab w:val="left" w:pos="377"/>
      </w:tabs>
      <w:spacing w:before="100" w:beforeAutospacing="1" w:line="360" w:lineRule="auto"/>
      <w:jc w:val="center"/>
    </w:pPr>
    <w:rPr>
      <w:rFonts w:ascii="宋体" w:hAnsi="宋体" w:cs="宋体"/>
      <w:b/>
      <w:kern w:val="0"/>
      <w:szCs w:val="20"/>
    </w:rPr>
  </w:style>
  <w:style w:type="paragraph" w:customStyle="1" w:styleId="125">
    <w:name w:val="Char Char Char Char Char Char Char Char Char Char2"/>
    <w:basedOn w:val="1"/>
    <w:qFormat/>
    <w:uiPriority w:val="0"/>
    <w:pPr>
      <w:spacing w:line="360" w:lineRule="auto"/>
    </w:pPr>
    <w:rPr>
      <w:sz w:val="24"/>
    </w:rPr>
  </w:style>
  <w:style w:type="paragraph" w:customStyle="1" w:styleId="126">
    <w:name w:val="Char Char Char Char Char Char Char Char Char Char1"/>
    <w:basedOn w:val="1"/>
    <w:qFormat/>
    <w:uiPriority w:val="0"/>
    <w:pPr>
      <w:spacing w:line="360" w:lineRule="auto"/>
    </w:pPr>
    <w:rPr>
      <w:sz w:val="24"/>
    </w:rPr>
  </w:style>
  <w:style w:type="paragraph" w:customStyle="1" w:styleId="127">
    <w:name w:val="列出段落1"/>
    <w:basedOn w:val="1"/>
    <w:qFormat/>
    <w:uiPriority w:val="0"/>
    <w:pPr>
      <w:ind w:firstLine="420" w:firstLineChars="200"/>
    </w:pPr>
  </w:style>
  <w:style w:type="paragraph" w:customStyle="1" w:styleId="128">
    <w:name w:val="样式2"/>
    <w:basedOn w:val="1"/>
    <w:qFormat/>
    <w:uiPriority w:val="0"/>
    <w:rPr>
      <w:rFonts w:ascii="宋体"/>
      <w:sz w:val="28"/>
      <w:szCs w:val="20"/>
    </w:rPr>
  </w:style>
  <w:style w:type="paragraph" w:customStyle="1" w:styleId="129">
    <w:name w:val="正文1"/>
    <w:basedOn w:val="1"/>
    <w:qFormat/>
    <w:uiPriority w:val="0"/>
    <w:pPr>
      <w:adjustRightInd w:val="0"/>
      <w:spacing w:after="120" w:line="360" w:lineRule="atLeast"/>
      <w:jc w:val="center"/>
      <w:textAlignment w:val="baseline"/>
    </w:pPr>
    <w:rPr>
      <w:kern w:val="0"/>
      <w:sz w:val="24"/>
      <w:szCs w:val="20"/>
    </w:rPr>
  </w:style>
  <w:style w:type="paragraph" w:customStyle="1" w:styleId="130">
    <w:name w:val="条(三级)"/>
    <w:basedOn w:val="1"/>
    <w:next w:val="1"/>
    <w:qFormat/>
    <w:uiPriority w:val="0"/>
    <w:pPr>
      <w:keepNext/>
      <w:keepLines/>
      <w:adjustRightInd w:val="0"/>
      <w:spacing w:line="460" w:lineRule="exact"/>
      <w:jc w:val="left"/>
      <w:textAlignment w:val="baseline"/>
    </w:pPr>
    <w:rPr>
      <w:rFonts w:hAnsi="Arial"/>
      <w:spacing w:val="3"/>
      <w:kern w:val="24"/>
      <w:sz w:val="24"/>
      <w:szCs w:val="20"/>
    </w:rPr>
  </w:style>
  <w:style w:type="paragraph" w:customStyle="1" w:styleId="131">
    <w:name w:val="Achievement"/>
    <w:basedOn w:val="22"/>
    <w:qFormat/>
    <w:uiPriority w:val="0"/>
    <w:pPr>
      <w:widowControl/>
      <w:numPr>
        <w:ilvl w:val="0"/>
        <w:numId w:val="1"/>
      </w:numPr>
      <w:spacing w:after="60" w:line="220" w:lineRule="atLeast"/>
      <w:ind w:right="-360"/>
      <w:jc w:val="left"/>
    </w:pPr>
    <w:rPr>
      <w:kern w:val="0"/>
      <w:sz w:val="20"/>
      <w:szCs w:val="20"/>
    </w:rPr>
  </w:style>
  <w:style w:type="paragraph" w:customStyle="1" w:styleId="132">
    <w:name w:val="Personal Info"/>
    <w:basedOn w:val="131"/>
    <w:qFormat/>
    <w:uiPriority w:val="0"/>
    <w:pPr>
      <w:spacing w:before="220"/>
    </w:pPr>
  </w:style>
  <w:style w:type="paragraph" w:customStyle="1" w:styleId="133">
    <w:name w:val="Address 1"/>
    <w:basedOn w:val="1"/>
    <w:qFormat/>
    <w:uiPriority w:val="0"/>
    <w:pPr>
      <w:framePr w:w="2400" w:wrap="notBeside" w:vAnchor="page" w:hAnchor="page" w:x="8065" w:y="1009" w:anchorLock="1"/>
      <w:widowControl/>
      <w:spacing w:line="200" w:lineRule="atLeast"/>
      <w:jc w:val="left"/>
    </w:pPr>
    <w:rPr>
      <w:kern w:val="0"/>
      <w:sz w:val="16"/>
      <w:szCs w:val="20"/>
    </w:rPr>
  </w:style>
  <w:style w:type="paragraph" w:customStyle="1" w:styleId="134">
    <w:name w:val="Address 2"/>
    <w:basedOn w:val="1"/>
    <w:qFormat/>
    <w:uiPriority w:val="0"/>
    <w:pPr>
      <w:framePr w:w="2405" w:wrap="notBeside" w:vAnchor="page" w:hAnchor="page" w:x="5761" w:y="1009" w:anchorLock="1"/>
      <w:widowControl/>
      <w:spacing w:line="200" w:lineRule="atLeast"/>
      <w:jc w:val="left"/>
    </w:pPr>
    <w:rPr>
      <w:kern w:val="0"/>
      <w:sz w:val="16"/>
      <w:szCs w:val="20"/>
    </w:rPr>
  </w:style>
  <w:style w:type="paragraph" w:customStyle="1" w:styleId="135">
    <w:name w:val="City/State"/>
    <w:basedOn w:val="22"/>
    <w:next w:val="22"/>
    <w:qFormat/>
    <w:uiPriority w:val="0"/>
    <w:pPr>
      <w:keepNext/>
      <w:widowControl/>
      <w:spacing w:after="220" w:line="220" w:lineRule="atLeast"/>
      <w:ind w:right="-360"/>
      <w:jc w:val="left"/>
    </w:pPr>
    <w:rPr>
      <w:kern w:val="0"/>
      <w:sz w:val="20"/>
      <w:szCs w:val="20"/>
    </w:rPr>
  </w:style>
  <w:style w:type="paragraph" w:customStyle="1" w:styleId="136">
    <w:name w:val="Company Name"/>
    <w:basedOn w:val="1"/>
    <w:next w:val="1"/>
    <w:qFormat/>
    <w:uiPriority w:val="0"/>
    <w:pPr>
      <w:widowControl/>
      <w:tabs>
        <w:tab w:val="left" w:pos="2160"/>
        <w:tab w:val="right" w:pos="6480"/>
      </w:tabs>
      <w:spacing w:before="220" w:after="40" w:line="220" w:lineRule="atLeast"/>
      <w:ind w:right="-360"/>
      <w:jc w:val="left"/>
    </w:pPr>
    <w:rPr>
      <w:kern w:val="0"/>
      <w:sz w:val="20"/>
      <w:szCs w:val="20"/>
    </w:rPr>
  </w:style>
  <w:style w:type="paragraph" w:customStyle="1" w:styleId="137">
    <w:name w:val="Company Name One"/>
    <w:basedOn w:val="136"/>
    <w:next w:val="1"/>
    <w:qFormat/>
    <w:uiPriority w:val="0"/>
  </w:style>
  <w:style w:type="paragraph" w:customStyle="1" w:styleId="138">
    <w:name w:val="Document Label"/>
    <w:basedOn w:val="1"/>
    <w:next w:val="1"/>
    <w:qFormat/>
    <w:uiPriority w:val="0"/>
    <w:pPr>
      <w:widowControl/>
      <w:spacing w:after="220"/>
      <w:ind w:right="-360"/>
      <w:jc w:val="left"/>
    </w:pPr>
    <w:rPr>
      <w:spacing w:val="-20"/>
      <w:kern w:val="0"/>
      <w:sz w:val="48"/>
      <w:szCs w:val="20"/>
    </w:rPr>
  </w:style>
  <w:style w:type="paragraph" w:customStyle="1" w:styleId="139">
    <w:name w:val="Header Base"/>
    <w:basedOn w:val="1"/>
    <w:qFormat/>
    <w:uiPriority w:val="0"/>
    <w:pPr>
      <w:widowControl/>
      <w:ind w:right="-360"/>
      <w:jc w:val="left"/>
    </w:pPr>
    <w:rPr>
      <w:kern w:val="0"/>
      <w:sz w:val="20"/>
      <w:szCs w:val="20"/>
    </w:rPr>
  </w:style>
  <w:style w:type="paragraph" w:customStyle="1" w:styleId="140">
    <w:name w:val="Heading Base"/>
    <w:basedOn w:val="22"/>
    <w:next w:val="22"/>
    <w:qFormat/>
    <w:uiPriority w:val="0"/>
    <w:pPr>
      <w:keepNext/>
      <w:keepLines/>
      <w:widowControl/>
      <w:spacing w:after="0" w:line="220" w:lineRule="atLeast"/>
      <w:ind w:right="-360"/>
      <w:jc w:val="left"/>
    </w:pPr>
    <w:rPr>
      <w:rFonts w:ascii="Arial" w:hAnsi="Arial"/>
      <w:spacing w:val="-4"/>
      <w:kern w:val="0"/>
      <w:sz w:val="18"/>
      <w:szCs w:val="20"/>
    </w:rPr>
  </w:style>
  <w:style w:type="paragraph" w:customStyle="1" w:styleId="141">
    <w:name w:val="Institution"/>
    <w:basedOn w:val="1"/>
    <w:next w:val="131"/>
    <w:qFormat/>
    <w:uiPriority w:val="0"/>
    <w:pPr>
      <w:widowControl/>
      <w:tabs>
        <w:tab w:val="left" w:pos="2160"/>
        <w:tab w:val="right" w:pos="6480"/>
      </w:tabs>
      <w:spacing w:before="220" w:after="60" w:line="220" w:lineRule="atLeast"/>
      <w:ind w:right="-360"/>
      <w:jc w:val="left"/>
    </w:pPr>
    <w:rPr>
      <w:kern w:val="0"/>
      <w:sz w:val="20"/>
      <w:szCs w:val="20"/>
    </w:rPr>
  </w:style>
  <w:style w:type="paragraph" w:customStyle="1" w:styleId="142">
    <w:name w:val="Job Title"/>
    <w:next w:val="131"/>
    <w:qFormat/>
    <w:uiPriority w:val="0"/>
    <w:pPr>
      <w:spacing w:after="40" w:line="220" w:lineRule="atLeast"/>
    </w:pPr>
    <w:rPr>
      <w:rFonts w:ascii="Arial" w:hAnsi="Arial" w:eastAsia="宋体" w:cs="Times New Roman"/>
      <w:b/>
      <w:spacing w:val="-10"/>
      <w:lang w:val="en-US" w:eastAsia="zh-CN" w:bidi="ar-SA"/>
    </w:rPr>
  </w:style>
  <w:style w:type="paragraph" w:customStyle="1" w:styleId="143">
    <w:name w:val="Name"/>
    <w:basedOn w:val="1"/>
    <w:next w:val="1"/>
    <w:qFormat/>
    <w:uiPriority w:val="0"/>
    <w:pPr>
      <w:widowControl/>
      <w:spacing w:after="440" w:line="240" w:lineRule="atLeast"/>
      <w:ind w:left="2160"/>
      <w:jc w:val="left"/>
    </w:pPr>
    <w:rPr>
      <w:spacing w:val="-20"/>
      <w:kern w:val="0"/>
      <w:sz w:val="48"/>
      <w:szCs w:val="20"/>
    </w:rPr>
  </w:style>
  <w:style w:type="paragraph" w:customStyle="1" w:styleId="144">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jc w:val="left"/>
    </w:pPr>
    <w:rPr>
      <w:rFonts w:ascii="Arial" w:hAnsi="Arial"/>
      <w:b/>
      <w:spacing w:val="-10"/>
      <w:kern w:val="0"/>
      <w:position w:val="7"/>
      <w:sz w:val="20"/>
      <w:szCs w:val="20"/>
    </w:rPr>
  </w:style>
  <w:style w:type="paragraph" w:customStyle="1" w:styleId="145">
    <w:name w:val="Objective"/>
    <w:basedOn w:val="1"/>
    <w:next w:val="22"/>
    <w:qFormat/>
    <w:uiPriority w:val="0"/>
    <w:pPr>
      <w:widowControl/>
      <w:spacing w:before="220" w:after="220" w:line="220" w:lineRule="atLeast"/>
      <w:jc w:val="left"/>
    </w:pPr>
    <w:rPr>
      <w:kern w:val="0"/>
      <w:sz w:val="20"/>
      <w:szCs w:val="20"/>
    </w:rPr>
  </w:style>
  <w:style w:type="paragraph" w:customStyle="1" w:styleId="146">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jc w:val="left"/>
    </w:pPr>
    <w:rPr>
      <w:rFonts w:ascii="Arial" w:hAnsi="Arial"/>
      <w:b/>
      <w:spacing w:val="-10"/>
      <w:kern w:val="0"/>
      <w:position w:val="7"/>
      <w:sz w:val="20"/>
      <w:szCs w:val="20"/>
    </w:rPr>
  </w:style>
  <w:style w:type="paragraph" w:customStyle="1" w:styleId="147">
    <w:name w:val="Section Subtitle"/>
    <w:basedOn w:val="146"/>
    <w:next w:val="1"/>
    <w:qFormat/>
    <w:uiPriority w:val="0"/>
    <w:pPr>
      <w:pBdr>
        <w:top w:val="none" w:color="auto" w:sz="0" w:space="0"/>
      </w:pBdr>
    </w:pPr>
    <w:rPr>
      <w:b w:val="0"/>
      <w:spacing w:val="0"/>
      <w:position w:val="6"/>
    </w:rPr>
  </w:style>
  <w:style w:type="paragraph" w:customStyle="1" w:styleId="148">
    <w:name w:val="正文文本 21"/>
    <w:basedOn w:val="1"/>
    <w:qFormat/>
    <w:uiPriority w:val="0"/>
    <w:pPr>
      <w:adjustRightInd w:val="0"/>
      <w:ind w:firstLine="425"/>
      <w:textAlignment w:val="baseline"/>
    </w:pPr>
    <w:rPr>
      <w:szCs w:val="20"/>
    </w:rPr>
  </w:style>
  <w:style w:type="paragraph" w:customStyle="1" w:styleId="149">
    <w:name w:val="条(二级)"/>
    <w:basedOn w:val="4"/>
    <w:next w:val="130"/>
    <w:qFormat/>
    <w:uiPriority w:val="0"/>
    <w:pPr>
      <w:adjustRightInd w:val="0"/>
      <w:spacing w:before="0" w:after="0" w:line="460" w:lineRule="exact"/>
      <w:jc w:val="left"/>
      <w:textAlignment w:val="baseline"/>
      <w:outlineLvl w:val="9"/>
    </w:pPr>
    <w:rPr>
      <w:rFonts w:ascii="宋体" w:eastAsia="宋体"/>
      <w:spacing w:val="3"/>
      <w:kern w:val="24"/>
      <w:sz w:val="24"/>
    </w:rPr>
  </w:style>
  <w:style w:type="paragraph" w:customStyle="1" w:styleId="150">
    <w:name w:val="条(四级)"/>
    <w:basedOn w:val="130"/>
    <w:next w:val="1"/>
    <w:qFormat/>
    <w:uiPriority w:val="0"/>
  </w:style>
  <w:style w:type="paragraph" w:customStyle="1" w:styleId="151">
    <w:name w:val="条文1"/>
    <w:basedOn w:val="152"/>
    <w:qFormat/>
    <w:uiPriority w:val="0"/>
    <w:pPr>
      <w:numPr>
        <w:ilvl w:val="0"/>
        <w:numId w:val="2"/>
      </w:numPr>
      <w:ind w:left="907" w:hanging="425"/>
    </w:pPr>
  </w:style>
  <w:style w:type="paragraph" w:customStyle="1" w:styleId="152">
    <w:name w:val="段"/>
    <w:basedOn w:val="1"/>
    <w:qFormat/>
    <w:uiPriority w:val="0"/>
    <w:pPr>
      <w:adjustRightInd w:val="0"/>
      <w:spacing w:line="460" w:lineRule="exact"/>
      <w:ind w:firstLine="482"/>
      <w:jc w:val="left"/>
      <w:textAlignment w:val="baseline"/>
    </w:pPr>
    <w:rPr>
      <w:rFonts w:hAnsi="Arial"/>
      <w:spacing w:val="3"/>
      <w:kern w:val="24"/>
      <w:sz w:val="24"/>
      <w:szCs w:val="20"/>
    </w:rPr>
  </w:style>
  <w:style w:type="paragraph" w:customStyle="1" w:styleId="153">
    <w:name w:val="页号"/>
    <w:basedOn w:val="34"/>
    <w:qFormat/>
    <w:uiPriority w:val="0"/>
    <w:pPr>
      <w:tabs>
        <w:tab w:val="center" w:pos="4320"/>
        <w:tab w:val="right" w:pos="8640"/>
        <w:tab w:val="clear" w:pos="4153"/>
        <w:tab w:val="clear" w:pos="8306"/>
      </w:tabs>
      <w:adjustRightInd w:val="0"/>
      <w:snapToGrid/>
      <w:jc w:val="center"/>
      <w:textAlignment w:val="baseline"/>
    </w:pPr>
    <w:rPr>
      <w:rFonts w:hAnsi="Arial"/>
      <w:spacing w:val="3"/>
      <w:kern w:val="24"/>
      <w:sz w:val="24"/>
      <w:szCs w:val="20"/>
    </w:rPr>
  </w:style>
  <w:style w:type="paragraph" w:customStyle="1" w:styleId="154">
    <w:name w:val="列表延续 2"/>
    <w:basedOn w:val="1"/>
    <w:qFormat/>
    <w:uiPriority w:val="0"/>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155">
    <w:name w:val="列表延续 21"/>
    <w:basedOn w:val="1"/>
    <w:qFormat/>
    <w:uiPriority w:val="0"/>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156">
    <w:name w:val="章(一级)"/>
    <w:basedOn w:val="3"/>
    <w:next w:val="149"/>
    <w:qFormat/>
    <w:uiPriority w:val="0"/>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157">
    <w:name w:val="条文2"/>
    <w:basedOn w:val="152"/>
    <w:qFormat/>
    <w:uiPriority w:val="0"/>
    <w:pPr>
      <w:ind w:left="1151" w:hanging="425"/>
    </w:pPr>
    <w:rPr>
      <w:rFonts w:ascii="宋体"/>
    </w:rPr>
  </w:style>
  <w:style w:type="paragraph" w:customStyle="1" w:styleId="158">
    <w:name w:val="档案号"/>
    <w:basedOn w:val="35"/>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159">
    <w:name w:val="正文2"/>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60">
    <w:name w:val="标题4"/>
    <w:basedOn w:val="5"/>
    <w:qFormat/>
    <w:uiPriority w:val="0"/>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161">
    <w:name w:val="标题5"/>
    <w:basedOn w:val="160"/>
    <w:qFormat/>
    <w:uiPriority w:val="0"/>
    <w:pPr>
      <w:spacing w:line="240" w:lineRule="auto"/>
    </w:pPr>
    <w:rPr>
      <w:i/>
      <w:spacing w:val="0"/>
    </w:rPr>
  </w:style>
  <w:style w:type="paragraph" w:customStyle="1" w:styleId="162">
    <w:name w:val="普通 (Web)"/>
    <w:basedOn w:val="1"/>
    <w:qFormat/>
    <w:uiPriority w:val="0"/>
    <w:rPr>
      <w:sz w:val="24"/>
    </w:rPr>
  </w:style>
  <w:style w:type="paragraph" w:customStyle="1" w:styleId="163">
    <w:name w:val="xl24"/>
    <w:basedOn w:val="1"/>
    <w:qFormat/>
    <w:uiPriority w:val="0"/>
    <w:pPr>
      <w:widowControl/>
      <w:pBdr>
        <w:right w:val="single" w:color="auto" w:sz="4" w:space="0"/>
      </w:pBdr>
      <w:spacing w:before="100" w:after="100"/>
      <w:jc w:val="center"/>
    </w:pPr>
    <w:rPr>
      <w:rFonts w:ascii="Arial Unicode MS" w:hAnsi="Arial Unicode MS" w:eastAsia="Arial Unicode MS"/>
      <w:kern w:val="0"/>
      <w:sz w:val="24"/>
      <w:szCs w:val="20"/>
    </w:rPr>
  </w:style>
  <w:style w:type="paragraph" w:customStyle="1" w:styleId="164">
    <w:name w:val="样式4"/>
    <w:basedOn w:val="35"/>
    <w:qFormat/>
    <w:uiPriority w:val="0"/>
    <w:pPr>
      <w:pBdr>
        <w:bottom w:val="single" w:color="auto" w:sz="6" w:space="0"/>
      </w:pBdr>
      <w:tabs>
        <w:tab w:val="clear" w:pos="4153"/>
      </w:tabs>
    </w:pPr>
    <w:rPr>
      <w:szCs w:val="21"/>
    </w:rPr>
  </w:style>
  <w:style w:type="paragraph" w:customStyle="1" w:styleId="165">
    <w:name w:val="样式5"/>
    <w:basedOn w:val="1"/>
    <w:qFormat/>
    <w:uiPriority w:val="0"/>
    <w:pPr>
      <w:spacing w:line="400" w:lineRule="exact"/>
      <w:jc w:val="center"/>
    </w:pPr>
    <w:rPr>
      <w:rFonts w:ascii="宋体"/>
      <w:szCs w:val="21"/>
    </w:rPr>
  </w:style>
  <w:style w:type="paragraph" w:customStyle="1" w:styleId="166">
    <w:name w:val="样式6"/>
    <w:basedOn w:val="1"/>
    <w:qFormat/>
    <w:uiPriority w:val="0"/>
    <w:pPr>
      <w:spacing w:line="400" w:lineRule="exact"/>
      <w:jc w:val="center"/>
    </w:pPr>
    <w:rPr>
      <w:rFonts w:ascii="宋体"/>
      <w:szCs w:val="21"/>
    </w:rPr>
  </w:style>
  <w:style w:type="paragraph" w:customStyle="1" w:styleId="167">
    <w:name w:val="缩进正文"/>
    <w:basedOn w:val="23"/>
    <w:qFormat/>
    <w:uiPriority w:val="0"/>
    <w:pPr>
      <w:adjustRightInd w:val="0"/>
      <w:snapToGrid w:val="0"/>
      <w:spacing w:line="300" w:lineRule="auto"/>
      <w:ind w:firstLine="200" w:firstLineChars="200"/>
    </w:pPr>
    <w:rPr>
      <w:rFonts w:hAnsi="Times New Roman"/>
      <w:color w:val="auto"/>
      <w:szCs w:val="20"/>
    </w:rPr>
  </w:style>
  <w:style w:type="paragraph" w:customStyle="1" w:styleId="168">
    <w:name w:val="标准小四"/>
    <w:basedOn w:val="1"/>
    <w:qFormat/>
    <w:uiPriority w:val="0"/>
    <w:pPr>
      <w:spacing w:line="360" w:lineRule="auto"/>
      <w:ind w:firstLine="480" w:firstLineChars="200"/>
    </w:pPr>
    <w:rPr>
      <w:sz w:val="24"/>
      <w:szCs w:val="21"/>
    </w:rPr>
  </w:style>
  <w:style w:type="paragraph" w:customStyle="1" w:styleId="169">
    <w:name w:val="基准页眉样式"/>
    <w:basedOn w:val="22"/>
    <w:qFormat/>
    <w:uiPriority w:val="0"/>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17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71">
    <w:name w:val="font0"/>
    <w:basedOn w:val="1"/>
    <w:qFormat/>
    <w:uiPriority w:val="0"/>
    <w:pPr>
      <w:widowControl/>
      <w:spacing w:before="100" w:beforeAutospacing="1" w:after="100" w:afterAutospacing="1"/>
      <w:jc w:val="left"/>
    </w:pPr>
    <w:rPr>
      <w:rFonts w:ascii="宋体" w:hAnsi="宋体"/>
      <w:kern w:val="0"/>
      <w:sz w:val="24"/>
    </w:rPr>
  </w:style>
  <w:style w:type="paragraph" w:customStyle="1" w:styleId="172">
    <w:name w:val="Char1"/>
    <w:basedOn w:val="1"/>
    <w:qFormat/>
    <w:uiPriority w:val="0"/>
  </w:style>
  <w:style w:type="paragraph" w:customStyle="1" w:styleId="173">
    <w:name w:val="表中字"/>
    <w:basedOn w:val="1"/>
    <w:qFormat/>
    <w:uiPriority w:val="0"/>
    <w:pPr>
      <w:ind w:left="-109" w:leftChars="-52" w:firstLine="42"/>
      <w:jc w:val="left"/>
      <w:textAlignment w:val="center"/>
    </w:pPr>
    <w:rPr>
      <w:rFonts w:ascii="宋体" w:hAnsi="宋体"/>
      <w:color w:val="000000"/>
      <w:kern w:val="0"/>
      <w:sz w:val="24"/>
      <w:szCs w:val="20"/>
    </w:rPr>
  </w:style>
  <w:style w:type="paragraph" w:customStyle="1" w:styleId="174">
    <w:name w:val="Char Char Char Char Char Char Char1"/>
    <w:basedOn w:val="1"/>
    <w:qFormat/>
    <w:uiPriority w:val="99"/>
    <w:pPr>
      <w:widowControl/>
      <w:spacing w:after="160" w:line="240" w:lineRule="exact"/>
      <w:jc w:val="left"/>
    </w:pPr>
    <w:rPr>
      <w:rFonts w:ascii="Verdana" w:hAnsi="Verdana"/>
      <w:kern w:val="0"/>
      <w:sz w:val="20"/>
      <w:szCs w:val="20"/>
      <w:lang w:eastAsia="en-US"/>
    </w:rPr>
  </w:style>
  <w:style w:type="paragraph" w:customStyle="1" w:styleId="175">
    <w:name w:val="样式 正文首缩2 + 首行缩进:  2 字符"/>
    <w:basedOn w:val="1"/>
    <w:qFormat/>
    <w:uiPriority w:val="0"/>
    <w:pPr>
      <w:spacing w:line="360" w:lineRule="auto"/>
      <w:jc w:val="center"/>
    </w:pPr>
    <w:rPr>
      <w:rFonts w:hAnsi="宋体"/>
      <w:b/>
      <w:kern w:val="0"/>
      <w:szCs w:val="21"/>
    </w:rPr>
  </w:style>
  <w:style w:type="paragraph" w:customStyle="1" w:styleId="176">
    <w:name w:val="正文缩进2字符"/>
    <w:basedOn w:val="1"/>
    <w:qFormat/>
    <w:uiPriority w:val="0"/>
    <w:pPr>
      <w:adjustRightInd w:val="0"/>
      <w:snapToGrid w:val="0"/>
      <w:spacing w:line="300" w:lineRule="auto"/>
      <w:ind w:firstLine="480" w:firstLineChars="200"/>
      <w:jc w:val="left"/>
    </w:pPr>
    <w:rPr>
      <w:snapToGrid w:val="0"/>
      <w:kern w:val="0"/>
      <w:sz w:val="24"/>
    </w:rPr>
  </w:style>
  <w:style w:type="paragraph" w:customStyle="1" w:styleId="177">
    <w:name w:val="样式 标题 2二级标题 + 黑体 四号 居中 右侧:  -0.12 厘米 行距: 1.5 倍行距"/>
    <w:basedOn w:val="4"/>
    <w:qFormat/>
    <w:uiPriority w:val="0"/>
    <w:pPr>
      <w:spacing w:before="240" w:after="240" w:line="360" w:lineRule="auto"/>
      <w:ind w:right="-70"/>
      <w:jc w:val="center"/>
    </w:pPr>
    <w:rPr>
      <w:rFonts w:ascii="宋体" w:hAnsi="宋体" w:eastAsia="宋体" w:cs="宋体"/>
      <w:sz w:val="24"/>
      <w:szCs w:val="24"/>
      <w:lang w:val="zh-CN"/>
    </w:rPr>
  </w:style>
  <w:style w:type="paragraph" w:customStyle="1" w:styleId="178">
    <w:name w:val="表"/>
    <w:basedOn w:val="1"/>
    <w:qFormat/>
    <w:uiPriority w:val="0"/>
    <w:pPr>
      <w:spacing w:line="300" w:lineRule="auto"/>
    </w:pPr>
    <w:rPr>
      <w:rFonts w:eastAsia="仿宋_GB2312"/>
      <w:bCs/>
      <w:sz w:val="24"/>
    </w:rPr>
  </w:style>
  <w:style w:type="paragraph" w:customStyle="1" w:styleId="179">
    <w:name w:val="表内正文"/>
    <w:basedOn w:val="1"/>
    <w:qFormat/>
    <w:uiPriority w:val="0"/>
    <w:rPr>
      <w:sz w:val="24"/>
      <w:szCs w:val="20"/>
    </w:rPr>
  </w:style>
  <w:style w:type="paragraph" w:customStyle="1" w:styleId="180">
    <w:name w:val="简单回函地址"/>
    <w:basedOn w:val="1"/>
    <w:qFormat/>
    <w:uiPriority w:val="0"/>
  </w:style>
  <w:style w:type="paragraph" w:customStyle="1" w:styleId="181">
    <w:name w:val="Char Char Char"/>
    <w:basedOn w:val="1"/>
    <w:qFormat/>
    <w:uiPriority w:val="0"/>
    <w:pPr>
      <w:autoSpaceDE w:val="0"/>
      <w:autoSpaceDN w:val="0"/>
      <w:adjustRightInd w:val="0"/>
      <w:snapToGrid w:val="0"/>
      <w:spacing w:before="50" w:after="50" w:line="360" w:lineRule="auto"/>
      <w:ind w:firstLine="560" w:firstLineChars="200"/>
    </w:pPr>
    <w:rPr>
      <w:rFonts w:eastAsia="仿宋_GB2312"/>
      <w:color w:val="000000"/>
      <w:sz w:val="24"/>
      <w:szCs w:val="20"/>
    </w:rPr>
  </w:style>
  <w:style w:type="paragraph" w:customStyle="1" w:styleId="182">
    <w:name w:val="Char1 Char Char1 Char Char Char Char"/>
    <w:basedOn w:val="1"/>
    <w:qFormat/>
    <w:uiPriority w:val="0"/>
  </w:style>
  <w:style w:type="paragraph" w:customStyle="1" w:styleId="183">
    <w:name w:val="样式7"/>
    <w:basedOn w:val="1"/>
    <w:qFormat/>
    <w:uiPriority w:val="0"/>
    <w:pPr>
      <w:jc w:val="center"/>
    </w:pPr>
    <w:rPr>
      <w:szCs w:val="20"/>
    </w:rPr>
  </w:style>
  <w:style w:type="paragraph" w:customStyle="1" w:styleId="184">
    <w:name w:val="样式8"/>
    <w:basedOn w:val="1"/>
    <w:qFormat/>
    <w:uiPriority w:val="0"/>
    <w:pPr>
      <w:pBdr>
        <w:bottom w:val="single" w:color="auto" w:sz="4" w:space="1"/>
      </w:pBdr>
    </w:pPr>
    <w:rPr>
      <w:szCs w:val="20"/>
    </w:rPr>
  </w:style>
  <w:style w:type="paragraph" w:customStyle="1" w:styleId="185">
    <w:name w:val="样式9"/>
    <w:basedOn w:val="1"/>
    <w:qFormat/>
    <w:uiPriority w:val="0"/>
    <w:rPr>
      <w:szCs w:val="20"/>
    </w:rPr>
  </w:style>
  <w:style w:type="paragraph" w:customStyle="1" w:styleId="186">
    <w:name w:val="Char2"/>
    <w:basedOn w:val="1"/>
    <w:qFormat/>
    <w:uiPriority w:val="0"/>
  </w:style>
  <w:style w:type="paragraph" w:customStyle="1" w:styleId="187">
    <w:name w:val="图"/>
    <w:basedOn w:val="1"/>
    <w:qFormat/>
    <w:uiPriority w:val="0"/>
    <w:pPr>
      <w:spacing w:beforeLines="50" w:afterLines="100" w:line="360" w:lineRule="auto"/>
      <w:jc w:val="center"/>
    </w:pPr>
    <w:rPr>
      <w:b/>
      <w:szCs w:val="21"/>
    </w:rPr>
  </w:style>
  <w:style w:type="paragraph" w:customStyle="1" w:styleId="18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9">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90">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3">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2"/>
      <w:szCs w:val="22"/>
    </w:rPr>
  </w:style>
  <w:style w:type="paragraph" w:customStyle="1" w:styleId="194">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5">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7">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200">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color w:val="000000"/>
      <w:kern w:val="0"/>
      <w:sz w:val="20"/>
      <w:szCs w:val="20"/>
    </w:rPr>
  </w:style>
  <w:style w:type="paragraph" w:customStyle="1" w:styleId="201">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4">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5">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6">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kern w:val="0"/>
      <w:sz w:val="22"/>
      <w:szCs w:val="22"/>
    </w:rPr>
  </w:style>
  <w:style w:type="paragraph" w:customStyle="1" w:styleId="207">
    <w:name w:val="xl10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9">
    <w:name w:val="xl11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2">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3">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4">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5">
    <w:name w:val="xl11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6">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7">
    <w:name w:val="xl11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Char3"/>
    <w:basedOn w:val="1"/>
    <w:qFormat/>
    <w:uiPriority w:val="0"/>
    <w:pPr>
      <w:widowControl/>
      <w:spacing w:after="160" w:line="240" w:lineRule="exact"/>
      <w:jc w:val="left"/>
    </w:pPr>
    <w:rPr>
      <w:szCs w:val="20"/>
    </w:rPr>
  </w:style>
  <w:style w:type="paragraph" w:customStyle="1" w:styleId="219">
    <w:name w:val="正文缩进2"/>
    <w:basedOn w:val="1"/>
    <w:qFormat/>
    <w:uiPriority w:val="0"/>
    <w:pPr>
      <w:ind w:firstLine="420" w:firstLineChars="200"/>
    </w:pPr>
  </w:style>
  <w:style w:type="paragraph" w:customStyle="1" w:styleId="220">
    <w:name w:val="注释标题1"/>
    <w:basedOn w:val="1"/>
    <w:next w:val="1"/>
    <w:qFormat/>
    <w:uiPriority w:val="0"/>
    <w:pPr>
      <w:jc w:val="center"/>
    </w:pPr>
    <w:rPr>
      <w:rFonts w:ascii="宋体"/>
      <w:szCs w:val="21"/>
    </w:rPr>
  </w:style>
  <w:style w:type="paragraph" w:customStyle="1" w:styleId="221">
    <w:name w:val="正文缩进3"/>
    <w:basedOn w:val="1"/>
    <w:qFormat/>
    <w:uiPriority w:val="0"/>
    <w:pPr>
      <w:ind w:firstLine="420" w:firstLineChars="200"/>
    </w:pPr>
  </w:style>
  <w:style w:type="paragraph" w:customStyle="1" w:styleId="222">
    <w:name w:val="批注主题1"/>
    <w:basedOn w:val="18"/>
    <w:next w:val="18"/>
    <w:qFormat/>
    <w:uiPriority w:val="0"/>
    <w:rPr>
      <w:b/>
      <w:bCs/>
    </w:rPr>
  </w:style>
  <w:style w:type="paragraph" w:customStyle="1" w:styleId="223">
    <w:name w:val="正文缩进4"/>
    <w:basedOn w:val="1"/>
    <w:qFormat/>
    <w:uiPriority w:val="0"/>
    <w:pPr>
      <w:ind w:firstLine="420" w:firstLineChars="200"/>
    </w:pPr>
  </w:style>
  <w:style w:type="paragraph" w:customStyle="1" w:styleId="224">
    <w:name w:val="Char Char4"/>
    <w:basedOn w:val="1"/>
    <w:semiHidden/>
    <w:qFormat/>
    <w:uiPriority w:val="0"/>
    <w:pPr>
      <w:spacing w:line="360" w:lineRule="auto"/>
    </w:pPr>
    <w:rPr>
      <w:sz w:val="24"/>
    </w:rPr>
  </w:style>
  <w:style w:type="character" w:customStyle="1" w:styleId="225">
    <w:name w:val="标题 1 Char"/>
    <w:link w:val="3"/>
    <w:qFormat/>
    <w:uiPriority w:val="0"/>
    <w:rPr>
      <w:kern w:val="2"/>
      <w:sz w:val="28"/>
    </w:rPr>
  </w:style>
  <w:style w:type="character" w:customStyle="1" w:styleId="226">
    <w:name w:val="正文缩进 Char1"/>
    <w:link w:val="15"/>
    <w:qFormat/>
    <w:locked/>
    <w:uiPriority w:val="0"/>
    <w:rPr>
      <w:kern w:val="2"/>
      <w:sz w:val="21"/>
      <w:szCs w:val="24"/>
    </w:rPr>
  </w:style>
  <w:style w:type="character" w:customStyle="1" w:styleId="227">
    <w:name w:val="标题 5 Char"/>
    <w:link w:val="7"/>
    <w:qFormat/>
    <w:uiPriority w:val="0"/>
    <w:rPr>
      <w:rFonts w:eastAsia="黑体"/>
      <w:bCs/>
      <w:sz w:val="28"/>
      <w:szCs w:val="28"/>
    </w:rPr>
  </w:style>
  <w:style w:type="character" w:customStyle="1" w:styleId="228">
    <w:name w:val="标题 6 Char"/>
    <w:link w:val="8"/>
    <w:qFormat/>
    <w:uiPriority w:val="0"/>
    <w:rPr>
      <w:rFonts w:eastAsia="黑体"/>
      <w:bCs/>
      <w:sz w:val="28"/>
      <w:szCs w:val="28"/>
    </w:rPr>
  </w:style>
  <w:style w:type="character" w:customStyle="1" w:styleId="229">
    <w:name w:val="标题 8 Char"/>
    <w:link w:val="10"/>
    <w:qFormat/>
    <w:uiPriority w:val="0"/>
    <w:rPr>
      <w:rFonts w:eastAsia="黑体"/>
      <w:sz w:val="28"/>
      <w:szCs w:val="28"/>
    </w:rPr>
  </w:style>
  <w:style w:type="character" w:customStyle="1" w:styleId="230">
    <w:name w:val="标题 9 Char"/>
    <w:link w:val="11"/>
    <w:qFormat/>
    <w:uiPriority w:val="0"/>
    <w:rPr>
      <w:kern w:val="2"/>
      <w:sz w:val="24"/>
      <w:szCs w:val="28"/>
    </w:rPr>
  </w:style>
  <w:style w:type="character" w:customStyle="1" w:styleId="231">
    <w:name w:val="页眉 Char"/>
    <w:link w:val="35"/>
    <w:qFormat/>
    <w:uiPriority w:val="0"/>
    <w:rPr>
      <w:kern w:val="2"/>
      <w:sz w:val="18"/>
      <w:szCs w:val="18"/>
    </w:rPr>
  </w:style>
  <w:style w:type="character" w:customStyle="1" w:styleId="232">
    <w:name w:val="页脚 Char"/>
    <w:link w:val="34"/>
    <w:qFormat/>
    <w:uiPriority w:val="0"/>
    <w:rPr>
      <w:kern w:val="2"/>
      <w:sz w:val="18"/>
      <w:szCs w:val="18"/>
    </w:rPr>
  </w:style>
  <w:style w:type="character" w:customStyle="1" w:styleId="233">
    <w:name w:val="纯文本 Char"/>
    <w:link w:val="28"/>
    <w:qFormat/>
    <w:uiPriority w:val="0"/>
    <w:rPr>
      <w:rFonts w:ascii="宋体" w:hAnsi="Courier New"/>
      <w:kern w:val="2"/>
      <w:sz w:val="21"/>
    </w:rPr>
  </w:style>
  <w:style w:type="character" w:customStyle="1" w:styleId="234">
    <w:name w:val="正文文本 Char"/>
    <w:link w:val="22"/>
    <w:qFormat/>
    <w:uiPriority w:val="0"/>
    <w:rPr>
      <w:kern w:val="2"/>
      <w:sz w:val="21"/>
      <w:szCs w:val="24"/>
    </w:rPr>
  </w:style>
  <w:style w:type="character" w:customStyle="1" w:styleId="235">
    <w:name w:val="表内5 Char"/>
    <w:link w:val="77"/>
    <w:qFormat/>
    <w:uiPriority w:val="0"/>
    <w:rPr>
      <w:rFonts w:ascii="宋体" w:hAnsi="宋体" w:eastAsia="宋体"/>
      <w:sz w:val="21"/>
      <w:szCs w:val="21"/>
      <w:lang w:val="en-US" w:eastAsia="zh-CN" w:bidi="ar-SA"/>
    </w:rPr>
  </w:style>
  <w:style w:type="character" w:customStyle="1" w:styleId="236">
    <w:name w:val="燕山正文 Char"/>
    <w:link w:val="78"/>
    <w:qFormat/>
    <w:uiPriority w:val="0"/>
    <w:rPr>
      <w:rFonts w:ascii="宋体" w:hAnsi="宋体" w:eastAsia="宋体"/>
      <w:color w:val="000000"/>
      <w:kern w:val="2"/>
      <w:sz w:val="28"/>
      <w:szCs w:val="28"/>
      <w:lang w:val="en-US" w:eastAsia="zh-CN" w:bidi="ar-SA"/>
    </w:rPr>
  </w:style>
  <w:style w:type="character" w:customStyle="1" w:styleId="237">
    <w:name w:val="节下项目标题 Char"/>
    <w:link w:val="81"/>
    <w:qFormat/>
    <w:uiPriority w:val="0"/>
    <w:rPr>
      <w:rFonts w:ascii="宋体" w:hAnsi="宋体" w:eastAsia="黑体"/>
      <w:b/>
      <w:kern w:val="2"/>
      <w:sz w:val="28"/>
      <w:szCs w:val="24"/>
      <w:lang w:val="en-US" w:eastAsia="zh-CN" w:bidi="ar-SA"/>
    </w:rPr>
  </w:style>
  <w:style w:type="character" w:customStyle="1" w:styleId="238">
    <w:name w:val="表格标题 Char"/>
    <w:link w:val="83"/>
    <w:qFormat/>
    <w:uiPriority w:val="0"/>
    <w:rPr>
      <w:rFonts w:ascii="宋体" w:hAnsi="宋体" w:eastAsia="宋体"/>
      <w:spacing w:val="20"/>
      <w:kern w:val="2"/>
      <w:sz w:val="24"/>
      <w:lang w:val="en-US" w:eastAsia="zh-CN" w:bidi="ar-SA"/>
    </w:rPr>
  </w:style>
  <w:style w:type="character" w:customStyle="1" w:styleId="239">
    <w:name w:val="批注框文本 Char"/>
    <w:link w:val="33"/>
    <w:qFormat/>
    <w:uiPriority w:val="0"/>
    <w:rPr>
      <w:kern w:val="2"/>
      <w:sz w:val="18"/>
      <w:szCs w:val="18"/>
    </w:rPr>
  </w:style>
  <w:style w:type="character" w:customStyle="1" w:styleId="240">
    <w:name w:val="已访问的超链接1"/>
    <w:qFormat/>
    <w:uiPriority w:val="0"/>
    <w:rPr>
      <w:color w:val="800080"/>
      <w:u w:val="single"/>
    </w:rPr>
  </w:style>
  <w:style w:type="character" w:customStyle="1" w:styleId="241">
    <w:name w:val="p11"/>
    <w:qFormat/>
    <w:uiPriority w:val="0"/>
    <w:rPr>
      <w:sz w:val="18"/>
      <w:szCs w:val="18"/>
    </w:rPr>
  </w:style>
  <w:style w:type="character" w:customStyle="1" w:styleId="242">
    <w:name w:val="注释标题 Char"/>
    <w:link w:val="13"/>
    <w:qFormat/>
    <w:uiPriority w:val="0"/>
    <w:rPr>
      <w:rFonts w:ascii="宋体" w:cs="宋体"/>
      <w:kern w:val="2"/>
      <w:sz w:val="21"/>
      <w:szCs w:val="21"/>
    </w:rPr>
  </w:style>
  <w:style w:type="character" w:customStyle="1" w:styleId="243">
    <w:name w:val="参考文献 黑体 小三 SL CON"/>
    <w:qFormat/>
    <w:uiPriority w:val="0"/>
    <w:rPr>
      <w:rFonts w:ascii="黑体" w:hAnsi="黑体" w:eastAsia="黑体"/>
      <w:sz w:val="30"/>
    </w:rPr>
  </w:style>
  <w:style w:type="character" w:customStyle="1" w:styleId="244">
    <w:name w:val="公式书写 居中 段前: 6 磅 段后: 6 磅 SL CON Char"/>
    <w:link w:val="109"/>
    <w:qFormat/>
    <w:uiPriority w:val="0"/>
    <w:rPr>
      <w:rFonts w:ascii="宋体" w:cs="宋体"/>
      <w:sz w:val="24"/>
    </w:rPr>
  </w:style>
  <w:style w:type="character" w:customStyle="1" w:styleId="245">
    <w:name w:val="公式书写（编号） 居中 段前: 6 磅 段后: 6 磅 SL CON + (符号) 宋体 Char"/>
    <w:link w:val="110"/>
    <w:qFormat/>
    <w:uiPriority w:val="0"/>
  </w:style>
  <w:style w:type="character" w:customStyle="1" w:styleId="246">
    <w:name w:val="style121"/>
    <w:qFormat/>
    <w:uiPriority w:val="0"/>
    <w:rPr>
      <w:rFonts w:hint="default" w:ascii="Arial" w:hAnsi="Arial" w:cs="Arial"/>
      <w:color w:val="333333"/>
      <w:sz w:val="23"/>
      <w:szCs w:val="23"/>
    </w:rPr>
  </w:style>
  <w:style w:type="character" w:customStyle="1" w:styleId="247">
    <w:name w:val="批注文字 Char"/>
    <w:link w:val="18"/>
    <w:qFormat/>
    <w:uiPriority w:val="0"/>
    <w:rPr>
      <w:rFonts w:ascii="宋体"/>
      <w:sz w:val="24"/>
      <w:szCs w:val="24"/>
    </w:rPr>
  </w:style>
  <w:style w:type="character" w:customStyle="1" w:styleId="248">
    <w:name w:val="批注主题 Char"/>
    <w:link w:val="49"/>
    <w:qFormat/>
    <w:uiPriority w:val="0"/>
    <w:rPr>
      <w:rFonts w:ascii="宋体"/>
      <w:b/>
      <w:bCs/>
      <w:sz w:val="24"/>
      <w:szCs w:val="24"/>
    </w:rPr>
  </w:style>
  <w:style w:type="character" w:customStyle="1" w:styleId="249">
    <w:name w:val="apple-style-span"/>
    <w:basedOn w:val="54"/>
    <w:qFormat/>
    <w:uiPriority w:val="0"/>
  </w:style>
  <w:style w:type="character" w:customStyle="1" w:styleId="250">
    <w:name w:val="纯文本 Char1"/>
    <w:qFormat/>
    <w:uiPriority w:val="0"/>
    <w:rPr>
      <w:rFonts w:ascii="宋体" w:hAnsi="Courier New"/>
      <w:kern w:val="2"/>
      <w:sz w:val="21"/>
    </w:rPr>
  </w:style>
  <w:style w:type="character" w:customStyle="1" w:styleId="251">
    <w:name w:val="Job"/>
    <w:basedOn w:val="54"/>
    <w:qFormat/>
    <w:uiPriority w:val="0"/>
  </w:style>
  <w:style w:type="character" w:customStyle="1" w:styleId="252">
    <w:name w:val="Lead-in Emphasis"/>
    <w:qFormat/>
    <w:uiPriority w:val="0"/>
    <w:rPr>
      <w:rFonts w:ascii="Arial" w:hAnsi="Arial"/>
      <w:b/>
      <w:spacing w:val="-8"/>
      <w:sz w:val="18"/>
    </w:rPr>
  </w:style>
  <w:style w:type="character" w:customStyle="1" w:styleId="253">
    <w:name w:val="label1"/>
    <w:basedOn w:val="54"/>
    <w:qFormat/>
    <w:uiPriority w:val="0"/>
  </w:style>
  <w:style w:type="character" w:customStyle="1" w:styleId="254">
    <w:name w:val="zw1"/>
    <w:qFormat/>
    <w:uiPriority w:val="0"/>
    <w:rPr>
      <w:rFonts w:hint="eastAsia" w:ascii="宋体" w:hAnsi="宋体" w:eastAsia="宋体"/>
      <w:sz w:val="22"/>
      <w:szCs w:val="22"/>
    </w:rPr>
  </w:style>
  <w:style w:type="character" w:customStyle="1" w:styleId="255">
    <w:name w:val="zw"/>
    <w:basedOn w:val="54"/>
    <w:qFormat/>
    <w:uiPriority w:val="0"/>
  </w:style>
  <w:style w:type="character" w:customStyle="1" w:styleId="256">
    <w:name w:val="bt21"/>
    <w:qFormat/>
    <w:uiPriority w:val="0"/>
    <w:rPr>
      <w:rFonts w:hint="eastAsia" w:ascii="黑体" w:eastAsia="黑体"/>
      <w:sz w:val="24"/>
      <w:szCs w:val="24"/>
    </w:rPr>
  </w:style>
  <w:style w:type="character" w:customStyle="1" w:styleId="257">
    <w:name w:val="newsitemtext1"/>
    <w:qFormat/>
    <w:uiPriority w:val="0"/>
    <w:rPr>
      <w:color w:val="000000"/>
      <w:sz w:val="28"/>
      <w:szCs w:val="28"/>
    </w:rPr>
  </w:style>
  <w:style w:type="character" w:customStyle="1" w:styleId="258">
    <w:name w:val="text1"/>
    <w:basedOn w:val="54"/>
    <w:qFormat/>
    <w:uiPriority w:val="0"/>
  </w:style>
  <w:style w:type="character" w:customStyle="1" w:styleId="259">
    <w:name w:val="style21"/>
    <w:qFormat/>
    <w:uiPriority w:val="0"/>
    <w:rPr>
      <w:b/>
      <w:bCs/>
      <w:sz w:val="27"/>
      <w:szCs w:val="27"/>
    </w:rPr>
  </w:style>
  <w:style w:type="character" w:customStyle="1" w:styleId="260">
    <w:name w:val="jian1"/>
    <w:basedOn w:val="54"/>
    <w:qFormat/>
    <w:uiPriority w:val="0"/>
  </w:style>
  <w:style w:type="paragraph" w:styleId="261">
    <w:name w:val="List Paragraph"/>
    <w:basedOn w:val="1"/>
    <w:link w:val="270"/>
    <w:qFormat/>
    <w:uiPriority w:val="34"/>
    <w:pPr>
      <w:ind w:firstLine="420" w:firstLineChars="200"/>
    </w:pPr>
    <w:rPr>
      <w:szCs w:val="20"/>
    </w:rPr>
  </w:style>
  <w:style w:type="paragraph" w:customStyle="1" w:styleId="262">
    <w:name w:val="列出段落2"/>
    <w:basedOn w:val="1"/>
    <w:qFormat/>
    <w:uiPriority w:val="34"/>
    <w:pPr>
      <w:ind w:firstLine="420" w:firstLineChars="200"/>
    </w:pPr>
    <w:rPr>
      <w:szCs w:val="20"/>
    </w:rPr>
  </w:style>
  <w:style w:type="character" w:customStyle="1" w:styleId="263">
    <w:name w:val="font01"/>
    <w:qFormat/>
    <w:uiPriority w:val="0"/>
    <w:rPr>
      <w:rFonts w:hint="eastAsia" w:ascii="宋体" w:hAnsi="宋体" w:eastAsia="宋体" w:cs="宋体"/>
      <w:color w:val="000000"/>
      <w:sz w:val="20"/>
      <w:szCs w:val="20"/>
      <w:u w:val="none"/>
    </w:rPr>
  </w:style>
  <w:style w:type="paragraph" w:customStyle="1" w:styleId="264">
    <w:name w:val="Char Char Char Char Char"/>
    <w:basedOn w:val="1"/>
    <w:qFormat/>
    <w:uiPriority w:val="0"/>
  </w:style>
  <w:style w:type="character" w:customStyle="1" w:styleId="265">
    <w:name w:val="Char Char1"/>
    <w:link w:val="67"/>
    <w:qFormat/>
    <w:uiPriority w:val="0"/>
    <w:rPr>
      <w:kern w:val="2"/>
      <w:sz w:val="24"/>
      <w:szCs w:val="24"/>
    </w:rPr>
  </w:style>
  <w:style w:type="paragraph" w:customStyle="1" w:styleId="266">
    <w:name w:val="正文缩进5"/>
    <w:basedOn w:val="1"/>
    <w:link w:val="267"/>
    <w:qFormat/>
    <w:uiPriority w:val="0"/>
    <w:pPr>
      <w:ind w:firstLine="420" w:firstLineChars="200"/>
    </w:pPr>
    <w:rPr>
      <w:lang w:val="zh-CN"/>
    </w:rPr>
  </w:style>
  <w:style w:type="character" w:customStyle="1" w:styleId="267">
    <w:name w:val="正文缩进 Char"/>
    <w:link w:val="266"/>
    <w:qFormat/>
    <w:uiPriority w:val="0"/>
    <w:rPr>
      <w:kern w:val="2"/>
      <w:sz w:val="21"/>
      <w:szCs w:val="24"/>
      <w:lang w:val="zh-CN" w:eastAsia="zh-CN"/>
    </w:rPr>
  </w:style>
  <w:style w:type="paragraph" w:customStyle="1" w:styleId="268">
    <w:name w:val="p0"/>
    <w:basedOn w:val="1"/>
    <w:qFormat/>
    <w:uiPriority w:val="0"/>
    <w:pPr>
      <w:widowControl/>
    </w:pPr>
    <w:rPr>
      <w:rFonts w:ascii="Calibri" w:hAnsi="Calibri" w:cs="Calibri"/>
      <w:kern w:val="0"/>
      <w:szCs w:val="21"/>
    </w:rPr>
  </w:style>
  <w:style w:type="paragraph" w:customStyle="1" w:styleId="269">
    <w:name w:val="p16"/>
    <w:basedOn w:val="1"/>
    <w:qFormat/>
    <w:uiPriority w:val="0"/>
    <w:pPr>
      <w:widowControl/>
      <w:jc w:val="center"/>
    </w:pPr>
    <w:rPr>
      <w:rFonts w:ascii="宋体" w:hAnsi="宋体" w:cs="宋体"/>
      <w:kern w:val="0"/>
      <w:szCs w:val="21"/>
    </w:rPr>
  </w:style>
  <w:style w:type="character" w:customStyle="1" w:styleId="270">
    <w:name w:val="列出段落 Char"/>
    <w:link w:val="261"/>
    <w:qFormat/>
    <w:uiPriority w:val="34"/>
    <w:rPr>
      <w:kern w:val="2"/>
      <w:sz w:val="21"/>
    </w:rPr>
  </w:style>
  <w:style w:type="table" w:customStyle="1" w:styleId="271">
    <w:name w:val="网格型1"/>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72">
    <w:name w:val="Table Paragraph"/>
    <w:basedOn w:val="1"/>
    <w:unhideWhenUsed/>
    <w:qFormat/>
    <w:uiPriority w:val="1"/>
    <w:rPr>
      <w:sz w:val="24"/>
    </w:rPr>
  </w:style>
  <w:style w:type="table" w:customStyle="1" w:styleId="273">
    <w:name w:val="Table Normal"/>
    <w:semiHidden/>
    <w:unhideWhenUsed/>
    <w:qFormat/>
    <w:uiPriority w:val="0"/>
    <w:tblPr>
      <w:tblCellMar>
        <w:top w:w="0" w:type="dxa"/>
        <w:left w:w="0" w:type="dxa"/>
        <w:bottom w:w="0" w:type="dxa"/>
        <w:right w:w="0" w:type="dxa"/>
      </w:tblCellMar>
    </w:tblPr>
  </w:style>
  <w:style w:type="character" w:customStyle="1" w:styleId="274">
    <w:name w:val="font21"/>
    <w:basedOn w:val="54"/>
    <w:qFormat/>
    <w:uiPriority w:val="0"/>
    <w:rPr>
      <w:rFonts w:hint="eastAsia" w:ascii="宋体" w:hAnsi="宋体" w:eastAsia="宋体" w:cs="宋体"/>
      <w:color w:val="000000"/>
      <w:sz w:val="18"/>
      <w:szCs w:val="18"/>
      <w:u w:val="none"/>
    </w:rPr>
  </w:style>
  <w:style w:type="character" w:customStyle="1" w:styleId="275">
    <w:name w:val="sup"/>
    <w:basedOn w:val="54"/>
    <w:qFormat/>
    <w:uiPriority w:val="0"/>
    <w:rPr>
      <w:rFonts w:ascii="宋体" w:hAnsi="宋体" w:eastAsia="宋体" w:cs="宋体"/>
      <w:color w:val="000000"/>
      <w:sz w:val="12"/>
      <w:szCs w:val="12"/>
    </w:rPr>
  </w:style>
  <w:style w:type="paragraph" w:customStyle="1" w:styleId="276">
    <w:name w:val="WordSection1_table_td_p"/>
    <w:basedOn w:val="1"/>
    <w:qFormat/>
    <w:uiPriority w:val="0"/>
    <w:rPr>
      <w:rFonts w:ascii="宋体" w:hAnsi="宋体" w:eastAsia="宋体" w:cs="宋体"/>
      <w:sz w:val="18"/>
      <w:szCs w:val="18"/>
    </w:rPr>
  </w:style>
  <w:style w:type="table" w:customStyle="1" w:styleId="277">
    <w:name w:val="table"/>
    <w:basedOn w:val="52"/>
    <w:qFormat/>
    <w:uiPriority w:val="0"/>
  </w:style>
  <w:style w:type="paragraph" w:customStyle="1" w:styleId="278">
    <w:name w:val="p_MsoNormal"/>
    <w:basedOn w:val="279"/>
    <w:qFormat/>
    <w:uiPriority w:val="0"/>
    <w:rPr>
      <w:rFonts w:ascii="Times New Roman" w:hAnsi="Times New Roman" w:eastAsia="Times New Roman" w:cs="Times New Roman"/>
    </w:rPr>
  </w:style>
  <w:style w:type="paragraph" w:customStyle="1" w:styleId="279">
    <w:name w:val="p"/>
    <w:basedOn w:val="1"/>
    <w:qFormat/>
    <w:uiPriority w:val="0"/>
    <w:rPr>
      <w:rFonts w:ascii="Times New Roman" w:hAnsi="Times New Roman" w:eastAsia="Times New Roman" w:cs="Times New Roman"/>
      <w:sz w:val="24"/>
      <w:szCs w:val="24"/>
    </w:rPr>
  </w:style>
  <w:style w:type="character" w:customStyle="1" w:styleId="280">
    <w:name w:val="WordSection1_table_td_p_span"/>
    <w:basedOn w:val="54"/>
    <w:qFormat/>
    <w:uiPriority w:val="0"/>
    <w:rPr>
      <w:rFonts w:ascii="宋体" w:hAnsi="宋体" w:eastAsia="宋体" w:cs="宋体"/>
      <w:sz w:val="18"/>
      <w:szCs w:val="18"/>
    </w:rPr>
  </w:style>
  <w:style w:type="character" w:customStyle="1" w:styleId="281">
    <w:name w:val="preview-text_p &gt; span &gt; span"/>
    <w:basedOn w:val="54"/>
    <w:qFormat/>
    <w:uiPriority w:val="0"/>
    <w:rPr>
      <w:rFonts w:ascii="宋体" w:hAnsi="宋体" w:eastAsia="宋体" w:cs="宋体"/>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9B26F9-9EAD-4D8A-98C1-1E8D51E9A5D0}">
  <ds:schemaRefs/>
</ds:datastoreItem>
</file>

<file path=docProps/app.xml><?xml version="1.0" encoding="utf-8"?>
<Properties xmlns="http://schemas.openxmlformats.org/officeDocument/2006/extended-properties" xmlns:vt="http://schemas.openxmlformats.org/officeDocument/2006/docPropsVTypes">
  <Template>Normal</Template>
  <Company>sdip.com</Company>
  <Pages>337</Pages>
  <Words>92320</Words>
  <Characters>107663</Characters>
  <Lines>702</Lines>
  <Paragraphs>197</Paragraphs>
  <TotalTime>0</TotalTime>
  <ScaleCrop>false</ScaleCrop>
  <LinksUpToDate>false</LinksUpToDate>
  <CharactersWithSpaces>108296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2019-01-24T01:24:00Z</dcterms:created>
  <dc:creator>User</dc:creator>
  <cp:lastModifiedBy>Administrator</cp:lastModifiedBy>
  <cp:lastPrinted>2022-12-16T08:54:00Z</cp:lastPrinted>
  <dcterms:modified xsi:type="dcterms:W3CDTF">2023-01-06T04:29:52Z</dcterms:modified>
  <dc:title>前    言</dc:title>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DFCF940F468F45AA969F377AF2C9375E</vt:lpwstr>
  </property>
  <property fmtid="{D5CDD505-2E9C-101B-9397-08002B2CF9AE}" pid="4" name="commondata">
    <vt:lpwstr>eyJoZGlkIjoiOGViZTQwMjczNGVlN2ZhYzgxNWFmNTU4ZWNjNjAxMmEifQ==</vt:lpwstr>
  </property>
</Properties>
</file>