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360" w:lineRule="auto"/>
        <w:rPr>
          <w:rFonts w:eastAsia="华文中宋"/>
          <w:b/>
          <w:spacing w:val="20"/>
          <w:kern w:val="0"/>
          <w:sz w:val="44"/>
        </w:rPr>
      </w:pPr>
    </w:p>
    <w:p>
      <w:pPr>
        <w:adjustRightInd w:val="0"/>
        <w:snapToGrid w:val="0"/>
        <w:spacing w:line="360" w:lineRule="auto"/>
        <w:jc w:val="center"/>
        <w:rPr>
          <w:rFonts w:eastAsia="华文中宋"/>
          <w:b/>
          <w:spacing w:val="20"/>
          <w:kern w:val="0"/>
          <w:sz w:val="44"/>
        </w:rPr>
      </w:pPr>
    </w:p>
    <w:p>
      <w:pPr>
        <w:pStyle w:val="62"/>
        <w:rPr>
          <w:rFonts w:eastAsia="华文中宋"/>
          <w:b/>
          <w:spacing w:val="20"/>
          <w:kern w:val="0"/>
          <w:sz w:val="44"/>
        </w:rPr>
      </w:pPr>
    </w:p>
    <w:p>
      <w:pPr>
        <w:pStyle w:val="31"/>
        <w:snapToGrid w:val="0"/>
        <w:ind w:left="-424" w:leftChars="-202" w:right="-482" w:rightChars="-230"/>
        <w:jc w:val="center"/>
        <w:textAlignment w:val="auto"/>
        <w:rPr>
          <w:rFonts w:hint="eastAsia" w:ascii="宋体" w:hAnsi="宋体" w:eastAsia="宋体" w:cs="宋体"/>
          <w:b/>
          <w:spacing w:val="0"/>
          <w:kern w:val="2"/>
          <w:sz w:val="44"/>
          <w:szCs w:val="44"/>
          <w:lang w:eastAsia="zh-CN"/>
        </w:rPr>
      </w:pPr>
      <w:r>
        <w:rPr>
          <w:rFonts w:hint="eastAsia" w:hAnsi="宋体" w:cs="宋体"/>
          <w:b/>
          <w:spacing w:val="0"/>
          <w:kern w:val="2"/>
          <w:sz w:val="44"/>
          <w:szCs w:val="44"/>
          <w:lang w:eastAsia="zh-CN"/>
        </w:rPr>
        <w:t>胜利油田康贝油气工程有限公司</w:t>
      </w:r>
    </w:p>
    <w:p>
      <w:pPr>
        <w:adjustRightInd w:val="0"/>
        <w:snapToGrid w:val="0"/>
        <w:spacing w:line="360" w:lineRule="auto"/>
        <w:jc w:val="center"/>
        <w:rPr>
          <w:rFonts w:hint="eastAsia" w:ascii="宋体" w:hAnsi="宋体" w:eastAsia="宋体" w:cs="宋体"/>
          <w:b/>
          <w:sz w:val="44"/>
          <w:szCs w:val="44"/>
        </w:rPr>
      </w:pPr>
      <w:r>
        <w:rPr>
          <w:rFonts w:hint="eastAsia" w:ascii="宋体" w:hAnsi="宋体" w:eastAsia="宋体" w:cs="宋体"/>
          <w:b/>
          <w:sz w:val="44"/>
          <w:szCs w:val="44"/>
        </w:rPr>
        <w:t>井下作业项目</w:t>
      </w:r>
    </w:p>
    <w:p>
      <w:pPr>
        <w:adjustRightInd w:val="0"/>
        <w:snapToGrid w:val="0"/>
        <w:spacing w:line="360" w:lineRule="auto"/>
        <w:jc w:val="center"/>
        <w:rPr>
          <w:rFonts w:hint="eastAsia" w:ascii="黑体" w:hAnsi="黑体" w:eastAsia="黑体" w:cs="黑体"/>
          <w:b/>
          <w:bCs/>
          <w:spacing w:val="11"/>
          <w:sz w:val="52"/>
          <w:szCs w:val="52"/>
        </w:rPr>
      </w:pPr>
      <w:r>
        <w:rPr>
          <w:rFonts w:hint="eastAsia" w:ascii="黑体" w:hAnsi="黑体" w:eastAsia="黑体" w:cs="黑体"/>
          <w:b/>
          <w:bCs/>
          <w:spacing w:val="11"/>
          <w:sz w:val="52"/>
          <w:szCs w:val="52"/>
        </w:rPr>
        <w:t>安全现状评价报告</w:t>
      </w:r>
    </w:p>
    <w:p>
      <w:pPr>
        <w:adjustRightInd w:val="0"/>
        <w:snapToGrid w:val="0"/>
        <w:spacing w:line="360" w:lineRule="auto"/>
        <w:jc w:val="center"/>
        <w:rPr>
          <w:rFonts w:eastAsia="仿宋_GB2312"/>
          <w:b/>
          <w:bCs/>
          <w:kern w:val="0"/>
          <w:sz w:val="5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pStyle w:val="62"/>
        <w:rPr>
          <w:rFonts w:eastAsia="仿宋_GB2312"/>
          <w:b/>
          <w:bCs/>
          <w:kern w:val="0"/>
          <w:sz w:val="32"/>
        </w:rPr>
      </w:pPr>
    </w:p>
    <w:p>
      <w:pPr>
        <w:pStyle w:val="62"/>
        <w:rPr>
          <w:rFonts w:eastAsia="仿宋_GB2312"/>
          <w:b/>
          <w:bCs/>
          <w:kern w:val="0"/>
          <w:sz w:val="32"/>
        </w:rPr>
      </w:pPr>
    </w:p>
    <w:p>
      <w:pPr>
        <w:pStyle w:val="62"/>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color w:val="FF0000"/>
          <w:kern w:val="0"/>
          <w:sz w:val="32"/>
        </w:rPr>
      </w:pP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仿宋_GB2312" w:hAnsi="仿宋_GB2312" w:eastAsia="仿宋_GB2312" w:cs="仿宋_GB2312"/>
          <w:b/>
          <w:bCs/>
          <w:color w:val="auto"/>
          <w:kern w:val="0"/>
          <w:sz w:val="44"/>
        </w:rPr>
      </w:pPr>
      <w:r>
        <w:rPr>
          <w:rFonts w:hint="eastAsia" w:ascii="仿宋_GB2312" w:hAnsi="仿宋_GB2312" w:eastAsia="仿宋_GB2312" w:cs="仿宋_GB2312"/>
          <w:b/>
          <w:bCs/>
          <w:color w:val="auto"/>
          <w:kern w:val="0"/>
          <w:sz w:val="44"/>
          <w:lang w:val="en-US" w:eastAsia="zh-CN"/>
        </w:rPr>
        <w:t>山东实华</w:t>
      </w:r>
      <w:r>
        <w:rPr>
          <w:rFonts w:hint="eastAsia" w:ascii="仿宋_GB2312" w:hAnsi="仿宋_GB2312" w:eastAsia="仿宋_GB2312" w:cs="仿宋_GB2312"/>
          <w:b/>
          <w:bCs/>
          <w:color w:val="auto"/>
          <w:kern w:val="0"/>
          <w:sz w:val="44"/>
        </w:rPr>
        <w:t>安全技术有限公司</w:t>
      </w: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仿宋_GB2312" w:hAnsi="仿宋_GB2312" w:eastAsia="仿宋_GB2312" w:cs="仿宋_GB2312"/>
          <w:b/>
          <w:bCs/>
          <w:color w:val="auto"/>
          <w:kern w:val="0"/>
          <w:sz w:val="36"/>
          <w:szCs w:val="28"/>
        </w:rPr>
      </w:pPr>
      <w:r>
        <w:rPr>
          <w:rFonts w:hint="eastAsia" w:ascii="仿宋_GB2312" w:hAnsi="仿宋_GB2312" w:eastAsia="仿宋_GB2312" w:cs="仿宋_GB2312"/>
          <w:b/>
          <w:bCs/>
          <w:color w:val="auto"/>
          <w:kern w:val="0"/>
          <w:sz w:val="36"/>
          <w:szCs w:val="36"/>
        </w:rPr>
        <w:t>APJ-（鲁）-013</w:t>
      </w: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仿宋_GB2312" w:hAnsi="仿宋_GB2312" w:eastAsia="仿宋_GB2312" w:cs="仿宋_GB2312"/>
          <w:b/>
          <w:bCs/>
          <w:kern w:val="0"/>
          <w:sz w:val="36"/>
          <w:szCs w:val="28"/>
          <w:lang w:val="en-US" w:eastAsia="zh-CN"/>
        </w:rPr>
      </w:pPr>
      <w:r>
        <w:rPr>
          <w:rFonts w:hint="eastAsia" w:ascii="仿宋_GB2312" w:hAnsi="仿宋_GB2312" w:eastAsia="仿宋_GB2312" w:cs="仿宋_GB2312"/>
          <w:b/>
          <w:bCs/>
          <w:kern w:val="0"/>
          <w:sz w:val="36"/>
          <w:szCs w:val="28"/>
          <w:lang w:val="en-US" w:eastAsia="zh-CN"/>
        </w:rPr>
        <w:t>二〇二二年九月</w:t>
      </w:r>
    </w:p>
    <w:p>
      <w:pPr>
        <w:adjustRightInd w:val="0"/>
        <w:snapToGrid w:val="0"/>
        <w:spacing w:line="360" w:lineRule="auto"/>
        <w:jc w:val="center"/>
        <w:rPr>
          <w:b/>
          <w:bCs/>
          <w:kern w:val="0"/>
          <w:sz w:val="32"/>
        </w:rPr>
      </w:pPr>
    </w:p>
    <w:p>
      <w:pPr>
        <w:adjustRightInd w:val="0"/>
        <w:snapToGrid w:val="0"/>
        <w:spacing w:line="360" w:lineRule="auto"/>
        <w:jc w:val="center"/>
        <w:rPr>
          <w:b/>
          <w:bCs/>
          <w:kern w:val="0"/>
          <w:sz w:val="32"/>
        </w:rPr>
        <w:sectPr>
          <w:headerReference r:id="rId4" w:type="first"/>
          <w:footerReference r:id="rId6" w:type="first"/>
          <w:headerReference r:id="rId3" w:type="even"/>
          <w:footerReference r:id="rId5" w:type="even"/>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spacing w:val="10"/>
          <w:sz w:val="28"/>
        </w:rPr>
      </w:pPr>
    </w:p>
    <w:p>
      <w:pPr>
        <w:adjustRightInd w:val="0"/>
        <w:snapToGrid w:val="0"/>
        <w:spacing w:line="360" w:lineRule="auto"/>
        <w:jc w:val="center"/>
        <w:rPr>
          <w:spacing w:val="10"/>
          <w:sz w:val="28"/>
        </w:rPr>
      </w:pPr>
    </w:p>
    <w:p>
      <w:pPr>
        <w:adjustRightInd w:val="0"/>
        <w:snapToGrid w:val="0"/>
        <w:spacing w:line="360" w:lineRule="auto"/>
        <w:jc w:val="center"/>
        <w:rPr>
          <w:spacing w:val="10"/>
          <w:sz w:val="28"/>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62"/>
      </w:pPr>
    </w:p>
    <w:p>
      <w:pPr>
        <w:adjustRightInd w:val="0"/>
        <w:snapToGrid w:val="0"/>
        <w:spacing w:line="360" w:lineRule="auto"/>
        <w:jc w:val="center"/>
        <w:rPr>
          <w:spacing w:val="10"/>
          <w:sz w:val="28"/>
        </w:rPr>
      </w:pPr>
    </w:p>
    <w:p>
      <w:pPr>
        <w:adjustRightInd w:val="0"/>
        <w:snapToGrid w:val="0"/>
        <w:spacing w:line="360" w:lineRule="auto"/>
        <w:jc w:val="center"/>
        <w:rPr>
          <w:spacing w:val="10"/>
          <w:sz w:val="28"/>
        </w:rPr>
      </w:pPr>
    </w:p>
    <w:p>
      <w:pPr>
        <w:pStyle w:val="2"/>
      </w:pPr>
    </w:p>
    <w:p>
      <w:pPr>
        <w:pStyle w:val="31"/>
        <w:snapToGrid w:val="0"/>
        <w:jc w:val="center"/>
        <w:textAlignment w:val="auto"/>
        <w:rPr>
          <w:rFonts w:hint="eastAsia" w:ascii="Times New Roman" w:eastAsia="宋体"/>
          <w:b/>
          <w:spacing w:val="0"/>
          <w:kern w:val="2"/>
          <w:sz w:val="32"/>
          <w:szCs w:val="44"/>
          <w:lang w:eastAsia="zh-CN"/>
        </w:rPr>
      </w:pPr>
      <w:r>
        <w:rPr>
          <w:rFonts w:hint="eastAsia" w:ascii="Times New Roman"/>
          <w:b/>
          <w:spacing w:val="0"/>
          <w:kern w:val="2"/>
          <w:sz w:val="32"/>
          <w:szCs w:val="44"/>
          <w:lang w:eastAsia="zh-CN"/>
        </w:rPr>
        <w:t>胜利油田康贝油气工程有限公司</w:t>
      </w:r>
    </w:p>
    <w:p>
      <w:pPr>
        <w:pStyle w:val="31"/>
        <w:snapToGrid w:val="0"/>
        <w:jc w:val="center"/>
        <w:textAlignment w:val="auto"/>
        <w:rPr>
          <w:rFonts w:ascii="Times New Roman"/>
          <w:b/>
          <w:spacing w:val="0"/>
          <w:kern w:val="2"/>
          <w:sz w:val="32"/>
          <w:szCs w:val="44"/>
        </w:rPr>
      </w:pPr>
      <w:r>
        <w:rPr>
          <w:rFonts w:hint="eastAsia" w:ascii="Times New Roman"/>
          <w:b/>
          <w:spacing w:val="0"/>
          <w:kern w:val="2"/>
          <w:sz w:val="32"/>
          <w:szCs w:val="44"/>
        </w:rPr>
        <w:t>井下作业项目</w:t>
      </w:r>
    </w:p>
    <w:p>
      <w:pPr>
        <w:adjustRightInd w:val="0"/>
        <w:snapToGrid w:val="0"/>
        <w:spacing w:line="360" w:lineRule="auto"/>
        <w:jc w:val="center"/>
        <w:rPr>
          <w:b/>
          <w:bCs/>
          <w:spacing w:val="60"/>
          <w:sz w:val="44"/>
          <w:szCs w:val="52"/>
        </w:rPr>
      </w:pPr>
      <w:r>
        <w:rPr>
          <w:rFonts w:hint="eastAsia"/>
          <w:b/>
          <w:bCs/>
          <w:spacing w:val="60"/>
          <w:sz w:val="44"/>
          <w:szCs w:val="52"/>
        </w:rPr>
        <w:t>安全现状评价报告</w:t>
      </w:r>
    </w:p>
    <w:p>
      <w:pPr>
        <w:adjustRightInd w:val="0"/>
        <w:snapToGrid w:val="0"/>
        <w:spacing w:line="360" w:lineRule="auto"/>
        <w:rPr>
          <w:rFonts w:eastAsia="黑体"/>
          <w:b/>
          <w:bCs/>
          <w:spacing w:val="60"/>
          <w:sz w:val="32"/>
          <w:szCs w:val="32"/>
        </w:rPr>
      </w:pPr>
    </w:p>
    <w:p>
      <w:pPr>
        <w:adjustRightInd w:val="0"/>
        <w:snapToGrid w:val="0"/>
        <w:spacing w:line="360" w:lineRule="auto"/>
        <w:rPr>
          <w:b/>
          <w:bCs/>
          <w:sz w:val="13"/>
        </w:rPr>
      </w:pPr>
    </w:p>
    <w:p>
      <w:pPr>
        <w:adjustRightInd w:val="0"/>
        <w:snapToGrid w:val="0"/>
        <w:spacing w:line="360" w:lineRule="auto"/>
        <w:jc w:val="center"/>
        <w:rPr>
          <w:rFonts w:eastAsia="仿宋_GB2312"/>
          <w:b/>
          <w:bCs/>
          <w:kern w:val="0"/>
          <w:sz w:val="28"/>
          <w:szCs w:val="28"/>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ind w:firstLine="640" w:firstLineChars="200"/>
        <w:rPr>
          <w:rFonts w:eastAsia="仿宋_GB2312"/>
          <w:b/>
          <w:bCs/>
          <w:kern w:val="0"/>
          <w:sz w:val="32"/>
        </w:rPr>
      </w:pPr>
    </w:p>
    <w:p>
      <w:pPr>
        <w:adjustRightInd w:val="0"/>
        <w:snapToGrid w:val="0"/>
        <w:spacing w:line="360" w:lineRule="auto"/>
        <w:jc w:val="center"/>
        <w:rPr>
          <w:rFonts w:hint="eastAsia" w:eastAsia="宋体"/>
          <w:kern w:val="0"/>
          <w:sz w:val="28"/>
          <w:szCs w:val="32"/>
          <w:lang w:eastAsia="zh-CN"/>
        </w:rPr>
      </w:pPr>
      <w:r>
        <w:rPr>
          <w:rFonts w:hint="eastAsia"/>
          <w:kern w:val="0"/>
          <w:sz w:val="28"/>
          <w:szCs w:val="32"/>
        </w:rPr>
        <w:t>法定代表人：</w:t>
      </w:r>
      <w:r>
        <w:rPr>
          <w:rFonts w:hint="eastAsia"/>
          <w:kern w:val="0"/>
          <w:sz w:val="28"/>
          <w:szCs w:val="32"/>
          <w:lang w:val="en-US" w:eastAsia="zh-CN"/>
        </w:rPr>
        <w:t>任红艳</w:t>
      </w:r>
    </w:p>
    <w:p>
      <w:pPr>
        <w:adjustRightInd w:val="0"/>
        <w:snapToGrid w:val="0"/>
        <w:spacing w:line="360" w:lineRule="auto"/>
        <w:jc w:val="center"/>
        <w:rPr>
          <w:rFonts w:hint="eastAsia" w:eastAsia="宋体"/>
          <w:color w:val="auto"/>
          <w:kern w:val="0"/>
          <w:sz w:val="28"/>
          <w:szCs w:val="32"/>
          <w:highlight w:val="none"/>
          <w:lang w:val="en-US" w:eastAsia="zh-CN"/>
        </w:rPr>
      </w:pPr>
      <w:r>
        <w:rPr>
          <w:rFonts w:hint="eastAsia"/>
          <w:color w:val="auto"/>
          <w:kern w:val="0"/>
          <w:sz w:val="28"/>
          <w:szCs w:val="32"/>
          <w:highlight w:val="none"/>
        </w:rPr>
        <w:t>技术负责人：</w:t>
      </w:r>
      <w:r>
        <w:rPr>
          <w:rFonts w:hint="eastAsia"/>
          <w:color w:val="auto"/>
          <w:kern w:val="0"/>
          <w:sz w:val="28"/>
          <w:szCs w:val="32"/>
          <w:highlight w:val="none"/>
          <w:lang w:val="en-US" w:eastAsia="zh-CN"/>
        </w:rPr>
        <w:t>吴佳东</w:t>
      </w:r>
    </w:p>
    <w:p>
      <w:pPr>
        <w:adjustRightInd w:val="0"/>
        <w:snapToGrid w:val="0"/>
        <w:spacing w:line="360" w:lineRule="auto"/>
        <w:jc w:val="center"/>
        <w:rPr>
          <w:rFonts w:hint="default" w:eastAsia="宋体"/>
          <w:color w:val="auto"/>
          <w:kern w:val="0"/>
          <w:sz w:val="28"/>
          <w:szCs w:val="32"/>
          <w:highlight w:val="none"/>
          <w:lang w:val="en-US" w:eastAsia="zh-CN"/>
        </w:rPr>
      </w:pPr>
      <w:r>
        <w:rPr>
          <w:rFonts w:hint="eastAsia"/>
          <w:color w:val="auto"/>
          <w:kern w:val="0"/>
          <w:sz w:val="28"/>
          <w:szCs w:val="32"/>
          <w:highlight w:val="none"/>
        </w:rPr>
        <w:t>项目负责人：</w:t>
      </w:r>
      <w:r>
        <w:rPr>
          <w:rFonts w:hint="eastAsia"/>
          <w:color w:val="auto"/>
          <w:kern w:val="0"/>
          <w:sz w:val="28"/>
          <w:szCs w:val="32"/>
          <w:highlight w:val="none"/>
          <w:lang w:val="en-US" w:eastAsia="zh-CN"/>
        </w:rPr>
        <w:t>周菲菲</w:t>
      </w:r>
    </w:p>
    <w:p>
      <w:pPr>
        <w:adjustRightInd w:val="0"/>
        <w:snapToGrid w:val="0"/>
        <w:spacing w:line="360" w:lineRule="auto"/>
        <w:rPr>
          <w:rFonts w:eastAsia="仿宋_GB2312"/>
          <w:kern w:val="0"/>
          <w:sz w:val="32"/>
        </w:rPr>
      </w:pPr>
    </w:p>
    <w:p>
      <w:pPr>
        <w:adjustRightInd w:val="0"/>
        <w:snapToGrid w:val="0"/>
        <w:spacing w:line="360" w:lineRule="auto"/>
        <w:rPr>
          <w:rFonts w:eastAsia="仿宋_GB2312"/>
          <w:kern w:val="0"/>
          <w:sz w:val="32"/>
        </w:rPr>
      </w:pPr>
    </w:p>
    <w:p>
      <w:pPr>
        <w:pStyle w:val="2"/>
        <w:rPr>
          <w:rFonts w:eastAsia="仿宋_GB2312"/>
          <w:kern w:val="0"/>
          <w:sz w:val="32"/>
        </w:rPr>
      </w:pPr>
    </w:p>
    <w:p>
      <w:pPr>
        <w:pStyle w:val="2"/>
        <w:rPr>
          <w:rFonts w:eastAsia="仿宋_GB2312"/>
          <w:kern w:val="0"/>
          <w:sz w:val="32"/>
        </w:rPr>
      </w:pPr>
    </w:p>
    <w:p>
      <w:pPr>
        <w:adjustRightInd w:val="0"/>
        <w:snapToGrid w:val="0"/>
        <w:spacing w:line="360" w:lineRule="auto"/>
        <w:jc w:val="center"/>
        <w:rPr>
          <w:b/>
          <w:bCs/>
          <w:kern w:val="0"/>
          <w:sz w:val="24"/>
        </w:rPr>
      </w:pPr>
      <w:r>
        <w:rPr>
          <w:rFonts w:hint="eastAsia"/>
          <w:b/>
          <w:bCs/>
          <w:kern w:val="0"/>
          <w:sz w:val="24"/>
        </w:rPr>
        <w:t>报告完成日期：20</w:t>
      </w:r>
      <w:r>
        <w:rPr>
          <w:rFonts w:hint="eastAsia"/>
          <w:b/>
          <w:bCs/>
          <w:kern w:val="0"/>
          <w:sz w:val="24"/>
          <w:lang w:val="en-US" w:eastAsia="zh-CN"/>
        </w:rPr>
        <w:t>22</w:t>
      </w:r>
      <w:r>
        <w:rPr>
          <w:rFonts w:hint="eastAsia"/>
          <w:b/>
          <w:bCs/>
          <w:kern w:val="0"/>
          <w:sz w:val="24"/>
        </w:rPr>
        <w:t>年</w:t>
      </w:r>
      <w:r>
        <w:rPr>
          <w:rFonts w:hint="eastAsia"/>
          <w:b/>
          <w:bCs/>
          <w:kern w:val="0"/>
          <w:sz w:val="24"/>
          <w:lang w:val="en-US" w:eastAsia="zh-CN"/>
        </w:rPr>
        <w:t>9</w:t>
      </w:r>
      <w:r>
        <w:rPr>
          <w:rFonts w:hint="eastAsia"/>
          <w:b/>
          <w:bCs/>
          <w:kern w:val="0"/>
          <w:sz w:val="24"/>
        </w:rPr>
        <w:t>月</w:t>
      </w:r>
      <w:r>
        <w:rPr>
          <w:rFonts w:hint="eastAsia"/>
          <w:b/>
          <w:bCs/>
          <w:kern w:val="0"/>
          <w:sz w:val="24"/>
          <w:lang w:val="en-US" w:eastAsia="zh-CN"/>
        </w:rPr>
        <w:t>7</w:t>
      </w:r>
      <w:r>
        <w:rPr>
          <w:rFonts w:hint="eastAsia"/>
          <w:b/>
          <w:bCs/>
          <w:kern w:val="0"/>
          <w:sz w:val="24"/>
        </w:rPr>
        <w:t>日</w:t>
      </w: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widowControl/>
        <w:adjustRightInd w:val="0"/>
        <w:snapToGrid w:val="0"/>
        <w:spacing w:line="360" w:lineRule="auto"/>
        <w:rPr>
          <w:sz w:val="44"/>
          <w:szCs w:val="32"/>
        </w:rPr>
      </w:pPr>
    </w:p>
    <w:p>
      <w:pPr>
        <w:adjustRightInd w:val="0"/>
        <w:snapToGrid w:val="0"/>
        <w:spacing w:line="360" w:lineRule="auto"/>
        <w:jc w:val="center"/>
        <w:rPr>
          <w:rFonts w:hint="eastAsia" w:eastAsia="黑体"/>
          <w:b/>
          <w:bCs/>
          <w:kern w:val="44"/>
          <w:sz w:val="32"/>
          <w:szCs w:val="32"/>
        </w:rPr>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rFonts w:hint="eastAsia" w:eastAsia="黑体"/>
          <w:b/>
          <w:bCs/>
          <w:kern w:val="44"/>
          <w:sz w:val="32"/>
          <w:szCs w:val="32"/>
          <w:lang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r>
        <w:rPr>
          <w:rFonts w:hint="eastAsia" w:eastAsia="黑体"/>
          <w:b/>
          <w:bCs/>
          <w:kern w:val="44"/>
          <w:sz w:val="32"/>
          <w:szCs w:val="32"/>
          <w:lang w:eastAsia="zh-CN"/>
        </w:rPr>
        <w:drawing>
          <wp:anchor distT="0" distB="0" distL="114300" distR="114300" simplePos="0" relativeHeight="251684864" behindDoc="0" locked="0" layoutInCell="1" allowOverlap="1">
            <wp:simplePos x="0" y="0"/>
            <wp:positionH relativeFrom="column">
              <wp:posOffset>0</wp:posOffset>
            </wp:positionH>
            <wp:positionV relativeFrom="paragraph">
              <wp:posOffset>0</wp:posOffset>
            </wp:positionV>
            <wp:extent cx="5271135" cy="7450455"/>
            <wp:effectExtent l="0" t="0" r="5715" b="17145"/>
            <wp:wrapSquare wrapText="bothSides"/>
            <wp:docPr id="208" name="图片 208" descr="3ec4312dcd4bec0ca426466f2763e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08" descr="3ec4312dcd4bec0ca426466f2763eda"/>
                    <pic:cNvPicPr>
                      <a:picLocks noChangeAspect="1"/>
                    </pic:cNvPicPr>
                  </pic:nvPicPr>
                  <pic:blipFill>
                    <a:blip r:embed="rId21"/>
                    <a:stretch>
                      <a:fillRect/>
                    </a:stretch>
                  </pic:blipFill>
                  <pic:spPr>
                    <a:xfrm>
                      <a:off x="0" y="0"/>
                      <a:ext cx="5271135" cy="7450455"/>
                    </a:xfrm>
                    <a:prstGeom prst="rect">
                      <a:avLst/>
                    </a:prstGeom>
                  </pic:spPr>
                </pic:pic>
              </a:graphicData>
            </a:graphic>
          </wp:anchor>
        </w:drawing>
      </w:r>
    </w:p>
    <w:p>
      <w:pPr>
        <w:adjustRightInd w:val="0"/>
        <w:snapToGrid w:val="0"/>
        <w:spacing w:line="360" w:lineRule="auto"/>
        <w:jc w:val="center"/>
        <w:rPr>
          <w:rFonts w:hint="eastAsia" w:eastAsia="黑体"/>
          <w:b/>
          <w:bCs/>
          <w:kern w:val="44"/>
          <w:sz w:val="32"/>
          <w:szCs w:val="32"/>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adjustRightInd w:val="0"/>
        <w:snapToGrid w:val="0"/>
        <w:spacing w:line="360" w:lineRule="auto"/>
        <w:jc w:val="center"/>
        <w:rPr>
          <w:rFonts w:eastAsia="黑体"/>
          <w:b/>
          <w:bCs/>
          <w:kern w:val="44"/>
          <w:sz w:val="32"/>
          <w:szCs w:val="32"/>
        </w:rPr>
      </w:pPr>
      <w:r>
        <w:rPr>
          <w:rFonts w:hint="eastAsia" w:eastAsia="黑体"/>
          <w:b/>
          <w:bCs/>
          <w:kern w:val="44"/>
          <w:sz w:val="32"/>
          <w:szCs w:val="32"/>
        </w:rPr>
        <w:t>前  言</w:t>
      </w:r>
    </w:p>
    <w:p>
      <w:pPr>
        <w:pStyle w:val="216"/>
        <w:adjustRightInd w:val="0"/>
        <w:snapToGrid w:val="0"/>
        <w:spacing w:after="0" w:line="360" w:lineRule="auto"/>
        <w:ind w:firstLine="560" w:firstLineChars="200"/>
        <w:rPr>
          <w:rFonts w:hint="eastAsia"/>
          <w:sz w:val="28"/>
          <w:szCs w:val="28"/>
        </w:rPr>
      </w:pPr>
      <w:r>
        <w:rPr>
          <w:rFonts w:hint="eastAsia"/>
          <w:sz w:val="28"/>
          <w:szCs w:val="28"/>
          <w:lang w:eastAsia="zh-CN"/>
        </w:rPr>
        <w:t>胜利油田康贝油气工程有限公司</w:t>
      </w:r>
      <w:r>
        <w:rPr>
          <w:rFonts w:hint="eastAsia"/>
          <w:sz w:val="28"/>
          <w:szCs w:val="28"/>
        </w:rPr>
        <w:t>成立于2003年</w:t>
      </w:r>
      <w:r>
        <w:rPr>
          <w:rFonts w:hint="eastAsia"/>
          <w:sz w:val="28"/>
          <w:szCs w:val="28"/>
          <w:lang w:val="en-US" w:eastAsia="zh-CN"/>
        </w:rPr>
        <w:t>06</w:t>
      </w:r>
      <w:r>
        <w:rPr>
          <w:rFonts w:hint="eastAsia"/>
          <w:sz w:val="28"/>
          <w:szCs w:val="28"/>
        </w:rPr>
        <w:t>月</w:t>
      </w:r>
      <w:r>
        <w:rPr>
          <w:rFonts w:hint="eastAsia"/>
          <w:sz w:val="28"/>
          <w:szCs w:val="28"/>
          <w:lang w:val="en-US" w:eastAsia="zh-CN"/>
        </w:rPr>
        <w:t>09</w:t>
      </w:r>
      <w:r>
        <w:rPr>
          <w:rFonts w:hint="eastAsia"/>
          <w:sz w:val="28"/>
          <w:szCs w:val="28"/>
        </w:rPr>
        <w:t>日，住所位于</w:t>
      </w:r>
      <w:r>
        <w:rPr>
          <w:rFonts w:hint="eastAsia"/>
          <w:sz w:val="28"/>
          <w:szCs w:val="28"/>
          <w:lang w:val="en-US" w:eastAsia="zh-CN"/>
        </w:rPr>
        <w:t>山东省</w:t>
      </w:r>
      <w:r>
        <w:rPr>
          <w:rFonts w:hint="eastAsia"/>
          <w:sz w:val="28"/>
          <w:szCs w:val="28"/>
        </w:rPr>
        <w:t>东营市</w:t>
      </w:r>
      <w:r>
        <w:rPr>
          <w:rFonts w:hint="eastAsia"/>
          <w:sz w:val="28"/>
          <w:szCs w:val="28"/>
          <w:lang w:val="en-US" w:eastAsia="zh-CN"/>
        </w:rPr>
        <w:t>东营区胜园街道嘉祥路51号</w:t>
      </w:r>
      <w:r>
        <w:rPr>
          <w:rFonts w:hint="eastAsia"/>
          <w:sz w:val="28"/>
          <w:szCs w:val="28"/>
        </w:rPr>
        <w:t>，公司法定代表人</w:t>
      </w:r>
      <w:r>
        <w:rPr>
          <w:rFonts w:hint="eastAsia"/>
          <w:sz w:val="28"/>
          <w:szCs w:val="28"/>
          <w:lang w:val="en-US" w:eastAsia="zh-CN"/>
        </w:rPr>
        <w:t>范涛</w:t>
      </w:r>
      <w:r>
        <w:rPr>
          <w:rFonts w:hint="eastAsia"/>
          <w:sz w:val="28"/>
          <w:szCs w:val="28"/>
        </w:rPr>
        <w:t>，注册资本</w:t>
      </w:r>
      <w:r>
        <w:rPr>
          <w:rFonts w:hint="eastAsia"/>
          <w:sz w:val="28"/>
          <w:szCs w:val="28"/>
          <w:lang w:val="en-US" w:eastAsia="zh-CN"/>
        </w:rPr>
        <w:t>肆</w:t>
      </w:r>
      <w:r>
        <w:rPr>
          <w:rFonts w:hint="eastAsia"/>
          <w:sz w:val="28"/>
          <w:szCs w:val="28"/>
        </w:rPr>
        <w:t>仟万元整。公司主要经营范围为</w:t>
      </w:r>
      <w:r>
        <w:rPr>
          <w:rFonts w:hint="eastAsia"/>
          <w:sz w:val="28"/>
          <w:szCs w:val="28"/>
          <w:lang w:val="en-US" w:eastAsia="zh-CN"/>
        </w:rPr>
        <w:t>许可项目：</w:t>
      </w:r>
      <w:r>
        <w:rPr>
          <w:rFonts w:hint="eastAsia"/>
          <w:sz w:val="28"/>
          <w:szCs w:val="28"/>
        </w:rPr>
        <w:t>矿产资源</w:t>
      </w:r>
      <w:r>
        <w:rPr>
          <w:rFonts w:hint="eastAsia"/>
          <w:sz w:val="28"/>
          <w:szCs w:val="28"/>
          <w:lang w:eastAsia="zh-CN"/>
        </w:rPr>
        <w:t>（</w:t>
      </w:r>
      <w:r>
        <w:rPr>
          <w:rFonts w:hint="eastAsia"/>
          <w:sz w:val="28"/>
          <w:szCs w:val="28"/>
        </w:rPr>
        <w:t>非煤矿山</w:t>
      </w:r>
      <w:r>
        <w:rPr>
          <w:rFonts w:hint="eastAsia"/>
          <w:sz w:val="28"/>
          <w:szCs w:val="28"/>
          <w:lang w:eastAsia="zh-CN"/>
        </w:rPr>
        <w:t>）</w:t>
      </w:r>
      <w:r>
        <w:rPr>
          <w:rFonts w:hint="eastAsia"/>
          <w:sz w:val="28"/>
          <w:szCs w:val="28"/>
        </w:rPr>
        <w:t>开采</w:t>
      </w:r>
      <w:r>
        <w:rPr>
          <w:rFonts w:hint="eastAsia"/>
          <w:sz w:val="28"/>
          <w:szCs w:val="28"/>
          <w:lang w:eastAsia="zh-CN"/>
        </w:rPr>
        <w:t>；</w:t>
      </w:r>
      <w:r>
        <w:rPr>
          <w:rFonts w:hint="eastAsia"/>
          <w:sz w:val="28"/>
          <w:szCs w:val="28"/>
        </w:rPr>
        <w:t>道路货物运输</w:t>
      </w:r>
      <w:r>
        <w:rPr>
          <w:rFonts w:hint="eastAsia"/>
          <w:sz w:val="28"/>
          <w:szCs w:val="28"/>
          <w:lang w:eastAsia="zh-CN"/>
        </w:rPr>
        <w:t>（</w:t>
      </w:r>
      <w:r>
        <w:rPr>
          <w:rFonts w:hint="eastAsia"/>
          <w:sz w:val="28"/>
          <w:szCs w:val="28"/>
        </w:rPr>
        <w:t>不含危险货物</w:t>
      </w:r>
      <w:r>
        <w:rPr>
          <w:rFonts w:hint="eastAsia"/>
          <w:sz w:val="28"/>
          <w:szCs w:val="28"/>
          <w:lang w:eastAsia="zh-CN"/>
        </w:rPr>
        <w:t>）。（</w:t>
      </w:r>
      <w:r>
        <w:rPr>
          <w:rFonts w:hint="eastAsia"/>
          <w:sz w:val="28"/>
          <w:szCs w:val="28"/>
        </w:rPr>
        <w:t>依法须经批准的项目，经相关部门批准后方可开展经营活动，具体经营项目以相关部门批准文件或许可证件为准</w:t>
      </w:r>
      <w:r>
        <w:rPr>
          <w:rFonts w:hint="eastAsia"/>
          <w:sz w:val="28"/>
          <w:szCs w:val="28"/>
          <w:lang w:eastAsia="zh-CN"/>
        </w:rPr>
        <w:t>）</w:t>
      </w:r>
      <w:r>
        <w:rPr>
          <w:rFonts w:hint="eastAsia"/>
          <w:sz w:val="28"/>
          <w:szCs w:val="28"/>
        </w:rPr>
        <w:t>一般项目</w:t>
      </w:r>
      <w:r>
        <w:rPr>
          <w:rFonts w:hint="eastAsia"/>
          <w:sz w:val="28"/>
          <w:szCs w:val="28"/>
          <w:lang w:eastAsia="zh-CN"/>
        </w:rPr>
        <w:t>：</w:t>
      </w:r>
      <w:r>
        <w:rPr>
          <w:rFonts w:hint="eastAsia"/>
          <w:sz w:val="28"/>
          <w:szCs w:val="28"/>
        </w:rPr>
        <w:t>石油天然气技术服务</w:t>
      </w:r>
      <w:r>
        <w:rPr>
          <w:rFonts w:hint="eastAsia"/>
          <w:sz w:val="28"/>
          <w:szCs w:val="28"/>
          <w:lang w:eastAsia="zh-CN"/>
        </w:rPr>
        <w:t>；</w:t>
      </w:r>
      <w:r>
        <w:rPr>
          <w:rFonts w:hint="eastAsia"/>
          <w:sz w:val="28"/>
          <w:szCs w:val="28"/>
        </w:rPr>
        <w:t>技术服务、技术开发、技术咨询、技术交流、技术转让、技术推广</w:t>
      </w:r>
      <w:r>
        <w:rPr>
          <w:rFonts w:hint="eastAsia"/>
          <w:sz w:val="28"/>
          <w:szCs w:val="28"/>
          <w:lang w:eastAsia="zh-CN"/>
        </w:rPr>
        <w:t>；</w:t>
      </w:r>
      <w:r>
        <w:rPr>
          <w:rFonts w:hint="eastAsia"/>
          <w:sz w:val="28"/>
          <w:szCs w:val="28"/>
        </w:rPr>
        <w:t>工程技术服务</w:t>
      </w:r>
      <w:r>
        <w:rPr>
          <w:rFonts w:hint="eastAsia"/>
          <w:sz w:val="28"/>
          <w:szCs w:val="28"/>
          <w:lang w:eastAsia="zh-CN"/>
        </w:rPr>
        <w:t>（</w:t>
      </w:r>
      <w:r>
        <w:rPr>
          <w:rFonts w:hint="eastAsia"/>
          <w:sz w:val="28"/>
          <w:szCs w:val="28"/>
        </w:rPr>
        <w:t>规划管理、勘察、设计、监理除外</w:t>
      </w:r>
      <w:r>
        <w:rPr>
          <w:rFonts w:hint="eastAsia"/>
          <w:sz w:val="28"/>
          <w:szCs w:val="28"/>
          <w:lang w:eastAsia="zh-CN"/>
        </w:rPr>
        <w:t>）；</w:t>
      </w:r>
      <w:r>
        <w:rPr>
          <w:rFonts w:hint="eastAsia"/>
          <w:sz w:val="28"/>
          <w:szCs w:val="28"/>
        </w:rPr>
        <w:t>机械设备租赁</w:t>
      </w:r>
      <w:r>
        <w:rPr>
          <w:rFonts w:hint="eastAsia"/>
          <w:sz w:val="28"/>
          <w:szCs w:val="28"/>
          <w:lang w:eastAsia="zh-CN"/>
        </w:rPr>
        <w:t>；</w:t>
      </w:r>
      <w:r>
        <w:rPr>
          <w:rFonts w:hint="eastAsia"/>
          <w:sz w:val="28"/>
          <w:szCs w:val="28"/>
        </w:rPr>
        <w:t>化工产品销售</w:t>
      </w:r>
      <w:r>
        <w:rPr>
          <w:rFonts w:hint="eastAsia"/>
          <w:sz w:val="28"/>
          <w:szCs w:val="28"/>
          <w:lang w:eastAsia="zh-CN"/>
        </w:rPr>
        <w:t>（</w:t>
      </w:r>
      <w:r>
        <w:rPr>
          <w:rFonts w:hint="eastAsia"/>
          <w:sz w:val="28"/>
          <w:szCs w:val="28"/>
        </w:rPr>
        <w:t>不含许可类化工产品</w:t>
      </w:r>
      <w:r>
        <w:rPr>
          <w:rFonts w:hint="eastAsia"/>
          <w:sz w:val="28"/>
          <w:szCs w:val="28"/>
          <w:lang w:eastAsia="zh-CN"/>
        </w:rPr>
        <w:t>）；</w:t>
      </w:r>
      <w:r>
        <w:rPr>
          <w:rFonts w:hint="eastAsia"/>
          <w:sz w:val="28"/>
          <w:szCs w:val="28"/>
        </w:rPr>
        <w:t>机械设备销售</w:t>
      </w:r>
      <w:r>
        <w:rPr>
          <w:rFonts w:hint="eastAsia"/>
          <w:sz w:val="28"/>
          <w:szCs w:val="28"/>
          <w:lang w:eastAsia="zh-CN"/>
        </w:rPr>
        <w:t>；</w:t>
      </w:r>
      <w:r>
        <w:rPr>
          <w:rFonts w:hint="eastAsia"/>
          <w:sz w:val="28"/>
          <w:szCs w:val="28"/>
        </w:rPr>
        <w:t>海洋工程装备销售</w:t>
      </w:r>
      <w:r>
        <w:rPr>
          <w:rFonts w:hint="eastAsia"/>
          <w:sz w:val="28"/>
          <w:szCs w:val="28"/>
          <w:lang w:eastAsia="zh-CN"/>
        </w:rPr>
        <w:t>；</w:t>
      </w:r>
      <w:r>
        <w:rPr>
          <w:rFonts w:hint="eastAsia"/>
          <w:sz w:val="28"/>
          <w:szCs w:val="28"/>
        </w:rPr>
        <w:t>专用化学产品销售</w:t>
      </w:r>
      <w:r>
        <w:rPr>
          <w:rFonts w:hint="eastAsia"/>
          <w:sz w:val="28"/>
          <w:szCs w:val="28"/>
          <w:lang w:eastAsia="zh-CN"/>
        </w:rPr>
        <w:t>（</w:t>
      </w:r>
      <w:r>
        <w:rPr>
          <w:rFonts w:hint="eastAsia"/>
          <w:sz w:val="28"/>
          <w:szCs w:val="28"/>
        </w:rPr>
        <w:t>不含危险化学品</w:t>
      </w:r>
      <w:r>
        <w:rPr>
          <w:rFonts w:hint="eastAsia"/>
          <w:sz w:val="28"/>
          <w:szCs w:val="28"/>
          <w:lang w:eastAsia="zh-CN"/>
        </w:rPr>
        <w:t>）；</w:t>
      </w:r>
      <w:r>
        <w:rPr>
          <w:rFonts w:hint="eastAsia"/>
          <w:sz w:val="28"/>
          <w:szCs w:val="28"/>
        </w:rPr>
        <w:t>石油钻采专用设备销售</w:t>
      </w:r>
      <w:r>
        <w:rPr>
          <w:rFonts w:hint="eastAsia"/>
          <w:sz w:val="28"/>
          <w:szCs w:val="28"/>
          <w:lang w:eastAsia="zh-CN"/>
        </w:rPr>
        <w:t>；</w:t>
      </w:r>
      <w:r>
        <w:rPr>
          <w:rFonts w:hint="eastAsia"/>
          <w:sz w:val="28"/>
          <w:szCs w:val="28"/>
        </w:rPr>
        <w:t>专用设备修理</w:t>
      </w:r>
      <w:r>
        <w:rPr>
          <w:rFonts w:hint="eastAsia"/>
          <w:sz w:val="28"/>
          <w:szCs w:val="28"/>
          <w:lang w:eastAsia="zh-CN"/>
        </w:rPr>
        <w:t>；</w:t>
      </w:r>
      <w:r>
        <w:rPr>
          <w:rFonts w:hint="eastAsia"/>
          <w:sz w:val="28"/>
          <w:szCs w:val="28"/>
        </w:rPr>
        <w:t>机械设备研发</w:t>
      </w:r>
      <w:r>
        <w:rPr>
          <w:rFonts w:hint="eastAsia"/>
          <w:sz w:val="28"/>
          <w:szCs w:val="28"/>
          <w:lang w:eastAsia="zh-CN"/>
        </w:rPr>
        <w:t>；</w:t>
      </w:r>
      <w:r>
        <w:rPr>
          <w:rFonts w:hint="eastAsia"/>
          <w:sz w:val="28"/>
          <w:szCs w:val="28"/>
        </w:rPr>
        <w:t>石油钻采专用设备制造</w:t>
      </w:r>
      <w:r>
        <w:rPr>
          <w:rFonts w:hint="eastAsia"/>
          <w:sz w:val="28"/>
          <w:szCs w:val="28"/>
          <w:lang w:eastAsia="zh-CN"/>
        </w:rPr>
        <w:t>；</w:t>
      </w:r>
      <w:r>
        <w:rPr>
          <w:rFonts w:hint="eastAsia"/>
          <w:sz w:val="28"/>
          <w:szCs w:val="28"/>
        </w:rPr>
        <w:t>新材料技术研发</w:t>
      </w:r>
      <w:r>
        <w:rPr>
          <w:rFonts w:hint="eastAsia"/>
          <w:sz w:val="28"/>
          <w:szCs w:val="28"/>
          <w:lang w:eastAsia="zh-CN"/>
        </w:rPr>
        <w:t>；</w:t>
      </w:r>
      <w:r>
        <w:rPr>
          <w:rFonts w:hint="eastAsia"/>
          <w:sz w:val="28"/>
          <w:szCs w:val="28"/>
        </w:rPr>
        <w:t>水污染治理</w:t>
      </w:r>
      <w:r>
        <w:rPr>
          <w:rFonts w:hint="eastAsia"/>
          <w:sz w:val="28"/>
          <w:szCs w:val="28"/>
          <w:lang w:eastAsia="zh-CN"/>
        </w:rPr>
        <w:t>；</w:t>
      </w:r>
      <w:r>
        <w:rPr>
          <w:rFonts w:hint="eastAsia"/>
          <w:sz w:val="28"/>
          <w:szCs w:val="28"/>
        </w:rPr>
        <w:t>机械电气设备销售。</w:t>
      </w:r>
      <w:r>
        <w:rPr>
          <w:rFonts w:hint="eastAsia"/>
          <w:sz w:val="28"/>
          <w:szCs w:val="28"/>
          <w:lang w:eastAsia="zh-CN"/>
        </w:rPr>
        <w:t>（</w:t>
      </w:r>
      <w:r>
        <w:rPr>
          <w:rFonts w:hint="eastAsia"/>
          <w:sz w:val="28"/>
          <w:szCs w:val="28"/>
        </w:rPr>
        <w:t>除依法须经批准的项目外，凭营业执照依法自主开展经营活动</w:t>
      </w:r>
      <w:r>
        <w:rPr>
          <w:rFonts w:hint="eastAsia"/>
          <w:sz w:val="28"/>
          <w:szCs w:val="28"/>
          <w:lang w:eastAsia="zh-CN"/>
        </w:rPr>
        <w:t>）</w:t>
      </w:r>
      <w:r>
        <w:rPr>
          <w:rFonts w:hint="eastAsia"/>
          <w:sz w:val="28"/>
          <w:szCs w:val="28"/>
        </w:rPr>
        <w:t>。</w:t>
      </w:r>
    </w:p>
    <w:p>
      <w:pPr>
        <w:adjustRightInd w:val="0"/>
        <w:snapToGrid w:val="0"/>
        <w:spacing w:line="360" w:lineRule="auto"/>
        <w:ind w:firstLine="560" w:firstLineChars="200"/>
        <w:rPr>
          <w:rFonts w:hint="eastAsia"/>
          <w:sz w:val="28"/>
          <w:szCs w:val="28"/>
          <w:lang w:val="en-US" w:eastAsia="zh-CN"/>
        </w:rPr>
      </w:pPr>
      <w:r>
        <w:rPr>
          <w:rFonts w:hint="eastAsia"/>
          <w:sz w:val="28"/>
          <w:szCs w:val="28"/>
          <w:lang w:eastAsia="zh-CN"/>
        </w:rPr>
        <w:t>胜利油田康贝油气工程有限公司</w:t>
      </w:r>
      <w:r>
        <w:rPr>
          <w:rFonts w:hint="eastAsia"/>
          <w:sz w:val="28"/>
          <w:szCs w:val="28"/>
        </w:rPr>
        <w:t>于201</w:t>
      </w:r>
      <w:r>
        <w:rPr>
          <w:rFonts w:hint="eastAsia"/>
          <w:sz w:val="28"/>
          <w:szCs w:val="28"/>
          <w:lang w:val="en-US" w:eastAsia="zh-CN"/>
        </w:rPr>
        <w:t>9</w:t>
      </w:r>
      <w:r>
        <w:rPr>
          <w:rFonts w:hint="eastAsia"/>
          <w:sz w:val="28"/>
          <w:szCs w:val="28"/>
        </w:rPr>
        <w:t>年4月</w:t>
      </w:r>
      <w:r>
        <w:rPr>
          <w:rFonts w:hint="eastAsia"/>
          <w:sz w:val="28"/>
          <w:szCs w:val="28"/>
          <w:lang w:val="en-US" w:eastAsia="zh-CN"/>
        </w:rPr>
        <w:t>10</w:t>
      </w:r>
      <w:r>
        <w:rPr>
          <w:rFonts w:hint="eastAsia"/>
          <w:sz w:val="28"/>
          <w:szCs w:val="28"/>
        </w:rPr>
        <w:t>日取得安全生产许可证，许可范围：</w:t>
      </w:r>
      <w:r>
        <w:rPr>
          <w:rFonts w:hint="eastAsia"/>
          <w:sz w:val="28"/>
          <w:szCs w:val="28"/>
          <w:lang w:val="en-US" w:eastAsia="zh-CN"/>
        </w:rPr>
        <w:t>油井井下作业，</w:t>
      </w:r>
      <w:r>
        <w:rPr>
          <w:rFonts w:hint="eastAsia"/>
          <w:sz w:val="28"/>
          <w:szCs w:val="28"/>
        </w:rPr>
        <w:t>编号：（鲁）FM安许证字</w:t>
      </w:r>
      <w:r>
        <w:rPr>
          <w:rFonts w:hint="eastAsia"/>
          <w:sz w:val="28"/>
          <w:szCs w:val="28"/>
          <w:lang w:eastAsia="zh-CN"/>
        </w:rPr>
        <w:t>（</w:t>
      </w:r>
      <w:r>
        <w:rPr>
          <w:rFonts w:hint="eastAsia"/>
          <w:sz w:val="28"/>
          <w:szCs w:val="28"/>
        </w:rPr>
        <w:t>201</w:t>
      </w:r>
      <w:r>
        <w:rPr>
          <w:rFonts w:hint="eastAsia"/>
          <w:sz w:val="28"/>
          <w:szCs w:val="28"/>
          <w:lang w:val="en-US" w:eastAsia="zh-CN"/>
        </w:rPr>
        <w:t>9</w:t>
      </w:r>
      <w:r>
        <w:rPr>
          <w:rFonts w:hint="eastAsia"/>
          <w:sz w:val="28"/>
          <w:szCs w:val="28"/>
          <w:lang w:eastAsia="zh-CN"/>
        </w:rPr>
        <w:t>）</w:t>
      </w:r>
      <w:r>
        <w:rPr>
          <w:rFonts w:hint="eastAsia"/>
          <w:sz w:val="28"/>
          <w:szCs w:val="28"/>
        </w:rPr>
        <w:t>05-001</w:t>
      </w:r>
      <w:r>
        <w:rPr>
          <w:rFonts w:hint="eastAsia"/>
          <w:sz w:val="28"/>
          <w:szCs w:val="28"/>
          <w:lang w:val="en-US" w:eastAsia="zh-CN"/>
        </w:rPr>
        <w:t>3</w:t>
      </w:r>
      <w:r>
        <w:rPr>
          <w:rFonts w:hint="eastAsia"/>
          <w:sz w:val="28"/>
          <w:szCs w:val="28"/>
        </w:rPr>
        <w:t>，有效期至</w:t>
      </w:r>
      <w:r>
        <w:rPr>
          <w:rFonts w:hint="eastAsia"/>
          <w:sz w:val="28"/>
          <w:szCs w:val="28"/>
          <w:lang w:val="en-US" w:eastAsia="zh-CN"/>
        </w:rPr>
        <w:t>2022年5月25日</w:t>
      </w:r>
      <w:r>
        <w:rPr>
          <w:rFonts w:hint="eastAsia"/>
          <w:sz w:val="28"/>
          <w:szCs w:val="28"/>
        </w:rPr>
        <w:t>。</w:t>
      </w:r>
      <w:r>
        <w:rPr>
          <w:rFonts w:hint="eastAsia"/>
          <w:sz w:val="28"/>
          <w:szCs w:val="28"/>
          <w:lang w:val="en-US" w:eastAsia="zh-CN"/>
        </w:rPr>
        <w:t>根据《关于石油天然气技术服务企业不再实施安全许可的通知》（鲁应急函〔2019〕第46号）的规定，山东省应急厅不再对石油天然气技术服务企业实施安全许可，因此胜利油田康贝油气工程有限公司在安全生产许可证到期之后未再办理。根据《关于对钻井、物探、测井、录井、井下作业、油建企业实施安全生产许可的通知》（鲁应急函[2021]86号）、《东营市应急管理局关于进一步规范非煤矿矿山《安全生产许可证》颁发管理有关问题的函》（东应急函字[2021]50号）等文件要求，胜利油田康贝油气工程有限公司现申请办理安全生产许可证。</w:t>
      </w:r>
    </w:p>
    <w:p>
      <w:pPr>
        <w:adjustRightInd w:val="0"/>
        <w:snapToGrid w:val="0"/>
        <w:spacing w:line="360" w:lineRule="auto"/>
        <w:ind w:firstLine="560" w:firstLineChars="200"/>
        <w:rPr>
          <w:color w:val="auto"/>
          <w:sz w:val="28"/>
          <w:szCs w:val="28"/>
        </w:rPr>
      </w:pPr>
      <w:r>
        <w:rPr>
          <w:rFonts w:hint="eastAsia"/>
          <w:color w:val="auto"/>
          <w:sz w:val="28"/>
          <w:szCs w:val="28"/>
        </w:rPr>
        <w:t>根据《中华人民共和国安全生产法》（中华人民共和国主席令[2014]第13号</w:t>
      </w:r>
      <w:r>
        <w:rPr>
          <w:rFonts w:hint="eastAsia"/>
          <w:color w:val="auto"/>
          <w:sz w:val="28"/>
          <w:szCs w:val="28"/>
          <w:lang w:eastAsia="zh-CN"/>
        </w:rPr>
        <w:t>，</w:t>
      </w:r>
      <w:r>
        <w:rPr>
          <w:rFonts w:hint="eastAsia"/>
          <w:color w:val="auto"/>
          <w:sz w:val="28"/>
          <w:szCs w:val="28"/>
        </w:rPr>
        <w:t>[20</w:t>
      </w:r>
      <w:r>
        <w:rPr>
          <w:rFonts w:hint="eastAsia"/>
          <w:color w:val="auto"/>
          <w:sz w:val="28"/>
          <w:szCs w:val="28"/>
          <w:lang w:val="en-US" w:eastAsia="zh-CN"/>
        </w:rPr>
        <w:t>21</w:t>
      </w:r>
      <w:r>
        <w:rPr>
          <w:rFonts w:hint="eastAsia"/>
          <w:color w:val="auto"/>
          <w:sz w:val="28"/>
          <w:szCs w:val="28"/>
        </w:rPr>
        <w:t>]第</w:t>
      </w:r>
      <w:r>
        <w:rPr>
          <w:rFonts w:hint="eastAsia"/>
          <w:color w:val="auto"/>
          <w:sz w:val="28"/>
          <w:szCs w:val="28"/>
          <w:lang w:val="en-US" w:eastAsia="zh-CN"/>
        </w:rPr>
        <w:t>88号令修正</w:t>
      </w:r>
      <w:r>
        <w:rPr>
          <w:rFonts w:hint="eastAsia"/>
          <w:color w:val="auto"/>
          <w:sz w:val="28"/>
          <w:szCs w:val="28"/>
        </w:rPr>
        <w:t>）、《安全生产许可证条例》（国务院令[2004]第397号，[20</w:t>
      </w:r>
      <w:r>
        <w:rPr>
          <w:rFonts w:hint="eastAsia"/>
          <w:color w:val="auto"/>
          <w:sz w:val="28"/>
          <w:szCs w:val="28"/>
          <w:lang w:val="en-US" w:eastAsia="zh-CN"/>
        </w:rPr>
        <w:t>1</w:t>
      </w:r>
      <w:r>
        <w:rPr>
          <w:rFonts w:hint="eastAsia"/>
          <w:color w:val="auto"/>
          <w:sz w:val="28"/>
          <w:szCs w:val="28"/>
        </w:rPr>
        <w:t>4]第</w:t>
      </w:r>
      <w:r>
        <w:rPr>
          <w:rFonts w:hint="eastAsia"/>
          <w:color w:val="auto"/>
          <w:sz w:val="28"/>
          <w:szCs w:val="28"/>
          <w:lang w:val="en-US" w:eastAsia="zh-CN"/>
        </w:rPr>
        <w:t>653</w:t>
      </w:r>
      <w:r>
        <w:rPr>
          <w:rFonts w:hint="eastAsia"/>
          <w:color w:val="auto"/>
          <w:sz w:val="28"/>
          <w:szCs w:val="28"/>
        </w:rPr>
        <w:t>号</w:t>
      </w:r>
      <w:r>
        <w:rPr>
          <w:rFonts w:hint="eastAsia"/>
          <w:color w:val="auto"/>
          <w:sz w:val="28"/>
          <w:szCs w:val="28"/>
          <w:lang w:val="en-US" w:eastAsia="zh-CN"/>
        </w:rPr>
        <w:t>修订</w:t>
      </w:r>
      <w:r>
        <w:rPr>
          <w:rFonts w:hint="eastAsia"/>
          <w:color w:val="auto"/>
          <w:sz w:val="28"/>
          <w:szCs w:val="28"/>
        </w:rPr>
        <w:t>）、《非煤矿矿山企业安全生产许可证实施办法》（国家安全生产监督管理总局令[2009]第20号，</w:t>
      </w:r>
      <w:r>
        <w:rPr>
          <w:rFonts w:hint="eastAsia"/>
          <w:color w:val="auto"/>
          <w:sz w:val="28"/>
          <w:szCs w:val="28"/>
          <w:lang w:val="en-US" w:eastAsia="zh-CN"/>
        </w:rPr>
        <w:t>第78号修订</w:t>
      </w:r>
      <w:r>
        <w:rPr>
          <w:rFonts w:hint="eastAsia"/>
          <w:color w:val="auto"/>
          <w:sz w:val="28"/>
          <w:szCs w:val="28"/>
        </w:rPr>
        <w:t>）、《山东省非煤矿矿山企业安全生产许可证实施方案》（鲁安监发[2009]133号）等规定的要求，为办理非煤矿矿山企业安全生产许可证，</w:t>
      </w:r>
      <w:r>
        <w:rPr>
          <w:rFonts w:hint="eastAsia"/>
          <w:color w:val="auto"/>
          <w:sz w:val="28"/>
          <w:szCs w:val="28"/>
          <w:lang w:eastAsia="zh-CN"/>
        </w:rPr>
        <w:t>胜利油田康贝油气工程有限公司</w:t>
      </w:r>
      <w:r>
        <w:rPr>
          <w:rFonts w:hint="eastAsia"/>
          <w:color w:val="auto"/>
          <w:sz w:val="28"/>
          <w:szCs w:val="28"/>
        </w:rPr>
        <w:t>委托我公司对其进行安全现状评价。</w:t>
      </w:r>
    </w:p>
    <w:p>
      <w:pPr>
        <w:adjustRightInd w:val="0"/>
        <w:snapToGrid w:val="0"/>
        <w:spacing w:line="360" w:lineRule="auto"/>
        <w:ind w:firstLine="560" w:firstLineChars="200"/>
        <w:rPr>
          <w:sz w:val="28"/>
          <w:szCs w:val="28"/>
        </w:rPr>
      </w:pPr>
      <w:r>
        <w:rPr>
          <w:rFonts w:hint="eastAsia"/>
          <w:color w:val="auto"/>
          <w:sz w:val="28"/>
          <w:szCs w:val="28"/>
        </w:rPr>
        <w:t>我公司接到委托后，成立了评价项目组，按照《安全评价通则》（AQ8001-2007）的要求，进行了资料与标准收集、现场调研、工程分析、危险与有害因素分析、定性评价，并在此基础上提出了安全对策措施建议，最后编制完成了本安全现状</w:t>
      </w:r>
      <w:r>
        <w:rPr>
          <w:rFonts w:hint="eastAsia"/>
          <w:sz w:val="28"/>
          <w:szCs w:val="28"/>
        </w:rPr>
        <w:t>评价报告。</w:t>
      </w:r>
    </w:p>
    <w:p>
      <w:pPr>
        <w:adjustRightInd w:val="0"/>
        <w:snapToGrid w:val="0"/>
        <w:spacing w:line="360" w:lineRule="auto"/>
        <w:ind w:firstLine="560" w:firstLineChars="200"/>
        <w:rPr>
          <w:sz w:val="28"/>
          <w:szCs w:val="28"/>
        </w:rPr>
      </w:pPr>
      <w:r>
        <w:rPr>
          <w:rFonts w:hint="eastAsia"/>
          <w:sz w:val="28"/>
          <w:szCs w:val="28"/>
        </w:rPr>
        <w:t>此次安全评价工作，自始至终都得到了</w:t>
      </w:r>
      <w:r>
        <w:rPr>
          <w:rFonts w:hint="eastAsia"/>
          <w:sz w:val="28"/>
          <w:szCs w:val="28"/>
          <w:lang w:eastAsia="zh-CN"/>
        </w:rPr>
        <w:t>胜利油田康贝油气工程有限公司</w:t>
      </w:r>
      <w:r>
        <w:rPr>
          <w:rFonts w:hint="eastAsia"/>
          <w:sz w:val="28"/>
          <w:szCs w:val="28"/>
        </w:rPr>
        <w:t>领导和员工的大力支持和配合，在此表示衷心的感谢！</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right"/>
        <w:textAlignment w:val="auto"/>
        <w:rPr>
          <w:sz w:val="28"/>
          <w:szCs w:val="28"/>
        </w:rPr>
      </w:pPr>
      <w:r>
        <w:rPr>
          <w:rFonts w:hint="eastAsia"/>
          <w:sz w:val="28"/>
          <w:szCs w:val="28"/>
        </w:rPr>
        <w:t>评价</w:t>
      </w:r>
      <w:r>
        <w:rPr>
          <w:sz w:val="28"/>
          <w:szCs w:val="28"/>
        </w:rPr>
        <w:t>项目组</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right"/>
        <w:textAlignment w:val="auto"/>
        <w:rPr>
          <w:sz w:val="28"/>
          <w:szCs w:val="28"/>
        </w:rPr>
      </w:pPr>
      <w:r>
        <w:rPr>
          <w:rFonts w:hint="eastAsia"/>
          <w:sz w:val="28"/>
          <w:szCs w:val="28"/>
        </w:rPr>
        <w:t>20</w:t>
      </w:r>
      <w:r>
        <w:rPr>
          <w:rFonts w:hint="eastAsia"/>
          <w:sz w:val="28"/>
          <w:szCs w:val="28"/>
          <w:lang w:val="en-US" w:eastAsia="zh-CN"/>
        </w:rPr>
        <w:t>22</w:t>
      </w:r>
      <w:r>
        <w:rPr>
          <w:rFonts w:hint="eastAsia"/>
          <w:sz w:val="28"/>
          <w:szCs w:val="28"/>
        </w:rPr>
        <w:t>年</w:t>
      </w:r>
      <w:r>
        <w:rPr>
          <w:rFonts w:hint="eastAsia"/>
          <w:sz w:val="28"/>
          <w:szCs w:val="28"/>
          <w:lang w:val="en-US" w:eastAsia="zh-CN"/>
        </w:rPr>
        <w:t>9</w:t>
      </w:r>
      <w:r>
        <w:rPr>
          <w:rFonts w:hint="eastAsia"/>
          <w:sz w:val="28"/>
          <w:szCs w:val="28"/>
        </w:rPr>
        <w:t>月</w:t>
      </w:r>
    </w:p>
    <w:p>
      <w:pPr>
        <w:widowControl/>
        <w:adjustRightInd w:val="0"/>
        <w:snapToGrid w:val="0"/>
        <w:spacing w:line="360" w:lineRule="auto"/>
        <w:ind w:firstLine="640" w:firstLineChars="200"/>
        <w:jc w:val="center"/>
        <w:rPr>
          <w:b/>
          <w:bCs/>
          <w:kern w:val="0"/>
          <w:sz w:val="32"/>
          <w:szCs w:val="32"/>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76" w:lineRule="exact"/>
        <w:jc w:val="center"/>
        <w:textAlignment w:val="auto"/>
        <w:rPr>
          <w:rFonts w:ascii="Times New Roman" w:hAnsi="Times New Roman" w:eastAsia="宋体" w:cs="Times New Roman"/>
          <w:kern w:val="2"/>
          <w:sz w:val="28"/>
          <w:szCs w:val="21"/>
          <w:lang w:val="en-US" w:eastAsia="zh-CN" w:bidi="ar-SA"/>
        </w:rPr>
      </w:pPr>
      <w:r>
        <w:rPr>
          <w:rFonts w:hint="eastAsia" w:eastAsia="黑体"/>
          <w:b/>
          <w:bCs/>
          <w:kern w:val="44"/>
          <w:sz w:val="36"/>
          <w:szCs w:val="36"/>
        </w:rPr>
        <w:t>目   录</w:t>
      </w:r>
      <w:r>
        <w:rPr>
          <w:sz w:val="21"/>
          <w:szCs w:val="21"/>
        </w:rPr>
        <w:fldChar w:fldCharType="begin"/>
      </w:r>
      <w:r>
        <w:rPr>
          <w:sz w:val="21"/>
          <w:szCs w:val="21"/>
        </w:rPr>
        <w:instrText xml:space="preserve"> TOC \o "1-2" \h \z \u </w:instrText>
      </w:r>
      <w:r>
        <w:rPr>
          <w:sz w:val="21"/>
          <w:szCs w:val="21"/>
        </w:rPr>
        <w:fldChar w:fldCharType="separate"/>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_Toc14772 </w:instrText>
      </w:r>
      <w:r>
        <w:rPr>
          <w:rFonts w:eastAsia="宋体"/>
          <w:sz w:val="21"/>
          <w:szCs w:val="21"/>
        </w:rPr>
        <w:fldChar w:fldCharType="separate"/>
      </w:r>
      <w:r>
        <w:rPr>
          <w:rFonts w:hint="eastAsia" w:eastAsia="宋体"/>
          <w:sz w:val="21"/>
          <w:szCs w:val="21"/>
        </w:rPr>
        <w:t>1</w:t>
      </w:r>
      <w:r>
        <w:rPr>
          <w:rFonts w:eastAsia="宋体"/>
          <w:sz w:val="21"/>
          <w:szCs w:val="21"/>
        </w:rPr>
        <w:t xml:space="preserve"> </w:t>
      </w:r>
      <w:r>
        <w:rPr>
          <w:rFonts w:hint="eastAsia" w:eastAsia="宋体"/>
          <w:sz w:val="21"/>
          <w:szCs w:val="21"/>
        </w:rPr>
        <w:t>总则</w:t>
      </w:r>
      <w:r>
        <w:rPr>
          <w:rFonts w:eastAsia="宋体"/>
          <w:sz w:val="21"/>
          <w:szCs w:val="21"/>
        </w:rPr>
        <w:tab/>
      </w:r>
      <w:r>
        <w:rPr>
          <w:rFonts w:eastAsia="宋体"/>
          <w:sz w:val="21"/>
          <w:szCs w:val="21"/>
        </w:rPr>
        <w:fldChar w:fldCharType="begin"/>
      </w:r>
      <w:r>
        <w:rPr>
          <w:rFonts w:eastAsia="宋体"/>
          <w:sz w:val="21"/>
          <w:szCs w:val="21"/>
        </w:rPr>
        <w:instrText xml:space="preserve"> PAGEREF _Toc14772 \h </w:instrText>
      </w:r>
      <w:r>
        <w:rPr>
          <w:rFonts w:eastAsia="宋体"/>
          <w:sz w:val="21"/>
          <w:szCs w:val="21"/>
        </w:rPr>
        <w:fldChar w:fldCharType="separate"/>
      </w:r>
      <w:r>
        <w:rPr>
          <w:rFonts w:eastAsia="宋体"/>
          <w:sz w:val="21"/>
          <w:szCs w:val="21"/>
        </w:rPr>
        <w:t>1</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_Toc16497 </w:instrText>
      </w:r>
      <w:r>
        <w:rPr>
          <w:rFonts w:eastAsia="宋体"/>
          <w:sz w:val="21"/>
          <w:szCs w:val="21"/>
        </w:rPr>
        <w:fldChar w:fldCharType="separate"/>
      </w:r>
      <w:r>
        <w:rPr>
          <w:rFonts w:hint="eastAsia" w:ascii="Times New Roman" w:hAnsi="Times New Roman" w:eastAsia="宋体"/>
          <w:bCs/>
          <w:sz w:val="21"/>
          <w:szCs w:val="21"/>
        </w:rPr>
        <w:t>1.1</w:t>
      </w:r>
      <w:r>
        <w:rPr>
          <w:rFonts w:ascii="Times New Roman" w:hAnsi="Times New Roman" w:eastAsia="宋体"/>
          <w:bCs/>
          <w:sz w:val="21"/>
          <w:szCs w:val="21"/>
        </w:rPr>
        <w:t xml:space="preserve"> </w:t>
      </w:r>
      <w:r>
        <w:rPr>
          <w:rFonts w:hint="eastAsia" w:ascii="Times New Roman" w:hAnsi="Times New Roman" w:eastAsia="宋体"/>
          <w:bCs/>
          <w:sz w:val="21"/>
          <w:szCs w:val="21"/>
        </w:rPr>
        <w:t>评价目的</w:t>
      </w:r>
      <w:r>
        <w:rPr>
          <w:rFonts w:eastAsia="宋体"/>
          <w:sz w:val="21"/>
          <w:szCs w:val="21"/>
        </w:rPr>
        <w:tab/>
      </w:r>
      <w:r>
        <w:rPr>
          <w:rFonts w:eastAsia="宋体"/>
          <w:sz w:val="21"/>
          <w:szCs w:val="21"/>
        </w:rPr>
        <w:fldChar w:fldCharType="begin"/>
      </w:r>
      <w:r>
        <w:rPr>
          <w:rFonts w:eastAsia="宋体"/>
          <w:sz w:val="21"/>
          <w:szCs w:val="21"/>
        </w:rPr>
        <w:instrText xml:space="preserve"> PAGEREF _Toc16497 \h </w:instrText>
      </w:r>
      <w:r>
        <w:rPr>
          <w:rFonts w:eastAsia="宋体"/>
          <w:sz w:val="21"/>
          <w:szCs w:val="21"/>
        </w:rPr>
        <w:fldChar w:fldCharType="separate"/>
      </w:r>
      <w:r>
        <w:rPr>
          <w:rFonts w:eastAsia="宋体"/>
          <w:sz w:val="21"/>
          <w:szCs w:val="21"/>
        </w:rPr>
        <w:t>1</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_Toc20256 </w:instrText>
      </w:r>
      <w:r>
        <w:rPr>
          <w:rFonts w:eastAsia="宋体"/>
          <w:sz w:val="21"/>
          <w:szCs w:val="21"/>
        </w:rPr>
        <w:fldChar w:fldCharType="separate"/>
      </w:r>
      <w:r>
        <w:rPr>
          <w:rFonts w:hint="eastAsia" w:ascii="Times New Roman" w:hAnsi="Times New Roman" w:eastAsia="宋体"/>
          <w:bCs/>
          <w:sz w:val="21"/>
          <w:szCs w:val="21"/>
        </w:rPr>
        <w:t>1.2</w:t>
      </w:r>
      <w:r>
        <w:rPr>
          <w:rFonts w:ascii="Times New Roman" w:hAnsi="Times New Roman" w:eastAsia="宋体"/>
          <w:bCs/>
          <w:sz w:val="21"/>
          <w:szCs w:val="21"/>
        </w:rPr>
        <w:t xml:space="preserve"> </w:t>
      </w:r>
      <w:r>
        <w:rPr>
          <w:rFonts w:hint="eastAsia" w:ascii="Times New Roman" w:hAnsi="Times New Roman" w:eastAsia="宋体"/>
          <w:bCs/>
          <w:sz w:val="21"/>
          <w:szCs w:val="21"/>
        </w:rPr>
        <w:t>评价依据</w:t>
      </w:r>
      <w:r>
        <w:rPr>
          <w:rFonts w:eastAsia="宋体"/>
          <w:sz w:val="21"/>
          <w:szCs w:val="21"/>
        </w:rPr>
        <w:tab/>
      </w:r>
      <w:r>
        <w:rPr>
          <w:rFonts w:eastAsia="宋体"/>
          <w:sz w:val="21"/>
          <w:szCs w:val="21"/>
        </w:rPr>
        <w:fldChar w:fldCharType="begin"/>
      </w:r>
      <w:r>
        <w:rPr>
          <w:rFonts w:eastAsia="宋体"/>
          <w:sz w:val="21"/>
          <w:szCs w:val="21"/>
        </w:rPr>
        <w:instrText xml:space="preserve"> PAGEREF _Toc20256 \h </w:instrText>
      </w:r>
      <w:r>
        <w:rPr>
          <w:rFonts w:eastAsia="宋体"/>
          <w:sz w:val="21"/>
          <w:szCs w:val="21"/>
        </w:rPr>
        <w:fldChar w:fldCharType="separate"/>
      </w:r>
      <w:r>
        <w:rPr>
          <w:rFonts w:eastAsia="宋体"/>
          <w:sz w:val="21"/>
          <w:szCs w:val="21"/>
        </w:rPr>
        <w:t>1</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_Toc31821 </w:instrText>
      </w:r>
      <w:r>
        <w:rPr>
          <w:rFonts w:eastAsia="宋体"/>
          <w:sz w:val="21"/>
          <w:szCs w:val="21"/>
        </w:rPr>
        <w:fldChar w:fldCharType="separate"/>
      </w:r>
      <w:r>
        <w:rPr>
          <w:rFonts w:hint="eastAsia" w:ascii="Times New Roman" w:hAnsi="Times New Roman" w:eastAsia="宋体"/>
          <w:bCs/>
          <w:sz w:val="21"/>
          <w:szCs w:val="21"/>
        </w:rPr>
        <w:t>1.3</w:t>
      </w:r>
      <w:r>
        <w:rPr>
          <w:rFonts w:ascii="Times New Roman" w:hAnsi="Times New Roman" w:eastAsia="宋体"/>
          <w:bCs/>
          <w:sz w:val="21"/>
          <w:szCs w:val="21"/>
        </w:rPr>
        <w:t xml:space="preserve"> </w:t>
      </w:r>
      <w:r>
        <w:rPr>
          <w:rFonts w:hint="eastAsia" w:ascii="Times New Roman" w:hAnsi="Times New Roman" w:eastAsia="宋体"/>
          <w:bCs/>
          <w:sz w:val="21"/>
          <w:szCs w:val="21"/>
        </w:rPr>
        <w:t>评价范围</w:t>
      </w:r>
      <w:r>
        <w:rPr>
          <w:rFonts w:eastAsia="宋体"/>
          <w:sz w:val="21"/>
          <w:szCs w:val="21"/>
        </w:rPr>
        <w:tab/>
      </w:r>
      <w:r>
        <w:rPr>
          <w:rFonts w:eastAsia="宋体"/>
          <w:sz w:val="21"/>
          <w:szCs w:val="21"/>
        </w:rPr>
        <w:fldChar w:fldCharType="begin"/>
      </w:r>
      <w:r>
        <w:rPr>
          <w:rFonts w:eastAsia="宋体"/>
          <w:sz w:val="21"/>
          <w:szCs w:val="21"/>
        </w:rPr>
        <w:instrText xml:space="preserve"> PAGEREF _Toc31821 \h </w:instrText>
      </w:r>
      <w:r>
        <w:rPr>
          <w:rFonts w:eastAsia="宋体"/>
          <w:sz w:val="21"/>
          <w:szCs w:val="21"/>
        </w:rPr>
        <w:fldChar w:fldCharType="separate"/>
      </w:r>
      <w:r>
        <w:rPr>
          <w:rFonts w:eastAsia="宋体"/>
          <w:sz w:val="21"/>
          <w:szCs w:val="21"/>
        </w:rPr>
        <w:t>11</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_Toc25419 </w:instrText>
      </w:r>
      <w:r>
        <w:rPr>
          <w:rFonts w:eastAsia="宋体"/>
          <w:sz w:val="21"/>
          <w:szCs w:val="21"/>
        </w:rPr>
        <w:fldChar w:fldCharType="separate"/>
      </w:r>
      <w:r>
        <w:rPr>
          <w:rFonts w:hint="eastAsia" w:ascii="Times New Roman" w:hAnsi="Times New Roman" w:eastAsia="宋体"/>
          <w:bCs/>
          <w:sz w:val="21"/>
          <w:szCs w:val="21"/>
        </w:rPr>
        <w:t>1.4</w:t>
      </w:r>
      <w:r>
        <w:rPr>
          <w:rFonts w:ascii="Times New Roman" w:hAnsi="Times New Roman" w:eastAsia="宋体"/>
          <w:bCs/>
          <w:sz w:val="21"/>
          <w:szCs w:val="21"/>
        </w:rPr>
        <w:t xml:space="preserve"> </w:t>
      </w:r>
      <w:r>
        <w:rPr>
          <w:rFonts w:hint="eastAsia" w:ascii="Times New Roman" w:hAnsi="Times New Roman" w:eastAsia="宋体"/>
          <w:bCs/>
          <w:sz w:val="21"/>
          <w:szCs w:val="21"/>
        </w:rPr>
        <w:t>评价程序</w:t>
      </w:r>
      <w:r>
        <w:rPr>
          <w:rFonts w:eastAsia="宋体"/>
          <w:sz w:val="21"/>
          <w:szCs w:val="21"/>
        </w:rPr>
        <w:tab/>
      </w:r>
      <w:r>
        <w:rPr>
          <w:rFonts w:eastAsia="宋体"/>
          <w:sz w:val="21"/>
          <w:szCs w:val="21"/>
        </w:rPr>
        <w:fldChar w:fldCharType="begin"/>
      </w:r>
      <w:r>
        <w:rPr>
          <w:rFonts w:eastAsia="宋体"/>
          <w:sz w:val="21"/>
          <w:szCs w:val="21"/>
        </w:rPr>
        <w:instrText xml:space="preserve"> PAGEREF _Toc25419 \h </w:instrText>
      </w:r>
      <w:r>
        <w:rPr>
          <w:rFonts w:eastAsia="宋体"/>
          <w:sz w:val="21"/>
          <w:szCs w:val="21"/>
        </w:rPr>
        <w:fldChar w:fldCharType="separate"/>
      </w:r>
      <w:r>
        <w:rPr>
          <w:rFonts w:eastAsia="宋体"/>
          <w:sz w:val="21"/>
          <w:szCs w:val="21"/>
        </w:rPr>
        <w:t>12</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_Toc13361 </w:instrText>
      </w:r>
      <w:r>
        <w:rPr>
          <w:rFonts w:eastAsia="宋体"/>
          <w:sz w:val="21"/>
          <w:szCs w:val="21"/>
        </w:rPr>
        <w:fldChar w:fldCharType="separate"/>
      </w:r>
      <w:r>
        <w:rPr>
          <w:rFonts w:hint="eastAsia" w:eastAsia="宋体"/>
          <w:sz w:val="21"/>
          <w:szCs w:val="21"/>
        </w:rPr>
        <w:t>2</w:t>
      </w:r>
      <w:r>
        <w:rPr>
          <w:rFonts w:eastAsia="宋体"/>
          <w:sz w:val="21"/>
          <w:szCs w:val="21"/>
        </w:rPr>
        <w:t xml:space="preserve"> </w:t>
      </w:r>
      <w:r>
        <w:rPr>
          <w:rFonts w:hint="eastAsia" w:eastAsia="宋体"/>
          <w:sz w:val="21"/>
          <w:szCs w:val="21"/>
        </w:rPr>
        <w:t>被评价单位基本情况</w:t>
      </w:r>
      <w:r>
        <w:rPr>
          <w:rFonts w:eastAsia="宋体"/>
          <w:sz w:val="21"/>
          <w:szCs w:val="21"/>
        </w:rPr>
        <w:tab/>
      </w:r>
      <w:r>
        <w:rPr>
          <w:rFonts w:eastAsia="宋体"/>
          <w:sz w:val="21"/>
          <w:szCs w:val="21"/>
        </w:rPr>
        <w:fldChar w:fldCharType="begin"/>
      </w:r>
      <w:r>
        <w:rPr>
          <w:rFonts w:eastAsia="宋体"/>
          <w:sz w:val="21"/>
          <w:szCs w:val="21"/>
        </w:rPr>
        <w:instrText xml:space="preserve"> PAGEREF _Toc13361 \h </w:instrText>
      </w:r>
      <w:r>
        <w:rPr>
          <w:rFonts w:eastAsia="宋体"/>
          <w:sz w:val="21"/>
          <w:szCs w:val="21"/>
        </w:rPr>
        <w:fldChar w:fldCharType="separate"/>
      </w:r>
      <w:r>
        <w:rPr>
          <w:rFonts w:eastAsia="宋体"/>
          <w:sz w:val="21"/>
          <w:szCs w:val="21"/>
        </w:rPr>
        <w:t>14</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_Toc31633 </w:instrText>
      </w:r>
      <w:r>
        <w:rPr>
          <w:rFonts w:eastAsia="宋体"/>
          <w:sz w:val="21"/>
          <w:szCs w:val="21"/>
        </w:rPr>
        <w:fldChar w:fldCharType="separate"/>
      </w:r>
      <w:r>
        <w:rPr>
          <w:rFonts w:hint="eastAsia" w:ascii="Times New Roman" w:hAnsi="Times New Roman" w:eastAsia="宋体"/>
          <w:bCs/>
          <w:sz w:val="21"/>
          <w:szCs w:val="21"/>
        </w:rPr>
        <w:t>2.1</w:t>
      </w:r>
      <w:r>
        <w:rPr>
          <w:rFonts w:ascii="Times New Roman" w:hAnsi="Times New Roman" w:eastAsia="宋体"/>
          <w:bCs/>
          <w:sz w:val="21"/>
          <w:szCs w:val="21"/>
        </w:rPr>
        <w:t xml:space="preserve"> </w:t>
      </w:r>
      <w:r>
        <w:rPr>
          <w:rFonts w:hint="eastAsia" w:ascii="Times New Roman" w:hAnsi="Times New Roman" w:eastAsia="宋体"/>
          <w:bCs/>
          <w:sz w:val="21"/>
          <w:szCs w:val="21"/>
        </w:rPr>
        <w:t>企业概况</w:t>
      </w:r>
      <w:r>
        <w:rPr>
          <w:rFonts w:eastAsia="宋体"/>
          <w:sz w:val="21"/>
          <w:szCs w:val="21"/>
        </w:rPr>
        <w:tab/>
      </w:r>
      <w:r>
        <w:rPr>
          <w:rFonts w:eastAsia="宋体"/>
          <w:sz w:val="21"/>
          <w:szCs w:val="21"/>
        </w:rPr>
        <w:fldChar w:fldCharType="begin"/>
      </w:r>
      <w:r>
        <w:rPr>
          <w:rFonts w:eastAsia="宋体"/>
          <w:sz w:val="21"/>
          <w:szCs w:val="21"/>
        </w:rPr>
        <w:instrText xml:space="preserve"> PAGEREF _Toc31633 \h </w:instrText>
      </w:r>
      <w:r>
        <w:rPr>
          <w:rFonts w:eastAsia="宋体"/>
          <w:sz w:val="21"/>
          <w:szCs w:val="21"/>
        </w:rPr>
        <w:fldChar w:fldCharType="separate"/>
      </w:r>
      <w:r>
        <w:rPr>
          <w:rFonts w:eastAsia="宋体"/>
          <w:sz w:val="21"/>
          <w:szCs w:val="21"/>
        </w:rPr>
        <w:t>14</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_Toc21545 </w:instrText>
      </w:r>
      <w:r>
        <w:rPr>
          <w:rFonts w:eastAsia="宋体"/>
          <w:sz w:val="21"/>
          <w:szCs w:val="21"/>
        </w:rPr>
        <w:fldChar w:fldCharType="separate"/>
      </w:r>
      <w:r>
        <w:rPr>
          <w:rFonts w:hint="eastAsia" w:ascii="Times New Roman" w:hAnsi="Times New Roman" w:eastAsia="宋体"/>
          <w:bCs/>
          <w:sz w:val="21"/>
          <w:szCs w:val="21"/>
        </w:rPr>
        <w:t>2.</w:t>
      </w:r>
      <w:r>
        <w:rPr>
          <w:rFonts w:ascii="Times New Roman" w:hAnsi="Times New Roman" w:eastAsia="宋体"/>
          <w:bCs/>
          <w:sz w:val="21"/>
          <w:szCs w:val="21"/>
        </w:rPr>
        <w:t xml:space="preserve">2 </w:t>
      </w:r>
      <w:r>
        <w:rPr>
          <w:rFonts w:hint="eastAsia" w:ascii="Times New Roman" w:hAnsi="Times New Roman" w:eastAsia="宋体"/>
          <w:bCs/>
          <w:sz w:val="21"/>
          <w:szCs w:val="21"/>
        </w:rPr>
        <w:t>机构设置</w:t>
      </w:r>
      <w:r>
        <w:rPr>
          <w:rFonts w:eastAsia="宋体"/>
          <w:sz w:val="21"/>
          <w:szCs w:val="21"/>
        </w:rPr>
        <w:tab/>
      </w:r>
      <w:r>
        <w:rPr>
          <w:rFonts w:eastAsia="宋体"/>
          <w:sz w:val="21"/>
          <w:szCs w:val="21"/>
        </w:rPr>
        <w:fldChar w:fldCharType="begin"/>
      </w:r>
      <w:r>
        <w:rPr>
          <w:rFonts w:eastAsia="宋体"/>
          <w:sz w:val="21"/>
          <w:szCs w:val="21"/>
        </w:rPr>
        <w:instrText xml:space="preserve"> PAGEREF _Toc21545 \h </w:instrText>
      </w:r>
      <w:r>
        <w:rPr>
          <w:rFonts w:eastAsia="宋体"/>
          <w:sz w:val="21"/>
          <w:szCs w:val="21"/>
        </w:rPr>
        <w:fldChar w:fldCharType="separate"/>
      </w:r>
      <w:r>
        <w:rPr>
          <w:rFonts w:eastAsia="宋体"/>
          <w:sz w:val="21"/>
          <w:szCs w:val="21"/>
        </w:rPr>
        <w:t>15</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_Toc26473 </w:instrText>
      </w:r>
      <w:r>
        <w:rPr>
          <w:rFonts w:eastAsia="宋体"/>
          <w:sz w:val="21"/>
          <w:szCs w:val="21"/>
        </w:rPr>
        <w:fldChar w:fldCharType="separate"/>
      </w:r>
      <w:r>
        <w:rPr>
          <w:rFonts w:hint="eastAsia" w:ascii="Times New Roman" w:hAnsi="Times New Roman" w:eastAsia="宋体"/>
          <w:bCs/>
          <w:sz w:val="21"/>
          <w:szCs w:val="21"/>
        </w:rPr>
        <w:t>2.</w:t>
      </w:r>
      <w:r>
        <w:rPr>
          <w:rFonts w:ascii="Times New Roman" w:hAnsi="Times New Roman" w:eastAsia="宋体"/>
          <w:bCs/>
          <w:sz w:val="21"/>
          <w:szCs w:val="21"/>
        </w:rPr>
        <w:t xml:space="preserve">3 </w:t>
      </w:r>
      <w:r>
        <w:rPr>
          <w:rFonts w:hint="eastAsia" w:ascii="Times New Roman" w:hAnsi="Times New Roman" w:eastAsia="宋体"/>
          <w:bCs/>
          <w:sz w:val="21"/>
          <w:szCs w:val="21"/>
        </w:rPr>
        <w:t>主要装备、设施、作业场所概况</w:t>
      </w:r>
      <w:r>
        <w:rPr>
          <w:rFonts w:eastAsia="宋体"/>
          <w:sz w:val="21"/>
          <w:szCs w:val="21"/>
        </w:rPr>
        <w:tab/>
      </w:r>
      <w:r>
        <w:rPr>
          <w:rFonts w:eastAsia="宋体"/>
          <w:sz w:val="21"/>
          <w:szCs w:val="21"/>
        </w:rPr>
        <w:fldChar w:fldCharType="begin"/>
      </w:r>
      <w:r>
        <w:rPr>
          <w:rFonts w:eastAsia="宋体"/>
          <w:sz w:val="21"/>
          <w:szCs w:val="21"/>
        </w:rPr>
        <w:instrText xml:space="preserve"> PAGEREF _Toc26473 \h </w:instrText>
      </w:r>
      <w:r>
        <w:rPr>
          <w:rFonts w:eastAsia="宋体"/>
          <w:sz w:val="21"/>
          <w:szCs w:val="21"/>
        </w:rPr>
        <w:fldChar w:fldCharType="separate"/>
      </w:r>
      <w:r>
        <w:rPr>
          <w:rFonts w:eastAsia="宋体"/>
          <w:sz w:val="21"/>
          <w:szCs w:val="21"/>
        </w:rPr>
        <w:t>16</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_Toc6918 </w:instrText>
      </w:r>
      <w:r>
        <w:rPr>
          <w:rFonts w:eastAsia="宋体"/>
          <w:sz w:val="21"/>
          <w:szCs w:val="21"/>
        </w:rPr>
        <w:fldChar w:fldCharType="separate"/>
      </w:r>
      <w:r>
        <w:rPr>
          <w:rFonts w:hint="eastAsia" w:ascii="Times New Roman" w:hAnsi="Times New Roman" w:eastAsia="宋体"/>
          <w:bCs/>
          <w:sz w:val="21"/>
          <w:szCs w:val="21"/>
        </w:rPr>
        <w:t>2.</w:t>
      </w:r>
      <w:r>
        <w:rPr>
          <w:rFonts w:ascii="Times New Roman" w:hAnsi="Times New Roman" w:eastAsia="宋体"/>
          <w:bCs/>
          <w:sz w:val="21"/>
          <w:szCs w:val="21"/>
        </w:rPr>
        <w:t xml:space="preserve">4 </w:t>
      </w:r>
      <w:r>
        <w:rPr>
          <w:rFonts w:hint="eastAsia" w:ascii="Times New Roman" w:hAnsi="Times New Roman" w:eastAsia="宋体"/>
          <w:bCs/>
          <w:sz w:val="21"/>
          <w:szCs w:val="21"/>
        </w:rPr>
        <w:t>安全生产管理机构的设置和安全生产管理人员的配备</w:t>
      </w:r>
      <w:r>
        <w:rPr>
          <w:rFonts w:eastAsia="宋体"/>
          <w:sz w:val="21"/>
          <w:szCs w:val="21"/>
        </w:rPr>
        <w:tab/>
      </w:r>
      <w:r>
        <w:rPr>
          <w:rFonts w:eastAsia="宋体"/>
          <w:sz w:val="21"/>
          <w:szCs w:val="21"/>
        </w:rPr>
        <w:fldChar w:fldCharType="begin"/>
      </w:r>
      <w:r>
        <w:rPr>
          <w:rFonts w:eastAsia="宋体"/>
          <w:sz w:val="21"/>
          <w:szCs w:val="21"/>
        </w:rPr>
        <w:instrText xml:space="preserve"> PAGEREF _Toc6918 \h </w:instrText>
      </w:r>
      <w:r>
        <w:rPr>
          <w:rFonts w:eastAsia="宋体"/>
          <w:sz w:val="21"/>
          <w:szCs w:val="21"/>
        </w:rPr>
        <w:fldChar w:fldCharType="separate"/>
      </w:r>
      <w:r>
        <w:rPr>
          <w:rFonts w:eastAsia="宋体"/>
          <w:sz w:val="21"/>
          <w:szCs w:val="21"/>
        </w:rPr>
        <w:t>86</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_Toc10952 </w:instrText>
      </w:r>
      <w:r>
        <w:rPr>
          <w:rFonts w:eastAsia="宋体"/>
          <w:sz w:val="21"/>
          <w:szCs w:val="21"/>
        </w:rPr>
        <w:fldChar w:fldCharType="separate"/>
      </w:r>
      <w:r>
        <w:rPr>
          <w:rFonts w:hint="eastAsia" w:ascii="Times New Roman" w:hAnsi="Times New Roman" w:eastAsia="宋体"/>
          <w:bCs/>
          <w:sz w:val="21"/>
          <w:szCs w:val="21"/>
        </w:rPr>
        <w:t>2.</w:t>
      </w:r>
      <w:r>
        <w:rPr>
          <w:rFonts w:ascii="Times New Roman" w:hAnsi="Times New Roman" w:eastAsia="宋体"/>
          <w:bCs/>
          <w:sz w:val="21"/>
          <w:szCs w:val="21"/>
        </w:rPr>
        <w:t xml:space="preserve">5 </w:t>
      </w:r>
      <w:r>
        <w:rPr>
          <w:rFonts w:hint="eastAsia" w:ascii="Times New Roman" w:hAnsi="Times New Roman" w:eastAsia="宋体"/>
          <w:bCs/>
          <w:sz w:val="21"/>
          <w:szCs w:val="21"/>
        </w:rPr>
        <w:t>安全生产规章制度及操作规程</w:t>
      </w:r>
      <w:r>
        <w:rPr>
          <w:rFonts w:eastAsia="宋体"/>
          <w:sz w:val="21"/>
          <w:szCs w:val="21"/>
        </w:rPr>
        <w:tab/>
      </w:r>
      <w:r>
        <w:rPr>
          <w:rFonts w:eastAsia="宋体"/>
          <w:sz w:val="21"/>
          <w:szCs w:val="21"/>
        </w:rPr>
        <w:fldChar w:fldCharType="begin"/>
      </w:r>
      <w:r>
        <w:rPr>
          <w:rFonts w:eastAsia="宋体"/>
          <w:sz w:val="21"/>
          <w:szCs w:val="21"/>
        </w:rPr>
        <w:instrText xml:space="preserve"> PAGEREF _Toc10952 \h </w:instrText>
      </w:r>
      <w:r>
        <w:rPr>
          <w:rFonts w:eastAsia="宋体"/>
          <w:sz w:val="21"/>
          <w:szCs w:val="21"/>
        </w:rPr>
        <w:fldChar w:fldCharType="separate"/>
      </w:r>
      <w:r>
        <w:rPr>
          <w:rFonts w:eastAsia="宋体"/>
          <w:sz w:val="21"/>
          <w:szCs w:val="21"/>
        </w:rPr>
        <w:t>87</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_Toc25509 </w:instrText>
      </w:r>
      <w:r>
        <w:rPr>
          <w:rFonts w:eastAsia="宋体"/>
          <w:sz w:val="21"/>
          <w:szCs w:val="21"/>
        </w:rPr>
        <w:fldChar w:fldCharType="separate"/>
      </w:r>
      <w:r>
        <w:rPr>
          <w:rFonts w:hint="eastAsia" w:ascii="Times New Roman" w:hAnsi="Times New Roman" w:eastAsia="宋体"/>
          <w:bCs/>
          <w:sz w:val="21"/>
          <w:szCs w:val="21"/>
        </w:rPr>
        <w:t>2.</w:t>
      </w:r>
      <w:r>
        <w:rPr>
          <w:rFonts w:ascii="Times New Roman" w:hAnsi="Times New Roman" w:eastAsia="宋体"/>
          <w:bCs/>
          <w:sz w:val="21"/>
          <w:szCs w:val="21"/>
        </w:rPr>
        <w:t xml:space="preserve">6 </w:t>
      </w:r>
      <w:r>
        <w:rPr>
          <w:rFonts w:hint="eastAsia" w:ascii="Times New Roman" w:hAnsi="Times New Roman" w:eastAsia="宋体"/>
          <w:bCs/>
          <w:sz w:val="21"/>
          <w:szCs w:val="21"/>
        </w:rPr>
        <w:t>安全投入情况</w:t>
      </w:r>
      <w:r>
        <w:rPr>
          <w:rFonts w:eastAsia="宋体"/>
          <w:sz w:val="21"/>
          <w:szCs w:val="21"/>
        </w:rPr>
        <w:tab/>
      </w:r>
      <w:r>
        <w:rPr>
          <w:rFonts w:eastAsia="宋体"/>
          <w:sz w:val="21"/>
          <w:szCs w:val="21"/>
        </w:rPr>
        <w:fldChar w:fldCharType="begin"/>
      </w:r>
      <w:r>
        <w:rPr>
          <w:rFonts w:eastAsia="宋体"/>
          <w:sz w:val="21"/>
          <w:szCs w:val="21"/>
        </w:rPr>
        <w:instrText xml:space="preserve"> PAGEREF _Toc25509 \h </w:instrText>
      </w:r>
      <w:r>
        <w:rPr>
          <w:rFonts w:eastAsia="宋体"/>
          <w:sz w:val="21"/>
          <w:szCs w:val="21"/>
        </w:rPr>
        <w:fldChar w:fldCharType="separate"/>
      </w:r>
      <w:r>
        <w:rPr>
          <w:rFonts w:eastAsia="宋体"/>
          <w:sz w:val="21"/>
          <w:szCs w:val="21"/>
        </w:rPr>
        <w:t>95</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_Toc2256 </w:instrText>
      </w:r>
      <w:r>
        <w:rPr>
          <w:rFonts w:eastAsia="宋体"/>
          <w:sz w:val="21"/>
          <w:szCs w:val="21"/>
        </w:rPr>
        <w:fldChar w:fldCharType="separate"/>
      </w:r>
      <w:r>
        <w:rPr>
          <w:rFonts w:hint="eastAsia" w:ascii="Times New Roman" w:hAnsi="Times New Roman" w:eastAsia="宋体"/>
          <w:bCs/>
          <w:sz w:val="21"/>
          <w:szCs w:val="21"/>
        </w:rPr>
        <w:t>2.</w:t>
      </w:r>
      <w:r>
        <w:rPr>
          <w:rFonts w:ascii="Times New Roman" w:hAnsi="Times New Roman" w:eastAsia="宋体"/>
          <w:bCs/>
          <w:sz w:val="21"/>
          <w:szCs w:val="21"/>
        </w:rPr>
        <w:t xml:space="preserve">7 </w:t>
      </w:r>
      <w:r>
        <w:rPr>
          <w:rFonts w:hint="eastAsia" w:ascii="Times New Roman" w:hAnsi="Times New Roman" w:eastAsia="宋体"/>
          <w:bCs/>
          <w:sz w:val="21"/>
          <w:szCs w:val="21"/>
        </w:rPr>
        <w:t>安全教育培训及人员持证情况</w:t>
      </w:r>
      <w:r>
        <w:rPr>
          <w:rFonts w:eastAsia="宋体"/>
          <w:sz w:val="21"/>
          <w:szCs w:val="21"/>
        </w:rPr>
        <w:tab/>
      </w:r>
      <w:r>
        <w:rPr>
          <w:rFonts w:eastAsia="宋体"/>
          <w:sz w:val="21"/>
          <w:szCs w:val="21"/>
        </w:rPr>
        <w:fldChar w:fldCharType="begin"/>
      </w:r>
      <w:r>
        <w:rPr>
          <w:rFonts w:eastAsia="宋体"/>
          <w:sz w:val="21"/>
          <w:szCs w:val="21"/>
        </w:rPr>
        <w:instrText xml:space="preserve"> PAGEREF _Toc2256 \h </w:instrText>
      </w:r>
      <w:r>
        <w:rPr>
          <w:rFonts w:eastAsia="宋体"/>
          <w:sz w:val="21"/>
          <w:szCs w:val="21"/>
        </w:rPr>
        <w:fldChar w:fldCharType="separate"/>
      </w:r>
      <w:r>
        <w:rPr>
          <w:rFonts w:eastAsia="宋体"/>
          <w:sz w:val="21"/>
          <w:szCs w:val="21"/>
        </w:rPr>
        <w:t>96</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_Toc20855 </w:instrText>
      </w:r>
      <w:r>
        <w:rPr>
          <w:rFonts w:eastAsia="宋体"/>
          <w:sz w:val="21"/>
          <w:szCs w:val="21"/>
        </w:rPr>
        <w:fldChar w:fldCharType="separate"/>
      </w:r>
      <w:r>
        <w:rPr>
          <w:rFonts w:hint="eastAsia" w:ascii="Times New Roman" w:hAnsi="Times New Roman" w:eastAsia="宋体"/>
          <w:bCs/>
          <w:sz w:val="21"/>
          <w:szCs w:val="21"/>
        </w:rPr>
        <w:t>2.</w:t>
      </w:r>
      <w:r>
        <w:rPr>
          <w:rFonts w:ascii="Times New Roman" w:hAnsi="Times New Roman" w:eastAsia="宋体"/>
          <w:bCs/>
          <w:sz w:val="21"/>
          <w:szCs w:val="21"/>
        </w:rPr>
        <w:t xml:space="preserve">8 </w:t>
      </w:r>
      <w:r>
        <w:rPr>
          <w:rFonts w:hint="eastAsia" w:ascii="Times New Roman" w:hAnsi="Times New Roman" w:eastAsia="宋体"/>
          <w:bCs/>
          <w:sz w:val="21"/>
          <w:szCs w:val="21"/>
        </w:rPr>
        <w:t>人员保险</w:t>
      </w:r>
      <w:r>
        <w:rPr>
          <w:rFonts w:eastAsia="宋体"/>
          <w:sz w:val="21"/>
          <w:szCs w:val="21"/>
        </w:rPr>
        <w:tab/>
      </w:r>
      <w:r>
        <w:rPr>
          <w:rFonts w:eastAsia="宋体"/>
          <w:sz w:val="21"/>
          <w:szCs w:val="21"/>
        </w:rPr>
        <w:fldChar w:fldCharType="begin"/>
      </w:r>
      <w:r>
        <w:rPr>
          <w:rFonts w:eastAsia="宋体"/>
          <w:sz w:val="21"/>
          <w:szCs w:val="21"/>
        </w:rPr>
        <w:instrText xml:space="preserve"> PAGEREF _Toc20855 \h </w:instrText>
      </w:r>
      <w:r>
        <w:rPr>
          <w:rFonts w:eastAsia="宋体"/>
          <w:sz w:val="21"/>
          <w:szCs w:val="21"/>
        </w:rPr>
        <w:fldChar w:fldCharType="separate"/>
      </w:r>
      <w:r>
        <w:rPr>
          <w:rFonts w:eastAsia="宋体"/>
          <w:sz w:val="21"/>
          <w:szCs w:val="21"/>
        </w:rPr>
        <w:t>111</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_Toc6334 </w:instrText>
      </w:r>
      <w:r>
        <w:rPr>
          <w:rFonts w:eastAsia="宋体"/>
          <w:sz w:val="21"/>
          <w:szCs w:val="21"/>
        </w:rPr>
        <w:fldChar w:fldCharType="separate"/>
      </w:r>
      <w:r>
        <w:rPr>
          <w:rFonts w:hint="eastAsia" w:ascii="Times New Roman" w:hAnsi="Times New Roman" w:eastAsia="宋体"/>
          <w:bCs/>
          <w:sz w:val="21"/>
          <w:szCs w:val="21"/>
        </w:rPr>
        <w:t>2.</w:t>
      </w:r>
      <w:r>
        <w:rPr>
          <w:rFonts w:ascii="Times New Roman" w:hAnsi="Times New Roman" w:eastAsia="宋体"/>
          <w:bCs/>
          <w:sz w:val="21"/>
          <w:szCs w:val="21"/>
        </w:rPr>
        <w:t xml:space="preserve">9 </w:t>
      </w:r>
      <w:r>
        <w:rPr>
          <w:rFonts w:hint="eastAsia" w:ascii="Times New Roman" w:hAnsi="Times New Roman" w:eastAsia="宋体"/>
          <w:bCs/>
          <w:sz w:val="21"/>
          <w:szCs w:val="21"/>
        </w:rPr>
        <w:t>职业危害防护及劳保用品发放</w:t>
      </w:r>
      <w:r>
        <w:rPr>
          <w:rFonts w:eastAsia="宋体"/>
          <w:sz w:val="21"/>
          <w:szCs w:val="21"/>
        </w:rPr>
        <w:tab/>
      </w:r>
      <w:r>
        <w:rPr>
          <w:rFonts w:eastAsia="宋体"/>
          <w:sz w:val="21"/>
          <w:szCs w:val="21"/>
        </w:rPr>
        <w:fldChar w:fldCharType="begin"/>
      </w:r>
      <w:r>
        <w:rPr>
          <w:rFonts w:eastAsia="宋体"/>
          <w:sz w:val="21"/>
          <w:szCs w:val="21"/>
        </w:rPr>
        <w:instrText xml:space="preserve"> PAGEREF _Toc6334 \h </w:instrText>
      </w:r>
      <w:r>
        <w:rPr>
          <w:rFonts w:eastAsia="宋体"/>
          <w:sz w:val="21"/>
          <w:szCs w:val="21"/>
        </w:rPr>
        <w:fldChar w:fldCharType="separate"/>
      </w:r>
      <w:r>
        <w:rPr>
          <w:rFonts w:eastAsia="宋体"/>
          <w:sz w:val="21"/>
          <w:szCs w:val="21"/>
        </w:rPr>
        <w:t>111</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_Toc16932 </w:instrText>
      </w:r>
      <w:r>
        <w:rPr>
          <w:rFonts w:eastAsia="宋体"/>
          <w:sz w:val="21"/>
          <w:szCs w:val="21"/>
        </w:rPr>
        <w:fldChar w:fldCharType="separate"/>
      </w:r>
      <w:r>
        <w:rPr>
          <w:rFonts w:hint="eastAsia" w:ascii="Times New Roman" w:hAnsi="Times New Roman" w:eastAsia="宋体"/>
          <w:bCs/>
          <w:sz w:val="21"/>
          <w:szCs w:val="21"/>
          <w:lang w:val="en-US" w:eastAsia="zh-CN"/>
        </w:rPr>
        <w:t>2.10 设备设施检测、检验情况</w:t>
      </w:r>
      <w:r>
        <w:rPr>
          <w:rFonts w:eastAsia="宋体"/>
          <w:sz w:val="21"/>
          <w:szCs w:val="21"/>
        </w:rPr>
        <w:tab/>
      </w:r>
      <w:r>
        <w:rPr>
          <w:rFonts w:eastAsia="宋体"/>
          <w:sz w:val="21"/>
          <w:szCs w:val="21"/>
        </w:rPr>
        <w:fldChar w:fldCharType="begin"/>
      </w:r>
      <w:r>
        <w:rPr>
          <w:rFonts w:eastAsia="宋体"/>
          <w:sz w:val="21"/>
          <w:szCs w:val="21"/>
        </w:rPr>
        <w:instrText xml:space="preserve"> PAGEREF _Toc16932 \h </w:instrText>
      </w:r>
      <w:r>
        <w:rPr>
          <w:rFonts w:eastAsia="宋体"/>
          <w:sz w:val="21"/>
          <w:szCs w:val="21"/>
        </w:rPr>
        <w:fldChar w:fldCharType="separate"/>
      </w:r>
      <w:r>
        <w:rPr>
          <w:rFonts w:eastAsia="宋体"/>
          <w:sz w:val="21"/>
          <w:szCs w:val="21"/>
        </w:rPr>
        <w:t>112</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_Toc24432 </w:instrText>
      </w:r>
      <w:r>
        <w:rPr>
          <w:rFonts w:eastAsia="宋体"/>
          <w:sz w:val="21"/>
          <w:szCs w:val="21"/>
        </w:rPr>
        <w:fldChar w:fldCharType="separate"/>
      </w:r>
      <w:r>
        <w:rPr>
          <w:rFonts w:hint="eastAsia" w:ascii="Times New Roman" w:hAnsi="Times New Roman" w:eastAsia="宋体"/>
          <w:bCs/>
          <w:sz w:val="21"/>
          <w:szCs w:val="21"/>
        </w:rPr>
        <w:t>2.</w:t>
      </w:r>
      <w:r>
        <w:rPr>
          <w:rFonts w:ascii="Times New Roman" w:hAnsi="Times New Roman" w:eastAsia="宋体"/>
          <w:bCs/>
          <w:sz w:val="21"/>
          <w:szCs w:val="21"/>
        </w:rPr>
        <w:t>1</w:t>
      </w:r>
      <w:r>
        <w:rPr>
          <w:rFonts w:hint="eastAsia" w:ascii="Times New Roman" w:hAnsi="Times New Roman" w:eastAsia="宋体"/>
          <w:bCs/>
          <w:sz w:val="21"/>
          <w:szCs w:val="21"/>
          <w:lang w:val="en-US" w:eastAsia="zh-CN"/>
        </w:rPr>
        <w:t>1</w:t>
      </w:r>
      <w:r>
        <w:rPr>
          <w:rFonts w:ascii="Times New Roman" w:hAnsi="Times New Roman" w:eastAsia="宋体"/>
          <w:bCs/>
          <w:sz w:val="21"/>
          <w:szCs w:val="21"/>
        </w:rPr>
        <w:t xml:space="preserve"> </w:t>
      </w:r>
      <w:r>
        <w:rPr>
          <w:rFonts w:hint="eastAsia" w:ascii="Times New Roman" w:hAnsi="Times New Roman" w:eastAsia="宋体"/>
          <w:bCs/>
          <w:sz w:val="21"/>
          <w:szCs w:val="21"/>
        </w:rPr>
        <w:t>事故应急救援预案及演练</w:t>
      </w:r>
      <w:r>
        <w:rPr>
          <w:rFonts w:eastAsia="宋体"/>
          <w:sz w:val="21"/>
          <w:szCs w:val="21"/>
        </w:rPr>
        <w:tab/>
      </w:r>
      <w:r>
        <w:rPr>
          <w:rFonts w:eastAsia="宋体"/>
          <w:sz w:val="21"/>
          <w:szCs w:val="21"/>
        </w:rPr>
        <w:fldChar w:fldCharType="begin"/>
      </w:r>
      <w:r>
        <w:rPr>
          <w:rFonts w:eastAsia="宋体"/>
          <w:sz w:val="21"/>
          <w:szCs w:val="21"/>
        </w:rPr>
        <w:instrText xml:space="preserve"> PAGEREF _Toc24432 \h </w:instrText>
      </w:r>
      <w:r>
        <w:rPr>
          <w:rFonts w:eastAsia="宋体"/>
          <w:sz w:val="21"/>
          <w:szCs w:val="21"/>
        </w:rPr>
        <w:fldChar w:fldCharType="separate"/>
      </w:r>
      <w:r>
        <w:rPr>
          <w:rFonts w:eastAsia="宋体"/>
          <w:sz w:val="21"/>
          <w:szCs w:val="21"/>
        </w:rPr>
        <w:t>132</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_Toc13703 </w:instrText>
      </w:r>
      <w:r>
        <w:rPr>
          <w:rFonts w:eastAsia="宋体"/>
          <w:sz w:val="21"/>
          <w:szCs w:val="21"/>
        </w:rPr>
        <w:fldChar w:fldCharType="separate"/>
      </w:r>
      <w:r>
        <w:rPr>
          <w:rFonts w:ascii="Times New Roman" w:hAnsi="Times New Roman" w:eastAsia="宋体"/>
          <w:bCs/>
          <w:sz w:val="21"/>
          <w:szCs w:val="21"/>
        </w:rPr>
        <w:t>2.1</w:t>
      </w:r>
      <w:r>
        <w:rPr>
          <w:rFonts w:hint="eastAsia" w:ascii="Times New Roman" w:hAnsi="Times New Roman" w:eastAsia="宋体"/>
          <w:bCs/>
          <w:sz w:val="21"/>
          <w:szCs w:val="21"/>
          <w:lang w:val="en-US" w:eastAsia="zh-CN"/>
        </w:rPr>
        <w:t>2</w:t>
      </w:r>
      <w:r>
        <w:rPr>
          <w:rFonts w:hint="eastAsia" w:ascii="Times New Roman" w:hAnsi="Times New Roman" w:eastAsia="宋体"/>
          <w:bCs/>
          <w:sz w:val="21"/>
          <w:szCs w:val="21"/>
        </w:rPr>
        <w:t>安全生产标准化及双重预防体系的建设、运行情况</w:t>
      </w:r>
      <w:r>
        <w:rPr>
          <w:rFonts w:eastAsia="宋体"/>
          <w:sz w:val="21"/>
          <w:szCs w:val="21"/>
        </w:rPr>
        <w:tab/>
      </w:r>
      <w:r>
        <w:rPr>
          <w:rFonts w:eastAsia="宋体"/>
          <w:sz w:val="21"/>
          <w:szCs w:val="21"/>
        </w:rPr>
        <w:fldChar w:fldCharType="begin"/>
      </w:r>
      <w:r>
        <w:rPr>
          <w:rFonts w:eastAsia="宋体"/>
          <w:sz w:val="21"/>
          <w:szCs w:val="21"/>
        </w:rPr>
        <w:instrText xml:space="preserve"> PAGEREF _Toc13703 \h </w:instrText>
      </w:r>
      <w:r>
        <w:rPr>
          <w:rFonts w:eastAsia="宋体"/>
          <w:sz w:val="21"/>
          <w:szCs w:val="21"/>
        </w:rPr>
        <w:fldChar w:fldCharType="separate"/>
      </w:r>
      <w:r>
        <w:rPr>
          <w:rFonts w:eastAsia="宋体"/>
          <w:sz w:val="21"/>
          <w:szCs w:val="21"/>
        </w:rPr>
        <w:t>141</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_Toc31230 </w:instrText>
      </w:r>
      <w:r>
        <w:rPr>
          <w:rFonts w:eastAsia="宋体"/>
          <w:sz w:val="21"/>
          <w:szCs w:val="21"/>
        </w:rPr>
        <w:fldChar w:fldCharType="separate"/>
      </w:r>
      <w:r>
        <w:rPr>
          <w:rFonts w:hint="eastAsia" w:ascii="Times New Roman" w:hAnsi="Times New Roman" w:eastAsia="宋体"/>
          <w:bCs/>
          <w:sz w:val="21"/>
          <w:szCs w:val="21"/>
          <w:lang w:val="en-US" w:eastAsia="zh-CN"/>
        </w:rPr>
        <w:t>2.13 承包商管理</w:t>
      </w:r>
      <w:r>
        <w:rPr>
          <w:rFonts w:eastAsia="宋体"/>
          <w:sz w:val="21"/>
          <w:szCs w:val="21"/>
        </w:rPr>
        <w:tab/>
      </w:r>
      <w:r>
        <w:rPr>
          <w:rFonts w:eastAsia="宋体"/>
          <w:sz w:val="21"/>
          <w:szCs w:val="21"/>
        </w:rPr>
        <w:fldChar w:fldCharType="begin"/>
      </w:r>
      <w:r>
        <w:rPr>
          <w:rFonts w:eastAsia="宋体"/>
          <w:sz w:val="21"/>
          <w:szCs w:val="21"/>
        </w:rPr>
        <w:instrText xml:space="preserve"> PAGEREF _Toc31230 \h </w:instrText>
      </w:r>
      <w:r>
        <w:rPr>
          <w:rFonts w:eastAsia="宋体"/>
          <w:sz w:val="21"/>
          <w:szCs w:val="21"/>
        </w:rPr>
        <w:fldChar w:fldCharType="separate"/>
      </w:r>
      <w:r>
        <w:rPr>
          <w:rFonts w:eastAsia="宋体"/>
          <w:sz w:val="21"/>
          <w:szCs w:val="21"/>
        </w:rPr>
        <w:t>141</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_Toc9817 </w:instrText>
      </w:r>
      <w:r>
        <w:rPr>
          <w:rFonts w:eastAsia="宋体"/>
          <w:sz w:val="21"/>
          <w:szCs w:val="21"/>
        </w:rPr>
        <w:fldChar w:fldCharType="separate"/>
      </w:r>
      <w:r>
        <w:rPr>
          <w:rFonts w:hint="default" w:ascii="Times New Roman" w:hAnsi="Times New Roman" w:eastAsia="宋体" w:cs="Times New Roman"/>
          <w:bCs/>
          <w:kern w:val="2"/>
          <w:sz w:val="21"/>
          <w:szCs w:val="21"/>
          <w:lang w:val="en-US" w:eastAsia="zh-CN" w:bidi="ar-SA"/>
        </w:rPr>
        <w:t>2.1</w:t>
      </w:r>
      <w:r>
        <w:rPr>
          <w:rFonts w:hint="eastAsia" w:ascii="Times New Roman" w:hAnsi="Times New Roman" w:eastAsia="宋体" w:cs="Times New Roman"/>
          <w:bCs/>
          <w:kern w:val="2"/>
          <w:sz w:val="21"/>
          <w:szCs w:val="21"/>
          <w:lang w:val="en-US" w:eastAsia="zh-CN" w:bidi="ar-SA"/>
        </w:rPr>
        <w:t>4</w:t>
      </w:r>
      <w:r>
        <w:rPr>
          <w:rFonts w:hint="default" w:ascii="Times New Roman" w:hAnsi="Times New Roman" w:eastAsia="宋体" w:cs="Times New Roman"/>
          <w:bCs/>
          <w:kern w:val="2"/>
          <w:sz w:val="21"/>
          <w:szCs w:val="21"/>
          <w:lang w:val="en-US" w:eastAsia="zh-CN" w:bidi="ar-SA"/>
        </w:rPr>
        <w:t xml:space="preserve"> 危险作业安全管理</w:t>
      </w:r>
      <w:r>
        <w:rPr>
          <w:rFonts w:eastAsia="宋体"/>
          <w:sz w:val="21"/>
          <w:szCs w:val="21"/>
        </w:rPr>
        <w:tab/>
      </w:r>
      <w:r>
        <w:rPr>
          <w:rFonts w:eastAsia="宋体"/>
          <w:sz w:val="21"/>
          <w:szCs w:val="21"/>
        </w:rPr>
        <w:fldChar w:fldCharType="begin"/>
      </w:r>
      <w:r>
        <w:rPr>
          <w:rFonts w:eastAsia="宋体"/>
          <w:sz w:val="21"/>
          <w:szCs w:val="21"/>
        </w:rPr>
        <w:instrText xml:space="preserve"> PAGEREF _Toc9817 \h </w:instrText>
      </w:r>
      <w:r>
        <w:rPr>
          <w:rFonts w:eastAsia="宋体"/>
          <w:sz w:val="21"/>
          <w:szCs w:val="21"/>
        </w:rPr>
        <w:fldChar w:fldCharType="separate"/>
      </w:r>
      <w:r>
        <w:rPr>
          <w:rFonts w:eastAsia="宋体"/>
          <w:sz w:val="21"/>
          <w:szCs w:val="21"/>
        </w:rPr>
        <w:t>142</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_Toc2616 </w:instrText>
      </w:r>
      <w:r>
        <w:rPr>
          <w:rFonts w:eastAsia="宋体"/>
          <w:sz w:val="21"/>
          <w:szCs w:val="21"/>
        </w:rPr>
        <w:fldChar w:fldCharType="separate"/>
      </w:r>
      <w:r>
        <w:rPr>
          <w:rFonts w:hint="default" w:ascii="Times New Roman" w:hAnsi="Times New Roman" w:eastAsia="宋体" w:cs="Times New Roman"/>
          <w:sz w:val="21"/>
          <w:szCs w:val="21"/>
        </w:rPr>
        <w:t>2.1</w:t>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变更安全管理</w:t>
      </w:r>
      <w:r>
        <w:rPr>
          <w:rFonts w:eastAsia="宋体"/>
          <w:sz w:val="21"/>
          <w:szCs w:val="21"/>
        </w:rPr>
        <w:tab/>
      </w:r>
      <w:r>
        <w:rPr>
          <w:rFonts w:eastAsia="宋体"/>
          <w:sz w:val="21"/>
          <w:szCs w:val="21"/>
        </w:rPr>
        <w:fldChar w:fldCharType="begin"/>
      </w:r>
      <w:r>
        <w:rPr>
          <w:rFonts w:eastAsia="宋体"/>
          <w:sz w:val="21"/>
          <w:szCs w:val="21"/>
        </w:rPr>
        <w:instrText xml:space="preserve"> PAGEREF _Toc2616 \h </w:instrText>
      </w:r>
      <w:r>
        <w:rPr>
          <w:rFonts w:eastAsia="宋体"/>
          <w:sz w:val="21"/>
          <w:szCs w:val="21"/>
        </w:rPr>
        <w:fldChar w:fldCharType="separate"/>
      </w:r>
      <w:r>
        <w:rPr>
          <w:rFonts w:eastAsia="宋体"/>
          <w:sz w:val="21"/>
          <w:szCs w:val="21"/>
        </w:rPr>
        <w:t>142</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_Toc24887 </w:instrText>
      </w:r>
      <w:r>
        <w:rPr>
          <w:rFonts w:eastAsia="宋体"/>
          <w:sz w:val="21"/>
          <w:szCs w:val="21"/>
        </w:rPr>
        <w:fldChar w:fldCharType="separate"/>
      </w:r>
      <w:r>
        <w:rPr>
          <w:rFonts w:hint="default" w:ascii="Times New Roman" w:hAnsi="Times New Roman" w:eastAsia="宋体" w:cs="Times New Roman"/>
          <w:sz w:val="21"/>
          <w:szCs w:val="21"/>
        </w:rPr>
        <w:t>2.1</w:t>
      </w:r>
      <w:r>
        <w:rPr>
          <w:rFonts w:hint="eastAsia"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 xml:space="preserve"> </w:t>
      </w:r>
      <w:r>
        <w:rPr>
          <w:rFonts w:hint="eastAsia" w:eastAsia="宋体" w:cs="Times New Roman"/>
          <w:sz w:val="21"/>
          <w:szCs w:val="21"/>
          <w:lang w:val="en-US" w:eastAsia="zh-CN"/>
        </w:rPr>
        <w:t>井控及交叉作业</w:t>
      </w:r>
      <w:r>
        <w:rPr>
          <w:rFonts w:hint="default" w:ascii="Times New Roman" w:hAnsi="Times New Roman" w:eastAsia="宋体" w:cs="Times New Roman"/>
          <w:sz w:val="21"/>
          <w:szCs w:val="21"/>
        </w:rPr>
        <w:t>管理</w:t>
      </w:r>
      <w:r>
        <w:rPr>
          <w:rFonts w:eastAsia="宋体"/>
          <w:sz w:val="21"/>
          <w:szCs w:val="21"/>
        </w:rPr>
        <w:tab/>
      </w:r>
      <w:r>
        <w:rPr>
          <w:rFonts w:eastAsia="宋体"/>
          <w:sz w:val="21"/>
          <w:szCs w:val="21"/>
        </w:rPr>
        <w:fldChar w:fldCharType="begin"/>
      </w:r>
      <w:r>
        <w:rPr>
          <w:rFonts w:eastAsia="宋体"/>
          <w:sz w:val="21"/>
          <w:szCs w:val="21"/>
        </w:rPr>
        <w:instrText xml:space="preserve"> PAGEREF _Toc24887 \h </w:instrText>
      </w:r>
      <w:r>
        <w:rPr>
          <w:rFonts w:eastAsia="宋体"/>
          <w:sz w:val="21"/>
          <w:szCs w:val="21"/>
        </w:rPr>
        <w:fldChar w:fldCharType="separate"/>
      </w:r>
      <w:r>
        <w:rPr>
          <w:rFonts w:eastAsia="宋体"/>
          <w:sz w:val="21"/>
          <w:szCs w:val="21"/>
        </w:rPr>
        <w:t>142</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_Toc23569 </w:instrText>
      </w:r>
      <w:r>
        <w:rPr>
          <w:rFonts w:eastAsia="宋体"/>
          <w:sz w:val="21"/>
          <w:szCs w:val="21"/>
        </w:rPr>
        <w:fldChar w:fldCharType="separate"/>
      </w:r>
      <w:r>
        <w:rPr>
          <w:rFonts w:hint="default" w:ascii="Times New Roman" w:hAnsi="Times New Roman" w:eastAsia="宋体" w:cs="Times New Roman"/>
          <w:sz w:val="21"/>
          <w:szCs w:val="21"/>
        </w:rPr>
        <w:t>2.1</w:t>
      </w:r>
      <w:r>
        <w:rPr>
          <w:rFonts w:hint="eastAsia" w:eastAsia="宋体" w:cs="Times New Roman"/>
          <w:sz w:val="21"/>
          <w:szCs w:val="21"/>
          <w:lang w:val="en-US" w:eastAsia="zh-CN"/>
        </w:rPr>
        <w:t>7</w:t>
      </w:r>
      <w:r>
        <w:rPr>
          <w:rFonts w:hint="default" w:ascii="Times New Roman" w:hAnsi="Times New Roman" w:eastAsia="宋体" w:cs="Times New Roman"/>
          <w:sz w:val="21"/>
          <w:szCs w:val="21"/>
        </w:rPr>
        <w:t xml:space="preserve"> 生产安全事故管理</w:t>
      </w:r>
      <w:r>
        <w:rPr>
          <w:rFonts w:eastAsia="宋体"/>
          <w:sz w:val="21"/>
          <w:szCs w:val="21"/>
        </w:rPr>
        <w:tab/>
      </w:r>
      <w:r>
        <w:rPr>
          <w:rFonts w:eastAsia="宋体"/>
          <w:sz w:val="21"/>
          <w:szCs w:val="21"/>
        </w:rPr>
        <w:fldChar w:fldCharType="begin"/>
      </w:r>
      <w:r>
        <w:rPr>
          <w:rFonts w:eastAsia="宋体"/>
          <w:sz w:val="21"/>
          <w:szCs w:val="21"/>
        </w:rPr>
        <w:instrText xml:space="preserve"> PAGEREF _Toc23569 \h </w:instrText>
      </w:r>
      <w:r>
        <w:rPr>
          <w:rFonts w:eastAsia="宋体"/>
          <w:sz w:val="21"/>
          <w:szCs w:val="21"/>
        </w:rPr>
        <w:fldChar w:fldCharType="separate"/>
      </w:r>
      <w:r>
        <w:rPr>
          <w:rFonts w:eastAsia="宋体"/>
          <w:sz w:val="21"/>
          <w:szCs w:val="21"/>
        </w:rPr>
        <w:t>143</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_Toc5363 </w:instrText>
      </w:r>
      <w:r>
        <w:rPr>
          <w:rFonts w:eastAsia="宋体"/>
          <w:sz w:val="21"/>
          <w:szCs w:val="21"/>
        </w:rPr>
        <w:fldChar w:fldCharType="separate"/>
      </w:r>
      <w:r>
        <w:rPr>
          <w:rFonts w:hint="eastAsia" w:eastAsia="宋体"/>
          <w:sz w:val="21"/>
          <w:szCs w:val="21"/>
        </w:rPr>
        <w:t>3 主要危险、有害因素分析</w:t>
      </w:r>
      <w:r>
        <w:rPr>
          <w:rFonts w:eastAsia="宋体"/>
          <w:sz w:val="21"/>
          <w:szCs w:val="21"/>
        </w:rPr>
        <w:tab/>
      </w:r>
      <w:r>
        <w:rPr>
          <w:rFonts w:eastAsia="宋体"/>
          <w:sz w:val="21"/>
          <w:szCs w:val="21"/>
        </w:rPr>
        <w:fldChar w:fldCharType="begin"/>
      </w:r>
      <w:r>
        <w:rPr>
          <w:rFonts w:eastAsia="宋体"/>
          <w:sz w:val="21"/>
          <w:szCs w:val="21"/>
        </w:rPr>
        <w:instrText xml:space="preserve"> PAGEREF _Toc5363 \h </w:instrText>
      </w:r>
      <w:r>
        <w:rPr>
          <w:rFonts w:eastAsia="宋体"/>
          <w:sz w:val="21"/>
          <w:szCs w:val="21"/>
        </w:rPr>
        <w:fldChar w:fldCharType="separate"/>
      </w:r>
      <w:r>
        <w:rPr>
          <w:rFonts w:eastAsia="宋体"/>
          <w:sz w:val="21"/>
          <w:szCs w:val="21"/>
        </w:rPr>
        <w:t>144</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_Toc13101 </w:instrText>
      </w:r>
      <w:r>
        <w:rPr>
          <w:rFonts w:eastAsia="宋体"/>
          <w:sz w:val="21"/>
          <w:szCs w:val="21"/>
        </w:rPr>
        <w:fldChar w:fldCharType="separate"/>
      </w:r>
      <w:r>
        <w:rPr>
          <w:rFonts w:hint="eastAsia" w:ascii="Times New Roman" w:hAnsi="Times New Roman" w:eastAsia="宋体"/>
          <w:bCs/>
          <w:sz w:val="21"/>
          <w:szCs w:val="21"/>
        </w:rPr>
        <w:t>3.1 主要危险有害物质分析</w:t>
      </w:r>
      <w:r>
        <w:rPr>
          <w:rFonts w:eastAsia="宋体"/>
          <w:sz w:val="21"/>
          <w:szCs w:val="21"/>
        </w:rPr>
        <w:tab/>
      </w:r>
      <w:r>
        <w:rPr>
          <w:rFonts w:eastAsia="宋体"/>
          <w:sz w:val="21"/>
          <w:szCs w:val="21"/>
        </w:rPr>
        <w:fldChar w:fldCharType="begin"/>
      </w:r>
      <w:r>
        <w:rPr>
          <w:rFonts w:eastAsia="宋体"/>
          <w:sz w:val="21"/>
          <w:szCs w:val="21"/>
        </w:rPr>
        <w:instrText xml:space="preserve"> PAGEREF _Toc13101 \h </w:instrText>
      </w:r>
      <w:r>
        <w:rPr>
          <w:rFonts w:eastAsia="宋体"/>
          <w:sz w:val="21"/>
          <w:szCs w:val="21"/>
        </w:rPr>
        <w:fldChar w:fldCharType="separate"/>
      </w:r>
      <w:r>
        <w:rPr>
          <w:rFonts w:eastAsia="宋体"/>
          <w:sz w:val="21"/>
          <w:szCs w:val="21"/>
        </w:rPr>
        <w:t>144</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_Toc28237 </w:instrText>
      </w:r>
      <w:r>
        <w:rPr>
          <w:rFonts w:eastAsia="宋体"/>
          <w:sz w:val="21"/>
          <w:szCs w:val="21"/>
        </w:rPr>
        <w:fldChar w:fldCharType="separate"/>
      </w:r>
      <w:r>
        <w:rPr>
          <w:rFonts w:hint="eastAsia" w:ascii="Times New Roman" w:hAnsi="Times New Roman" w:eastAsia="宋体"/>
          <w:bCs/>
          <w:sz w:val="21"/>
          <w:szCs w:val="21"/>
        </w:rPr>
        <w:t>3.2 主要</w:t>
      </w:r>
      <w:r>
        <w:rPr>
          <w:rFonts w:hint="eastAsia" w:ascii="Times New Roman" w:hAnsi="Times New Roman" w:eastAsia="宋体"/>
          <w:bCs/>
          <w:sz w:val="21"/>
          <w:szCs w:val="21"/>
          <w:lang w:val="en-US" w:eastAsia="zh-CN"/>
        </w:rPr>
        <w:t>作业流程及</w:t>
      </w:r>
      <w:r>
        <w:rPr>
          <w:rFonts w:hint="eastAsia" w:ascii="Times New Roman" w:hAnsi="Times New Roman" w:eastAsia="宋体"/>
          <w:bCs/>
          <w:sz w:val="21"/>
          <w:szCs w:val="21"/>
        </w:rPr>
        <w:t>设备</w:t>
      </w:r>
      <w:r>
        <w:rPr>
          <w:rFonts w:hint="eastAsia" w:ascii="Times New Roman" w:hAnsi="Times New Roman" w:eastAsia="宋体"/>
          <w:bCs/>
          <w:sz w:val="21"/>
          <w:szCs w:val="21"/>
          <w:lang w:val="en-US" w:eastAsia="zh-CN"/>
        </w:rPr>
        <w:t>设施</w:t>
      </w:r>
      <w:r>
        <w:rPr>
          <w:rFonts w:hint="eastAsia" w:ascii="Times New Roman" w:hAnsi="Times New Roman" w:eastAsia="宋体"/>
          <w:bCs/>
          <w:sz w:val="21"/>
          <w:szCs w:val="21"/>
        </w:rPr>
        <w:t>危险性分析</w:t>
      </w:r>
      <w:r>
        <w:rPr>
          <w:rFonts w:eastAsia="宋体"/>
          <w:sz w:val="21"/>
          <w:szCs w:val="21"/>
        </w:rPr>
        <w:tab/>
      </w:r>
      <w:r>
        <w:rPr>
          <w:rFonts w:eastAsia="宋体"/>
          <w:sz w:val="21"/>
          <w:szCs w:val="21"/>
        </w:rPr>
        <w:fldChar w:fldCharType="begin"/>
      </w:r>
      <w:r>
        <w:rPr>
          <w:rFonts w:eastAsia="宋体"/>
          <w:sz w:val="21"/>
          <w:szCs w:val="21"/>
        </w:rPr>
        <w:instrText xml:space="preserve"> PAGEREF _Toc28237 \h </w:instrText>
      </w:r>
      <w:r>
        <w:rPr>
          <w:rFonts w:eastAsia="宋体"/>
          <w:sz w:val="21"/>
          <w:szCs w:val="21"/>
        </w:rPr>
        <w:fldChar w:fldCharType="separate"/>
      </w:r>
      <w:r>
        <w:rPr>
          <w:rFonts w:eastAsia="宋体"/>
          <w:sz w:val="21"/>
          <w:szCs w:val="21"/>
        </w:rPr>
        <w:t>157</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_Toc27193 </w:instrText>
      </w:r>
      <w:r>
        <w:rPr>
          <w:rFonts w:eastAsia="宋体"/>
          <w:sz w:val="21"/>
          <w:szCs w:val="21"/>
        </w:rPr>
        <w:fldChar w:fldCharType="separate"/>
      </w:r>
      <w:r>
        <w:rPr>
          <w:rFonts w:hint="eastAsia" w:ascii="Times New Roman" w:hAnsi="Times New Roman" w:eastAsia="宋体"/>
          <w:bCs/>
          <w:sz w:val="21"/>
          <w:szCs w:val="21"/>
        </w:rPr>
        <w:t>3.3 主要危险因素分析</w:t>
      </w:r>
      <w:r>
        <w:rPr>
          <w:rFonts w:eastAsia="宋体"/>
          <w:sz w:val="21"/>
          <w:szCs w:val="21"/>
        </w:rPr>
        <w:tab/>
      </w:r>
      <w:r>
        <w:rPr>
          <w:rFonts w:eastAsia="宋体"/>
          <w:sz w:val="21"/>
          <w:szCs w:val="21"/>
        </w:rPr>
        <w:fldChar w:fldCharType="begin"/>
      </w:r>
      <w:r>
        <w:rPr>
          <w:rFonts w:eastAsia="宋体"/>
          <w:sz w:val="21"/>
          <w:szCs w:val="21"/>
        </w:rPr>
        <w:instrText xml:space="preserve"> PAGEREF _Toc27193 \h </w:instrText>
      </w:r>
      <w:r>
        <w:rPr>
          <w:rFonts w:eastAsia="宋体"/>
          <w:sz w:val="21"/>
          <w:szCs w:val="21"/>
        </w:rPr>
        <w:fldChar w:fldCharType="separate"/>
      </w:r>
      <w:r>
        <w:rPr>
          <w:rFonts w:eastAsia="宋体"/>
          <w:sz w:val="21"/>
          <w:szCs w:val="21"/>
        </w:rPr>
        <w:t>164</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_Toc25216 </w:instrText>
      </w:r>
      <w:r>
        <w:rPr>
          <w:rFonts w:eastAsia="宋体"/>
          <w:sz w:val="21"/>
          <w:szCs w:val="21"/>
        </w:rPr>
        <w:fldChar w:fldCharType="separate"/>
      </w:r>
      <w:r>
        <w:rPr>
          <w:rFonts w:hint="eastAsia" w:ascii="Times New Roman" w:hAnsi="Times New Roman" w:eastAsia="宋体"/>
          <w:bCs/>
          <w:sz w:val="21"/>
          <w:szCs w:val="21"/>
        </w:rPr>
        <w:t>3.4 主要有害因素辨识</w:t>
      </w:r>
      <w:r>
        <w:rPr>
          <w:rFonts w:eastAsia="宋体"/>
          <w:sz w:val="21"/>
          <w:szCs w:val="21"/>
        </w:rPr>
        <w:tab/>
      </w:r>
      <w:r>
        <w:rPr>
          <w:rFonts w:eastAsia="宋体"/>
          <w:sz w:val="21"/>
          <w:szCs w:val="21"/>
        </w:rPr>
        <w:fldChar w:fldCharType="begin"/>
      </w:r>
      <w:r>
        <w:rPr>
          <w:rFonts w:eastAsia="宋体"/>
          <w:sz w:val="21"/>
          <w:szCs w:val="21"/>
        </w:rPr>
        <w:instrText xml:space="preserve"> PAGEREF _Toc25216 \h </w:instrText>
      </w:r>
      <w:r>
        <w:rPr>
          <w:rFonts w:eastAsia="宋体"/>
          <w:sz w:val="21"/>
          <w:szCs w:val="21"/>
        </w:rPr>
        <w:fldChar w:fldCharType="separate"/>
      </w:r>
      <w:r>
        <w:rPr>
          <w:rFonts w:eastAsia="宋体"/>
          <w:sz w:val="21"/>
          <w:szCs w:val="21"/>
        </w:rPr>
        <w:t>171</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_Toc6585 </w:instrText>
      </w:r>
      <w:r>
        <w:rPr>
          <w:rFonts w:eastAsia="宋体"/>
          <w:sz w:val="21"/>
          <w:szCs w:val="21"/>
        </w:rPr>
        <w:fldChar w:fldCharType="separate"/>
      </w:r>
      <w:r>
        <w:rPr>
          <w:rFonts w:hint="eastAsia" w:ascii="Times New Roman" w:hAnsi="Times New Roman" w:eastAsia="宋体"/>
          <w:bCs/>
          <w:sz w:val="21"/>
          <w:szCs w:val="21"/>
        </w:rPr>
        <w:t>3.5 自然灾害的影响</w:t>
      </w:r>
      <w:r>
        <w:rPr>
          <w:rFonts w:eastAsia="宋体"/>
          <w:sz w:val="21"/>
          <w:szCs w:val="21"/>
        </w:rPr>
        <w:tab/>
      </w:r>
      <w:r>
        <w:rPr>
          <w:rFonts w:eastAsia="宋体"/>
          <w:sz w:val="21"/>
          <w:szCs w:val="21"/>
        </w:rPr>
        <w:fldChar w:fldCharType="begin"/>
      </w:r>
      <w:r>
        <w:rPr>
          <w:rFonts w:eastAsia="宋体"/>
          <w:sz w:val="21"/>
          <w:szCs w:val="21"/>
        </w:rPr>
        <w:instrText xml:space="preserve"> PAGEREF _Toc6585 \h </w:instrText>
      </w:r>
      <w:r>
        <w:rPr>
          <w:rFonts w:eastAsia="宋体"/>
          <w:sz w:val="21"/>
          <w:szCs w:val="21"/>
        </w:rPr>
        <w:fldChar w:fldCharType="separate"/>
      </w:r>
      <w:r>
        <w:rPr>
          <w:rFonts w:eastAsia="宋体"/>
          <w:sz w:val="21"/>
          <w:szCs w:val="21"/>
        </w:rPr>
        <w:t>172</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_Toc10068 </w:instrText>
      </w:r>
      <w:r>
        <w:rPr>
          <w:rFonts w:eastAsia="宋体"/>
          <w:sz w:val="21"/>
          <w:szCs w:val="21"/>
        </w:rPr>
        <w:fldChar w:fldCharType="separate"/>
      </w:r>
      <w:r>
        <w:rPr>
          <w:rFonts w:hint="eastAsia" w:ascii="Times New Roman" w:hAnsi="Times New Roman" w:eastAsia="宋体"/>
          <w:bCs/>
          <w:sz w:val="21"/>
          <w:szCs w:val="21"/>
        </w:rPr>
        <w:t>3.6 重大危险源辨识</w:t>
      </w:r>
      <w:r>
        <w:rPr>
          <w:rFonts w:eastAsia="宋体"/>
          <w:sz w:val="21"/>
          <w:szCs w:val="21"/>
        </w:rPr>
        <w:tab/>
      </w:r>
      <w:r>
        <w:rPr>
          <w:rFonts w:eastAsia="宋体"/>
          <w:sz w:val="21"/>
          <w:szCs w:val="21"/>
        </w:rPr>
        <w:fldChar w:fldCharType="begin"/>
      </w:r>
      <w:r>
        <w:rPr>
          <w:rFonts w:eastAsia="宋体"/>
          <w:sz w:val="21"/>
          <w:szCs w:val="21"/>
        </w:rPr>
        <w:instrText xml:space="preserve"> PAGEREF _Toc10068 \h </w:instrText>
      </w:r>
      <w:r>
        <w:rPr>
          <w:rFonts w:eastAsia="宋体"/>
          <w:sz w:val="21"/>
          <w:szCs w:val="21"/>
        </w:rPr>
        <w:fldChar w:fldCharType="separate"/>
      </w:r>
      <w:r>
        <w:rPr>
          <w:rFonts w:eastAsia="宋体"/>
          <w:sz w:val="21"/>
          <w:szCs w:val="21"/>
        </w:rPr>
        <w:t>174</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_Toc27234 </w:instrText>
      </w:r>
      <w:r>
        <w:rPr>
          <w:rFonts w:eastAsia="宋体"/>
          <w:sz w:val="21"/>
          <w:szCs w:val="21"/>
        </w:rPr>
        <w:fldChar w:fldCharType="separate"/>
      </w:r>
      <w:r>
        <w:rPr>
          <w:rFonts w:hint="eastAsia" w:ascii="Times New Roman" w:hAnsi="Times New Roman" w:eastAsia="宋体"/>
          <w:bCs/>
          <w:sz w:val="21"/>
          <w:szCs w:val="21"/>
        </w:rPr>
        <w:t xml:space="preserve">3.7 </w:t>
      </w:r>
      <w:r>
        <w:rPr>
          <w:rFonts w:hint="eastAsia" w:ascii="Times New Roman" w:hAnsi="Times New Roman" w:eastAsia="宋体"/>
          <w:bCs/>
          <w:sz w:val="21"/>
          <w:szCs w:val="21"/>
          <w:lang w:eastAsia="zh-CN"/>
        </w:rPr>
        <w:t>事故案例分析</w:t>
      </w:r>
      <w:r>
        <w:rPr>
          <w:rFonts w:eastAsia="宋体"/>
          <w:sz w:val="21"/>
          <w:szCs w:val="21"/>
        </w:rPr>
        <w:tab/>
      </w:r>
      <w:r>
        <w:rPr>
          <w:rFonts w:eastAsia="宋体"/>
          <w:sz w:val="21"/>
          <w:szCs w:val="21"/>
        </w:rPr>
        <w:fldChar w:fldCharType="begin"/>
      </w:r>
      <w:r>
        <w:rPr>
          <w:rFonts w:eastAsia="宋体"/>
          <w:sz w:val="21"/>
          <w:szCs w:val="21"/>
        </w:rPr>
        <w:instrText xml:space="preserve"> PAGEREF _Toc27234 \h </w:instrText>
      </w:r>
      <w:r>
        <w:rPr>
          <w:rFonts w:eastAsia="宋体"/>
          <w:sz w:val="21"/>
          <w:szCs w:val="21"/>
        </w:rPr>
        <w:fldChar w:fldCharType="separate"/>
      </w:r>
      <w:r>
        <w:rPr>
          <w:rFonts w:eastAsia="宋体"/>
          <w:sz w:val="21"/>
          <w:szCs w:val="21"/>
        </w:rPr>
        <w:t>176</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_Toc3211 </w:instrText>
      </w:r>
      <w:r>
        <w:rPr>
          <w:rFonts w:eastAsia="宋体"/>
          <w:sz w:val="21"/>
          <w:szCs w:val="21"/>
        </w:rPr>
        <w:fldChar w:fldCharType="separate"/>
      </w:r>
      <w:r>
        <w:rPr>
          <w:rFonts w:hint="eastAsia" w:ascii="Times New Roman" w:hAnsi="Times New Roman" w:eastAsia="宋体"/>
          <w:bCs/>
          <w:sz w:val="21"/>
          <w:szCs w:val="21"/>
        </w:rPr>
        <w:t>3.</w:t>
      </w:r>
      <w:r>
        <w:rPr>
          <w:rFonts w:hint="eastAsia" w:ascii="Times New Roman" w:hAnsi="Times New Roman" w:eastAsia="宋体"/>
          <w:bCs/>
          <w:sz w:val="21"/>
          <w:szCs w:val="21"/>
          <w:lang w:val="en-US" w:eastAsia="zh-CN"/>
        </w:rPr>
        <w:t>8</w:t>
      </w:r>
      <w:r>
        <w:rPr>
          <w:rFonts w:hint="eastAsia" w:ascii="Times New Roman" w:hAnsi="Times New Roman" w:eastAsia="宋体"/>
          <w:bCs/>
          <w:sz w:val="21"/>
          <w:szCs w:val="21"/>
        </w:rPr>
        <w:t xml:space="preserve"> 主要危险、有害因素分析结论</w:t>
      </w:r>
      <w:r>
        <w:rPr>
          <w:rFonts w:eastAsia="宋体"/>
          <w:sz w:val="21"/>
          <w:szCs w:val="21"/>
        </w:rPr>
        <w:tab/>
      </w:r>
      <w:r>
        <w:rPr>
          <w:rFonts w:eastAsia="宋体"/>
          <w:sz w:val="21"/>
          <w:szCs w:val="21"/>
        </w:rPr>
        <w:fldChar w:fldCharType="begin"/>
      </w:r>
      <w:r>
        <w:rPr>
          <w:rFonts w:eastAsia="宋体"/>
          <w:sz w:val="21"/>
          <w:szCs w:val="21"/>
        </w:rPr>
        <w:instrText xml:space="preserve"> PAGEREF _Toc3211 \h </w:instrText>
      </w:r>
      <w:r>
        <w:rPr>
          <w:rFonts w:eastAsia="宋体"/>
          <w:sz w:val="21"/>
          <w:szCs w:val="21"/>
        </w:rPr>
        <w:fldChar w:fldCharType="separate"/>
      </w:r>
      <w:r>
        <w:rPr>
          <w:rFonts w:eastAsia="宋体"/>
          <w:sz w:val="21"/>
          <w:szCs w:val="21"/>
        </w:rPr>
        <w:t>178</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_Toc5957 </w:instrText>
      </w:r>
      <w:r>
        <w:rPr>
          <w:rFonts w:eastAsia="宋体"/>
          <w:sz w:val="21"/>
          <w:szCs w:val="21"/>
        </w:rPr>
        <w:fldChar w:fldCharType="separate"/>
      </w:r>
      <w:r>
        <w:rPr>
          <w:rFonts w:hint="eastAsia" w:eastAsia="宋体"/>
          <w:sz w:val="21"/>
          <w:szCs w:val="21"/>
        </w:rPr>
        <w:t>4</w:t>
      </w:r>
      <w:r>
        <w:rPr>
          <w:rFonts w:eastAsia="宋体"/>
          <w:sz w:val="21"/>
          <w:szCs w:val="21"/>
        </w:rPr>
        <w:t xml:space="preserve"> </w:t>
      </w:r>
      <w:r>
        <w:rPr>
          <w:rFonts w:hint="eastAsia" w:eastAsia="宋体"/>
          <w:sz w:val="21"/>
          <w:szCs w:val="21"/>
        </w:rPr>
        <w:t>评价单元划分及评价方法选择</w:t>
      </w:r>
      <w:r>
        <w:rPr>
          <w:rFonts w:eastAsia="宋体"/>
          <w:sz w:val="21"/>
          <w:szCs w:val="21"/>
        </w:rPr>
        <w:tab/>
      </w:r>
      <w:r>
        <w:rPr>
          <w:rFonts w:eastAsia="宋体"/>
          <w:sz w:val="21"/>
          <w:szCs w:val="21"/>
        </w:rPr>
        <w:fldChar w:fldCharType="begin"/>
      </w:r>
      <w:r>
        <w:rPr>
          <w:rFonts w:eastAsia="宋体"/>
          <w:sz w:val="21"/>
          <w:szCs w:val="21"/>
        </w:rPr>
        <w:instrText xml:space="preserve"> PAGEREF _Toc5957 \h </w:instrText>
      </w:r>
      <w:r>
        <w:rPr>
          <w:rFonts w:eastAsia="宋体"/>
          <w:sz w:val="21"/>
          <w:szCs w:val="21"/>
        </w:rPr>
        <w:fldChar w:fldCharType="separate"/>
      </w:r>
      <w:r>
        <w:rPr>
          <w:rFonts w:eastAsia="宋体"/>
          <w:sz w:val="21"/>
          <w:szCs w:val="21"/>
        </w:rPr>
        <w:t>180</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_Toc18916 </w:instrText>
      </w:r>
      <w:r>
        <w:rPr>
          <w:rFonts w:eastAsia="宋体"/>
          <w:sz w:val="21"/>
          <w:szCs w:val="21"/>
        </w:rPr>
        <w:fldChar w:fldCharType="separate"/>
      </w:r>
      <w:r>
        <w:rPr>
          <w:rFonts w:hint="eastAsia" w:ascii="Times New Roman" w:hAnsi="Times New Roman" w:eastAsia="宋体"/>
          <w:bCs/>
          <w:sz w:val="21"/>
          <w:szCs w:val="21"/>
        </w:rPr>
        <w:t>4.1</w:t>
      </w:r>
      <w:r>
        <w:rPr>
          <w:rFonts w:ascii="Times New Roman" w:hAnsi="Times New Roman" w:eastAsia="宋体"/>
          <w:bCs/>
          <w:sz w:val="21"/>
          <w:szCs w:val="21"/>
        </w:rPr>
        <w:t xml:space="preserve"> </w:t>
      </w:r>
      <w:r>
        <w:rPr>
          <w:rFonts w:hint="eastAsia" w:ascii="Times New Roman" w:hAnsi="Times New Roman" w:eastAsia="宋体"/>
          <w:bCs/>
          <w:sz w:val="21"/>
          <w:szCs w:val="21"/>
        </w:rPr>
        <w:t>评价单元划分</w:t>
      </w:r>
      <w:r>
        <w:rPr>
          <w:rFonts w:eastAsia="宋体"/>
          <w:sz w:val="21"/>
          <w:szCs w:val="21"/>
        </w:rPr>
        <w:tab/>
      </w:r>
      <w:r>
        <w:rPr>
          <w:rFonts w:eastAsia="宋体"/>
          <w:sz w:val="21"/>
          <w:szCs w:val="21"/>
        </w:rPr>
        <w:fldChar w:fldCharType="begin"/>
      </w:r>
      <w:r>
        <w:rPr>
          <w:rFonts w:eastAsia="宋体"/>
          <w:sz w:val="21"/>
          <w:szCs w:val="21"/>
        </w:rPr>
        <w:instrText xml:space="preserve"> PAGEREF _Toc18916 \h </w:instrText>
      </w:r>
      <w:r>
        <w:rPr>
          <w:rFonts w:eastAsia="宋体"/>
          <w:sz w:val="21"/>
          <w:szCs w:val="21"/>
        </w:rPr>
        <w:fldChar w:fldCharType="separate"/>
      </w:r>
      <w:r>
        <w:rPr>
          <w:rFonts w:eastAsia="宋体"/>
          <w:sz w:val="21"/>
          <w:szCs w:val="21"/>
        </w:rPr>
        <w:t>180</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_Toc1621 </w:instrText>
      </w:r>
      <w:r>
        <w:rPr>
          <w:rFonts w:eastAsia="宋体"/>
          <w:sz w:val="21"/>
          <w:szCs w:val="21"/>
        </w:rPr>
        <w:fldChar w:fldCharType="separate"/>
      </w:r>
      <w:r>
        <w:rPr>
          <w:rFonts w:hint="eastAsia" w:ascii="Times New Roman" w:hAnsi="Times New Roman" w:eastAsia="宋体"/>
          <w:bCs/>
          <w:sz w:val="21"/>
          <w:szCs w:val="21"/>
        </w:rPr>
        <w:t>4.2</w:t>
      </w:r>
      <w:r>
        <w:rPr>
          <w:rFonts w:ascii="Times New Roman" w:hAnsi="Times New Roman" w:eastAsia="宋体"/>
          <w:bCs/>
          <w:sz w:val="21"/>
          <w:szCs w:val="21"/>
        </w:rPr>
        <w:t xml:space="preserve"> </w:t>
      </w:r>
      <w:r>
        <w:rPr>
          <w:rFonts w:hint="eastAsia" w:ascii="Times New Roman" w:hAnsi="Times New Roman" w:eastAsia="宋体"/>
          <w:bCs/>
          <w:sz w:val="21"/>
          <w:szCs w:val="21"/>
        </w:rPr>
        <w:t>评价方法选择</w:t>
      </w:r>
      <w:r>
        <w:rPr>
          <w:rFonts w:eastAsia="宋体"/>
          <w:sz w:val="21"/>
          <w:szCs w:val="21"/>
        </w:rPr>
        <w:tab/>
      </w:r>
      <w:r>
        <w:rPr>
          <w:rFonts w:eastAsia="宋体"/>
          <w:sz w:val="21"/>
          <w:szCs w:val="21"/>
        </w:rPr>
        <w:fldChar w:fldCharType="begin"/>
      </w:r>
      <w:r>
        <w:rPr>
          <w:rFonts w:eastAsia="宋体"/>
          <w:sz w:val="21"/>
          <w:szCs w:val="21"/>
        </w:rPr>
        <w:instrText xml:space="preserve"> PAGEREF _Toc1621 \h </w:instrText>
      </w:r>
      <w:r>
        <w:rPr>
          <w:rFonts w:eastAsia="宋体"/>
          <w:sz w:val="21"/>
          <w:szCs w:val="21"/>
        </w:rPr>
        <w:fldChar w:fldCharType="separate"/>
      </w:r>
      <w:r>
        <w:rPr>
          <w:rFonts w:eastAsia="宋体"/>
          <w:sz w:val="21"/>
          <w:szCs w:val="21"/>
        </w:rPr>
        <w:t>181</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_Toc11784 </w:instrText>
      </w:r>
      <w:r>
        <w:rPr>
          <w:rFonts w:eastAsia="宋体"/>
          <w:sz w:val="21"/>
          <w:szCs w:val="21"/>
        </w:rPr>
        <w:fldChar w:fldCharType="separate"/>
      </w:r>
      <w:r>
        <w:rPr>
          <w:rFonts w:hint="eastAsia" w:eastAsia="宋体"/>
          <w:sz w:val="21"/>
          <w:szCs w:val="21"/>
        </w:rPr>
        <w:t>5</w:t>
      </w:r>
      <w:r>
        <w:rPr>
          <w:rFonts w:eastAsia="宋体"/>
          <w:sz w:val="21"/>
          <w:szCs w:val="21"/>
        </w:rPr>
        <w:t xml:space="preserve"> </w:t>
      </w:r>
      <w:r>
        <w:rPr>
          <w:rFonts w:hint="eastAsia" w:eastAsia="宋体"/>
          <w:sz w:val="21"/>
          <w:szCs w:val="21"/>
        </w:rPr>
        <w:t>安全检查表评价</w:t>
      </w:r>
      <w:r>
        <w:rPr>
          <w:rFonts w:eastAsia="宋体"/>
          <w:sz w:val="21"/>
          <w:szCs w:val="21"/>
        </w:rPr>
        <w:tab/>
      </w:r>
      <w:r>
        <w:rPr>
          <w:rFonts w:eastAsia="宋体"/>
          <w:sz w:val="21"/>
          <w:szCs w:val="21"/>
        </w:rPr>
        <w:fldChar w:fldCharType="begin"/>
      </w:r>
      <w:r>
        <w:rPr>
          <w:rFonts w:eastAsia="宋体"/>
          <w:sz w:val="21"/>
          <w:szCs w:val="21"/>
        </w:rPr>
        <w:instrText xml:space="preserve"> PAGEREF _Toc11784 \h </w:instrText>
      </w:r>
      <w:r>
        <w:rPr>
          <w:rFonts w:eastAsia="宋体"/>
          <w:sz w:val="21"/>
          <w:szCs w:val="21"/>
        </w:rPr>
        <w:fldChar w:fldCharType="separate"/>
      </w:r>
      <w:r>
        <w:rPr>
          <w:rFonts w:eastAsia="宋体"/>
          <w:sz w:val="21"/>
          <w:szCs w:val="21"/>
        </w:rPr>
        <w:t>184</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_Toc21002 </w:instrText>
      </w:r>
      <w:r>
        <w:rPr>
          <w:rFonts w:eastAsia="宋体"/>
          <w:sz w:val="21"/>
          <w:szCs w:val="21"/>
        </w:rPr>
        <w:fldChar w:fldCharType="separate"/>
      </w:r>
      <w:r>
        <w:rPr>
          <w:rFonts w:hint="eastAsia" w:ascii="Times New Roman" w:hAnsi="Times New Roman" w:eastAsia="宋体"/>
          <w:bCs/>
          <w:sz w:val="21"/>
          <w:szCs w:val="21"/>
        </w:rPr>
        <w:t>5.1 生产单元安全检查表</w:t>
      </w:r>
      <w:r>
        <w:rPr>
          <w:rFonts w:eastAsia="宋体"/>
          <w:sz w:val="21"/>
          <w:szCs w:val="21"/>
        </w:rPr>
        <w:tab/>
      </w:r>
      <w:r>
        <w:rPr>
          <w:rFonts w:eastAsia="宋体"/>
          <w:sz w:val="21"/>
          <w:szCs w:val="21"/>
        </w:rPr>
        <w:fldChar w:fldCharType="begin"/>
      </w:r>
      <w:r>
        <w:rPr>
          <w:rFonts w:eastAsia="宋体"/>
          <w:sz w:val="21"/>
          <w:szCs w:val="21"/>
        </w:rPr>
        <w:instrText xml:space="preserve"> PAGEREF _Toc21002 \h </w:instrText>
      </w:r>
      <w:r>
        <w:rPr>
          <w:rFonts w:eastAsia="宋体"/>
          <w:sz w:val="21"/>
          <w:szCs w:val="21"/>
        </w:rPr>
        <w:fldChar w:fldCharType="separate"/>
      </w:r>
      <w:r>
        <w:rPr>
          <w:rFonts w:eastAsia="宋体"/>
          <w:sz w:val="21"/>
          <w:szCs w:val="21"/>
        </w:rPr>
        <w:t>184</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_Toc15907 </w:instrText>
      </w:r>
      <w:r>
        <w:rPr>
          <w:rFonts w:eastAsia="宋体"/>
          <w:sz w:val="21"/>
          <w:szCs w:val="21"/>
        </w:rPr>
        <w:fldChar w:fldCharType="separate"/>
      </w:r>
      <w:r>
        <w:rPr>
          <w:rFonts w:hint="eastAsia" w:ascii="Times New Roman" w:hAnsi="Times New Roman" w:eastAsia="宋体"/>
          <w:bCs/>
          <w:sz w:val="21"/>
          <w:szCs w:val="21"/>
        </w:rPr>
        <w:t>5.2 管理单元安全检查表</w:t>
      </w:r>
      <w:r>
        <w:rPr>
          <w:rFonts w:eastAsia="宋体"/>
          <w:sz w:val="21"/>
          <w:szCs w:val="21"/>
        </w:rPr>
        <w:tab/>
      </w:r>
      <w:r>
        <w:rPr>
          <w:rFonts w:eastAsia="宋体"/>
          <w:sz w:val="21"/>
          <w:szCs w:val="21"/>
        </w:rPr>
        <w:fldChar w:fldCharType="begin"/>
      </w:r>
      <w:r>
        <w:rPr>
          <w:rFonts w:eastAsia="宋体"/>
          <w:sz w:val="21"/>
          <w:szCs w:val="21"/>
        </w:rPr>
        <w:instrText xml:space="preserve"> PAGEREF _Toc15907 \h </w:instrText>
      </w:r>
      <w:r>
        <w:rPr>
          <w:rFonts w:eastAsia="宋体"/>
          <w:sz w:val="21"/>
          <w:szCs w:val="21"/>
        </w:rPr>
        <w:fldChar w:fldCharType="separate"/>
      </w:r>
      <w:r>
        <w:rPr>
          <w:rFonts w:eastAsia="宋体"/>
          <w:sz w:val="21"/>
          <w:szCs w:val="21"/>
        </w:rPr>
        <w:t>219</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_Toc13615 </w:instrText>
      </w:r>
      <w:r>
        <w:rPr>
          <w:rFonts w:eastAsia="宋体"/>
          <w:sz w:val="21"/>
          <w:szCs w:val="21"/>
        </w:rPr>
        <w:fldChar w:fldCharType="separate"/>
      </w:r>
      <w:r>
        <w:rPr>
          <w:rFonts w:hint="default" w:ascii="Times New Roman" w:hAnsi="Times New Roman" w:eastAsia="宋体" w:cs="Times New Roman"/>
          <w:bCs/>
          <w:sz w:val="21"/>
          <w:szCs w:val="21"/>
        </w:rPr>
        <w:t>5.</w:t>
      </w:r>
      <w:r>
        <w:rPr>
          <w:rFonts w:hint="default" w:ascii="Times New Roman" w:hAnsi="Times New Roman" w:eastAsia="宋体" w:cs="Times New Roman"/>
          <w:bCs/>
          <w:sz w:val="21"/>
          <w:szCs w:val="21"/>
          <w:lang w:val="en-US" w:eastAsia="zh-CN"/>
        </w:rPr>
        <w:t>3</w:t>
      </w:r>
      <w:r>
        <w:rPr>
          <w:rFonts w:hint="default" w:ascii="Times New Roman" w:hAnsi="Times New Roman" w:eastAsia="宋体" w:cs="Times New Roman"/>
          <w:bCs/>
          <w:sz w:val="21"/>
          <w:szCs w:val="21"/>
        </w:rPr>
        <w:t xml:space="preserve"> </w:t>
      </w:r>
      <w:r>
        <w:rPr>
          <w:rFonts w:hint="default" w:ascii="Times New Roman" w:hAnsi="Times New Roman" w:eastAsia="宋体" w:cs="Times New Roman"/>
          <w:bCs/>
          <w:sz w:val="21"/>
          <w:szCs w:val="21"/>
          <w:lang w:val="en-US" w:eastAsia="zh-CN"/>
        </w:rPr>
        <w:t>作业条件危险性评价</w:t>
      </w:r>
      <w:r>
        <w:rPr>
          <w:rFonts w:eastAsia="宋体"/>
          <w:sz w:val="21"/>
          <w:szCs w:val="21"/>
        </w:rPr>
        <w:tab/>
      </w:r>
      <w:r>
        <w:rPr>
          <w:rFonts w:eastAsia="宋体"/>
          <w:sz w:val="21"/>
          <w:szCs w:val="21"/>
        </w:rPr>
        <w:fldChar w:fldCharType="begin"/>
      </w:r>
      <w:r>
        <w:rPr>
          <w:rFonts w:eastAsia="宋体"/>
          <w:sz w:val="21"/>
          <w:szCs w:val="21"/>
        </w:rPr>
        <w:instrText xml:space="preserve"> PAGEREF _Toc13615 \h </w:instrText>
      </w:r>
      <w:r>
        <w:rPr>
          <w:rFonts w:eastAsia="宋体"/>
          <w:sz w:val="21"/>
          <w:szCs w:val="21"/>
        </w:rPr>
        <w:fldChar w:fldCharType="separate"/>
      </w:r>
      <w:r>
        <w:rPr>
          <w:rFonts w:eastAsia="宋体"/>
          <w:sz w:val="21"/>
          <w:szCs w:val="21"/>
        </w:rPr>
        <w:t>229</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_Toc4851 </w:instrText>
      </w:r>
      <w:r>
        <w:rPr>
          <w:rFonts w:eastAsia="宋体"/>
          <w:sz w:val="21"/>
          <w:szCs w:val="21"/>
        </w:rPr>
        <w:fldChar w:fldCharType="separate"/>
      </w:r>
      <w:r>
        <w:rPr>
          <w:rFonts w:eastAsia="宋体"/>
          <w:sz w:val="21"/>
          <w:szCs w:val="21"/>
        </w:rPr>
        <w:t>6</w:t>
      </w:r>
      <w:r>
        <w:rPr>
          <w:rFonts w:hint="eastAsia" w:eastAsia="宋体"/>
          <w:sz w:val="21"/>
          <w:szCs w:val="21"/>
        </w:rPr>
        <w:t xml:space="preserve"> 安全对策措施与管理建议</w:t>
      </w:r>
      <w:r>
        <w:rPr>
          <w:rFonts w:eastAsia="宋体"/>
          <w:sz w:val="21"/>
          <w:szCs w:val="21"/>
        </w:rPr>
        <w:tab/>
      </w:r>
      <w:r>
        <w:rPr>
          <w:rFonts w:eastAsia="宋体"/>
          <w:sz w:val="21"/>
          <w:szCs w:val="21"/>
        </w:rPr>
        <w:fldChar w:fldCharType="begin"/>
      </w:r>
      <w:r>
        <w:rPr>
          <w:rFonts w:eastAsia="宋体"/>
          <w:sz w:val="21"/>
          <w:szCs w:val="21"/>
        </w:rPr>
        <w:instrText xml:space="preserve"> PAGEREF _Toc4851 \h </w:instrText>
      </w:r>
      <w:r>
        <w:rPr>
          <w:rFonts w:eastAsia="宋体"/>
          <w:sz w:val="21"/>
          <w:szCs w:val="21"/>
        </w:rPr>
        <w:fldChar w:fldCharType="separate"/>
      </w:r>
      <w:r>
        <w:rPr>
          <w:rFonts w:eastAsia="宋体"/>
          <w:sz w:val="21"/>
          <w:szCs w:val="21"/>
        </w:rPr>
        <w:t>232</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_Toc4643 </w:instrText>
      </w:r>
      <w:r>
        <w:rPr>
          <w:rFonts w:eastAsia="宋体"/>
          <w:sz w:val="21"/>
          <w:szCs w:val="21"/>
        </w:rPr>
        <w:fldChar w:fldCharType="separate"/>
      </w:r>
      <w:r>
        <w:rPr>
          <w:rFonts w:ascii="Times New Roman" w:hAnsi="Times New Roman" w:eastAsia="宋体"/>
          <w:bCs/>
          <w:sz w:val="21"/>
          <w:szCs w:val="21"/>
        </w:rPr>
        <w:t>6</w:t>
      </w:r>
      <w:r>
        <w:rPr>
          <w:rFonts w:hint="eastAsia" w:ascii="Times New Roman" w:hAnsi="Times New Roman" w:eastAsia="宋体"/>
          <w:bCs/>
          <w:sz w:val="21"/>
          <w:szCs w:val="21"/>
        </w:rPr>
        <w:t>.1 安全对策措施</w:t>
      </w:r>
      <w:r>
        <w:rPr>
          <w:rFonts w:eastAsia="宋体"/>
          <w:sz w:val="21"/>
          <w:szCs w:val="21"/>
        </w:rPr>
        <w:tab/>
      </w:r>
      <w:r>
        <w:rPr>
          <w:rFonts w:eastAsia="宋体"/>
          <w:sz w:val="21"/>
          <w:szCs w:val="21"/>
        </w:rPr>
        <w:fldChar w:fldCharType="begin"/>
      </w:r>
      <w:r>
        <w:rPr>
          <w:rFonts w:eastAsia="宋体"/>
          <w:sz w:val="21"/>
          <w:szCs w:val="21"/>
        </w:rPr>
        <w:instrText xml:space="preserve"> PAGEREF _Toc4643 \h </w:instrText>
      </w:r>
      <w:r>
        <w:rPr>
          <w:rFonts w:eastAsia="宋体"/>
          <w:sz w:val="21"/>
          <w:szCs w:val="21"/>
        </w:rPr>
        <w:fldChar w:fldCharType="separate"/>
      </w:r>
      <w:r>
        <w:rPr>
          <w:rFonts w:eastAsia="宋体"/>
          <w:sz w:val="21"/>
          <w:szCs w:val="21"/>
        </w:rPr>
        <w:t>232</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_Toc26508 </w:instrText>
      </w:r>
      <w:r>
        <w:rPr>
          <w:rFonts w:eastAsia="宋体"/>
          <w:sz w:val="21"/>
          <w:szCs w:val="21"/>
        </w:rPr>
        <w:fldChar w:fldCharType="separate"/>
      </w:r>
      <w:r>
        <w:rPr>
          <w:rFonts w:ascii="Times New Roman" w:hAnsi="Times New Roman" w:eastAsia="宋体"/>
          <w:bCs/>
          <w:sz w:val="21"/>
          <w:szCs w:val="21"/>
        </w:rPr>
        <w:t>6</w:t>
      </w:r>
      <w:r>
        <w:rPr>
          <w:rFonts w:hint="eastAsia" w:ascii="Times New Roman" w:hAnsi="Times New Roman" w:eastAsia="宋体"/>
          <w:bCs/>
          <w:sz w:val="21"/>
          <w:szCs w:val="21"/>
        </w:rPr>
        <w:t>.2 安全管理建议</w:t>
      </w:r>
      <w:r>
        <w:rPr>
          <w:rFonts w:eastAsia="宋体"/>
          <w:sz w:val="21"/>
          <w:szCs w:val="21"/>
        </w:rPr>
        <w:tab/>
      </w:r>
      <w:r>
        <w:rPr>
          <w:rFonts w:eastAsia="宋体"/>
          <w:sz w:val="21"/>
          <w:szCs w:val="21"/>
        </w:rPr>
        <w:fldChar w:fldCharType="begin"/>
      </w:r>
      <w:r>
        <w:rPr>
          <w:rFonts w:eastAsia="宋体"/>
          <w:sz w:val="21"/>
          <w:szCs w:val="21"/>
        </w:rPr>
        <w:instrText xml:space="preserve"> PAGEREF _Toc26508 \h </w:instrText>
      </w:r>
      <w:r>
        <w:rPr>
          <w:rFonts w:eastAsia="宋体"/>
          <w:sz w:val="21"/>
          <w:szCs w:val="21"/>
        </w:rPr>
        <w:fldChar w:fldCharType="separate"/>
      </w:r>
      <w:r>
        <w:rPr>
          <w:rFonts w:eastAsia="宋体"/>
          <w:sz w:val="21"/>
          <w:szCs w:val="21"/>
        </w:rPr>
        <w:t>233</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_Toc22801 </w:instrText>
      </w:r>
      <w:r>
        <w:rPr>
          <w:rFonts w:eastAsia="宋体"/>
          <w:sz w:val="21"/>
          <w:szCs w:val="21"/>
        </w:rPr>
        <w:fldChar w:fldCharType="separate"/>
      </w:r>
      <w:r>
        <w:rPr>
          <w:rFonts w:hint="eastAsia" w:eastAsia="宋体"/>
          <w:sz w:val="21"/>
          <w:szCs w:val="21"/>
          <w:lang w:val="en-US" w:eastAsia="zh-CN"/>
        </w:rPr>
        <w:t>7</w:t>
      </w:r>
      <w:r>
        <w:rPr>
          <w:rFonts w:hint="eastAsia" w:eastAsia="宋体"/>
          <w:sz w:val="21"/>
          <w:szCs w:val="21"/>
        </w:rPr>
        <w:t xml:space="preserve"> 隐患整改复查情况</w:t>
      </w:r>
      <w:r>
        <w:rPr>
          <w:rFonts w:eastAsia="宋体"/>
          <w:sz w:val="21"/>
          <w:szCs w:val="21"/>
        </w:rPr>
        <w:tab/>
      </w:r>
      <w:r>
        <w:rPr>
          <w:rFonts w:eastAsia="宋体"/>
          <w:sz w:val="21"/>
          <w:szCs w:val="21"/>
        </w:rPr>
        <w:fldChar w:fldCharType="begin"/>
      </w:r>
      <w:r>
        <w:rPr>
          <w:rFonts w:eastAsia="宋体"/>
          <w:sz w:val="21"/>
          <w:szCs w:val="21"/>
        </w:rPr>
        <w:instrText xml:space="preserve"> PAGEREF _Toc22801 \h </w:instrText>
      </w:r>
      <w:r>
        <w:rPr>
          <w:rFonts w:eastAsia="宋体"/>
          <w:sz w:val="21"/>
          <w:szCs w:val="21"/>
        </w:rPr>
        <w:fldChar w:fldCharType="separate"/>
      </w:r>
      <w:r>
        <w:rPr>
          <w:rFonts w:eastAsia="宋体"/>
          <w:sz w:val="21"/>
          <w:szCs w:val="21"/>
        </w:rPr>
        <w:t>237</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_Toc12083 </w:instrText>
      </w:r>
      <w:r>
        <w:rPr>
          <w:rFonts w:eastAsia="宋体"/>
          <w:sz w:val="21"/>
          <w:szCs w:val="21"/>
        </w:rPr>
        <w:fldChar w:fldCharType="separate"/>
      </w:r>
      <w:r>
        <w:rPr>
          <w:rFonts w:hint="default" w:ascii="Times New Roman" w:hAnsi="Times New Roman" w:eastAsia="宋体" w:cs="Times New Roman"/>
          <w:sz w:val="21"/>
          <w:szCs w:val="21"/>
        </w:rPr>
        <w:t>8 安全生产条件</w:t>
      </w:r>
      <w:r>
        <w:rPr>
          <w:rFonts w:hint="default" w:ascii="Times New Roman" w:hAnsi="Times New Roman" w:eastAsia="宋体" w:cs="Times New Roman"/>
          <w:sz w:val="21"/>
          <w:szCs w:val="21"/>
          <w:lang w:eastAsia="zh-CN"/>
        </w:rPr>
        <w:t>及重大安全风险隐患</w:t>
      </w:r>
      <w:r>
        <w:rPr>
          <w:rFonts w:hint="default" w:ascii="Times New Roman" w:hAnsi="Times New Roman" w:eastAsia="宋体" w:cs="Times New Roman"/>
          <w:sz w:val="21"/>
          <w:szCs w:val="21"/>
        </w:rPr>
        <w:t>分析评价</w:t>
      </w:r>
      <w:r>
        <w:rPr>
          <w:rFonts w:eastAsia="宋体"/>
          <w:sz w:val="21"/>
          <w:szCs w:val="21"/>
        </w:rPr>
        <w:tab/>
      </w:r>
      <w:r>
        <w:rPr>
          <w:rFonts w:eastAsia="宋体"/>
          <w:sz w:val="21"/>
          <w:szCs w:val="21"/>
        </w:rPr>
        <w:fldChar w:fldCharType="begin"/>
      </w:r>
      <w:r>
        <w:rPr>
          <w:rFonts w:eastAsia="宋体"/>
          <w:sz w:val="21"/>
          <w:szCs w:val="21"/>
        </w:rPr>
        <w:instrText xml:space="preserve"> PAGEREF _Toc12083 \h </w:instrText>
      </w:r>
      <w:r>
        <w:rPr>
          <w:rFonts w:eastAsia="宋体"/>
          <w:sz w:val="21"/>
          <w:szCs w:val="21"/>
        </w:rPr>
        <w:fldChar w:fldCharType="separate"/>
      </w:r>
      <w:r>
        <w:rPr>
          <w:rFonts w:eastAsia="宋体"/>
          <w:sz w:val="21"/>
          <w:szCs w:val="21"/>
        </w:rPr>
        <w:t>245</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_Toc27879 </w:instrText>
      </w:r>
      <w:r>
        <w:rPr>
          <w:rFonts w:eastAsia="宋体"/>
          <w:sz w:val="21"/>
          <w:szCs w:val="21"/>
        </w:rPr>
        <w:fldChar w:fldCharType="separate"/>
      </w:r>
      <w:r>
        <w:rPr>
          <w:rFonts w:hint="default" w:ascii="Times New Roman" w:hAnsi="Times New Roman" w:eastAsia="宋体" w:cs="Times New Roman"/>
          <w:bCs/>
          <w:sz w:val="21"/>
          <w:szCs w:val="21"/>
          <w:lang w:val="en-US" w:eastAsia="zh-CN"/>
        </w:rPr>
        <w:t>8</w:t>
      </w:r>
      <w:r>
        <w:rPr>
          <w:rFonts w:hint="default" w:ascii="Times New Roman" w:hAnsi="Times New Roman" w:eastAsia="宋体" w:cs="Times New Roman"/>
          <w:bCs/>
          <w:sz w:val="21"/>
          <w:szCs w:val="21"/>
        </w:rPr>
        <w:t xml:space="preserve">.1 </w:t>
      </w:r>
      <w:r>
        <w:rPr>
          <w:rFonts w:hint="default" w:ascii="Times New Roman" w:hAnsi="Times New Roman" w:eastAsia="宋体" w:cs="Times New Roman"/>
          <w:bCs/>
          <w:sz w:val="21"/>
          <w:szCs w:val="21"/>
          <w:lang w:eastAsia="zh-CN"/>
        </w:rPr>
        <w:t>安全生产条件分析</w:t>
      </w:r>
      <w:r>
        <w:rPr>
          <w:rFonts w:eastAsia="宋体"/>
          <w:sz w:val="21"/>
          <w:szCs w:val="21"/>
        </w:rPr>
        <w:tab/>
      </w:r>
      <w:r>
        <w:rPr>
          <w:rFonts w:eastAsia="宋体"/>
          <w:sz w:val="21"/>
          <w:szCs w:val="21"/>
        </w:rPr>
        <w:fldChar w:fldCharType="begin"/>
      </w:r>
      <w:r>
        <w:rPr>
          <w:rFonts w:eastAsia="宋体"/>
          <w:sz w:val="21"/>
          <w:szCs w:val="21"/>
        </w:rPr>
        <w:instrText xml:space="preserve"> PAGEREF _Toc27879 \h </w:instrText>
      </w:r>
      <w:r>
        <w:rPr>
          <w:rFonts w:eastAsia="宋体"/>
          <w:sz w:val="21"/>
          <w:szCs w:val="21"/>
        </w:rPr>
        <w:fldChar w:fldCharType="separate"/>
      </w:r>
      <w:r>
        <w:rPr>
          <w:rFonts w:eastAsia="宋体"/>
          <w:sz w:val="21"/>
          <w:szCs w:val="21"/>
        </w:rPr>
        <w:t>245</w:t>
      </w:r>
      <w:r>
        <w:rPr>
          <w:rFonts w:eastAsia="宋体"/>
          <w:sz w:val="21"/>
          <w:szCs w:val="21"/>
        </w:rPr>
        <w:fldChar w:fldCharType="end"/>
      </w:r>
      <w:r>
        <w:rPr>
          <w:rFonts w:eastAsia="宋体"/>
          <w:sz w:val="21"/>
          <w:szCs w:val="21"/>
        </w:rPr>
        <w:fldChar w:fldCharType="end"/>
      </w:r>
    </w:p>
    <w:p>
      <w:pPr>
        <w:pStyle w:val="42"/>
        <w:keepNext w:val="0"/>
        <w:keepLines w:val="0"/>
        <w:pageBreakBefore w:val="0"/>
        <w:widowControl w:val="0"/>
        <w:tabs>
          <w:tab w:val="right" w:leader="dot" w:pos="8306"/>
          <w:tab w:val="clear" w:pos="8296"/>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_Toc29423 </w:instrText>
      </w:r>
      <w:r>
        <w:rPr>
          <w:rFonts w:eastAsia="宋体"/>
          <w:sz w:val="21"/>
          <w:szCs w:val="21"/>
        </w:rPr>
        <w:fldChar w:fldCharType="separate"/>
      </w:r>
      <w:r>
        <w:rPr>
          <w:rFonts w:hint="default" w:ascii="Times New Roman" w:hAnsi="Times New Roman" w:eastAsia="宋体" w:cs="Times New Roman"/>
          <w:bCs/>
          <w:sz w:val="21"/>
          <w:szCs w:val="21"/>
          <w:lang w:val="en-US" w:eastAsia="zh-CN"/>
        </w:rPr>
        <w:t>8.2</w:t>
      </w:r>
      <w:r>
        <w:rPr>
          <w:rFonts w:hint="eastAsia" w:ascii="Times New Roman" w:hAnsi="Times New Roman" w:eastAsia="宋体" w:cs="Times New Roman"/>
          <w:bCs/>
          <w:sz w:val="21"/>
          <w:szCs w:val="21"/>
          <w:lang w:val="en-US" w:eastAsia="zh-CN"/>
        </w:rPr>
        <w:t xml:space="preserve"> </w:t>
      </w:r>
      <w:r>
        <w:rPr>
          <w:rFonts w:hint="default" w:ascii="Times New Roman" w:hAnsi="Times New Roman" w:eastAsia="宋体" w:cs="Times New Roman"/>
          <w:bCs/>
          <w:sz w:val="21"/>
          <w:szCs w:val="21"/>
          <w:lang w:eastAsia="zh-CN"/>
        </w:rPr>
        <w:t>重大安全风险隐患</w:t>
      </w:r>
      <w:r>
        <w:rPr>
          <w:rFonts w:hint="default" w:ascii="Times New Roman" w:hAnsi="Times New Roman" w:eastAsia="宋体" w:cs="Times New Roman"/>
          <w:bCs/>
          <w:sz w:val="21"/>
          <w:szCs w:val="21"/>
        </w:rPr>
        <w:t>分析</w:t>
      </w:r>
      <w:r>
        <w:rPr>
          <w:rFonts w:eastAsia="宋体"/>
          <w:sz w:val="21"/>
          <w:szCs w:val="21"/>
        </w:rPr>
        <w:tab/>
      </w:r>
      <w:r>
        <w:rPr>
          <w:rFonts w:eastAsia="宋体"/>
          <w:sz w:val="21"/>
          <w:szCs w:val="21"/>
        </w:rPr>
        <w:fldChar w:fldCharType="begin"/>
      </w:r>
      <w:r>
        <w:rPr>
          <w:rFonts w:eastAsia="宋体"/>
          <w:sz w:val="21"/>
          <w:szCs w:val="21"/>
        </w:rPr>
        <w:instrText xml:space="preserve"> PAGEREF _Toc29423 \h </w:instrText>
      </w:r>
      <w:r>
        <w:rPr>
          <w:rFonts w:eastAsia="宋体"/>
          <w:sz w:val="21"/>
          <w:szCs w:val="21"/>
        </w:rPr>
        <w:fldChar w:fldCharType="separate"/>
      </w:r>
      <w:r>
        <w:rPr>
          <w:rFonts w:eastAsia="宋体"/>
          <w:sz w:val="21"/>
          <w:szCs w:val="21"/>
        </w:rPr>
        <w:t>249</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_Toc25882 </w:instrText>
      </w:r>
      <w:r>
        <w:rPr>
          <w:rFonts w:eastAsia="宋体"/>
          <w:sz w:val="21"/>
          <w:szCs w:val="21"/>
        </w:rPr>
        <w:fldChar w:fldCharType="separate"/>
      </w:r>
      <w:r>
        <w:rPr>
          <w:rFonts w:hint="eastAsia" w:eastAsia="宋体"/>
          <w:sz w:val="21"/>
          <w:szCs w:val="21"/>
          <w:lang w:val="en-US" w:eastAsia="zh-CN"/>
        </w:rPr>
        <w:t xml:space="preserve">9 </w:t>
      </w:r>
      <w:r>
        <w:rPr>
          <w:rFonts w:hint="eastAsia" w:eastAsia="宋体"/>
          <w:sz w:val="21"/>
          <w:szCs w:val="21"/>
        </w:rPr>
        <w:t>安全现状评价结论</w:t>
      </w:r>
      <w:r>
        <w:rPr>
          <w:rFonts w:eastAsia="宋体"/>
          <w:sz w:val="21"/>
          <w:szCs w:val="21"/>
        </w:rPr>
        <w:tab/>
      </w:r>
      <w:r>
        <w:rPr>
          <w:rFonts w:eastAsia="宋体"/>
          <w:sz w:val="21"/>
          <w:szCs w:val="21"/>
        </w:rPr>
        <w:fldChar w:fldCharType="begin"/>
      </w:r>
      <w:r>
        <w:rPr>
          <w:rFonts w:eastAsia="宋体"/>
          <w:sz w:val="21"/>
          <w:szCs w:val="21"/>
        </w:rPr>
        <w:instrText xml:space="preserve"> PAGEREF _Toc25882 \h </w:instrText>
      </w:r>
      <w:r>
        <w:rPr>
          <w:rFonts w:eastAsia="宋体"/>
          <w:sz w:val="21"/>
          <w:szCs w:val="21"/>
        </w:rPr>
        <w:fldChar w:fldCharType="separate"/>
      </w:r>
      <w:r>
        <w:rPr>
          <w:rFonts w:eastAsia="宋体"/>
          <w:sz w:val="21"/>
          <w:szCs w:val="21"/>
        </w:rPr>
        <w:t>252</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_Toc31940 </w:instrText>
      </w:r>
      <w:r>
        <w:rPr>
          <w:rFonts w:eastAsia="宋体"/>
          <w:sz w:val="21"/>
          <w:szCs w:val="21"/>
        </w:rPr>
        <w:fldChar w:fldCharType="separate"/>
      </w:r>
      <w:r>
        <w:rPr>
          <w:rFonts w:hint="default" w:ascii="Times New Roman" w:hAnsi="Times New Roman" w:eastAsia="宋体" w:cs="Times New Roman"/>
          <w:bCs/>
          <w:sz w:val="21"/>
          <w:szCs w:val="21"/>
          <w:lang w:val="en-US" w:eastAsia="zh-CN"/>
        </w:rPr>
        <w:t>附件1 营业执照复印件</w:t>
      </w:r>
      <w:r>
        <w:rPr>
          <w:rFonts w:eastAsia="宋体"/>
          <w:sz w:val="21"/>
          <w:szCs w:val="21"/>
        </w:rPr>
        <w:tab/>
      </w:r>
      <w:r>
        <w:rPr>
          <w:rFonts w:eastAsia="宋体"/>
          <w:sz w:val="21"/>
          <w:szCs w:val="21"/>
        </w:rPr>
        <w:fldChar w:fldCharType="begin"/>
      </w:r>
      <w:r>
        <w:rPr>
          <w:rFonts w:eastAsia="宋体"/>
          <w:sz w:val="21"/>
          <w:szCs w:val="21"/>
        </w:rPr>
        <w:instrText xml:space="preserve"> PAGEREF _Toc31940 \h </w:instrText>
      </w:r>
      <w:r>
        <w:rPr>
          <w:rFonts w:eastAsia="宋体"/>
          <w:sz w:val="21"/>
          <w:szCs w:val="21"/>
        </w:rPr>
        <w:fldChar w:fldCharType="separate"/>
      </w:r>
      <w:r>
        <w:rPr>
          <w:rFonts w:eastAsia="宋体"/>
          <w:sz w:val="21"/>
          <w:szCs w:val="21"/>
        </w:rPr>
        <w:t>254</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_Toc14967 </w:instrText>
      </w:r>
      <w:r>
        <w:rPr>
          <w:rFonts w:eastAsia="宋体"/>
          <w:sz w:val="21"/>
          <w:szCs w:val="21"/>
        </w:rPr>
        <w:fldChar w:fldCharType="separate"/>
      </w:r>
      <w:r>
        <w:rPr>
          <w:rFonts w:hint="default" w:ascii="Times New Roman" w:hAnsi="Times New Roman" w:eastAsia="宋体" w:cs="Times New Roman"/>
          <w:bCs/>
          <w:sz w:val="21"/>
          <w:szCs w:val="21"/>
          <w:lang w:val="en-US" w:eastAsia="zh-CN"/>
        </w:rPr>
        <w:t xml:space="preserve">附件2 </w:t>
      </w:r>
      <w:r>
        <w:rPr>
          <w:rFonts w:hint="eastAsia" w:eastAsia="宋体" w:cs="Times New Roman"/>
          <w:bCs/>
          <w:sz w:val="21"/>
          <w:szCs w:val="21"/>
          <w:lang w:val="en-US" w:eastAsia="zh-CN"/>
        </w:rPr>
        <w:t>原</w:t>
      </w:r>
      <w:r>
        <w:rPr>
          <w:rFonts w:hint="default" w:ascii="Times New Roman" w:hAnsi="Times New Roman" w:eastAsia="宋体" w:cs="Times New Roman"/>
          <w:bCs/>
          <w:sz w:val="21"/>
          <w:szCs w:val="21"/>
          <w:lang w:val="en-US" w:eastAsia="zh-CN"/>
        </w:rPr>
        <w:t>安全生产许可证复印件</w:t>
      </w:r>
      <w:r>
        <w:rPr>
          <w:rFonts w:eastAsia="宋体"/>
          <w:sz w:val="21"/>
          <w:szCs w:val="21"/>
        </w:rPr>
        <w:tab/>
      </w:r>
      <w:r>
        <w:rPr>
          <w:rFonts w:eastAsia="宋体"/>
          <w:sz w:val="21"/>
          <w:szCs w:val="21"/>
        </w:rPr>
        <w:fldChar w:fldCharType="begin"/>
      </w:r>
      <w:r>
        <w:rPr>
          <w:rFonts w:eastAsia="宋体"/>
          <w:sz w:val="21"/>
          <w:szCs w:val="21"/>
        </w:rPr>
        <w:instrText xml:space="preserve"> PAGEREF _Toc14967 \h </w:instrText>
      </w:r>
      <w:r>
        <w:rPr>
          <w:rFonts w:eastAsia="宋体"/>
          <w:sz w:val="21"/>
          <w:szCs w:val="21"/>
        </w:rPr>
        <w:fldChar w:fldCharType="separate"/>
      </w:r>
      <w:r>
        <w:rPr>
          <w:rFonts w:eastAsia="宋体"/>
          <w:sz w:val="21"/>
          <w:szCs w:val="21"/>
        </w:rPr>
        <w:t>255</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_Toc17849 </w:instrText>
      </w:r>
      <w:r>
        <w:rPr>
          <w:rFonts w:eastAsia="宋体"/>
          <w:sz w:val="21"/>
          <w:szCs w:val="21"/>
        </w:rPr>
        <w:fldChar w:fldCharType="separate"/>
      </w:r>
      <w:r>
        <w:rPr>
          <w:rFonts w:hint="default" w:ascii="Times New Roman" w:hAnsi="Times New Roman" w:eastAsia="宋体" w:cs="Times New Roman"/>
          <w:bCs/>
          <w:sz w:val="21"/>
          <w:szCs w:val="21"/>
          <w:lang w:val="en-US" w:eastAsia="zh-CN"/>
        </w:rPr>
        <w:t>附件3 安全标准化</w:t>
      </w:r>
      <w:r>
        <w:rPr>
          <w:rFonts w:hint="eastAsia" w:eastAsia="宋体" w:cs="Times New Roman"/>
          <w:bCs/>
          <w:sz w:val="21"/>
          <w:szCs w:val="21"/>
          <w:lang w:val="en-US" w:eastAsia="zh-CN"/>
        </w:rPr>
        <w:t>二级单位公告</w:t>
      </w:r>
      <w:r>
        <w:rPr>
          <w:rFonts w:eastAsia="宋体"/>
          <w:sz w:val="21"/>
          <w:szCs w:val="21"/>
        </w:rPr>
        <w:tab/>
      </w:r>
      <w:r>
        <w:rPr>
          <w:rFonts w:eastAsia="宋体"/>
          <w:sz w:val="21"/>
          <w:szCs w:val="21"/>
        </w:rPr>
        <w:fldChar w:fldCharType="begin"/>
      </w:r>
      <w:r>
        <w:rPr>
          <w:rFonts w:eastAsia="宋体"/>
          <w:sz w:val="21"/>
          <w:szCs w:val="21"/>
        </w:rPr>
        <w:instrText xml:space="preserve"> PAGEREF _Toc17849 \h </w:instrText>
      </w:r>
      <w:r>
        <w:rPr>
          <w:rFonts w:eastAsia="宋体"/>
          <w:sz w:val="21"/>
          <w:szCs w:val="21"/>
        </w:rPr>
        <w:fldChar w:fldCharType="separate"/>
      </w:r>
      <w:r>
        <w:rPr>
          <w:rFonts w:eastAsia="宋体"/>
          <w:sz w:val="21"/>
          <w:szCs w:val="21"/>
        </w:rPr>
        <w:t>256</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_Toc8082 </w:instrText>
      </w:r>
      <w:r>
        <w:rPr>
          <w:rFonts w:eastAsia="宋体"/>
          <w:sz w:val="21"/>
          <w:szCs w:val="21"/>
        </w:rPr>
        <w:fldChar w:fldCharType="separate"/>
      </w:r>
      <w:r>
        <w:rPr>
          <w:rFonts w:hint="default" w:ascii="Times New Roman" w:hAnsi="Times New Roman" w:eastAsia="宋体" w:cs="Times New Roman"/>
          <w:bCs/>
          <w:sz w:val="21"/>
          <w:szCs w:val="21"/>
          <w:lang w:val="en-US" w:eastAsia="zh-CN"/>
        </w:rPr>
        <w:t>附件</w:t>
      </w:r>
      <w:r>
        <w:rPr>
          <w:rFonts w:hint="eastAsia" w:eastAsia="宋体" w:cs="Times New Roman"/>
          <w:bCs/>
          <w:sz w:val="21"/>
          <w:szCs w:val="21"/>
          <w:lang w:val="en-US" w:eastAsia="zh-CN"/>
        </w:rPr>
        <w:t>4</w:t>
      </w:r>
      <w:r>
        <w:rPr>
          <w:rFonts w:hint="default" w:ascii="Times New Roman" w:hAnsi="Times New Roman" w:eastAsia="宋体" w:cs="Times New Roman"/>
          <w:bCs/>
          <w:sz w:val="21"/>
          <w:szCs w:val="21"/>
          <w:lang w:val="en-US" w:eastAsia="zh-CN"/>
        </w:rPr>
        <w:t xml:space="preserve"> </w:t>
      </w:r>
      <w:r>
        <w:rPr>
          <w:rFonts w:hint="eastAsia" w:eastAsia="宋体" w:cs="Times New Roman"/>
          <w:bCs/>
          <w:sz w:val="21"/>
          <w:szCs w:val="21"/>
          <w:lang w:val="en-US" w:eastAsia="zh-CN"/>
        </w:rPr>
        <w:t>成立安全管理机构及安全管理人员的文件</w:t>
      </w:r>
      <w:r>
        <w:rPr>
          <w:rFonts w:eastAsia="宋体"/>
          <w:sz w:val="21"/>
          <w:szCs w:val="21"/>
        </w:rPr>
        <w:tab/>
      </w:r>
      <w:r>
        <w:rPr>
          <w:rFonts w:eastAsia="宋体"/>
          <w:sz w:val="21"/>
          <w:szCs w:val="21"/>
        </w:rPr>
        <w:fldChar w:fldCharType="begin"/>
      </w:r>
      <w:r>
        <w:rPr>
          <w:rFonts w:eastAsia="宋体"/>
          <w:sz w:val="21"/>
          <w:szCs w:val="21"/>
        </w:rPr>
        <w:instrText xml:space="preserve"> PAGEREF _Toc8082 \h </w:instrText>
      </w:r>
      <w:r>
        <w:rPr>
          <w:rFonts w:eastAsia="宋体"/>
          <w:sz w:val="21"/>
          <w:szCs w:val="21"/>
        </w:rPr>
        <w:fldChar w:fldCharType="separate"/>
      </w:r>
      <w:r>
        <w:rPr>
          <w:rFonts w:eastAsia="宋体"/>
          <w:sz w:val="21"/>
          <w:szCs w:val="21"/>
        </w:rPr>
        <w:t>257</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_Toc1301 </w:instrText>
      </w:r>
      <w:r>
        <w:rPr>
          <w:rFonts w:eastAsia="宋体"/>
          <w:sz w:val="21"/>
          <w:szCs w:val="21"/>
        </w:rPr>
        <w:fldChar w:fldCharType="separate"/>
      </w:r>
      <w:r>
        <w:rPr>
          <w:rFonts w:hint="default" w:ascii="Times New Roman" w:hAnsi="Times New Roman" w:eastAsia="宋体" w:cs="Times New Roman"/>
          <w:bCs/>
          <w:sz w:val="21"/>
          <w:szCs w:val="21"/>
          <w:lang w:val="en-US" w:eastAsia="zh-CN"/>
        </w:rPr>
        <w:t>附件</w:t>
      </w:r>
      <w:r>
        <w:rPr>
          <w:rFonts w:hint="eastAsia" w:eastAsia="宋体" w:cs="Times New Roman"/>
          <w:bCs/>
          <w:sz w:val="21"/>
          <w:szCs w:val="21"/>
          <w:lang w:val="en-US" w:eastAsia="zh-CN"/>
        </w:rPr>
        <w:t>5</w:t>
      </w:r>
      <w:r>
        <w:rPr>
          <w:rFonts w:hint="default" w:ascii="Times New Roman" w:hAnsi="Times New Roman" w:eastAsia="宋体" w:cs="Times New Roman"/>
          <w:bCs/>
          <w:sz w:val="21"/>
          <w:szCs w:val="21"/>
          <w:lang w:val="en-US" w:eastAsia="zh-CN"/>
        </w:rPr>
        <w:t xml:space="preserve"> </w:t>
      </w:r>
      <w:r>
        <w:rPr>
          <w:rFonts w:hint="eastAsia" w:eastAsia="宋体" w:cs="Times New Roman"/>
          <w:bCs/>
          <w:sz w:val="21"/>
          <w:szCs w:val="21"/>
          <w:lang w:val="en-US" w:eastAsia="zh-CN"/>
        </w:rPr>
        <w:t>安全总监任命及备案文件</w:t>
      </w:r>
      <w:r>
        <w:rPr>
          <w:rFonts w:eastAsia="宋体"/>
          <w:sz w:val="21"/>
          <w:szCs w:val="21"/>
        </w:rPr>
        <w:tab/>
      </w:r>
      <w:r>
        <w:rPr>
          <w:rFonts w:eastAsia="宋体"/>
          <w:sz w:val="21"/>
          <w:szCs w:val="21"/>
        </w:rPr>
        <w:fldChar w:fldCharType="begin"/>
      </w:r>
      <w:r>
        <w:rPr>
          <w:rFonts w:eastAsia="宋体"/>
          <w:sz w:val="21"/>
          <w:szCs w:val="21"/>
        </w:rPr>
        <w:instrText xml:space="preserve"> PAGEREF _Toc1301 \h </w:instrText>
      </w:r>
      <w:r>
        <w:rPr>
          <w:rFonts w:eastAsia="宋体"/>
          <w:sz w:val="21"/>
          <w:szCs w:val="21"/>
        </w:rPr>
        <w:fldChar w:fldCharType="separate"/>
      </w:r>
      <w:r>
        <w:rPr>
          <w:rFonts w:eastAsia="宋体"/>
          <w:sz w:val="21"/>
          <w:szCs w:val="21"/>
        </w:rPr>
        <w:t>261</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_Toc6575 </w:instrText>
      </w:r>
      <w:r>
        <w:rPr>
          <w:rFonts w:eastAsia="宋体"/>
          <w:sz w:val="21"/>
          <w:szCs w:val="21"/>
        </w:rPr>
        <w:fldChar w:fldCharType="separate"/>
      </w:r>
      <w:r>
        <w:rPr>
          <w:rFonts w:hint="default" w:ascii="Times New Roman" w:hAnsi="Times New Roman" w:eastAsia="宋体" w:cs="Times New Roman"/>
          <w:bCs/>
          <w:sz w:val="21"/>
          <w:szCs w:val="21"/>
          <w:lang w:val="en-US" w:eastAsia="zh-CN"/>
        </w:rPr>
        <w:t>附件</w:t>
      </w:r>
      <w:r>
        <w:rPr>
          <w:rFonts w:hint="eastAsia" w:eastAsia="宋体" w:cs="Times New Roman"/>
          <w:bCs/>
          <w:sz w:val="21"/>
          <w:szCs w:val="21"/>
          <w:lang w:val="en-US" w:eastAsia="zh-CN"/>
        </w:rPr>
        <w:t>6</w:t>
      </w:r>
      <w:r>
        <w:rPr>
          <w:rFonts w:hint="default" w:ascii="Times New Roman" w:hAnsi="Times New Roman" w:eastAsia="宋体" w:cs="Times New Roman"/>
          <w:bCs/>
          <w:sz w:val="21"/>
          <w:szCs w:val="21"/>
          <w:lang w:val="en-US" w:eastAsia="zh-CN"/>
        </w:rPr>
        <w:t xml:space="preserve"> </w:t>
      </w:r>
      <w:r>
        <w:rPr>
          <w:rFonts w:hint="eastAsia" w:eastAsia="宋体" w:cs="Times New Roman"/>
          <w:bCs/>
          <w:sz w:val="21"/>
          <w:szCs w:val="21"/>
          <w:lang w:val="en-US" w:eastAsia="zh-CN"/>
        </w:rPr>
        <w:t>注册安全工程师证书及劳动合同</w:t>
      </w:r>
      <w:r>
        <w:rPr>
          <w:rFonts w:eastAsia="宋体"/>
          <w:sz w:val="21"/>
          <w:szCs w:val="21"/>
        </w:rPr>
        <w:tab/>
      </w:r>
      <w:r>
        <w:rPr>
          <w:rFonts w:eastAsia="宋体"/>
          <w:sz w:val="21"/>
          <w:szCs w:val="21"/>
        </w:rPr>
        <w:fldChar w:fldCharType="begin"/>
      </w:r>
      <w:r>
        <w:rPr>
          <w:rFonts w:eastAsia="宋体"/>
          <w:sz w:val="21"/>
          <w:szCs w:val="21"/>
        </w:rPr>
        <w:instrText xml:space="preserve"> PAGEREF _Toc6575 \h </w:instrText>
      </w:r>
      <w:r>
        <w:rPr>
          <w:rFonts w:eastAsia="宋体"/>
          <w:sz w:val="21"/>
          <w:szCs w:val="21"/>
        </w:rPr>
        <w:fldChar w:fldCharType="separate"/>
      </w:r>
      <w:r>
        <w:rPr>
          <w:rFonts w:eastAsia="宋体"/>
          <w:sz w:val="21"/>
          <w:szCs w:val="21"/>
        </w:rPr>
        <w:t>268</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_Toc1458 </w:instrText>
      </w:r>
      <w:r>
        <w:rPr>
          <w:rFonts w:eastAsia="宋体"/>
          <w:sz w:val="21"/>
          <w:szCs w:val="21"/>
        </w:rPr>
        <w:fldChar w:fldCharType="separate"/>
      </w:r>
      <w:r>
        <w:rPr>
          <w:rFonts w:hint="default" w:ascii="Times New Roman" w:hAnsi="Times New Roman" w:eastAsia="宋体" w:cs="Times New Roman"/>
          <w:bCs/>
          <w:sz w:val="21"/>
          <w:szCs w:val="21"/>
          <w:lang w:val="en-US" w:eastAsia="zh-CN"/>
        </w:rPr>
        <w:t>附件</w:t>
      </w:r>
      <w:r>
        <w:rPr>
          <w:rFonts w:hint="eastAsia" w:eastAsia="宋体" w:cs="Times New Roman"/>
          <w:bCs/>
          <w:sz w:val="21"/>
          <w:szCs w:val="21"/>
          <w:lang w:val="en-US" w:eastAsia="zh-CN"/>
        </w:rPr>
        <w:t>7</w:t>
      </w:r>
      <w:r>
        <w:rPr>
          <w:rFonts w:hint="default" w:ascii="Times New Roman" w:hAnsi="Times New Roman" w:eastAsia="宋体" w:cs="Times New Roman"/>
          <w:bCs/>
          <w:sz w:val="21"/>
          <w:szCs w:val="21"/>
          <w:lang w:val="en-US" w:eastAsia="zh-CN"/>
        </w:rPr>
        <w:t xml:space="preserve"> </w:t>
      </w:r>
      <w:r>
        <w:rPr>
          <w:rFonts w:hint="eastAsia" w:eastAsia="宋体" w:cs="Times New Roman"/>
          <w:bCs/>
          <w:sz w:val="21"/>
          <w:szCs w:val="21"/>
          <w:lang w:val="en-US" w:eastAsia="zh-CN"/>
        </w:rPr>
        <w:t>主要负责人、安全管理人员合格证</w:t>
      </w:r>
      <w:r>
        <w:rPr>
          <w:rFonts w:eastAsia="宋体"/>
          <w:sz w:val="21"/>
          <w:szCs w:val="21"/>
        </w:rPr>
        <w:tab/>
      </w:r>
      <w:r>
        <w:rPr>
          <w:rFonts w:eastAsia="宋体"/>
          <w:sz w:val="21"/>
          <w:szCs w:val="21"/>
        </w:rPr>
        <w:fldChar w:fldCharType="begin"/>
      </w:r>
      <w:r>
        <w:rPr>
          <w:rFonts w:eastAsia="宋体"/>
          <w:sz w:val="21"/>
          <w:szCs w:val="21"/>
        </w:rPr>
        <w:instrText xml:space="preserve"> PAGEREF _Toc1458 \h </w:instrText>
      </w:r>
      <w:r>
        <w:rPr>
          <w:rFonts w:eastAsia="宋体"/>
          <w:sz w:val="21"/>
          <w:szCs w:val="21"/>
        </w:rPr>
        <w:fldChar w:fldCharType="separate"/>
      </w:r>
      <w:r>
        <w:rPr>
          <w:rFonts w:eastAsia="宋体"/>
          <w:sz w:val="21"/>
          <w:szCs w:val="21"/>
        </w:rPr>
        <w:t>273</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_Toc22164 </w:instrText>
      </w:r>
      <w:r>
        <w:rPr>
          <w:rFonts w:eastAsia="宋体"/>
          <w:sz w:val="21"/>
          <w:szCs w:val="21"/>
        </w:rPr>
        <w:fldChar w:fldCharType="separate"/>
      </w:r>
      <w:r>
        <w:rPr>
          <w:rFonts w:hint="default" w:ascii="Times New Roman" w:hAnsi="Times New Roman" w:eastAsia="宋体" w:cs="Times New Roman"/>
          <w:bCs/>
          <w:sz w:val="21"/>
          <w:szCs w:val="21"/>
          <w:lang w:val="en-US" w:eastAsia="zh-CN"/>
        </w:rPr>
        <w:t>附件</w:t>
      </w:r>
      <w:r>
        <w:rPr>
          <w:rFonts w:hint="eastAsia" w:eastAsia="宋体" w:cs="Times New Roman"/>
          <w:bCs/>
          <w:sz w:val="21"/>
          <w:szCs w:val="21"/>
          <w:lang w:val="en-US" w:eastAsia="zh-CN"/>
        </w:rPr>
        <w:t>8</w:t>
      </w:r>
      <w:r>
        <w:rPr>
          <w:rFonts w:hint="default" w:ascii="Times New Roman" w:hAnsi="Times New Roman" w:eastAsia="宋体" w:cs="Times New Roman"/>
          <w:bCs/>
          <w:sz w:val="21"/>
          <w:szCs w:val="21"/>
          <w:lang w:val="en-US" w:eastAsia="zh-CN"/>
        </w:rPr>
        <w:t xml:space="preserve"> </w:t>
      </w:r>
      <w:r>
        <w:rPr>
          <w:rFonts w:hint="eastAsia" w:eastAsia="宋体" w:cs="Times New Roman"/>
          <w:bCs/>
          <w:sz w:val="21"/>
          <w:szCs w:val="21"/>
          <w:lang w:val="en-US" w:eastAsia="zh-CN"/>
        </w:rPr>
        <w:t>特种作业人员台账及人员证件（部分）</w:t>
      </w:r>
      <w:r>
        <w:rPr>
          <w:rFonts w:eastAsia="宋体"/>
          <w:sz w:val="21"/>
          <w:szCs w:val="21"/>
        </w:rPr>
        <w:tab/>
      </w:r>
      <w:r>
        <w:rPr>
          <w:rFonts w:eastAsia="宋体"/>
          <w:sz w:val="21"/>
          <w:szCs w:val="21"/>
        </w:rPr>
        <w:fldChar w:fldCharType="begin"/>
      </w:r>
      <w:r>
        <w:rPr>
          <w:rFonts w:eastAsia="宋体"/>
          <w:sz w:val="21"/>
          <w:szCs w:val="21"/>
        </w:rPr>
        <w:instrText xml:space="preserve"> PAGEREF _Toc22164 \h </w:instrText>
      </w:r>
      <w:r>
        <w:rPr>
          <w:rFonts w:eastAsia="宋体"/>
          <w:sz w:val="21"/>
          <w:szCs w:val="21"/>
        </w:rPr>
        <w:fldChar w:fldCharType="separate"/>
      </w:r>
      <w:r>
        <w:rPr>
          <w:rFonts w:eastAsia="宋体"/>
          <w:sz w:val="21"/>
          <w:szCs w:val="21"/>
        </w:rPr>
        <w:t>275</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_Toc849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eastAsia" w:eastAsia="宋体" w:cs="Times New Roman"/>
          <w:smallCaps w:val="0"/>
          <w:sz w:val="21"/>
          <w:szCs w:val="21"/>
          <w:lang w:val="en-US" w:eastAsia="zh-CN"/>
        </w:rPr>
        <w:t>9</w:t>
      </w:r>
      <w:r>
        <w:rPr>
          <w:rFonts w:hint="eastAsia" w:ascii="Times New Roman" w:hAnsi="Times New Roman" w:eastAsia="宋体" w:cs="Times New Roman"/>
          <w:smallCaps w:val="0"/>
          <w:sz w:val="21"/>
          <w:szCs w:val="21"/>
          <w:lang w:val="en-US" w:eastAsia="zh-CN"/>
        </w:rPr>
        <w:t xml:space="preserve"> </w:t>
      </w:r>
      <w:r>
        <w:rPr>
          <w:rFonts w:hint="default" w:ascii="Times New Roman" w:hAnsi="Times New Roman" w:eastAsia="宋体" w:cs="Times New Roman"/>
          <w:smallCaps w:val="0"/>
          <w:sz w:val="21"/>
          <w:szCs w:val="21"/>
          <w:lang w:val="en-US" w:eastAsia="zh-CN"/>
        </w:rPr>
        <w:t>三小证</w:t>
      </w:r>
      <w:r>
        <w:rPr>
          <w:rFonts w:hint="eastAsia" w:eastAsia="宋体" w:cs="Times New Roman"/>
          <w:smallCaps w:val="0"/>
          <w:sz w:val="21"/>
          <w:szCs w:val="21"/>
          <w:lang w:val="en-US" w:eastAsia="zh-CN"/>
        </w:rPr>
        <w:t>台账及</w:t>
      </w:r>
      <w:r>
        <w:rPr>
          <w:rFonts w:hint="default" w:ascii="Times New Roman" w:hAnsi="Times New Roman" w:eastAsia="宋体" w:cs="Times New Roman"/>
          <w:smallCaps w:val="0"/>
          <w:sz w:val="21"/>
          <w:szCs w:val="21"/>
          <w:lang w:val="en-US" w:eastAsia="zh-CN"/>
        </w:rPr>
        <w:t>部分证书复印件</w:t>
      </w:r>
      <w:r>
        <w:rPr>
          <w:rFonts w:eastAsia="宋体"/>
          <w:sz w:val="21"/>
          <w:szCs w:val="21"/>
        </w:rPr>
        <w:tab/>
      </w:r>
      <w:r>
        <w:rPr>
          <w:rFonts w:eastAsia="宋体"/>
          <w:sz w:val="21"/>
          <w:szCs w:val="21"/>
        </w:rPr>
        <w:fldChar w:fldCharType="begin"/>
      </w:r>
      <w:r>
        <w:rPr>
          <w:rFonts w:eastAsia="宋体"/>
          <w:sz w:val="21"/>
          <w:szCs w:val="21"/>
        </w:rPr>
        <w:instrText xml:space="preserve"> PAGEREF _Toc849 \h </w:instrText>
      </w:r>
      <w:r>
        <w:rPr>
          <w:rFonts w:eastAsia="宋体"/>
          <w:sz w:val="21"/>
          <w:szCs w:val="21"/>
        </w:rPr>
        <w:fldChar w:fldCharType="separate"/>
      </w:r>
      <w:r>
        <w:rPr>
          <w:rFonts w:eastAsia="宋体"/>
          <w:sz w:val="21"/>
          <w:szCs w:val="21"/>
        </w:rPr>
        <w:t>282</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_Toc17770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1</w:t>
      </w:r>
      <w:r>
        <w:rPr>
          <w:rFonts w:hint="eastAsia" w:eastAsia="宋体" w:cs="Times New Roman"/>
          <w:smallCaps w:val="0"/>
          <w:sz w:val="21"/>
          <w:szCs w:val="21"/>
          <w:lang w:val="en-US" w:eastAsia="zh-CN"/>
        </w:rPr>
        <w:t>0</w:t>
      </w:r>
      <w:r>
        <w:rPr>
          <w:rFonts w:hint="default" w:ascii="Times New Roman" w:hAnsi="Times New Roman" w:eastAsia="宋体" w:cs="Times New Roman"/>
          <w:smallCaps w:val="0"/>
          <w:sz w:val="21"/>
          <w:szCs w:val="21"/>
          <w:lang w:val="en-US" w:eastAsia="zh-CN"/>
        </w:rPr>
        <w:t xml:space="preserve"> </w:t>
      </w:r>
      <w:r>
        <w:rPr>
          <w:rFonts w:hint="default" w:ascii="Times New Roman" w:hAnsi="Times New Roman" w:eastAsia="宋体" w:cs="Times New Roman"/>
          <w:smallCaps w:val="0"/>
          <w:sz w:val="21"/>
          <w:szCs w:val="21"/>
        </w:rPr>
        <w:t>单位</w:t>
      </w:r>
      <w:r>
        <w:rPr>
          <w:rFonts w:hint="default" w:ascii="Times New Roman" w:hAnsi="Times New Roman" w:eastAsia="宋体" w:cs="Times New Roman"/>
          <w:smallCaps w:val="0"/>
          <w:sz w:val="21"/>
          <w:szCs w:val="21"/>
          <w:lang w:eastAsia="zh-CN"/>
        </w:rPr>
        <w:t>工伤</w:t>
      </w:r>
      <w:r>
        <w:rPr>
          <w:rFonts w:hint="default" w:ascii="Times New Roman" w:hAnsi="Times New Roman" w:eastAsia="宋体" w:cs="Times New Roman"/>
          <w:smallCaps w:val="0"/>
          <w:sz w:val="21"/>
          <w:szCs w:val="21"/>
        </w:rPr>
        <w:t>保险</w:t>
      </w:r>
      <w:r>
        <w:rPr>
          <w:rFonts w:hint="default" w:ascii="Times New Roman" w:hAnsi="Times New Roman" w:eastAsia="宋体" w:cs="Times New Roman"/>
          <w:smallCaps w:val="0"/>
          <w:sz w:val="21"/>
          <w:szCs w:val="21"/>
          <w:lang w:eastAsia="zh-CN"/>
        </w:rPr>
        <w:t>参保</w:t>
      </w:r>
      <w:r>
        <w:rPr>
          <w:rFonts w:hint="default" w:ascii="Times New Roman" w:hAnsi="Times New Roman" w:eastAsia="宋体" w:cs="Times New Roman"/>
          <w:smallCaps w:val="0"/>
          <w:sz w:val="21"/>
          <w:szCs w:val="21"/>
        </w:rPr>
        <w:t>证明</w:t>
      </w:r>
      <w:r>
        <w:rPr>
          <w:rFonts w:hint="eastAsia" w:eastAsia="宋体" w:cs="Times New Roman"/>
          <w:smallCaps w:val="0"/>
          <w:sz w:val="21"/>
          <w:szCs w:val="21"/>
          <w:lang w:val="en-US" w:eastAsia="zh-CN"/>
        </w:rPr>
        <w:t>、出资证明</w:t>
      </w:r>
      <w:r>
        <w:rPr>
          <w:rFonts w:eastAsia="宋体"/>
          <w:sz w:val="21"/>
          <w:szCs w:val="21"/>
        </w:rPr>
        <w:tab/>
      </w:r>
      <w:r>
        <w:rPr>
          <w:rFonts w:eastAsia="宋体"/>
          <w:sz w:val="21"/>
          <w:szCs w:val="21"/>
        </w:rPr>
        <w:fldChar w:fldCharType="begin"/>
      </w:r>
      <w:r>
        <w:rPr>
          <w:rFonts w:eastAsia="宋体"/>
          <w:sz w:val="21"/>
          <w:szCs w:val="21"/>
        </w:rPr>
        <w:instrText xml:space="preserve"> PAGEREF _Toc17770 \h </w:instrText>
      </w:r>
      <w:r>
        <w:rPr>
          <w:rFonts w:eastAsia="宋体"/>
          <w:sz w:val="21"/>
          <w:szCs w:val="21"/>
        </w:rPr>
        <w:fldChar w:fldCharType="separate"/>
      </w:r>
      <w:r>
        <w:rPr>
          <w:rFonts w:eastAsia="宋体"/>
          <w:sz w:val="21"/>
          <w:szCs w:val="21"/>
        </w:rPr>
        <w:t>288</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_Toc6532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1</w:t>
      </w:r>
      <w:r>
        <w:rPr>
          <w:rFonts w:hint="eastAsia" w:eastAsia="宋体" w:cs="Times New Roman"/>
          <w:smallCaps w:val="0"/>
          <w:sz w:val="21"/>
          <w:szCs w:val="21"/>
          <w:lang w:val="en-US" w:eastAsia="zh-CN"/>
        </w:rPr>
        <w:t>1</w:t>
      </w:r>
      <w:r>
        <w:rPr>
          <w:rFonts w:hint="default" w:ascii="Times New Roman" w:hAnsi="Times New Roman" w:eastAsia="宋体" w:cs="Times New Roman"/>
          <w:smallCaps w:val="0"/>
          <w:sz w:val="21"/>
          <w:szCs w:val="21"/>
          <w:lang w:val="en-US" w:eastAsia="zh-CN"/>
        </w:rPr>
        <w:t xml:space="preserve"> </w:t>
      </w:r>
      <w:r>
        <w:rPr>
          <w:rFonts w:hint="default" w:ascii="Times New Roman" w:hAnsi="Times New Roman" w:eastAsia="宋体" w:cs="Times New Roman"/>
          <w:smallCaps w:val="0"/>
          <w:sz w:val="21"/>
          <w:szCs w:val="21"/>
        </w:rPr>
        <w:t>安全生产责任保险</w:t>
      </w:r>
      <w:r>
        <w:rPr>
          <w:rFonts w:hint="eastAsia" w:eastAsia="宋体" w:cs="Times New Roman"/>
          <w:smallCaps w:val="0"/>
          <w:sz w:val="21"/>
          <w:szCs w:val="21"/>
          <w:lang w:val="en-US" w:eastAsia="zh-CN"/>
        </w:rPr>
        <w:t>保单及花名册</w:t>
      </w:r>
      <w:r>
        <w:rPr>
          <w:rFonts w:eastAsia="宋体"/>
          <w:sz w:val="21"/>
          <w:szCs w:val="21"/>
        </w:rPr>
        <w:tab/>
      </w:r>
      <w:r>
        <w:rPr>
          <w:rFonts w:eastAsia="宋体"/>
          <w:sz w:val="21"/>
          <w:szCs w:val="21"/>
        </w:rPr>
        <w:fldChar w:fldCharType="begin"/>
      </w:r>
      <w:r>
        <w:rPr>
          <w:rFonts w:eastAsia="宋体"/>
          <w:sz w:val="21"/>
          <w:szCs w:val="21"/>
        </w:rPr>
        <w:instrText xml:space="preserve"> PAGEREF _Toc6532 \h </w:instrText>
      </w:r>
      <w:r>
        <w:rPr>
          <w:rFonts w:eastAsia="宋体"/>
          <w:sz w:val="21"/>
          <w:szCs w:val="21"/>
        </w:rPr>
        <w:fldChar w:fldCharType="separate"/>
      </w:r>
      <w:r>
        <w:rPr>
          <w:rFonts w:eastAsia="宋体"/>
          <w:sz w:val="21"/>
          <w:szCs w:val="21"/>
        </w:rPr>
        <w:t>301</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_Toc5367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1</w:t>
      </w:r>
      <w:r>
        <w:rPr>
          <w:rFonts w:hint="eastAsia" w:eastAsia="宋体" w:cs="Times New Roman"/>
          <w:smallCaps w:val="0"/>
          <w:sz w:val="21"/>
          <w:szCs w:val="21"/>
          <w:lang w:val="en-US" w:eastAsia="zh-CN"/>
        </w:rPr>
        <w:t>2</w:t>
      </w:r>
      <w:r>
        <w:rPr>
          <w:rFonts w:hint="default" w:ascii="Times New Roman" w:hAnsi="Times New Roman" w:eastAsia="宋体" w:cs="Times New Roman"/>
          <w:smallCaps w:val="0"/>
          <w:sz w:val="21"/>
          <w:szCs w:val="21"/>
          <w:lang w:val="en-US" w:eastAsia="zh-CN"/>
        </w:rPr>
        <w:t xml:space="preserve"> </w:t>
      </w:r>
      <w:r>
        <w:rPr>
          <w:rFonts w:hint="default" w:ascii="Times New Roman" w:hAnsi="Times New Roman" w:eastAsia="宋体" w:cs="Times New Roman"/>
          <w:smallCaps w:val="0"/>
          <w:sz w:val="21"/>
          <w:szCs w:val="21"/>
        </w:rPr>
        <w:t>生产安全事故应急预案备案登记表</w:t>
      </w:r>
      <w:r>
        <w:rPr>
          <w:rFonts w:eastAsia="宋体"/>
          <w:sz w:val="21"/>
          <w:szCs w:val="21"/>
        </w:rPr>
        <w:tab/>
      </w:r>
      <w:r>
        <w:rPr>
          <w:rFonts w:eastAsia="宋体"/>
          <w:sz w:val="21"/>
          <w:szCs w:val="21"/>
        </w:rPr>
        <w:fldChar w:fldCharType="begin"/>
      </w:r>
      <w:r>
        <w:rPr>
          <w:rFonts w:eastAsia="宋体"/>
          <w:sz w:val="21"/>
          <w:szCs w:val="21"/>
        </w:rPr>
        <w:instrText xml:space="preserve"> PAGEREF _Toc5367 \h </w:instrText>
      </w:r>
      <w:r>
        <w:rPr>
          <w:rFonts w:eastAsia="宋体"/>
          <w:sz w:val="21"/>
          <w:szCs w:val="21"/>
        </w:rPr>
        <w:fldChar w:fldCharType="separate"/>
      </w:r>
      <w:r>
        <w:rPr>
          <w:rFonts w:eastAsia="宋体"/>
          <w:sz w:val="21"/>
          <w:szCs w:val="21"/>
        </w:rPr>
        <w:t>307</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_Toc9867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1</w:t>
      </w:r>
      <w:r>
        <w:rPr>
          <w:rFonts w:hint="eastAsia" w:eastAsia="宋体" w:cs="Times New Roman"/>
          <w:smallCaps w:val="0"/>
          <w:sz w:val="21"/>
          <w:szCs w:val="21"/>
          <w:lang w:val="en-US" w:eastAsia="zh-CN"/>
        </w:rPr>
        <w:t>3</w:t>
      </w:r>
      <w:r>
        <w:rPr>
          <w:rFonts w:hint="default" w:ascii="Times New Roman" w:hAnsi="Times New Roman" w:eastAsia="宋体" w:cs="Times New Roman"/>
          <w:smallCaps w:val="0"/>
          <w:sz w:val="21"/>
          <w:szCs w:val="21"/>
          <w:lang w:val="en-US" w:eastAsia="zh-CN"/>
        </w:rPr>
        <w:t xml:space="preserve"> </w:t>
      </w:r>
      <w:r>
        <w:rPr>
          <w:rFonts w:hint="default" w:ascii="Times New Roman" w:hAnsi="Times New Roman" w:eastAsia="宋体" w:cs="Times New Roman"/>
          <w:smallCaps w:val="0"/>
          <w:sz w:val="21"/>
          <w:szCs w:val="21"/>
        </w:rPr>
        <w:t>成立应急组织机构</w:t>
      </w:r>
      <w:r>
        <w:rPr>
          <w:rFonts w:hint="eastAsia" w:eastAsia="宋体" w:cs="Times New Roman"/>
          <w:smallCaps w:val="0"/>
          <w:sz w:val="21"/>
          <w:szCs w:val="21"/>
          <w:lang w:eastAsia="zh-CN"/>
        </w:rPr>
        <w:t>文件</w:t>
      </w:r>
      <w:r>
        <w:rPr>
          <w:rFonts w:eastAsia="宋体"/>
          <w:sz w:val="21"/>
          <w:szCs w:val="21"/>
        </w:rPr>
        <w:tab/>
      </w:r>
      <w:r>
        <w:rPr>
          <w:rFonts w:eastAsia="宋体"/>
          <w:sz w:val="21"/>
          <w:szCs w:val="21"/>
        </w:rPr>
        <w:fldChar w:fldCharType="begin"/>
      </w:r>
      <w:r>
        <w:rPr>
          <w:rFonts w:eastAsia="宋体"/>
          <w:sz w:val="21"/>
          <w:szCs w:val="21"/>
        </w:rPr>
        <w:instrText xml:space="preserve"> PAGEREF _Toc9867 \h </w:instrText>
      </w:r>
      <w:r>
        <w:rPr>
          <w:rFonts w:eastAsia="宋体"/>
          <w:sz w:val="21"/>
          <w:szCs w:val="21"/>
        </w:rPr>
        <w:fldChar w:fldCharType="separate"/>
      </w:r>
      <w:r>
        <w:rPr>
          <w:rFonts w:eastAsia="宋体"/>
          <w:sz w:val="21"/>
          <w:szCs w:val="21"/>
        </w:rPr>
        <w:t>308</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_Toc9714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1</w:t>
      </w:r>
      <w:r>
        <w:rPr>
          <w:rFonts w:hint="eastAsia" w:eastAsia="宋体" w:cs="Times New Roman"/>
          <w:smallCaps w:val="0"/>
          <w:sz w:val="21"/>
          <w:szCs w:val="21"/>
          <w:lang w:val="en-US" w:eastAsia="zh-CN"/>
        </w:rPr>
        <w:t>4</w:t>
      </w:r>
      <w:r>
        <w:rPr>
          <w:rFonts w:hint="default" w:ascii="Times New Roman" w:hAnsi="Times New Roman" w:eastAsia="宋体" w:cs="Times New Roman"/>
          <w:smallCaps w:val="0"/>
          <w:sz w:val="21"/>
          <w:szCs w:val="21"/>
          <w:lang w:val="en-US" w:eastAsia="zh-CN"/>
        </w:rPr>
        <w:t xml:space="preserve"> </w:t>
      </w:r>
      <w:r>
        <w:rPr>
          <w:rFonts w:hint="default" w:ascii="Times New Roman" w:hAnsi="Times New Roman" w:eastAsia="宋体" w:cs="Times New Roman"/>
          <w:smallCaps w:val="0"/>
          <w:sz w:val="21"/>
          <w:szCs w:val="21"/>
          <w:lang w:eastAsia="zh-CN"/>
        </w:rPr>
        <w:t>应急演练</w:t>
      </w:r>
      <w:r>
        <w:rPr>
          <w:rFonts w:hint="eastAsia" w:eastAsia="宋体" w:cs="Times New Roman"/>
          <w:smallCaps w:val="0"/>
          <w:sz w:val="21"/>
          <w:szCs w:val="21"/>
          <w:lang w:eastAsia="zh-CN"/>
        </w:rPr>
        <w:t>计划及演练</w:t>
      </w:r>
      <w:r>
        <w:rPr>
          <w:rFonts w:hint="default" w:ascii="Times New Roman" w:hAnsi="Times New Roman" w:eastAsia="宋体" w:cs="Times New Roman"/>
          <w:smallCaps w:val="0"/>
          <w:sz w:val="21"/>
          <w:szCs w:val="21"/>
          <w:lang w:eastAsia="zh-CN"/>
        </w:rPr>
        <w:t>记录</w:t>
      </w:r>
      <w:r>
        <w:rPr>
          <w:rFonts w:eastAsia="宋体"/>
          <w:sz w:val="21"/>
          <w:szCs w:val="21"/>
        </w:rPr>
        <w:tab/>
      </w:r>
      <w:r>
        <w:rPr>
          <w:rFonts w:eastAsia="宋体"/>
          <w:sz w:val="21"/>
          <w:szCs w:val="21"/>
        </w:rPr>
        <w:fldChar w:fldCharType="begin"/>
      </w:r>
      <w:r>
        <w:rPr>
          <w:rFonts w:eastAsia="宋体"/>
          <w:sz w:val="21"/>
          <w:szCs w:val="21"/>
        </w:rPr>
        <w:instrText xml:space="preserve"> PAGEREF _Toc9714 \h </w:instrText>
      </w:r>
      <w:r>
        <w:rPr>
          <w:rFonts w:eastAsia="宋体"/>
          <w:sz w:val="21"/>
          <w:szCs w:val="21"/>
        </w:rPr>
        <w:fldChar w:fldCharType="separate"/>
      </w:r>
      <w:r>
        <w:rPr>
          <w:rFonts w:eastAsia="宋体"/>
          <w:sz w:val="21"/>
          <w:szCs w:val="21"/>
        </w:rPr>
        <w:t>315</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_Toc31613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1</w:t>
      </w:r>
      <w:r>
        <w:rPr>
          <w:rFonts w:hint="eastAsia" w:eastAsia="宋体" w:cs="Times New Roman"/>
          <w:smallCaps w:val="0"/>
          <w:sz w:val="21"/>
          <w:szCs w:val="21"/>
          <w:lang w:val="en-US" w:eastAsia="zh-CN"/>
        </w:rPr>
        <w:t>5</w:t>
      </w:r>
      <w:r>
        <w:rPr>
          <w:rFonts w:hint="default" w:ascii="Times New Roman" w:hAnsi="Times New Roman" w:eastAsia="宋体" w:cs="Times New Roman"/>
          <w:smallCaps w:val="0"/>
          <w:sz w:val="21"/>
          <w:szCs w:val="21"/>
          <w:lang w:val="en-US" w:eastAsia="zh-CN"/>
        </w:rPr>
        <w:t xml:space="preserve"> </w:t>
      </w:r>
      <w:r>
        <w:rPr>
          <w:rFonts w:hint="default" w:ascii="Times New Roman" w:hAnsi="Times New Roman" w:eastAsia="宋体" w:cs="Times New Roman"/>
          <w:smallCaps w:val="0"/>
          <w:sz w:val="21"/>
          <w:szCs w:val="21"/>
          <w:lang w:eastAsia="zh-CN"/>
        </w:rPr>
        <w:t>应急</w:t>
      </w:r>
      <w:r>
        <w:rPr>
          <w:rFonts w:hint="eastAsia" w:eastAsia="宋体" w:cs="Times New Roman"/>
          <w:smallCaps w:val="0"/>
          <w:sz w:val="21"/>
          <w:szCs w:val="21"/>
          <w:lang w:eastAsia="zh-CN"/>
        </w:rPr>
        <w:t>救援协议</w:t>
      </w:r>
      <w:r>
        <w:rPr>
          <w:rFonts w:eastAsia="宋体"/>
          <w:sz w:val="21"/>
          <w:szCs w:val="21"/>
        </w:rPr>
        <w:tab/>
      </w:r>
      <w:r>
        <w:rPr>
          <w:rFonts w:eastAsia="宋体"/>
          <w:sz w:val="21"/>
          <w:szCs w:val="21"/>
        </w:rPr>
        <w:fldChar w:fldCharType="begin"/>
      </w:r>
      <w:r>
        <w:rPr>
          <w:rFonts w:eastAsia="宋体"/>
          <w:sz w:val="21"/>
          <w:szCs w:val="21"/>
        </w:rPr>
        <w:instrText xml:space="preserve"> PAGEREF _Toc31613 \h </w:instrText>
      </w:r>
      <w:r>
        <w:rPr>
          <w:rFonts w:eastAsia="宋体"/>
          <w:sz w:val="21"/>
          <w:szCs w:val="21"/>
        </w:rPr>
        <w:fldChar w:fldCharType="separate"/>
      </w:r>
      <w:r>
        <w:rPr>
          <w:rFonts w:eastAsia="宋体"/>
          <w:sz w:val="21"/>
          <w:szCs w:val="21"/>
        </w:rPr>
        <w:t>328</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_Toc25966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1</w:t>
      </w:r>
      <w:r>
        <w:rPr>
          <w:rFonts w:hint="eastAsia" w:eastAsia="宋体" w:cs="Times New Roman"/>
          <w:smallCaps w:val="0"/>
          <w:sz w:val="21"/>
          <w:szCs w:val="21"/>
          <w:lang w:val="en-US" w:eastAsia="zh-CN"/>
        </w:rPr>
        <w:t>6</w:t>
      </w:r>
      <w:r>
        <w:rPr>
          <w:rFonts w:hint="default" w:ascii="Times New Roman" w:hAnsi="Times New Roman" w:eastAsia="宋体" w:cs="Times New Roman"/>
          <w:smallCaps w:val="0"/>
          <w:sz w:val="21"/>
          <w:szCs w:val="21"/>
          <w:lang w:val="en-US" w:eastAsia="zh-CN"/>
        </w:rPr>
        <w:t xml:space="preserve"> </w:t>
      </w:r>
      <w:r>
        <w:rPr>
          <w:rFonts w:hint="eastAsia" w:eastAsia="宋体" w:cs="Times New Roman"/>
          <w:smallCaps w:val="0"/>
          <w:sz w:val="21"/>
          <w:szCs w:val="21"/>
          <w:lang w:val="en-US" w:eastAsia="zh-CN"/>
        </w:rPr>
        <w:t>修井机、井架底座等设备设施</w:t>
      </w:r>
      <w:r>
        <w:rPr>
          <w:rFonts w:hint="eastAsia" w:eastAsia="宋体" w:cs="Times New Roman"/>
          <w:smallCaps w:val="0"/>
          <w:sz w:val="21"/>
          <w:szCs w:val="21"/>
          <w:lang w:eastAsia="zh-CN"/>
        </w:rPr>
        <w:t>台账及部分检验检测报告、</w:t>
      </w:r>
      <w:r>
        <w:rPr>
          <w:rFonts w:hint="eastAsia" w:eastAsia="宋体" w:cs="Times New Roman"/>
          <w:smallCaps w:val="0"/>
          <w:sz w:val="21"/>
          <w:szCs w:val="21"/>
          <w:lang w:val="en-US" w:eastAsia="zh-CN"/>
        </w:rPr>
        <w:t>修井机整机检测评估分级报告设备问题整改记录</w:t>
      </w:r>
      <w:r>
        <w:rPr>
          <w:rFonts w:eastAsia="宋体"/>
          <w:sz w:val="21"/>
          <w:szCs w:val="21"/>
        </w:rPr>
        <w:tab/>
      </w:r>
      <w:r>
        <w:rPr>
          <w:rFonts w:eastAsia="宋体"/>
          <w:sz w:val="21"/>
          <w:szCs w:val="21"/>
        </w:rPr>
        <w:fldChar w:fldCharType="begin"/>
      </w:r>
      <w:r>
        <w:rPr>
          <w:rFonts w:eastAsia="宋体"/>
          <w:sz w:val="21"/>
          <w:szCs w:val="21"/>
        </w:rPr>
        <w:instrText xml:space="preserve"> PAGEREF _Toc25966 \h </w:instrText>
      </w:r>
      <w:r>
        <w:rPr>
          <w:rFonts w:eastAsia="宋体"/>
          <w:sz w:val="21"/>
          <w:szCs w:val="21"/>
        </w:rPr>
        <w:fldChar w:fldCharType="separate"/>
      </w:r>
      <w:r>
        <w:rPr>
          <w:rFonts w:eastAsia="宋体"/>
          <w:sz w:val="21"/>
          <w:szCs w:val="21"/>
        </w:rPr>
        <w:t>332</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_Toc8392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eastAsia" w:eastAsia="宋体" w:cs="Times New Roman"/>
          <w:smallCaps w:val="0"/>
          <w:sz w:val="21"/>
          <w:szCs w:val="21"/>
          <w:lang w:val="en-US" w:eastAsia="zh-CN"/>
        </w:rPr>
        <w:t>17</w:t>
      </w:r>
      <w:r>
        <w:rPr>
          <w:rFonts w:hint="default" w:ascii="Times New Roman" w:hAnsi="Times New Roman" w:eastAsia="宋体" w:cs="Times New Roman"/>
          <w:smallCaps w:val="0"/>
          <w:sz w:val="21"/>
          <w:szCs w:val="21"/>
          <w:lang w:val="en-US" w:eastAsia="zh-CN"/>
        </w:rPr>
        <w:t xml:space="preserve"> </w:t>
      </w:r>
      <w:r>
        <w:rPr>
          <w:rFonts w:hint="eastAsia" w:eastAsia="宋体" w:cs="Times New Roman"/>
          <w:smallCaps w:val="0"/>
          <w:sz w:val="21"/>
          <w:szCs w:val="21"/>
          <w:lang w:eastAsia="zh-CN"/>
        </w:rPr>
        <w:t>安全阀、压力表检验检测台账及部分检测检验报告</w:t>
      </w:r>
      <w:r>
        <w:rPr>
          <w:rFonts w:eastAsia="宋体"/>
          <w:sz w:val="21"/>
          <w:szCs w:val="21"/>
        </w:rPr>
        <w:tab/>
      </w:r>
      <w:r>
        <w:rPr>
          <w:rFonts w:eastAsia="宋体"/>
          <w:sz w:val="21"/>
          <w:szCs w:val="21"/>
        </w:rPr>
        <w:fldChar w:fldCharType="begin"/>
      </w:r>
      <w:r>
        <w:rPr>
          <w:rFonts w:eastAsia="宋体"/>
          <w:sz w:val="21"/>
          <w:szCs w:val="21"/>
        </w:rPr>
        <w:instrText xml:space="preserve"> PAGEREF _Toc8392 \h </w:instrText>
      </w:r>
      <w:r>
        <w:rPr>
          <w:rFonts w:eastAsia="宋体"/>
          <w:sz w:val="21"/>
          <w:szCs w:val="21"/>
        </w:rPr>
        <w:fldChar w:fldCharType="separate"/>
      </w:r>
      <w:r>
        <w:rPr>
          <w:rFonts w:eastAsia="宋体"/>
          <w:sz w:val="21"/>
          <w:szCs w:val="21"/>
        </w:rPr>
        <w:t>352</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_Toc7722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eastAsia" w:eastAsia="宋体" w:cs="Times New Roman"/>
          <w:smallCaps w:val="0"/>
          <w:sz w:val="21"/>
          <w:szCs w:val="21"/>
          <w:lang w:val="en-US" w:eastAsia="zh-CN"/>
        </w:rPr>
        <w:t>18</w:t>
      </w:r>
      <w:r>
        <w:rPr>
          <w:rFonts w:hint="default" w:ascii="Times New Roman" w:hAnsi="Times New Roman" w:eastAsia="宋体" w:cs="Times New Roman"/>
          <w:smallCaps w:val="0"/>
          <w:sz w:val="21"/>
          <w:szCs w:val="21"/>
          <w:lang w:val="en-US" w:eastAsia="zh-CN"/>
        </w:rPr>
        <w:t xml:space="preserve"> </w:t>
      </w:r>
      <w:r>
        <w:rPr>
          <w:rFonts w:hint="eastAsia" w:eastAsia="宋体" w:cs="Times New Roman"/>
          <w:smallCaps w:val="0"/>
          <w:sz w:val="21"/>
          <w:szCs w:val="21"/>
          <w:lang w:eastAsia="zh-CN"/>
        </w:rPr>
        <w:t>空呼、气体检测报警仪检验检测台账及部分检测检验报告</w:t>
      </w:r>
      <w:r>
        <w:rPr>
          <w:rFonts w:eastAsia="宋体"/>
          <w:sz w:val="21"/>
          <w:szCs w:val="21"/>
        </w:rPr>
        <w:tab/>
      </w:r>
      <w:r>
        <w:rPr>
          <w:rFonts w:eastAsia="宋体"/>
          <w:sz w:val="21"/>
          <w:szCs w:val="21"/>
        </w:rPr>
        <w:fldChar w:fldCharType="begin"/>
      </w:r>
      <w:r>
        <w:rPr>
          <w:rFonts w:eastAsia="宋体"/>
          <w:sz w:val="21"/>
          <w:szCs w:val="21"/>
        </w:rPr>
        <w:instrText xml:space="preserve"> PAGEREF _Toc7722 \h </w:instrText>
      </w:r>
      <w:r>
        <w:rPr>
          <w:rFonts w:eastAsia="宋体"/>
          <w:sz w:val="21"/>
          <w:szCs w:val="21"/>
        </w:rPr>
        <w:fldChar w:fldCharType="separate"/>
      </w:r>
      <w:r>
        <w:rPr>
          <w:rFonts w:eastAsia="宋体"/>
          <w:sz w:val="21"/>
          <w:szCs w:val="21"/>
        </w:rPr>
        <w:t>359</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_Toc28453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eastAsia" w:eastAsia="宋体" w:cs="Times New Roman"/>
          <w:smallCaps w:val="0"/>
          <w:sz w:val="21"/>
          <w:szCs w:val="21"/>
          <w:lang w:val="en-US" w:eastAsia="zh-CN"/>
        </w:rPr>
        <w:t xml:space="preserve">19 </w:t>
      </w:r>
      <w:r>
        <w:rPr>
          <w:rFonts w:hint="default" w:ascii="Times New Roman" w:hAnsi="Times New Roman" w:eastAsia="宋体" w:cs="Times New Roman"/>
          <w:smallCaps w:val="0"/>
          <w:sz w:val="21"/>
          <w:szCs w:val="21"/>
          <w:lang w:val="en-US" w:eastAsia="zh-CN"/>
        </w:rPr>
        <w:t>安全生产费用提取及使用证明材料</w:t>
      </w:r>
      <w:r>
        <w:rPr>
          <w:rFonts w:eastAsia="宋体"/>
          <w:sz w:val="21"/>
          <w:szCs w:val="21"/>
        </w:rPr>
        <w:tab/>
      </w:r>
      <w:r>
        <w:rPr>
          <w:rFonts w:eastAsia="宋体"/>
          <w:sz w:val="21"/>
          <w:szCs w:val="21"/>
        </w:rPr>
        <w:fldChar w:fldCharType="begin"/>
      </w:r>
      <w:r>
        <w:rPr>
          <w:rFonts w:eastAsia="宋体"/>
          <w:sz w:val="21"/>
          <w:szCs w:val="21"/>
        </w:rPr>
        <w:instrText xml:space="preserve"> PAGEREF _Toc28453 \h </w:instrText>
      </w:r>
      <w:r>
        <w:rPr>
          <w:rFonts w:eastAsia="宋体"/>
          <w:sz w:val="21"/>
          <w:szCs w:val="21"/>
        </w:rPr>
        <w:fldChar w:fldCharType="separate"/>
      </w:r>
      <w:r>
        <w:rPr>
          <w:rFonts w:eastAsia="宋体"/>
          <w:sz w:val="21"/>
          <w:szCs w:val="21"/>
        </w:rPr>
        <w:t>386</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_Toc23165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2</w:t>
      </w:r>
      <w:r>
        <w:rPr>
          <w:rFonts w:hint="eastAsia" w:eastAsia="宋体" w:cs="Times New Roman"/>
          <w:smallCaps w:val="0"/>
          <w:sz w:val="21"/>
          <w:szCs w:val="21"/>
          <w:lang w:val="en-US" w:eastAsia="zh-CN"/>
        </w:rPr>
        <w:t>0</w:t>
      </w:r>
      <w:r>
        <w:rPr>
          <w:rFonts w:hint="default" w:ascii="Times New Roman" w:hAnsi="Times New Roman" w:eastAsia="宋体" w:cs="Times New Roman"/>
          <w:smallCaps w:val="0"/>
          <w:sz w:val="21"/>
          <w:szCs w:val="21"/>
          <w:lang w:val="en-US" w:eastAsia="zh-CN"/>
        </w:rPr>
        <w:t xml:space="preserve"> </w:t>
      </w:r>
      <w:r>
        <w:rPr>
          <w:rFonts w:hint="default" w:ascii="Times New Roman" w:hAnsi="Times New Roman" w:eastAsia="宋体" w:cs="Times New Roman"/>
          <w:smallCaps w:val="0"/>
          <w:sz w:val="21"/>
          <w:szCs w:val="21"/>
        </w:rPr>
        <w:t>安全教育培训</w:t>
      </w:r>
      <w:r>
        <w:rPr>
          <w:rFonts w:hint="default" w:ascii="Times New Roman" w:hAnsi="Times New Roman" w:eastAsia="宋体" w:cs="Times New Roman"/>
          <w:smallCaps w:val="0"/>
          <w:sz w:val="21"/>
          <w:szCs w:val="21"/>
          <w:lang w:eastAsia="zh-CN"/>
        </w:rPr>
        <w:t>资料</w:t>
      </w:r>
      <w:r>
        <w:rPr>
          <w:rFonts w:eastAsia="宋体"/>
          <w:sz w:val="21"/>
          <w:szCs w:val="21"/>
        </w:rPr>
        <w:tab/>
      </w:r>
      <w:r>
        <w:rPr>
          <w:rFonts w:eastAsia="宋体"/>
          <w:sz w:val="21"/>
          <w:szCs w:val="21"/>
        </w:rPr>
        <w:fldChar w:fldCharType="begin"/>
      </w:r>
      <w:r>
        <w:rPr>
          <w:rFonts w:eastAsia="宋体"/>
          <w:sz w:val="21"/>
          <w:szCs w:val="21"/>
        </w:rPr>
        <w:instrText xml:space="preserve"> PAGEREF _Toc23165 \h </w:instrText>
      </w:r>
      <w:r>
        <w:rPr>
          <w:rFonts w:eastAsia="宋体"/>
          <w:sz w:val="21"/>
          <w:szCs w:val="21"/>
        </w:rPr>
        <w:fldChar w:fldCharType="separate"/>
      </w:r>
      <w:r>
        <w:rPr>
          <w:rFonts w:eastAsia="宋体"/>
          <w:sz w:val="21"/>
          <w:szCs w:val="21"/>
        </w:rPr>
        <w:t>403</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_Toc4237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2</w:t>
      </w:r>
      <w:r>
        <w:rPr>
          <w:rFonts w:hint="eastAsia" w:eastAsia="宋体" w:cs="Times New Roman"/>
          <w:smallCaps w:val="0"/>
          <w:sz w:val="21"/>
          <w:szCs w:val="21"/>
          <w:lang w:val="en-US" w:eastAsia="zh-CN"/>
        </w:rPr>
        <w:t>1</w:t>
      </w:r>
      <w:r>
        <w:rPr>
          <w:rFonts w:hint="default" w:ascii="Times New Roman" w:hAnsi="Times New Roman" w:eastAsia="宋体" w:cs="Times New Roman"/>
          <w:smallCaps w:val="0"/>
          <w:sz w:val="21"/>
          <w:szCs w:val="21"/>
          <w:lang w:val="en-US" w:eastAsia="zh-CN"/>
        </w:rPr>
        <w:t xml:space="preserve"> 劳动防护用品发放记录</w:t>
      </w:r>
      <w:r>
        <w:rPr>
          <w:rFonts w:eastAsia="宋体"/>
          <w:sz w:val="21"/>
          <w:szCs w:val="21"/>
        </w:rPr>
        <w:tab/>
      </w:r>
      <w:r>
        <w:rPr>
          <w:rFonts w:eastAsia="宋体"/>
          <w:sz w:val="21"/>
          <w:szCs w:val="21"/>
        </w:rPr>
        <w:fldChar w:fldCharType="begin"/>
      </w:r>
      <w:r>
        <w:rPr>
          <w:rFonts w:eastAsia="宋体"/>
          <w:sz w:val="21"/>
          <w:szCs w:val="21"/>
        </w:rPr>
        <w:instrText xml:space="preserve"> PAGEREF _Toc4237 \h </w:instrText>
      </w:r>
      <w:r>
        <w:rPr>
          <w:rFonts w:eastAsia="宋体"/>
          <w:sz w:val="21"/>
          <w:szCs w:val="21"/>
        </w:rPr>
        <w:fldChar w:fldCharType="separate"/>
      </w:r>
      <w:r>
        <w:rPr>
          <w:rFonts w:eastAsia="宋体"/>
          <w:sz w:val="21"/>
          <w:szCs w:val="21"/>
        </w:rPr>
        <w:t>428</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_Toc3398 </w:instrText>
      </w:r>
      <w:r>
        <w:rPr>
          <w:rFonts w:eastAsia="宋体"/>
          <w:sz w:val="21"/>
          <w:szCs w:val="21"/>
        </w:rPr>
        <w:fldChar w:fldCharType="separate"/>
      </w:r>
      <w:r>
        <w:rPr>
          <w:rFonts w:hint="default" w:ascii="Times New Roman" w:hAnsi="Times New Roman" w:eastAsia="宋体" w:cs="Times New Roman"/>
          <w:smallCaps w:val="0"/>
          <w:sz w:val="21"/>
          <w:szCs w:val="21"/>
        </w:rPr>
        <w:t>附</w:t>
      </w:r>
      <w:r>
        <w:rPr>
          <w:rFonts w:hint="default" w:ascii="Times New Roman" w:hAnsi="Times New Roman" w:eastAsia="宋体" w:cs="Times New Roman"/>
          <w:smallCaps w:val="0"/>
          <w:sz w:val="21"/>
          <w:szCs w:val="21"/>
          <w:lang w:val="en-US" w:eastAsia="zh-CN"/>
        </w:rPr>
        <w:t>件</w:t>
      </w:r>
      <w:r>
        <w:rPr>
          <w:rFonts w:hint="eastAsia" w:ascii="Times New Roman" w:hAnsi="Times New Roman" w:eastAsia="宋体" w:cs="Times New Roman"/>
          <w:smallCaps w:val="0"/>
          <w:sz w:val="21"/>
          <w:szCs w:val="21"/>
          <w:lang w:val="en-US" w:eastAsia="zh-CN"/>
        </w:rPr>
        <w:t>2</w:t>
      </w:r>
      <w:r>
        <w:rPr>
          <w:rFonts w:hint="eastAsia" w:eastAsia="宋体" w:cs="Times New Roman"/>
          <w:smallCaps w:val="0"/>
          <w:sz w:val="21"/>
          <w:szCs w:val="21"/>
          <w:lang w:val="en-US" w:eastAsia="zh-CN"/>
        </w:rPr>
        <w:t>2</w:t>
      </w:r>
      <w:r>
        <w:rPr>
          <w:rFonts w:hint="eastAsia" w:ascii="Times New Roman" w:hAnsi="Times New Roman" w:eastAsia="宋体" w:cs="Times New Roman"/>
          <w:smallCaps w:val="0"/>
          <w:sz w:val="21"/>
          <w:szCs w:val="21"/>
          <w:lang w:val="en-US" w:eastAsia="zh-CN"/>
        </w:rPr>
        <w:t xml:space="preserve"> </w:t>
      </w:r>
      <w:r>
        <w:rPr>
          <w:rFonts w:hint="default" w:ascii="Times New Roman" w:hAnsi="Times New Roman" w:eastAsia="宋体" w:cs="Times New Roman"/>
          <w:smallCaps w:val="0"/>
          <w:sz w:val="21"/>
          <w:szCs w:val="21"/>
          <w:lang w:val="en-US" w:eastAsia="zh-CN"/>
        </w:rPr>
        <w:t>安全生产责任制封面及目录</w:t>
      </w:r>
      <w:r>
        <w:rPr>
          <w:rFonts w:eastAsia="宋体"/>
          <w:sz w:val="21"/>
          <w:szCs w:val="21"/>
        </w:rPr>
        <w:tab/>
      </w:r>
      <w:r>
        <w:rPr>
          <w:rFonts w:eastAsia="宋体"/>
          <w:sz w:val="21"/>
          <w:szCs w:val="21"/>
        </w:rPr>
        <w:fldChar w:fldCharType="begin"/>
      </w:r>
      <w:r>
        <w:rPr>
          <w:rFonts w:eastAsia="宋体"/>
          <w:sz w:val="21"/>
          <w:szCs w:val="21"/>
        </w:rPr>
        <w:instrText xml:space="preserve"> PAGEREF _Toc3398 \h </w:instrText>
      </w:r>
      <w:r>
        <w:rPr>
          <w:rFonts w:eastAsia="宋体"/>
          <w:sz w:val="21"/>
          <w:szCs w:val="21"/>
        </w:rPr>
        <w:fldChar w:fldCharType="separate"/>
      </w:r>
      <w:r>
        <w:rPr>
          <w:rFonts w:eastAsia="宋体"/>
          <w:sz w:val="21"/>
          <w:szCs w:val="21"/>
        </w:rPr>
        <w:t>431</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_Toc25810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eastAsia" w:ascii="Times New Roman" w:hAnsi="Times New Roman" w:eastAsia="宋体" w:cs="Times New Roman"/>
          <w:smallCaps w:val="0"/>
          <w:sz w:val="21"/>
          <w:szCs w:val="21"/>
          <w:lang w:val="en-US" w:eastAsia="zh-CN"/>
        </w:rPr>
        <w:t>2</w:t>
      </w:r>
      <w:r>
        <w:rPr>
          <w:rFonts w:hint="eastAsia" w:eastAsia="宋体" w:cs="Times New Roman"/>
          <w:smallCaps w:val="0"/>
          <w:sz w:val="21"/>
          <w:szCs w:val="21"/>
          <w:lang w:val="en-US" w:eastAsia="zh-CN"/>
        </w:rPr>
        <w:t>3</w:t>
      </w:r>
      <w:r>
        <w:rPr>
          <w:rFonts w:hint="eastAsia" w:ascii="Times New Roman" w:hAnsi="Times New Roman" w:eastAsia="宋体" w:cs="Times New Roman"/>
          <w:smallCaps w:val="0"/>
          <w:sz w:val="21"/>
          <w:szCs w:val="21"/>
          <w:lang w:val="en-US" w:eastAsia="zh-CN"/>
        </w:rPr>
        <w:t xml:space="preserve"> </w:t>
      </w:r>
      <w:r>
        <w:rPr>
          <w:rFonts w:hint="default" w:ascii="Times New Roman" w:hAnsi="Times New Roman" w:eastAsia="宋体" w:cs="Times New Roman"/>
          <w:smallCaps w:val="0"/>
          <w:sz w:val="21"/>
          <w:szCs w:val="21"/>
          <w:lang w:val="en-US" w:eastAsia="zh-CN"/>
        </w:rPr>
        <w:t>安全管理制度封面及目录</w:t>
      </w:r>
      <w:r>
        <w:rPr>
          <w:rFonts w:eastAsia="宋体"/>
          <w:sz w:val="21"/>
          <w:szCs w:val="21"/>
        </w:rPr>
        <w:tab/>
      </w:r>
      <w:r>
        <w:rPr>
          <w:rFonts w:eastAsia="宋体"/>
          <w:sz w:val="21"/>
          <w:szCs w:val="21"/>
        </w:rPr>
        <w:fldChar w:fldCharType="begin"/>
      </w:r>
      <w:r>
        <w:rPr>
          <w:rFonts w:eastAsia="宋体"/>
          <w:sz w:val="21"/>
          <w:szCs w:val="21"/>
        </w:rPr>
        <w:instrText xml:space="preserve"> PAGEREF _Toc25810 \h </w:instrText>
      </w:r>
      <w:r>
        <w:rPr>
          <w:rFonts w:eastAsia="宋体"/>
          <w:sz w:val="21"/>
          <w:szCs w:val="21"/>
        </w:rPr>
        <w:fldChar w:fldCharType="separate"/>
      </w:r>
      <w:r>
        <w:rPr>
          <w:rFonts w:eastAsia="宋体"/>
          <w:sz w:val="21"/>
          <w:szCs w:val="21"/>
        </w:rPr>
        <w:t>434</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_Toc13748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2</w:t>
      </w:r>
      <w:r>
        <w:rPr>
          <w:rFonts w:hint="eastAsia" w:eastAsia="宋体" w:cs="Times New Roman"/>
          <w:smallCaps w:val="0"/>
          <w:sz w:val="21"/>
          <w:szCs w:val="21"/>
          <w:lang w:val="en-US" w:eastAsia="zh-CN"/>
        </w:rPr>
        <w:t>4</w:t>
      </w:r>
      <w:r>
        <w:rPr>
          <w:rFonts w:hint="eastAsia" w:ascii="Times New Roman" w:hAnsi="Times New Roman" w:eastAsia="宋体" w:cs="Times New Roman"/>
          <w:smallCaps w:val="0"/>
          <w:sz w:val="21"/>
          <w:szCs w:val="21"/>
          <w:lang w:val="en-US" w:eastAsia="zh-CN"/>
        </w:rPr>
        <w:t xml:space="preserve"> </w:t>
      </w:r>
      <w:r>
        <w:rPr>
          <w:rFonts w:hint="default" w:ascii="Times New Roman" w:hAnsi="Times New Roman" w:eastAsia="宋体" w:cs="Times New Roman"/>
          <w:smallCaps w:val="0"/>
          <w:sz w:val="21"/>
          <w:szCs w:val="21"/>
          <w:lang w:val="en-US" w:eastAsia="zh-CN"/>
        </w:rPr>
        <w:t>操作规程封面及目录</w:t>
      </w:r>
      <w:r>
        <w:rPr>
          <w:rFonts w:eastAsia="宋体"/>
          <w:sz w:val="21"/>
          <w:szCs w:val="21"/>
        </w:rPr>
        <w:tab/>
      </w:r>
      <w:r>
        <w:rPr>
          <w:rFonts w:eastAsia="宋体"/>
          <w:sz w:val="21"/>
          <w:szCs w:val="21"/>
        </w:rPr>
        <w:fldChar w:fldCharType="begin"/>
      </w:r>
      <w:r>
        <w:rPr>
          <w:rFonts w:eastAsia="宋体"/>
          <w:sz w:val="21"/>
          <w:szCs w:val="21"/>
        </w:rPr>
        <w:instrText xml:space="preserve"> PAGEREF _Toc13748 \h </w:instrText>
      </w:r>
      <w:r>
        <w:rPr>
          <w:rFonts w:eastAsia="宋体"/>
          <w:sz w:val="21"/>
          <w:szCs w:val="21"/>
        </w:rPr>
        <w:fldChar w:fldCharType="separate"/>
      </w:r>
      <w:r>
        <w:rPr>
          <w:rFonts w:eastAsia="宋体"/>
          <w:sz w:val="21"/>
          <w:szCs w:val="21"/>
        </w:rPr>
        <w:t>437</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_Toc14955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2</w:t>
      </w:r>
      <w:r>
        <w:rPr>
          <w:rFonts w:hint="eastAsia" w:eastAsia="宋体" w:cs="Times New Roman"/>
          <w:smallCaps w:val="0"/>
          <w:sz w:val="21"/>
          <w:szCs w:val="21"/>
          <w:lang w:val="en-US" w:eastAsia="zh-CN"/>
        </w:rPr>
        <w:t>5</w:t>
      </w:r>
      <w:r>
        <w:rPr>
          <w:rFonts w:hint="eastAsia" w:ascii="Times New Roman" w:hAnsi="Times New Roman" w:eastAsia="宋体" w:cs="Times New Roman"/>
          <w:smallCaps w:val="0"/>
          <w:sz w:val="21"/>
          <w:szCs w:val="21"/>
          <w:lang w:val="en-US" w:eastAsia="zh-CN"/>
        </w:rPr>
        <w:t xml:space="preserve"> </w:t>
      </w:r>
      <w:r>
        <w:rPr>
          <w:rFonts w:hint="eastAsia" w:eastAsia="宋体" w:cs="Times New Roman"/>
          <w:smallCaps w:val="0"/>
          <w:sz w:val="21"/>
          <w:szCs w:val="21"/>
          <w:lang w:val="en-US" w:eastAsia="zh-CN"/>
        </w:rPr>
        <w:t>设备租赁合同</w:t>
      </w:r>
      <w:r>
        <w:rPr>
          <w:rFonts w:eastAsia="宋体"/>
          <w:sz w:val="21"/>
          <w:szCs w:val="21"/>
        </w:rPr>
        <w:tab/>
      </w:r>
      <w:r>
        <w:rPr>
          <w:rFonts w:eastAsia="宋体"/>
          <w:sz w:val="21"/>
          <w:szCs w:val="21"/>
        </w:rPr>
        <w:fldChar w:fldCharType="begin"/>
      </w:r>
      <w:r>
        <w:rPr>
          <w:rFonts w:eastAsia="宋体"/>
          <w:sz w:val="21"/>
          <w:szCs w:val="21"/>
        </w:rPr>
        <w:instrText xml:space="preserve"> PAGEREF _Toc14955 \h </w:instrText>
      </w:r>
      <w:r>
        <w:rPr>
          <w:rFonts w:eastAsia="宋体"/>
          <w:sz w:val="21"/>
          <w:szCs w:val="21"/>
        </w:rPr>
        <w:fldChar w:fldCharType="separate"/>
      </w:r>
      <w:r>
        <w:rPr>
          <w:rFonts w:eastAsia="宋体"/>
          <w:sz w:val="21"/>
          <w:szCs w:val="21"/>
        </w:rPr>
        <w:t>440</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_Toc3171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2</w:t>
      </w:r>
      <w:r>
        <w:rPr>
          <w:rFonts w:hint="eastAsia" w:eastAsia="宋体" w:cs="Times New Roman"/>
          <w:smallCaps w:val="0"/>
          <w:sz w:val="21"/>
          <w:szCs w:val="21"/>
          <w:lang w:val="en-US" w:eastAsia="zh-CN"/>
        </w:rPr>
        <w:t>6</w:t>
      </w:r>
      <w:r>
        <w:rPr>
          <w:rFonts w:hint="eastAsia" w:ascii="Times New Roman" w:hAnsi="Times New Roman" w:eastAsia="宋体" w:cs="Times New Roman"/>
          <w:smallCaps w:val="0"/>
          <w:sz w:val="21"/>
          <w:szCs w:val="21"/>
          <w:lang w:val="en-US" w:eastAsia="zh-CN"/>
        </w:rPr>
        <w:t xml:space="preserve"> </w:t>
      </w:r>
      <w:r>
        <w:rPr>
          <w:rFonts w:hint="eastAsia" w:eastAsia="宋体" w:cs="Times New Roman"/>
          <w:smallCaps w:val="0"/>
          <w:sz w:val="21"/>
          <w:szCs w:val="21"/>
          <w:lang w:val="en-US" w:eastAsia="zh-CN"/>
        </w:rPr>
        <w:t>井架防雷检测台账及部分检测报告</w:t>
      </w:r>
      <w:r>
        <w:rPr>
          <w:rFonts w:eastAsia="宋体"/>
          <w:sz w:val="21"/>
          <w:szCs w:val="21"/>
        </w:rPr>
        <w:tab/>
      </w:r>
      <w:r>
        <w:rPr>
          <w:rFonts w:eastAsia="宋体"/>
          <w:sz w:val="21"/>
          <w:szCs w:val="21"/>
        </w:rPr>
        <w:fldChar w:fldCharType="begin"/>
      </w:r>
      <w:r>
        <w:rPr>
          <w:rFonts w:eastAsia="宋体"/>
          <w:sz w:val="21"/>
          <w:szCs w:val="21"/>
        </w:rPr>
        <w:instrText xml:space="preserve"> PAGEREF _Toc3171 \h </w:instrText>
      </w:r>
      <w:r>
        <w:rPr>
          <w:rFonts w:eastAsia="宋体"/>
          <w:sz w:val="21"/>
          <w:szCs w:val="21"/>
        </w:rPr>
        <w:fldChar w:fldCharType="separate"/>
      </w:r>
      <w:r>
        <w:rPr>
          <w:rFonts w:eastAsia="宋体"/>
          <w:sz w:val="21"/>
          <w:szCs w:val="21"/>
        </w:rPr>
        <w:t>448</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_Toc25492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2</w:t>
      </w:r>
      <w:r>
        <w:rPr>
          <w:rFonts w:hint="eastAsia" w:eastAsia="宋体" w:cs="Times New Roman"/>
          <w:smallCaps w:val="0"/>
          <w:sz w:val="21"/>
          <w:szCs w:val="21"/>
          <w:lang w:val="en-US" w:eastAsia="zh-CN"/>
        </w:rPr>
        <w:t>7</w:t>
      </w:r>
      <w:r>
        <w:rPr>
          <w:rFonts w:hint="eastAsia" w:ascii="Times New Roman" w:hAnsi="Times New Roman" w:eastAsia="宋体" w:cs="Times New Roman"/>
          <w:smallCaps w:val="0"/>
          <w:sz w:val="21"/>
          <w:szCs w:val="21"/>
          <w:lang w:val="en-US" w:eastAsia="zh-CN"/>
        </w:rPr>
        <w:t xml:space="preserve"> </w:t>
      </w:r>
      <w:r>
        <w:rPr>
          <w:rFonts w:hint="eastAsia" w:eastAsia="宋体" w:cs="Times New Roman"/>
          <w:smallCaps w:val="0"/>
          <w:sz w:val="21"/>
          <w:szCs w:val="21"/>
          <w:lang w:val="en-US" w:eastAsia="zh-CN"/>
        </w:rPr>
        <w:t>承包商列表、资质及入场教育培训及监督检查</w:t>
      </w:r>
      <w:r>
        <w:rPr>
          <w:rFonts w:eastAsia="宋体"/>
          <w:sz w:val="21"/>
          <w:szCs w:val="21"/>
        </w:rPr>
        <w:tab/>
      </w:r>
      <w:r>
        <w:rPr>
          <w:rFonts w:eastAsia="宋体"/>
          <w:sz w:val="21"/>
          <w:szCs w:val="21"/>
        </w:rPr>
        <w:fldChar w:fldCharType="begin"/>
      </w:r>
      <w:r>
        <w:rPr>
          <w:rFonts w:eastAsia="宋体"/>
          <w:sz w:val="21"/>
          <w:szCs w:val="21"/>
        </w:rPr>
        <w:instrText xml:space="preserve"> PAGEREF _Toc25492 \h </w:instrText>
      </w:r>
      <w:r>
        <w:rPr>
          <w:rFonts w:eastAsia="宋体"/>
          <w:sz w:val="21"/>
          <w:szCs w:val="21"/>
        </w:rPr>
        <w:fldChar w:fldCharType="separate"/>
      </w:r>
      <w:r>
        <w:rPr>
          <w:rFonts w:eastAsia="宋体"/>
          <w:sz w:val="21"/>
          <w:szCs w:val="21"/>
        </w:rPr>
        <w:t>454</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eastAsia="宋体"/>
          <w:sz w:val="21"/>
          <w:szCs w:val="21"/>
        </w:rPr>
      </w:pPr>
      <w:r>
        <w:rPr>
          <w:rFonts w:eastAsia="宋体"/>
          <w:sz w:val="21"/>
          <w:szCs w:val="21"/>
        </w:rPr>
        <w:fldChar w:fldCharType="begin"/>
      </w:r>
      <w:r>
        <w:rPr>
          <w:rFonts w:eastAsia="宋体"/>
          <w:sz w:val="21"/>
          <w:szCs w:val="21"/>
        </w:rPr>
        <w:instrText xml:space="preserve"> HYPERLINK \l _Toc28258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2</w:t>
      </w:r>
      <w:r>
        <w:rPr>
          <w:rFonts w:hint="eastAsia" w:eastAsia="宋体" w:cs="Times New Roman"/>
          <w:smallCaps w:val="0"/>
          <w:sz w:val="21"/>
          <w:szCs w:val="21"/>
          <w:lang w:val="en-US" w:eastAsia="zh-CN"/>
        </w:rPr>
        <w:t>8</w:t>
      </w:r>
      <w:r>
        <w:rPr>
          <w:rFonts w:hint="eastAsia" w:ascii="Times New Roman" w:hAnsi="Times New Roman" w:eastAsia="宋体" w:cs="Times New Roman"/>
          <w:smallCaps w:val="0"/>
          <w:sz w:val="21"/>
          <w:szCs w:val="21"/>
          <w:lang w:val="en-US" w:eastAsia="zh-CN"/>
        </w:rPr>
        <w:t xml:space="preserve"> </w:t>
      </w:r>
      <w:r>
        <w:rPr>
          <w:rFonts w:hint="eastAsia" w:eastAsia="宋体" w:cs="Times New Roman"/>
          <w:smallCaps w:val="0"/>
          <w:sz w:val="21"/>
          <w:szCs w:val="21"/>
          <w:lang w:val="en-US" w:eastAsia="zh-CN"/>
        </w:rPr>
        <w:t>技术交底记录单</w:t>
      </w:r>
      <w:r>
        <w:rPr>
          <w:rFonts w:eastAsia="宋体"/>
          <w:sz w:val="21"/>
          <w:szCs w:val="21"/>
        </w:rPr>
        <w:tab/>
      </w:r>
      <w:r>
        <w:rPr>
          <w:rFonts w:eastAsia="宋体"/>
          <w:sz w:val="21"/>
          <w:szCs w:val="21"/>
        </w:rPr>
        <w:fldChar w:fldCharType="begin"/>
      </w:r>
      <w:r>
        <w:rPr>
          <w:rFonts w:eastAsia="宋体"/>
          <w:sz w:val="21"/>
          <w:szCs w:val="21"/>
        </w:rPr>
        <w:instrText xml:space="preserve"> PAGEREF _Toc28258 \h </w:instrText>
      </w:r>
      <w:r>
        <w:rPr>
          <w:rFonts w:eastAsia="宋体"/>
          <w:sz w:val="21"/>
          <w:szCs w:val="21"/>
        </w:rPr>
        <w:fldChar w:fldCharType="separate"/>
      </w:r>
      <w:r>
        <w:rPr>
          <w:rFonts w:eastAsia="宋体"/>
          <w:sz w:val="21"/>
          <w:szCs w:val="21"/>
        </w:rPr>
        <w:t>465</w:t>
      </w:r>
      <w:r>
        <w:rPr>
          <w:rFonts w:eastAsia="宋体"/>
          <w:sz w:val="21"/>
          <w:szCs w:val="21"/>
        </w:rPr>
        <w:fldChar w:fldCharType="end"/>
      </w:r>
      <w:r>
        <w:rPr>
          <w:rFonts w:eastAsia="宋体"/>
          <w:sz w:val="21"/>
          <w:szCs w:val="21"/>
        </w:rPr>
        <w:fldChar w:fldCharType="end"/>
      </w:r>
    </w:p>
    <w:p>
      <w:pPr>
        <w:pStyle w:val="36"/>
        <w:keepNext w:val="0"/>
        <w:keepLines w:val="0"/>
        <w:pageBreakBefore w:val="0"/>
        <w:widowControl w:val="0"/>
        <w:tabs>
          <w:tab w:val="right" w:leader="dot" w:pos="8306"/>
          <w:tab w:val="clear" w:pos="8302"/>
        </w:tabs>
        <w:kinsoku/>
        <w:wordWrap/>
        <w:overflowPunct/>
        <w:topLinePunct w:val="0"/>
        <w:autoSpaceDE/>
        <w:autoSpaceDN/>
        <w:bidi w:val="0"/>
        <w:adjustRightInd w:val="0"/>
        <w:snapToGrid w:val="0"/>
        <w:spacing w:line="340" w:lineRule="exact"/>
        <w:textAlignment w:val="auto"/>
        <w:rPr>
          <w:rFonts w:hint="default" w:eastAsia="宋体"/>
          <w:sz w:val="21"/>
          <w:szCs w:val="21"/>
          <w:lang w:val="en-US" w:eastAsia="zh-CN"/>
        </w:rPr>
      </w:pPr>
      <w:r>
        <w:rPr>
          <w:rFonts w:eastAsia="宋体"/>
          <w:sz w:val="21"/>
          <w:szCs w:val="21"/>
        </w:rPr>
        <w:fldChar w:fldCharType="begin"/>
      </w:r>
      <w:r>
        <w:rPr>
          <w:rFonts w:eastAsia="宋体"/>
          <w:sz w:val="21"/>
          <w:szCs w:val="21"/>
        </w:rPr>
        <w:instrText xml:space="preserve"> HYPERLINK \l _Toc28258 </w:instrText>
      </w:r>
      <w:r>
        <w:rPr>
          <w:rFonts w:eastAsia="宋体"/>
          <w:sz w:val="21"/>
          <w:szCs w:val="21"/>
        </w:rPr>
        <w:fldChar w:fldCharType="separate"/>
      </w:r>
      <w:r>
        <w:rPr>
          <w:rFonts w:hint="default" w:ascii="Times New Roman" w:hAnsi="Times New Roman" w:eastAsia="宋体" w:cs="Times New Roman"/>
          <w:smallCaps w:val="0"/>
          <w:sz w:val="21"/>
          <w:szCs w:val="21"/>
        </w:rPr>
        <w:t>附件</w:t>
      </w:r>
      <w:r>
        <w:rPr>
          <w:rFonts w:hint="default" w:ascii="Times New Roman" w:hAnsi="Times New Roman" w:eastAsia="宋体" w:cs="Times New Roman"/>
          <w:smallCaps w:val="0"/>
          <w:sz w:val="21"/>
          <w:szCs w:val="21"/>
          <w:lang w:val="en-US" w:eastAsia="zh-CN"/>
        </w:rPr>
        <w:t>2</w:t>
      </w:r>
      <w:r>
        <w:rPr>
          <w:rFonts w:hint="eastAsia" w:cs="Times New Roman"/>
          <w:smallCaps w:val="0"/>
          <w:sz w:val="21"/>
          <w:szCs w:val="21"/>
          <w:lang w:val="en-US" w:eastAsia="zh-CN"/>
        </w:rPr>
        <w:t>9</w:t>
      </w:r>
      <w:r>
        <w:rPr>
          <w:rFonts w:hint="eastAsia" w:ascii="Times New Roman" w:hAnsi="Times New Roman" w:eastAsia="宋体" w:cs="Times New Roman"/>
          <w:smallCaps w:val="0"/>
          <w:sz w:val="21"/>
          <w:szCs w:val="21"/>
          <w:lang w:val="en-US" w:eastAsia="zh-CN"/>
        </w:rPr>
        <w:t xml:space="preserve"> </w:t>
      </w:r>
      <w:r>
        <w:rPr>
          <w:rFonts w:hint="eastAsia" w:cs="Times New Roman"/>
          <w:smallCaps w:val="0"/>
          <w:sz w:val="21"/>
          <w:szCs w:val="21"/>
          <w:lang w:val="en-US" w:eastAsia="zh-CN"/>
        </w:rPr>
        <w:t>现场核查意见及报告修改说明</w:t>
      </w:r>
      <w:r>
        <w:rPr>
          <w:rFonts w:eastAsia="宋体"/>
          <w:sz w:val="21"/>
          <w:szCs w:val="21"/>
        </w:rPr>
        <w:tab/>
      </w:r>
      <w:r>
        <w:rPr>
          <w:rFonts w:hint="eastAsia"/>
          <w:sz w:val="21"/>
          <w:szCs w:val="21"/>
          <w:lang w:val="en-US" w:eastAsia="zh-CN"/>
        </w:rPr>
        <w:t>4</w:t>
      </w:r>
      <w:r>
        <w:rPr>
          <w:rFonts w:eastAsia="宋体"/>
          <w:sz w:val="21"/>
          <w:szCs w:val="21"/>
        </w:rPr>
        <w:fldChar w:fldCharType="end"/>
      </w:r>
      <w:r>
        <w:rPr>
          <w:rFonts w:hint="eastAsia"/>
          <w:sz w:val="21"/>
          <w:szCs w:val="21"/>
          <w:lang w:val="en-US" w:eastAsia="zh-CN"/>
        </w:rPr>
        <w:t>65</w:t>
      </w:r>
    </w:p>
    <w:p/>
    <w:p>
      <w:pPr>
        <w:pStyle w:val="3"/>
        <w:adjustRightInd w:val="0"/>
        <w:snapToGrid w:val="0"/>
        <w:spacing w:line="360" w:lineRule="auto"/>
        <w:rPr>
          <w:szCs w:val="21"/>
        </w:rPr>
        <w:sectPr>
          <w:headerReference r:id="rId9" w:type="default"/>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AndChars" w:linePitch="312" w:charSpace="0"/>
        </w:sectPr>
      </w:pPr>
      <w:r>
        <w:rPr>
          <w:szCs w:val="21"/>
        </w:rPr>
        <w:fldChar w:fldCharType="end"/>
      </w:r>
      <w:bookmarkStart w:id="0" w:name="_Toc14772"/>
    </w:p>
    <w:p>
      <w:pPr>
        <w:pStyle w:val="3"/>
        <w:adjustRightInd w:val="0"/>
        <w:snapToGrid w:val="0"/>
        <w:spacing w:line="360" w:lineRule="auto"/>
        <w:rPr>
          <w:rFonts w:eastAsia="楷体_GB2312"/>
          <w:b/>
          <w:sz w:val="36"/>
          <w:szCs w:val="36"/>
        </w:rPr>
      </w:pPr>
      <w:r>
        <w:rPr>
          <w:rFonts w:hint="eastAsia" w:eastAsia="楷体_GB2312"/>
          <w:b/>
          <w:sz w:val="36"/>
          <w:szCs w:val="36"/>
        </w:rPr>
        <w:t>1</w:t>
      </w:r>
      <w:r>
        <w:rPr>
          <w:rFonts w:eastAsia="楷体_GB2312"/>
          <w:b/>
          <w:sz w:val="36"/>
          <w:szCs w:val="36"/>
        </w:rPr>
        <w:t xml:space="preserve"> </w:t>
      </w:r>
      <w:r>
        <w:rPr>
          <w:rFonts w:hint="eastAsia" w:eastAsia="楷体_GB2312"/>
          <w:b/>
          <w:sz w:val="36"/>
          <w:szCs w:val="36"/>
        </w:rPr>
        <w:t>总则</w:t>
      </w:r>
      <w:bookmarkEnd w:id="0"/>
    </w:p>
    <w:p>
      <w:pPr>
        <w:pStyle w:val="4"/>
        <w:adjustRightInd w:val="0"/>
        <w:snapToGrid w:val="0"/>
        <w:spacing w:before="0" w:after="0" w:line="360" w:lineRule="auto"/>
        <w:rPr>
          <w:rFonts w:ascii="Times New Roman" w:hAnsi="Times New Roman"/>
          <w:b w:val="0"/>
          <w:bCs/>
          <w:szCs w:val="32"/>
        </w:rPr>
      </w:pPr>
      <w:bookmarkStart w:id="1" w:name="_Toc202759398"/>
      <w:bookmarkStart w:id="2" w:name="_Toc16497"/>
      <w:r>
        <w:rPr>
          <w:rFonts w:hint="eastAsia" w:ascii="Times New Roman" w:hAnsi="Times New Roman"/>
          <w:b w:val="0"/>
          <w:bCs/>
          <w:szCs w:val="32"/>
        </w:rPr>
        <w:t>1.1</w:t>
      </w:r>
      <w:r>
        <w:rPr>
          <w:rFonts w:ascii="Times New Roman" w:hAnsi="Times New Roman"/>
          <w:b w:val="0"/>
          <w:bCs/>
          <w:szCs w:val="32"/>
        </w:rPr>
        <w:t xml:space="preserve"> </w:t>
      </w:r>
      <w:r>
        <w:rPr>
          <w:rFonts w:hint="eastAsia" w:ascii="Times New Roman" w:hAnsi="Times New Roman"/>
          <w:b w:val="0"/>
          <w:bCs/>
          <w:szCs w:val="32"/>
        </w:rPr>
        <w:t>评价目的</w:t>
      </w:r>
      <w:bookmarkEnd w:id="1"/>
      <w:bookmarkEnd w:id="2"/>
    </w:p>
    <w:p>
      <w:pPr>
        <w:adjustRightInd w:val="0"/>
        <w:snapToGrid w:val="0"/>
        <w:spacing w:line="360" w:lineRule="auto"/>
        <w:ind w:firstLine="560" w:firstLineChars="200"/>
        <w:rPr>
          <w:color w:val="auto"/>
          <w:sz w:val="28"/>
          <w:szCs w:val="28"/>
        </w:rPr>
      </w:pPr>
      <w:r>
        <w:rPr>
          <w:rFonts w:hint="eastAsia"/>
          <w:sz w:val="28"/>
          <w:szCs w:val="28"/>
        </w:rPr>
        <w:t>1、按照</w:t>
      </w:r>
      <w:r>
        <w:rPr>
          <w:rFonts w:hint="eastAsia"/>
          <w:sz w:val="28"/>
          <w:szCs w:val="28"/>
          <w:lang w:val="en-US" w:eastAsia="zh-CN"/>
        </w:rPr>
        <w:t>《安全生产许可证条例》（国务院令[2004]第397号，[2014]第653号修订）、《非煤矿矿山企业安全生产许可证实施办法》（国家安全生产监督管理局第20号，第78号修订）、《山东省非煤矿矿山企业安全生产许可证实施方案》（鲁安监发〔2009〕133号）、《应急管理部办公厅关于石油天然气企业安全生产许可的复函》（应急厅函〔2021〕244号）、《关于对钻井、物探、测井、录井、钻井作业、油建企业实施安全生产许可的通知》（鲁应急函〔2021〕86号）等的规定进行安全现状评价，通过评价做出客观的评价结论，明确被评价单位是否具备从事陆上石油天然气企业所规定的各项安全生产条件，为应急管理部门实施监督管理提供依据。</w:t>
      </w:r>
    </w:p>
    <w:p>
      <w:pPr>
        <w:adjustRightInd w:val="0"/>
        <w:snapToGrid w:val="0"/>
        <w:spacing w:line="360" w:lineRule="auto"/>
        <w:ind w:firstLine="560" w:firstLineChars="200"/>
        <w:rPr>
          <w:rFonts w:cs="宋体"/>
          <w:color w:val="auto"/>
          <w:kern w:val="0"/>
          <w:sz w:val="28"/>
          <w:szCs w:val="28"/>
        </w:rPr>
      </w:pPr>
      <w:r>
        <w:rPr>
          <w:rFonts w:hint="eastAsia"/>
          <w:color w:val="auto"/>
          <w:sz w:val="28"/>
          <w:szCs w:val="28"/>
        </w:rPr>
        <w:t>2、通过对</w:t>
      </w:r>
      <w:r>
        <w:rPr>
          <w:rFonts w:hint="eastAsia"/>
          <w:color w:val="auto"/>
          <w:sz w:val="28"/>
          <w:szCs w:val="28"/>
          <w:lang w:eastAsia="zh-CN"/>
        </w:rPr>
        <w:t>胜利油田康贝油气工程有限公司</w:t>
      </w:r>
      <w:r>
        <w:rPr>
          <w:rFonts w:hint="eastAsia"/>
          <w:color w:val="auto"/>
          <w:sz w:val="28"/>
          <w:szCs w:val="28"/>
        </w:rPr>
        <w:t>井下作业</w:t>
      </w:r>
      <w:r>
        <w:rPr>
          <w:rFonts w:hint="eastAsia"/>
          <w:color w:val="auto"/>
          <w:sz w:val="28"/>
          <w:szCs w:val="28"/>
          <w:lang w:eastAsia="zh-CN"/>
        </w:rPr>
        <w:t>（</w:t>
      </w:r>
      <w:r>
        <w:rPr>
          <w:rFonts w:hint="eastAsia"/>
          <w:color w:val="auto"/>
          <w:sz w:val="28"/>
          <w:szCs w:val="28"/>
        </w:rPr>
        <w:t>小修作业、大修作业、</w:t>
      </w:r>
      <w:r>
        <w:rPr>
          <w:rFonts w:hint="eastAsia"/>
          <w:color w:val="auto"/>
          <w:sz w:val="28"/>
          <w:szCs w:val="28"/>
          <w:lang w:val="en-US" w:eastAsia="zh-CN"/>
        </w:rPr>
        <w:t>侧钻、</w:t>
      </w:r>
      <w:r>
        <w:rPr>
          <w:rFonts w:hint="eastAsia"/>
          <w:color w:val="auto"/>
          <w:sz w:val="28"/>
          <w:szCs w:val="28"/>
          <w:lang w:eastAsia="zh-CN"/>
        </w:rPr>
        <w:t>连续油管</w:t>
      </w:r>
      <w:r>
        <w:rPr>
          <w:rFonts w:hint="eastAsia"/>
          <w:color w:val="auto"/>
          <w:sz w:val="28"/>
          <w:szCs w:val="28"/>
        </w:rPr>
        <w:t>作业、酸化、防砂、</w:t>
      </w:r>
      <w:r>
        <w:rPr>
          <w:rFonts w:hint="eastAsia"/>
          <w:color w:val="auto"/>
          <w:sz w:val="28"/>
          <w:szCs w:val="28"/>
          <w:lang w:eastAsia="zh-CN"/>
        </w:rPr>
        <w:t>堵水/调剖</w:t>
      </w:r>
      <w:r>
        <w:rPr>
          <w:rFonts w:hint="eastAsia"/>
          <w:color w:val="auto"/>
          <w:sz w:val="28"/>
          <w:szCs w:val="28"/>
        </w:rPr>
        <w:t>、特殊工艺技术服务（套管补贴</w:t>
      </w:r>
      <w:r>
        <w:rPr>
          <w:rFonts w:hint="eastAsia"/>
          <w:color w:val="auto"/>
          <w:sz w:val="28"/>
          <w:szCs w:val="28"/>
          <w:lang w:eastAsia="zh-CN"/>
        </w:rPr>
        <w:t>）</w:t>
      </w:r>
      <w:r>
        <w:rPr>
          <w:rFonts w:hint="eastAsia"/>
          <w:color w:val="auto"/>
          <w:sz w:val="28"/>
          <w:szCs w:val="28"/>
        </w:rPr>
        <w:t>、井下复杂情况处理（打捞、堵漏）、现场试压</w:t>
      </w:r>
      <w:r>
        <w:rPr>
          <w:rFonts w:hint="eastAsia"/>
          <w:color w:val="auto"/>
          <w:sz w:val="28"/>
          <w:szCs w:val="28"/>
          <w:lang w:eastAsia="zh-CN"/>
        </w:rPr>
        <w:t>）</w:t>
      </w:r>
      <w:r>
        <w:rPr>
          <w:rFonts w:hint="eastAsia"/>
          <w:color w:val="auto"/>
          <w:sz w:val="28"/>
          <w:szCs w:val="28"/>
        </w:rPr>
        <w:t>作业项目现有的生产</w:t>
      </w:r>
      <w:r>
        <w:rPr>
          <w:color w:val="auto"/>
          <w:sz w:val="28"/>
          <w:szCs w:val="28"/>
        </w:rPr>
        <w:t>设施、设备</w:t>
      </w:r>
      <w:r>
        <w:rPr>
          <w:rFonts w:hint="eastAsia"/>
          <w:color w:val="auto"/>
          <w:sz w:val="28"/>
          <w:szCs w:val="28"/>
        </w:rPr>
        <w:t>的</w:t>
      </w:r>
      <w:r>
        <w:rPr>
          <w:color w:val="auto"/>
          <w:sz w:val="28"/>
          <w:szCs w:val="28"/>
        </w:rPr>
        <w:t>实际运行状况及管理状况的</w:t>
      </w:r>
      <w:r>
        <w:rPr>
          <w:rFonts w:hint="eastAsia"/>
          <w:color w:val="auto"/>
          <w:sz w:val="28"/>
          <w:szCs w:val="28"/>
        </w:rPr>
        <w:t>调查、分析，识别作业</w:t>
      </w:r>
      <w:r>
        <w:rPr>
          <w:rFonts w:hint="eastAsia" w:cs="宋体"/>
          <w:color w:val="auto"/>
          <w:kern w:val="0"/>
          <w:sz w:val="28"/>
          <w:szCs w:val="28"/>
        </w:rPr>
        <w:t>过程中存在的主要危险、有害因素，对企业在</w:t>
      </w:r>
      <w:r>
        <w:rPr>
          <w:rFonts w:hint="eastAsia" w:cs="宋体"/>
          <w:color w:val="auto"/>
          <w:kern w:val="0"/>
          <w:sz w:val="28"/>
          <w:szCs w:val="28"/>
          <w:lang w:val="en-US" w:eastAsia="zh-CN"/>
        </w:rPr>
        <w:t>现场作业、</w:t>
      </w:r>
      <w:r>
        <w:rPr>
          <w:rFonts w:hint="eastAsia" w:cs="宋体"/>
          <w:color w:val="auto"/>
          <w:kern w:val="0"/>
          <w:sz w:val="28"/>
          <w:szCs w:val="28"/>
        </w:rPr>
        <w:t>安全管理方面与标准和法规的符合性进行评价，对不符合国家标准的作法提出整改建议并补充相应的安全对策措施。</w:t>
      </w:r>
    </w:p>
    <w:p>
      <w:pPr>
        <w:pStyle w:val="4"/>
        <w:adjustRightInd w:val="0"/>
        <w:snapToGrid w:val="0"/>
        <w:spacing w:before="0" w:after="0" w:line="360" w:lineRule="auto"/>
        <w:rPr>
          <w:rFonts w:ascii="Times New Roman" w:hAnsi="Times New Roman"/>
          <w:b w:val="0"/>
          <w:bCs/>
          <w:color w:val="auto"/>
          <w:szCs w:val="32"/>
        </w:rPr>
      </w:pPr>
      <w:bookmarkStart w:id="3" w:name="_Toc20256"/>
      <w:r>
        <w:rPr>
          <w:rFonts w:hint="eastAsia" w:ascii="Times New Roman" w:hAnsi="Times New Roman"/>
          <w:b w:val="0"/>
          <w:bCs/>
          <w:color w:val="auto"/>
          <w:szCs w:val="32"/>
        </w:rPr>
        <w:t>1.2</w:t>
      </w:r>
      <w:r>
        <w:rPr>
          <w:rFonts w:ascii="Times New Roman" w:hAnsi="Times New Roman"/>
          <w:b w:val="0"/>
          <w:bCs/>
          <w:color w:val="auto"/>
          <w:szCs w:val="32"/>
        </w:rPr>
        <w:t xml:space="preserve"> </w:t>
      </w:r>
      <w:r>
        <w:rPr>
          <w:rFonts w:hint="eastAsia" w:ascii="Times New Roman" w:hAnsi="Times New Roman"/>
          <w:b w:val="0"/>
          <w:bCs/>
          <w:color w:val="auto"/>
          <w:szCs w:val="32"/>
        </w:rPr>
        <w:t>评价依据</w:t>
      </w:r>
      <w:bookmarkEnd w:id="3"/>
    </w:p>
    <w:p>
      <w:pPr>
        <w:pStyle w:val="5"/>
        <w:adjustRightInd w:val="0"/>
        <w:snapToGrid w:val="0"/>
        <w:spacing w:before="0" w:after="0" w:line="360" w:lineRule="auto"/>
        <w:rPr>
          <w:rFonts w:eastAsia="黑体"/>
          <w:b w:val="0"/>
          <w:snapToGrid w:val="0"/>
          <w:color w:val="auto"/>
          <w:kern w:val="0"/>
          <w:sz w:val="28"/>
          <w:szCs w:val="28"/>
        </w:rPr>
      </w:pPr>
      <w:bookmarkStart w:id="4" w:name="_Toc215277128"/>
      <w:bookmarkStart w:id="5" w:name="_Toc215277127"/>
      <w:r>
        <w:rPr>
          <w:rFonts w:hint="eastAsia" w:eastAsia="黑体"/>
          <w:b w:val="0"/>
          <w:snapToGrid w:val="0"/>
          <w:color w:val="auto"/>
          <w:kern w:val="0"/>
          <w:sz w:val="28"/>
          <w:szCs w:val="28"/>
        </w:rPr>
        <w:t>1</w:t>
      </w:r>
      <w:r>
        <w:rPr>
          <w:rFonts w:eastAsia="黑体"/>
          <w:b w:val="0"/>
          <w:snapToGrid w:val="0"/>
          <w:color w:val="auto"/>
          <w:kern w:val="0"/>
          <w:sz w:val="28"/>
          <w:szCs w:val="28"/>
        </w:rPr>
        <w:t>.2.1</w:t>
      </w:r>
      <w:r>
        <w:rPr>
          <w:rFonts w:hint="eastAsia" w:eastAsia="黑体"/>
          <w:b w:val="0"/>
          <w:snapToGrid w:val="0"/>
          <w:color w:val="auto"/>
          <w:kern w:val="0"/>
          <w:sz w:val="28"/>
          <w:szCs w:val="28"/>
        </w:rPr>
        <w:t xml:space="preserve"> 法律</w:t>
      </w:r>
    </w:p>
    <w:p>
      <w:pPr>
        <w:pStyle w:val="125"/>
        <w:numPr>
          <w:ilvl w:val="0"/>
          <w:numId w:val="3"/>
        </w:numPr>
        <w:adjustRightInd w:val="0"/>
        <w:snapToGrid w:val="0"/>
        <w:spacing w:line="360" w:lineRule="auto"/>
        <w:ind w:left="0" w:firstLine="560"/>
        <w:rPr>
          <w:color w:val="auto"/>
          <w:sz w:val="28"/>
        </w:rPr>
      </w:pPr>
      <w:r>
        <w:rPr>
          <w:rFonts w:hint="eastAsia"/>
          <w:color w:val="auto"/>
          <w:sz w:val="28"/>
        </w:rPr>
        <w:t>《中华人民共和国安全生产法》（2002年6月29日第九届</w:t>
      </w:r>
      <w:r>
        <w:rPr>
          <w:rFonts w:hint="eastAsia"/>
          <w:color w:val="auto"/>
          <w:sz w:val="28"/>
        </w:rPr>
        <w:fldChar w:fldCharType="begin"/>
      </w:r>
      <w:r>
        <w:rPr>
          <w:rFonts w:hint="eastAsia"/>
          <w:color w:val="auto"/>
          <w:sz w:val="28"/>
        </w:rPr>
        <w:instrText xml:space="preserve"> HYPERLINK "https://baike.baidu.com/item/%E5%85%A8%E5%9B%BD%E4%BA%BA%E6%B0%91%E4%BB%A3%E8%A1%A8%E5%A4%A7%E4%BC%9A/117422" \t "https://baike.baidu.com/item/%E4%B8%AD%E5%8D%8E%E4%BA%BA%E6%B0%91%E5%85%B1%E5%92%8C%E5%9B%BD%E5%AE%89%E5%85%A8%E7%94%9F%E4%BA%A7%E6%B3%95/_blank" </w:instrText>
      </w:r>
      <w:r>
        <w:rPr>
          <w:rFonts w:hint="eastAsia"/>
          <w:color w:val="auto"/>
          <w:sz w:val="28"/>
        </w:rPr>
        <w:fldChar w:fldCharType="separate"/>
      </w:r>
      <w:r>
        <w:rPr>
          <w:rFonts w:hint="eastAsia"/>
          <w:color w:val="auto"/>
          <w:sz w:val="28"/>
        </w:rPr>
        <w:t>全国人民代表大会</w:t>
      </w:r>
      <w:r>
        <w:rPr>
          <w:rFonts w:hint="eastAsia"/>
          <w:color w:val="auto"/>
          <w:sz w:val="28"/>
        </w:rPr>
        <w:fldChar w:fldCharType="end"/>
      </w:r>
      <w:r>
        <w:rPr>
          <w:rFonts w:hint="eastAsia"/>
          <w:color w:val="auto"/>
          <w:sz w:val="28"/>
        </w:rPr>
        <w:t>常务委员会第二十八次会议通过</w:t>
      </w:r>
      <w:r>
        <w:rPr>
          <w:rFonts w:hint="eastAsia"/>
          <w:color w:val="auto"/>
          <w:sz w:val="28"/>
          <w:lang w:eastAsia="zh-CN"/>
        </w:rPr>
        <w:t>，</w:t>
      </w:r>
      <w:r>
        <w:rPr>
          <w:rFonts w:hint="eastAsia"/>
          <w:color w:val="auto"/>
          <w:sz w:val="28"/>
        </w:rPr>
        <w:t>2021年6月10日第十三届全国人民代表大会常务委员会第二十九次会议《关于修改&lt;中华人民共和国安全生产法&gt;的决定》第三次修正。中华人民共和国主席令[2014]第13号</w:t>
      </w:r>
      <w:r>
        <w:rPr>
          <w:rFonts w:hint="eastAsia"/>
          <w:color w:val="auto"/>
          <w:sz w:val="28"/>
          <w:lang w:eastAsia="zh-CN"/>
        </w:rPr>
        <w:t>，</w:t>
      </w:r>
      <w:r>
        <w:rPr>
          <w:rFonts w:hint="eastAsia"/>
          <w:color w:val="auto"/>
          <w:sz w:val="28"/>
        </w:rPr>
        <w:t>[20</w:t>
      </w:r>
      <w:r>
        <w:rPr>
          <w:rFonts w:hint="eastAsia"/>
          <w:color w:val="auto"/>
          <w:sz w:val="28"/>
          <w:lang w:val="en-US" w:eastAsia="zh-CN"/>
        </w:rPr>
        <w:t>21</w:t>
      </w:r>
      <w:r>
        <w:rPr>
          <w:rFonts w:hint="eastAsia"/>
          <w:color w:val="auto"/>
          <w:sz w:val="28"/>
        </w:rPr>
        <w:t>]第</w:t>
      </w:r>
      <w:r>
        <w:rPr>
          <w:rFonts w:hint="eastAsia"/>
          <w:color w:val="auto"/>
          <w:sz w:val="28"/>
          <w:lang w:val="en-US" w:eastAsia="zh-CN"/>
        </w:rPr>
        <w:t>88号令修正</w:t>
      </w:r>
      <w:r>
        <w:rPr>
          <w:rFonts w:hint="eastAsia"/>
          <w:color w:val="auto"/>
          <w:sz w:val="28"/>
        </w:rPr>
        <w:t>）</w:t>
      </w:r>
    </w:p>
    <w:p>
      <w:pPr>
        <w:pStyle w:val="125"/>
        <w:numPr>
          <w:ilvl w:val="0"/>
          <w:numId w:val="3"/>
        </w:numPr>
        <w:adjustRightInd w:val="0"/>
        <w:snapToGrid w:val="0"/>
        <w:spacing w:line="360" w:lineRule="auto"/>
        <w:ind w:left="0" w:firstLine="560"/>
        <w:rPr>
          <w:color w:val="auto"/>
          <w:sz w:val="28"/>
        </w:rPr>
      </w:pPr>
      <w:r>
        <w:rPr>
          <w:rFonts w:hint="eastAsia"/>
          <w:color w:val="auto"/>
          <w:sz w:val="28"/>
        </w:rPr>
        <w:t>《中华人民共和国劳动法》（1994年7月5日</w:t>
      </w:r>
      <w:r>
        <w:rPr>
          <w:rFonts w:hint="eastAsia"/>
          <w:color w:val="auto"/>
          <w:sz w:val="28"/>
        </w:rPr>
        <w:fldChar w:fldCharType="begin"/>
      </w:r>
      <w:r>
        <w:rPr>
          <w:rFonts w:hint="eastAsia"/>
          <w:color w:val="auto"/>
          <w:sz w:val="28"/>
        </w:rPr>
        <w:instrText xml:space="preserve"> HYPERLINK "https://baike.baidu.com/item/%E7%AC%AC%E5%85%AB%E5%B1%8A%E5%85%A8%E5%9B%BD%E4%BA%BA%E6%B0%91%E4%BB%A3%E8%A1%A8%E5%A4%A7%E4%BC%9A%E5%B8%B8%E5%8A%A1%E5%A7%94%E5%91%98%E4%BC%9A/10230165" \t "https://baike.baidu.com/item/%E4%B8%AD%E5%8D%8E%E4%BA%BA%E6%B0%91%E5%85%B1%E5%92%8C%E5%9B%BD%E5%8A%B3%E5%8A%A8%E6%B3%95/_blank" </w:instrText>
      </w:r>
      <w:r>
        <w:rPr>
          <w:rFonts w:hint="eastAsia"/>
          <w:color w:val="auto"/>
          <w:sz w:val="28"/>
        </w:rPr>
        <w:fldChar w:fldCharType="separate"/>
      </w:r>
      <w:r>
        <w:rPr>
          <w:rFonts w:hint="eastAsia"/>
          <w:color w:val="auto"/>
          <w:sz w:val="28"/>
        </w:rPr>
        <w:t>第八届全国人民代表大会常务委员会</w:t>
      </w:r>
      <w:r>
        <w:rPr>
          <w:rFonts w:hint="eastAsia"/>
          <w:color w:val="auto"/>
          <w:sz w:val="28"/>
        </w:rPr>
        <w:fldChar w:fldCharType="end"/>
      </w:r>
      <w:r>
        <w:rPr>
          <w:rFonts w:hint="eastAsia"/>
          <w:color w:val="auto"/>
          <w:sz w:val="28"/>
        </w:rPr>
        <w:t>第八次会议通过，根据2018年12月29日</w:t>
      </w:r>
      <w:r>
        <w:rPr>
          <w:rFonts w:hint="eastAsia"/>
          <w:color w:val="auto"/>
          <w:sz w:val="28"/>
        </w:rPr>
        <w:fldChar w:fldCharType="begin"/>
      </w:r>
      <w:r>
        <w:rPr>
          <w:rFonts w:hint="eastAsia"/>
          <w:color w:val="auto"/>
          <w:sz w:val="28"/>
        </w:rPr>
        <w:instrText xml:space="preserve"> HYPERLINK "https://baike.baidu.com/item/%E7%AC%AC%E5%8D%81%E4%B8%89%E5%B1%8A%E5%85%A8%E5%9B%BD%E4%BA%BA%E6%B0%91%E4%BB%A3%E8%A1%A8%E5%A4%A7%E4%BC%9A%E5%B8%B8%E5%8A%A1%E5%A7%94%E5%91%98%E4%BC%9A/22439522" \t "https://baike.baidu.com/item/%E4%B8%AD%E5%8D%8E%E4%BA%BA%E6%B0%91%E5%85%B1%E5%92%8C%E5%9B%BD%E5%8A%B3%E5%8A%A8%E6%B3%95/_blank" </w:instrText>
      </w:r>
      <w:r>
        <w:rPr>
          <w:rFonts w:hint="eastAsia"/>
          <w:color w:val="auto"/>
          <w:sz w:val="28"/>
        </w:rPr>
        <w:fldChar w:fldCharType="separate"/>
      </w:r>
      <w:r>
        <w:rPr>
          <w:rFonts w:hint="eastAsia"/>
          <w:color w:val="auto"/>
          <w:sz w:val="28"/>
        </w:rPr>
        <w:t>第十三届全国人民代表大会常务委员会</w:t>
      </w:r>
      <w:r>
        <w:rPr>
          <w:rFonts w:hint="eastAsia"/>
          <w:color w:val="auto"/>
          <w:sz w:val="28"/>
        </w:rPr>
        <w:fldChar w:fldCharType="end"/>
      </w:r>
      <w:r>
        <w:rPr>
          <w:rFonts w:hint="eastAsia"/>
          <w:color w:val="auto"/>
          <w:sz w:val="28"/>
        </w:rPr>
        <w:t>第七次会议《关于修改〈中华人民共和国劳动法〉等七部法律的决定》第二次修正。主席令[2018]第24号修正）</w:t>
      </w:r>
    </w:p>
    <w:p>
      <w:pPr>
        <w:pStyle w:val="125"/>
        <w:numPr>
          <w:ilvl w:val="0"/>
          <w:numId w:val="3"/>
        </w:numPr>
        <w:adjustRightInd w:val="0"/>
        <w:snapToGrid w:val="0"/>
        <w:spacing w:line="360" w:lineRule="auto"/>
        <w:ind w:left="0" w:firstLine="560"/>
        <w:rPr>
          <w:color w:val="auto"/>
          <w:sz w:val="28"/>
        </w:rPr>
      </w:pPr>
      <w:r>
        <w:rPr>
          <w:rFonts w:hint="eastAsia"/>
          <w:color w:val="auto"/>
          <w:sz w:val="28"/>
        </w:rPr>
        <w:t>《中华人民共和国突发事件应对法》（主席令[2007]第69号</w:t>
      </w:r>
      <w:r>
        <w:rPr>
          <w:rFonts w:hint="eastAsia"/>
          <w:color w:val="auto"/>
          <w:sz w:val="28"/>
          <w:lang w:eastAsia="zh-CN"/>
        </w:rPr>
        <w:t>，</w:t>
      </w:r>
      <w:r>
        <w:rPr>
          <w:rFonts w:hint="eastAsia"/>
          <w:color w:val="auto"/>
          <w:sz w:val="28"/>
        </w:rPr>
        <w:fldChar w:fldCharType="begin"/>
      </w:r>
      <w:r>
        <w:rPr>
          <w:rFonts w:hint="eastAsia"/>
          <w:color w:val="auto"/>
          <w:sz w:val="28"/>
        </w:rPr>
        <w:instrText xml:space="preserve"> HYPERLINK "https://baike.baidu.com/item/%E4%B8%AD%E5%8D%8E%E4%BA%BA%E6%B0%91%E5%85%B1%E5%92%8C%E5%9B%BD%E7%AC%AC%E5%8D%81%E5%B1%8A%E5%85%A8%E5%9B%BD%E4%BA%BA%E6%B0%91%E4%BB%A3%E8%A1%A8%E5%A4%A7%E4%BC%9A" \t "https://baike.baidu.com/item/%E4%B8%AD%E5%8D%8E%E4%BA%BA%E6%B0%91%E5%85%B1%E5%92%8C%E5%9B%BD%E7%AA%81%E5%8F%91%E4%BA%8B%E4%BB%B6%E5%BA%94%E5%AF%B9%E6%B3%95/_blank" </w:instrText>
      </w:r>
      <w:r>
        <w:rPr>
          <w:rFonts w:hint="eastAsia"/>
          <w:color w:val="auto"/>
          <w:sz w:val="28"/>
        </w:rPr>
        <w:fldChar w:fldCharType="separate"/>
      </w:r>
      <w:r>
        <w:rPr>
          <w:rFonts w:hint="eastAsia"/>
          <w:color w:val="auto"/>
          <w:sz w:val="28"/>
        </w:rPr>
        <w:t>中华人民共和国第十届全国人民代表大会</w:t>
      </w:r>
      <w:r>
        <w:rPr>
          <w:rFonts w:hint="eastAsia"/>
          <w:color w:val="auto"/>
          <w:sz w:val="28"/>
        </w:rPr>
        <w:fldChar w:fldCharType="end"/>
      </w:r>
      <w:r>
        <w:rPr>
          <w:rFonts w:hint="eastAsia"/>
          <w:color w:val="auto"/>
          <w:sz w:val="28"/>
        </w:rPr>
        <w:t>常务委员会第二十九次会议于2007年8月30日通过，自2007年11月1日起施行。主席令[2007]第69号）</w:t>
      </w:r>
    </w:p>
    <w:p>
      <w:pPr>
        <w:pStyle w:val="125"/>
        <w:numPr>
          <w:ilvl w:val="0"/>
          <w:numId w:val="3"/>
        </w:numPr>
        <w:adjustRightInd w:val="0"/>
        <w:snapToGrid w:val="0"/>
        <w:spacing w:line="360" w:lineRule="auto"/>
        <w:ind w:left="0" w:firstLine="560"/>
        <w:rPr>
          <w:color w:val="auto"/>
          <w:sz w:val="28"/>
        </w:rPr>
      </w:pPr>
      <w:r>
        <w:rPr>
          <w:rFonts w:hint="eastAsia"/>
          <w:color w:val="auto"/>
          <w:sz w:val="28"/>
        </w:rPr>
        <w:t>《中华人民共和国消防法》（1998年4月29日第九届全国人民代表大会常务委员会第二次会议通过，根据2021年4月29日第十三届全国人民代表大会常务委员会第二十八次会议《关于修改〈</w:t>
      </w:r>
      <w:r>
        <w:rPr>
          <w:rFonts w:hint="eastAsia"/>
          <w:color w:val="auto"/>
          <w:sz w:val="28"/>
        </w:rPr>
        <w:fldChar w:fldCharType="begin"/>
      </w:r>
      <w:r>
        <w:rPr>
          <w:rFonts w:hint="eastAsia"/>
          <w:color w:val="auto"/>
          <w:sz w:val="28"/>
        </w:rPr>
        <w:instrText xml:space="preserve"> HYPERLINK "https://baike.baidu.com/item/%E4%B8%AD%E5%8D%8E%E4%BA%BA%E6%B0%91%E5%85%B1%E5%92%8C%E5%9B%BD%E9%81%93%E8%B7%AF%E4%BA%A4%E9%80%9A%E5%AE%89%E5%85%A8%E6%B3%95/149277" \t "https://baike.baidu.com/item/%E4%B8%AD%E5%8D%8E%E4%BA%BA%E6%B0%91%E5%85%B1%E5%92%8C%E5%9B%BD%E6%B6%88%E9%98%B2%E6%B3%95/_blank" </w:instrText>
      </w:r>
      <w:r>
        <w:rPr>
          <w:rFonts w:hint="eastAsia"/>
          <w:color w:val="auto"/>
          <w:sz w:val="28"/>
        </w:rPr>
        <w:fldChar w:fldCharType="separate"/>
      </w:r>
      <w:r>
        <w:rPr>
          <w:rFonts w:hint="eastAsia"/>
          <w:color w:val="auto"/>
          <w:sz w:val="28"/>
        </w:rPr>
        <w:t>中华人民共和国道路交通安全法</w:t>
      </w:r>
      <w:r>
        <w:rPr>
          <w:rFonts w:hint="eastAsia"/>
          <w:color w:val="auto"/>
          <w:sz w:val="28"/>
        </w:rPr>
        <w:fldChar w:fldCharType="end"/>
      </w:r>
      <w:r>
        <w:rPr>
          <w:rFonts w:hint="eastAsia"/>
          <w:color w:val="auto"/>
          <w:sz w:val="28"/>
        </w:rPr>
        <w:t>〉等八部法律的决定》第二次修正。主席令[2021]第81号修正）</w:t>
      </w:r>
    </w:p>
    <w:p>
      <w:pPr>
        <w:pStyle w:val="125"/>
        <w:numPr>
          <w:ilvl w:val="0"/>
          <w:numId w:val="3"/>
        </w:numPr>
        <w:adjustRightInd w:val="0"/>
        <w:snapToGrid w:val="0"/>
        <w:spacing w:line="360" w:lineRule="auto"/>
        <w:ind w:left="0" w:firstLine="560"/>
        <w:rPr>
          <w:color w:val="auto"/>
          <w:sz w:val="28"/>
        </w:rPr>
      </w:pPr>
      <w:r>
        <w:rPr>
          <w:rFonts w:hint="eastAsia"/>
          <w:color w:val="auto"/>
          <w:sz w:val="28"/>
        </w:rPr>
        <w:t>《中华人民共和国防震减灾法》（第八届全国人民代表大会常务委员会第二十九次会议于1997年12月29日通过，</w:t>
      </w:r>
      <w:r>
        <w:rPr>
          <w:rFonts w:hint="eastAsia"/>
          <w:color w:val="auto"/>
          <w:sz w:val="28"/>
          <w:lang w:val="en-US" w:eastAsia="zh-CN"/>
        </w:rPr>
        <w:t>2</w:t>
      </w:r>
      <w:r>
        <w:rPr>
          <w:rFonts w:hint="eastAsia"/>
          <w:color w:val="auto"/>
          <w:sz w:val="28"/>
        </w:rPr>
        <w:t>008年12月27日第十一届全国人民代表大会常务委员会第六次会议修订</w:t>
      </w:r>
      <w:r>
        <w:rPr>
          <w:rFonts w:hint="eastAsia"/>
          <w:color w:val="auto"/>
          <w:sz w:val="28"/>
          <w:lang w:eastAsia="zh-CN"/>
        </w:rPr>
        <w:t>。</w:t>
      </w:r>
      <w:r>
        <w:rPr>
          <w:rFonts w:hint="eastAsia"/>
          <w:color w:val="auto"/>
          <w:sz w:val="28"/>
        </w:rPr>
        <w:t>主席令[2008]第7号）</w:t>
      </w:r>
    </w:p>
    <w:p>
      <w:pPr>
        <w:pStyle w:val="125"/>
        <w:numPr>
          <w:ilvl w:val="0"/>
          <w:numId w:val="3"/>
        </w:numPr>
        <w:adjustRightInd w:val="0"/>
        <w:snapToGrid w:val="0"/>
        <w:spacing w:line="360" w:lineRule="auto"/>
        <w:ind w:left="0" w:firstLine="560"/>
        <w:rPr>
          <w:color w:val="auto"/>
          <w:sz w:val="28"/>
        </w:rPr>
      </w:pPr>
      <w:r>
        <w:rPr>
          <w:rFonts w:hint="eastAsia"/>
          <w:color w:val="auto"/>
          <w:sz w:val="28"/>
        </w:rPr>
        <w:t>《中华人民共和国职业病防治法》（2001年10月27日第九届</w:t>
      </w:r>
      <w:r>
        <w:rPr>
          <w:rFonts w:hint="eastAsia"/>
          <w:color w:val="auto"/>
          <w:sz w:val="28"/>
        </w:rPr>
        <w:fldChar w:fldCharType="begin"/>
      </w:r>
      <w:r>
        <w:rPr>
          <w:rFonts w:hint="eastAsia"/>
          <w:color w:val="auto"/>
          <w:sz w:val="28"/>
        </w:rPr>
        <w:instrText xml:space="preserve"> HYPERLINK "https://baike.baidu.com/item/%E5%85%A8%E5%9B%BD%E4%BA%BA%E6%B0%91%E4%BB%A3%E8%A1%A8%E5%A4%A7%E4%BC%9A/117422" \t "https://baike.baidu.com/item/%E4%B8%AD%E5%8D%8E%E4%BA%BA%E6%B0%91%E5%85%B1%E5%92%8C%E5%9B%BD%E8%81%8C%E4%B8%9A%E7%97%85%E9%98%B2%E6%B2%BB%E6%B3%95/_blank" </w:instrText>
      </w:r>
      <w:r>
        <w:rPr>
          <w:rFonts w:hint="eastAsia"/>
          <w:color w:val="auto"/>
          <w:sz w:val="28"/>
        </w:rPr>
        <w:fldChar w:fldCharType="separate"/>
      </w:r>
      <w:r>
        <w:rPr>
          <w:rFonts w:hint="eastAsia"/>
          <w:color w:val="auto"/>
          <w:sz w:val="28"/>
        </w:rPr>
        <w:t>全国人民代表大会</w:t>
      </w:r>
      <w:r>
        <w:rPr>
          <w:rFonts w:hint="eastAsia"/>
          <w:color w:val="auto"/>
          <w:sz w:val="28"/>
        </w:rPr>
        <w:fldChar w:fldCharType="end"/>
      </w:r>
      <w:r>
        <w:rPr>
          <w:rFonts w:hint="eastAsia"/>
          <w:color w:val="auto"/>
          <w:sz w:val="28"/>
        </w:rPr>
        <w:t>常务委员会第二十四次会议通过，根据2018年12月29日第十三届全国人民代表大会常务委员会第七次会议《关于修改〈中华人民共和国劳动法〉等七部法律的决定》第四次修正。主席令[2018]第52号修正）</w:t>
      </w:r>
    </w:p>
    <w:p>
      <w:pPr>
        <w:pStyle w:val="125"/>
        <w:numPr>
          <w:ilvl w:val="0"/>
          <w:numId w:val="3"/>
        </w:numPr>
        <w:adjustRightInd w:val="0"/>
        <w:snapToGrid w:val="0"/>
        <w:spacing w:line="360" w:lineRule="auto"/>
        <w:ind w:left="0" w:firstLine="560"/>
        <w:rPr>
          <w:color w:val="auto"/>
          <w:sz w:val="28"/>
        </w:rPr>
      </w:pPr>
      <w:r>
        <w:rPr>
          <w:rFonts w:hint="eastAsia"/>
          <w:color w:val="auto"/>
          <w:sz w:val="28"/>
        </w:rPr>
        <w:t>《中华人民共和国特种设备安全法》（</w:t>
      </w:r>
      <w:r>
        <w:rPr>
          <w:rFonts w:hint="eastAsia"/>
          <w:color w:val="auto"/>
          <w:sz w:val="28"/>
          <w:lang w:eastAsia="zh-CN"/>
        </w:rPr>
        <w:fldChar w:fldCharType="begin"/>
      </w:r>
      <w:r>
        <w:rPr>
          <w:rFonts w:hint="eastAsia"/>
          <w:color w:val="auto"/>
          <w:sz w:val="28"/>
          <w:lang w:eastAsia="zh-CN"/>
        </w:rPr>
        <w:instrText xml:space="preserve"> HYPERLINK "https://baike.baidu.com/item/%E4%B8%AD%E5%8D%8E%E4%BA%BA%E6%B0%91%E5%85%B1%E5%92%8C%E5%9B%BD%E7%AC%AC%E5%8D%81%E4%BA%8C%E5%B1%8A%E5%85%A8%E5%9B%BD%E4%BA%BA%E6%B0%91%E4%BB%A3%E8%A1%A8%E5%A4%A7%E4%BC%9A%E5%B8%B8%E5%8A%A1%E5%A7%94%E5%91%98%E4%BC%9A/17653996" \t "https://baike.baidu.com/item/%E4%B8%AD%E5%8D%8E%E4%BA%BA%E6%B0%91%E5%85%B1%E5%92%8C%E5%9B%BD%E7%89%B9%E7%A7%8D%E8%AE%BE%E5%A4%87%E5%AE%89%E5%85%A8%E6%B3%95/_blank" </w:instrText>
      </w:r>
      <w:r>
        <w:rPr>
          <w:rFonts w:hint="eastAsia"/>
          <w:color w:val="auto"/>
          <w:sz w:val="28"/>
          <w:lang w:eastAsia="zh-CN"/>
        </w:rPr>
        <w:fldChar w:fldCharType="separate"/>
      </w:r>
      <w:r>
        <w:rPr>
          <w:rFonts w:hint="eastAsia"/>
          <w:color w:val="auto"/>
          <w:sz w:val="28"/>
          <w:lang w:eastAsia="zh-CN"/>
        </w:rPr>
        <w:t>中华人民共和国第十二届全国人民代表大会常务委员会</w:t>
      </w:r>
      <w:r>
        <w:rPr>
          <w:rFonts w:hint="eastAsia"/>
          <w:color w:val="auto"/>
          <w:sz w:val="28"/>
          <w:lang w:eastAsia="zh-CN"/>
        </w:rPr>
        <w:fldChar w:fldCharType="end"/>
      </w:r>
      <w:r>
        <w:rPr>
          <w:rFonts w:hint="eastAsia"/>
          <w:color w:val="auto"/>
          <w:sz w:val="28"/>
          <w:lang w:eastAsia="zh-CN"/>
        </w:rPr>
        <w:t>第三次会议于2013年6月29日通过，自2014年1月1日起施行。</w:t>
      </w:r>
      <w:r>
        <w:rPr>
          <w:rFonts w:hint="eastAsia"/>
          <w:color w:val="auto"/>
          <w:sz w:val="28"/>
        </w:rPr>
        <w:t>主席令[2013]第4号）</w:t>
      </w:r>
    </w:p>
    <w:p>
      <w:pPr>
        <w:pStyle w:val="5"/>
        <w:adjustRightInd w:val="0"/>
        <w:snapToGrid w:val="0"/>
        <w:spacing w:before="0" w:after="0" w:line="360" w:lineRule="auto"/>
        <w:rPr>
          <w:rFonts w:eastAsia="黑体"/>
          <w:b w:val="0"/>
          <w:snapToGrid w:val="0"/>
          <w:color w:val="auto"/>
          <w:kern w:val="0"/>
          <w:sz w:val="28"/>
          <w:szCs w:val="28"/>
        </w:rPr>
      </w:pPr>
      <w:r>
        <w:rPr>
          <w:rFonts w:hint="eastAsia" w:eastAsia="黑体"/>
          <w:b w:val="0"/>
          <w:snapToGrid w:val="0"/>
          <w:color w:val="auto"/>
          <w:kern w:val="0"/>
          <w:sz w:val="28"/>
          <w:szCs w:val="28"/>
        </w:rPr>
        <w:t>1</w:t>
      </w:r>
      <w:r>
        <w:rPr>
          <w:rFonts w:eastAsia="黑体"/>
          <w:b w:val="0"/>
          <w:snapToGrid w:val="0"/>
          <w:color w:val="auto"/>
          <w:kern w:val="0"/>
          <w:sz w:val="28"/>
          <w:szCs w:val="28"/>
        </w:rPr>
        <w:t>.2.</w:t>
      </w:r>
      <w:r>
        <w:rPr>
          <w:rFonts w:hint="eastAsia" w:eastAsia="黑体"/>
          <w:b w:val="0"/>
          <w:snapToGrid w:val="0"/>
          <w:color w:val="auto"/>
          <w:kern w:val="0"/>
          <w:sz w:val="28"/>
          <w:szCs w:val="28"/>
        </w:rPr>
        <w:t>2 行政法规</w:t>
      </w:r>
    </w:p>
    <w:p>
      <w:pPr>
        <w:pStyle w:val="125"/>
        <w:numPr>
          <w:ilvl w:val="0"/>
          <w:numId w:val="4"/>
        </w:numPr>
        <w:adjustRightInd w:val="0"/>
        <w:snapToGrid w:val="0"/>
        <w:spacing w:line="360" w:lineRule="auto"/>
        <w:ind w:left="0" w:firstLine="560"/>
        <w:rPr>
          <w:color w:val="auto"/>
          <w:sz w:val="28"/>
        </w:rPr>
      </w:pPr>
      <w:r>
        <w:rPr>
          <w:rFonts w:hint="eastAsia"/>
          <w:color w:val="auto"/>
          <w:sz w:val="28"/>
        </w:rPr>
        <w:t>《安全生产许可证条例》</w:t>
      </w:r>
      <w:r>
        <w:rPr>
          <w:rFonts w:hint="eastAsia"/>
          <w:color w:val="auto"/>
          <w:sz w:val="28"/>
          <w:lang w:eastAsia="zh-CN"/>
        </w:rPr>
        <w:t>（</w:t>
      </w:r>
      <w:r>
        <w:rPr>
          <w:rFonts w:hint="eastAsia"/>
          <w:color w:val="auto"/>
          <w:sz w:val="28"/>
        </w:rPr>
        <w:t>国务院令[2004]第397号，[20</w:t>
      </w:r>
      <w:r>
        <w:rPr>
          <w:rFonts w:hint="eastAsia"/>
          <w:color w:val="auto"/>
          <w:sz w:val="28"/>
          <w:lang w:val="en-US" w:eastAsia="zh-CN"/>
        </w:rPr>
        <w:t>1</w:t>
      </w:r>
      <w:r>
        <w:rPr>
          <w:rFonts w:hint="eastAsia"/>
          <w:color w:val="auto"/>
          <w:sz w:val="28"/>
        </w:rPr>
        <w:t>4]第653号修订</w:t>
      </w:r>
      <w:r>
        <w:rPr>
          <w:rFonts w:hint="eastAsia"/>
          <w:color w:val="auto"/>
          <w:sz w:val="28"/>
          <w:lang w:eastAsia="zh-CN"/>
        </w:rPr>
        <w:t>）</w:t>
      </w:r>
    </w:p>
    <w:p>
      <w:pPr>
        <w:pStyle w:val="125"/>
        <w:numPr>
          <w:ilvl w:val="0"/>
          <w:numId w:val="4"/>
        </w:numPr>
        <w:adjustRightInd w:val="0"/>
        <w:snapToGrid w:val="0"/>
        <w:spacing w:line="360" w:lineRule="auto"/>
        <w:ind w:left="0" w:firstLine="560"/>
        <w:rPr>
          <w:color w:val="auto"/>
          <w:sz w:val="28"/>
        </w:rPr>
      </w:pPr>
      <w:r>
        <w:rPr>
          <w:rFonts w:hint="eastAsia"/>
          <w:color w:val="auto"/>
          <w:sz w:val="28"/>
        </w:rPr>
        <w:t>《生产安全事故报告和调查处理条例》</w:t>
      </w:r>
      <w:r>
        <w:rPr>
          <w:rFonts w:hint="eastAsia"/>
          <w:color w:val="auto"/>
          <w:sz w:val="28"/>
          <w:lang w:eastAsia="zh-CN"/>
        </w:rPr>
        <w:t>（</w:t>
      </w:r>
      <w:r>
        <w:rPr>
          <w:rFonts w:hint="eastAsia"/>
          <w:color w:val="auto"/>
          <w:sz w:val="28"/>
        </w:rPr>
        <w:t>国务院令[2007]第493号</w:t>
      </w:r>
      <w:r>
        <w:rPr>
          <w:rFonts w:hint="eastAsia"/>
          <w:color w:val="auto"/>
          <w:sz w:val="28"/>
          <w:lang w:eastAsia="zh-CN"/>
        </w:rPr>
        <w:t>）</w:t>
      </w:r>
    </w:p>
    <w:p>
      <w:pPr>
        <w:pStyle w:val="125"/>
        <w:numPr>
          <w:ilvl w:val="0"/>
          <w:numId w:val="4"/>
        </w:numPr>
        <w:adjustRightInd w:val="0"/>
        <w:snapToGrid w:val="0"/>
        <w:spacing w:line="360" w:lineRule="auto"/>
        <w:ind w:left="0" w:firstLine="560"/>
        <w:rPr>
          <w:color w:val="auto"/>
          <w:sz w:val="28"/>
        </w:rPr>
      </w:pPr>
      <w:r>
        <w:rPr>
          <w:rFonts w:hint="eastAsia"/>
          <w:color w:val="auto"/>
          <w:sz w:val="28"/>
        </w:rPr>
        <w:t>《特种设备安全监察条例》</w:t>
      </w:r>
      <w:r>
        <w:rPr>
          <w:rFonts w:hint="eastAsia"/>
          <w:color w:val="auto"/>
          <w:sz w:val="28"/>
          <w:lang w:eastAsia="zh-CN"/>
        </w:rPr>
        <w:t>（</w:t>
      </w:r>
      <w:r>
        <w:rPr>
          <w:rFonts w:hint="eastAsia"/>
          <w:color w:val="auto"/>
          <w:sz w:val="28"/>
        </w:rPr>
        <w:t>国务院令[2009]第549号</w:t>
      </w:r>
      <w:r>
        <w:rPr>
          <w:rFonts w:hint="eastAsia"/>
          <w:color w:val="auto"/>
          <w:sz w:val="28"/>
          <w:lang w:eastAsia="zh-CN"/>
        </w:rPr>
        <w:t>）</w:t>
      </w:r>
    </w:p>
    <w:p>
      <w:pPr>
        <w:pStyle w:val="125"/>
        <w:numPr>
          <w:ilvl w:val="0"/>
          <w:numId w:val="4"/>
        </w:numPr>
        <w:adjustRightInd w:val="0"/>
        <w:snapToGrid w:val="0"/>
        <w:spacing w:line="360" w:lineRule="auto"/>
        <w:ind w:left="0" w:firstLine="560"/>
        <w:rPr>
          <w:color w:val="auto"/>
          <w:sz w:val="28"/>
        </w:rPr>
      </w:pPr>
      <w:r>
        <w:rPr>
          <w:rFonts w:hint="eastAsia"/>
          <w:color w:val="auto"/>
          <w:sz w:val="28"/>
        </w:rPr>
        <w:t>《工伤保险条例》</w:t>
      </w:r>
      <w:r>
        <w:rPr>
          <w:rFonts w:hint="eastAsia"/>
          <w:color w:val="auto"/>
          <w:sz w:val="28"/>
          <w:lang w:eastAsia="zh-CN"/>
        </w:rPr>
        <w:t>（</w:t>
      </w:r>
      <w:r>
        <w:rPr>
          <w:rFonts w:hint="eastAsia"/>
          <w:color w:val="auto"/>
          <w:sz w:val="28"/>
        </w:rPr>
        <w:t>国务院令[2010]第586号</w:t>
      </w:r>
      <w:r>
        <w:rPr>
          <w:rFonts w:hint="eastAsia"/>
          <w:color w:val="auto"/>
          <w:sz w:val="28"/>
          <w:lang w:eastAsia="zh-CN"/>
        </w:rPr>
        <w:t>）</w:t>
      </w:r>
    </w:p>
    <w:p>
      <w:pPr>
        <w:pStyle w:val="125"/>
        <w:numPr>
          <w:ilvl w:val="0"/>
          <w:numId w:val="4"/>
        </w:numPr>
        <w:adjustRightInd w:val="0"/>
        <w:snapToGrid w:val="0"/>
        <w:spacing w:line="360" w:lineRule="auto"/>
        <w:ind w:left="0" w:firstLine="560"/>
        <w:rPr>
          <w:color w:val="auto"/>
          <w:sz w:val="28"/>
        </w:rPr>
      </w:pPr>
      <w:r>
        <w:rPr>
          <w:rFonts w:hint="eastAsia"/>
          <w:color w:val="auto"/>
          <w:sz w:val="28"/>
          <w:lang w:val="en-US" w:eastAsia="zh-CN"/>
        </w:rPr>
        <w:t>《危险化学品管理安全管理条例》（国务院令[2013]第645号修订）</w:t>
      </w:r>
    </w:p>
    <w:p>
      <w:pPr>
        <w:pStyle w:val="5"/>
        <w:adjustRightInd w:val="0"/>
        <w:snapToGrid w:val="0"/>
        <w:spacing w:before="0" w:after="0" w:line="360" w:lineRule="auto"/>
        <w:rPr>
          <w:rFonts w:eastAsia="黑体"/>
          <w:b w:val="0"/>
          <w:snapToGrid w:val="0"/>
          <w:color w:val="auto"/>
          <w:kern w:val="0"/>
          <w:sz w:val="28"/>
          <w:szCs w:val="28"/>
        </w:rPr>
      </w:pPr>
      <w:r>
        <w:rPr>
          <w:rFonts w:hint="eastAsia" w:eastAsia="黑体"/>
          <w:b w:val="0"/>
          <w:snapToGrid w:val="0"/>
          <w:color w:val="auto"/>
          <w:kern w:val="0"/>
          <w:sz w:val="28"/>
          <w:szCs w:val="28"/>
        </w:rPr>
        <w:t>1</w:t>
      </w:r>
      <w:r>
        <w:rPr>
          <w:rFonts w:eastAsia="黑体"/>
          <w:b w:val="0"/>
          <w:snapToGrid w:val="0"/>
          <w:color w:val="auto"/>
          <w:kern w:val="0"/>
          <w:sz w:val="28"/>
          <w:szCs w:val="28"/>
        </w:rPr>
        <w:t>.2</w:t>
      </w:r>
      <w:r>
        <w:rPr>
          <w:rFonts w:hint="eastAsia" w:eastAsia="黑体"/>
          <w:b w:val="0"/>
          <w:snapToGrid w:val="0"/>
          <w:color w:val="auto"/>
          <w:kern w:val="0"/>
          <w:sz w:val="28"/>
          <w:szCs w:val="28"/>
        </w:rPr>
        <w:t>.3 地方性法规</w:t>
      </w:r>
    </w:p>
    <w:p>
      <w:pPr>
        <w:pStyle w:val="125"/>
        <w:numPr>
          <w:ilvl w:val="0"/>
          <w:numId w:val="5"/>
        </w:numPr>
        <w:adjustRightInd w:val="0"/>
        <w:snapToGrid w:val="0"/>
        <w:spacing w:line="360" w:lineRule="auto"/>
        <w:ind w:left="0" w:firstLine="560"/>
        <w:rPr>
          <w:color w:val="auto"/>
          <w:sz w:val="28"/>
        </w:rPr>
      </w:pPr>
      <w:r>
        <w:rPr>
          <w:rFonts w:hint="eastAsia"/>
          <w:color w:val="auto"/>
          <w:sz w:val="28"/>
        </w:rPr>
        <w:t>《山东省安全生产条例》（2021年12月3日山东省第十三届人民代表大会常务委员会第三十二次会议修订）</w:t>
      </w:r>
    </w:p>
    <w:p>
      <w:pPr>
        <w:pStyle w:val="125"/>
        <w:numPr>
          <w:ilvl w:val="0"/>
          <w:numId w:val="5"/>
        </w:numPr>
        <w:adjustRightInd w:val="0"/>
        <w:snapToGrid w:val="0"/>
        <w:spacing w:line="360" w:lineRule="auto"/>
        <w:ind w:left="0" w:firstLine="560"/>
        <w:rPr>
          <w:color w:val="auto"/>
          <w:sz w:val="28"/>
        </w:rPr>
      </w:pPr>
      <w:r>
        <w:rPr>
          <w:rFonts w:hint="default"/>
          <w:color w:val="auto"/>
          <w:sz w:val="28"/>
        </w:rPr>
        <w:t>《山东省消防条例》（山东省第十一届人大常委会第21次会议修订）</w:t>
      </w:r>
    </w:p>
    <w:p>
      <w:pPr>
        <w:pStyle w:val="5"/>
        <w:adjustRightInd w:val="0"/>
        <w:snapToGrid w:val="0"/>
        <w:spacing w:before="0" w:after="0" w:line="360" w:lineRule="auto"/>
        <w:rPr>
          <w:rFonts w:eastAsia="黑体"/>
          <w:b w:val="0"/>
          <w:snapToGrid w:val="0"/>
          <w:color w:val="auto"/>
          <w:kern w:val="0"/>
          <w:sz w:val="28"/>
          <w:szCs w:val="28"/>
        </w:rPr>
      </w:pPr>
      <w:r>
        <w:rPr>
          <w:rFonts w:hint="eastAsia" w:eastAsia="黑体"/>
          <w:b w:val="0"/>
          <w:snapToGrid w:val="0"/>
          <w:color w:val="auto"/>
          <w:kern w:val="0"/>
          <w:sz w:val="28"/>
          <w:szCs w:val="28"/>
        </w:rPr>
        <w:t>1</w:t>
      </w:r>
      <w:r>
        <w:rPr>
          <w:rFonts w:eastAsia="黑体"/>
          <w:b w:val="0"/>
          <w:snapToGrid w:val="0"/>
          <w:color w:val="auto"/>
          <w:kern w:val="0"/>
          <w:sz w:val="28"/>
          <w:szCs w:val="28"/>
        </w:rPr>
        <w:t>.2</w:t>
      </w:r>
      <w:r>
        <w:rPr>
          <w:rFonts w:hint="eastAsia" w:eastAsia="黑体"/>
          <w:b w:val="0"/>
          <w:snapToGrid w:val="0"/>
          <w:color w:val="auto"/>
          <w:kern w:val="0"/>
          <w:sz w:val="28"/>
          <w:szCs w:val="28"/>
        </w:rPr>
        <w:t>.4 部门规章</w:t>
      </w:r>
    </w:p>
    <w:p>
      <w:pPr>
        <w:pStyle w:val="125"/>
        <w:numPr>
          <w:ilvl w:val="0"/>
          <w:numId w:val="6"/>
        </w:numPr>
        <w:adjustRightInd w:val="0"/>
        <w:snapToGrid w:val="0"/>
        <w:spacing w:line="360" w:lineRule="auto"/>
        <w:ind w:left="0" w:firstLine="560"/>
        <w:rPr>
          <w:color w:val="auto"/>
          <w:sz w:val="28"/>
        </w:rPr>
      </w:pPr>
      <w:r>
        <w:rPr>
          <w:rFonts w:hint="eastAsia"/>
          <w:color w:val="auto"/>
          <w:sz w:val="28"/>
        </w:rPr>
        <w:t>《非煤矿矿山企业安全生产许可证实施办法》</w:t>
      </w:r>
      <w:r>
        <w:rPr>
          <w:rFonts w:hint="eastAsia"/>
          <w:color w:val="auto"/>
          <w:sz w:val="28"/>
          <w:lang w:eastAsia="zh-CN"/>
        </w:rPr>
        <w:t>（</w:t>
      </w:r>
      <w:r>
        <w:rPr>
          <w:rFonts w:hint="eastAsia"/>
          <w:color w:val="auto"/>
          <w:sz w:val="28"/>
        </w:rPr>
        <w:t>国家安全生产监督管理总局令[2009]第20号，第78号</w:t>
      </w:r>
      <w:r>
        <w:rPr>
          <w:rFonts w:hint="eastAsia"/>
          <w:color w:val="auto"/>
          <w:sz w:val="28"/>
          <w:lang w:val="en-US" w:eastAsia="zh-CN"/>
        </w:rPr>
        <w:t>修订</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《生产经营单位安全培训规定》</w:t>
      </w:r>
      <w:r>
        <w:rPr>
          <w:rFonts w:hint="eastAsia"/>
          <w:color w:val="auto"/>
          <w:sz w:val="28"/>
          <w:lang w:eastAsia="zh-CN"/>
        </w:rPr>
        <w:t>（</w:t>
      </w:r>
      <w:r>
        <w:rPr>
          <w:rFonts w:hint="eastAsia"/>
          <w:color w:val="auto"/>
          <w:sz w:val="28"/>
        </w:rPr>
        <w:t>国家安全监督管理总局令[2006]第3号，</w:t>
      </w:r>
      <w:r>
        <w:rPr>
          <w:rFonts w:hint="eastAsia"/>
          <w:color w:val="auto"/>
          <w:sz w:val="28"/>
          <w:lang w:val="en-US" w:eastAsia="zh-CN"/>
        </w:rPr>
        <w:t>第80号</w:t>
      </w:r>
      <w:r>
        <w:rPr>
          <w:rFonts w:hint="eastAsia"/>
          <w:color w:val="auto"/>
          <w:sz w:val="28"/>
        </w:rPr>
        <w:t>修订</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《生产安全事故罚款处罚规定（试行）》</w:t>
      </w:r>
      <w:r>
        <w:rPr>
          <w:rFonts w:hint="eastAsia"/>
          <w:color w:val="auto"/>
          <w:sz w:val="28"/>
          <w:lang w:eastAsia="zh-CN"/>
        </w:rPr>
        <w:t>（</w:t>
      </w:r>
      <w:r>
        <w:rPr>
          <w:rFonts w:hint="eastAsia"/>
          <w:color w:val="auto"/>
          <w:sz w:val="28"/>
        </w:rPr>
        <w:t>国家安全生产监督管理总局令[2007]第13号，第42号</w:t>
      </w:r>
      <w:r>
        <w:rPr>
          <w:rFonts w:hint="default"/>
          <w:color w:val="auto"/>
          <w:sz w:val="28"/>
          <w:lang w:eastAsia="zh-CN"/>
        </w:rPr>
        <w:t>、</w:t>
      </w:r>
      <w:r>
        <w:rPr>
          <w:rFonts w:hint="eastAsia"/>
          <w:color w:val="auto"/>
          <w:sz w:val="28"/>
        </w:rPr>
        <w:t>第77号修订</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《安全生产事故隐患排查治理暂行规定》</w:t>
      </w:r>
      <w:r>
        <w:rPr>
          <w:rFonts w:hint="eastAsia"/>
          <w:color w:val="auto"/>
          <w:sz w:val="28"/>
          <w:lang w:eastAsia="zh-CN"/>
        </w:rPr>
        <w:t>（</w:t>
      </w:r>
      <w:r>
        <w:rPr>
          <w:rFonts w:hint="eastAsia"/>
          <w:color w:val="auto"/>
          <w:sz w:val="28"/>
        </w:rPr>
        <w:t>国家安全生产监督管理总局令[2007]第16号</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《特种作业人员安全技术培训考核管理规定》</w:t>
      </w:r>
      <w:r>
        <w:rPr>
          <w:rFonts w:hint="eastAsia"/>
          <w:color w:val="auto"/>
          <w:sz w:val="28"/>
          <w:lang w:eastAsia="zh-CN"/>
        </w:rPr>
        <w:t>（</w:t>
      </w:r>
      <w:r>
        <w:rPr>
          <w:rFonts w:hint="eastAsia"/>
          <w:color w:val="auto"/>
          <w:sz w:val="28"/>
        </w:rPr>
        <w:t>国家安全生产监督管理总局令[2010]第30号，</w:t>
      </w:r>
      <w:r>
        <w:rPr>
          <w:rFonts w:hint="eastAsia"/>
          <w:color w:val="auto"/>
          <w:sz w:val="28"/>
          <w:lang w:val="en-US" w:eastAsia="zh-CN"/>
        </w:rPr>
        <w:t>第80号令修订</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《危险化学品重大危险源监督管理暂行规定》</w:t>
      </w:r>
      <w:r>
        <w:rPr>
          <w:rFonts w:hint="eastAsia"/>
          <w:color w:val="auto"/>
          <w:sz w:val="28"/>
          <w:lang w:eastAsia="zh-CN"/>
        </w:rPr>
        <w:t>（</w:t>
      </w:r>
      <w:r>
        <w:rPr>
          <w:rFonts w:hint="eastAsia"/>
          <w:color w:val="auto"/>
          <w:sz w:val="28"/>
        </w:rPr>
        <w:t>国家安全生产监督管理总局令[2011]第40号，</w:t>
      </w:r>
      <w:r>
        <w:rPr>
          <w:rFonts w:hint="eastAsia"/>
          <w:color w:val="auto"/>
          <w:sz w:val="28"/>
          <w:lang w:val="en-US" w:eastAsia="zh-CN"/>
        </w:rPr>
        <w:t>第79号</w:t>
      </w:r>
      <w:r>
        <w:rPr>
          <w:rFonts w:hint="eastAsia"/>
          <w:color w:val="auto"/>
          <w:sz w:val="28"/>
        </w:rPr>
        <w:t>修订版</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《安全生产培训管理办法》</w:t>
      </w:r>
      <w:r>
        <w:rPr>
          <w:rFonts w:hint="eastAsia"/>
          <w:color w:val="auto"/>
          <w:sz w:val="28"/>
          <w:lang w:eastAsia="zh-CN"/>
        </w:rPr>
        <w:t>（</w:t>
      </w:r>
      <w:r>
        <w:rPr>
          <w:rFonts w:hint="eastAsia"/>
          <w:color w:val="auto"/>
          <w:sz w:val="28"/>
        </w:rPr>
        <w:t>国家安全生产监督管理总局令[2012]第44号，</w:t>
      </w:r>
      <w:r>
        <w:rPr>
          <w:rFonts w:hint="eastAsia"/>
          <w:color w:val="auto"/>
          <w:sz w:val="28"/>
          <w:lang w:val="en-US" w:eastAsia="zh-CN"/>
        </w:rPr>
        <w:t>第80号修订</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《非煤矿山外包工程安全管理暂行办法》</w:t>
      </w:r>
      <w:r>
        <w:rPr>
          <w:rFonts w:hint="eastAsia"/>
          <w:color w:val="auto"/>
          <w:sz w:val="28"/>
          <w:lang w:eastAsia="zh-CN"/>
        </w:rPr>
        <w:t>（</w:t>
      </w:r>
      <w:r>
        <w:rPr>
          <w:rFonts w:hint="eastAsia"/>
          <w:color w:val="auto"/>
          <w:sz w:val="28"/>
        </w:rPr>
        <w:t>国家安全生产监督管理总局令[2013]第62号，第78号</w:t>
      </w:r>
      <w:r>
        <w:rPr>
          <w:rFonts w:hint="eastAsia"/>
          <w:color w:val="auto"/>
          <w:sz w:val="28"/>
          <w:lang w:val="en-US" w:eastAsia="zh-CN"/>
        </w:rPr>
        <w:t>修订</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《生产安全事故应急预案管理办法》</w:t>
      </w:r>
      <w:r>
        <w:rPr>
          <w:rFonts w:hint="eastAsia"/>
          <w:color w:val="auto"/>
          <w:sz w:val="28"/>
          <w:lang w:eastAsia="zh-CN"/>
        </w:rPr>
        <w:t>（</w:t>
      </w:r>
      <w:r>
        <w:rPr>
          <w:rFonts w:hint="eastAsia"/>
          <w:color w:val="auto"/>
          <w:sz w:val="28"/>
        </w:rPr>
        <w:t>国家安全生产监督管理总局令[2016]第88号</w:t>
      </w:r>
      <w:r>
        <w:rPr>
          <w:rFonts w:hint="eastAsia"/>
          <w:color w:val="auto"/>
          <w:sz w:val="28"/>
          <w:lang w:val="en-US" w:eastAsia="zh-CN"/>
        </w:rPr>
        <w:t>，应急管理部第2号令修订</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《防雷减灾管理办法》</w:t>
      </w:r>
      <w:r>
        <w:rPr>
          <w:rFonts w:hint="eastAsia"/>
          <w:color w:val="auto"/>
          <w:sz w:val="28"/>
          <w:lang w:eastAsia="zh-CN"/>
        </w:rPr>
        <w:t>（</w:t>
      </w:r>
      <w:r>
        <w:rPr>
          <w:rFonts w:hint="eastAsia"/>
          <w:color w:val="auto"/>
          <w:sz w:val="28"/>
        </w:rPr>
        <w:t>中国气象局令[201</w:t>
      </w:r>
      <w:r>
        <w:rPr>
          <w:rFonts w:hint="eastAsia"/>
          <w:color w:val="auto"/>
          <w:sz w:val="28"/>
          <w:lang w:val="en-US" w:eastAsia="zh-CN"/>
        </w:rPr>
        <w:t>3</w:t>
      </w:r>
      <w:r>
        <w:rPr>
          <w:rFonts w:hint="eastAsia"/>
          <w:color w:val="auto"/>
          <w:sz w:val="28"/>
        </w:rPr>
        <w:t>]第</w:t>
      </w:r>
      <w:r>
        <w:rPr>
          <w:rFonts w:hint="eastAsia"/>
          <w:color w:val="auto"/>
          <w:sz w:val="28"/>
          <w:lang w:val="en-US" w:eastAsia="zh-CN"/>
        </w:rPr>
        <w:t>24</w:t>
      </w:r>
      <w:r>
        <w:rPr>
          <w:rFonts w:hint="eastAsia"/>
          <w:color w:val="auto"/>
          <w:sz w:val="28"/>
        </w:rPr>
        <w:t>号</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《危险化学品目录（2015版）》</w:t>
      </w:r>
      <w:r>
        <w:rPr>
          <w:rFonts w:hint="eastAsia"/>
          <w:color w:val="auto"/>
          <w:sz w:val="28"/>
          <w:lang w:eastAsia="zh-CN"/>
        </w:rPr>
        <w:t>（</w:t>
      </w:r>
      <w:r>
        <w:rPr>
          <w:rFonts w:hint="eastAsia"/>
          <w:color w:val="auto"/>
          <w:sz w:val="28"/>
        </w:rPr>
        <w:t>安全监管总局、工业和信息化部、公安部、环境保护部、交通运输部、农业部、国家卫生计生委、质检总局、铁路局、民航局公告[2015]第5号</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《企业安全生产费用提取和使用管理办法》</w:t>
      </w:r>
      <w:r>
        <w:rPr>
          <w:rFonts w:hint="eastAsia"/>
          <w:color w:val="auto"/>
          <w:sz w:val="28"/>
          <w:lang w:eastAsia="zh-CN"/>
        </w:rPr>
        <w:t>（</w:t>
      </w:r>
      <w:r>
        <w:rPr>
          <w:rFonts w:hint="eastAsia"/>
          <w:color w:val="auto"/>
          <w:sz w:val="28"/>
        </w:rPr>
        <w:t>财企[2012]16号</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《职业病危害因素分类目录》</w:t>
      </w:r>
      <w:r>
        <w:rPr>
          <w:rFonts w:hint="eastAsia"/>
          <w:color w:val="auto"/>
          <w:sz w:val="28"/>
          <w:lang w:eastAsia="zh-CN"/>
        </w:rPr>
        <w:t>（</w:t>
      </w:r>
      <w:r>
        <w:rPr>
          <w:rFonts w:hint="eastAsia"/>
          <w:color w:val="auto"/>
          <w:sz w:val="28"/>
        </w:rPr>
        <w:t>国卫疾控发[2015]92号</w:t>
      </w:r>
      <w:r>
        <w:rPr>
          <w:rFonts w:hint="eastAsia"/>
          <w:color w:val="auto"/>
          <w:sz w:val="28"/>
          <w:lang w:eastAsia="zh-CN"/>
        </w:rPr>
        <w:t>）</w:t>
      </w:r>
    </w:p>
    <w:p>
      <w:pPr>
        <w:pStyle w:val="125"/>
        <w:numPr>
          <w:ilvl w:val="0"/>
          <w:numId w:val="6"/>
        </w:numPr>
        <w:adjustRightInd w:val="0"/>
        <w:snapToGrid w:val="0"/>
        <w:spacing w:line="360" w:lineRule="auto"/>
        <w:ind w:left="0" w:firstLine="560"/>
        <w:rPr>
          <w:color w:val="auto"/>
          <w:sz w:val="28"/>
        </w:rPr>
      </w:pPr>
      <w:r>
        <w:rPr>
          <w:rFonts w:hint="eastAsia"/>
          <w:color w:val="auto"/>
          <w:sz w:val="28"/>
        </w:rPr>
        <w:t>《国家安全监管总局办公厅关于印发危险化学品目录（2015版）实施指南（试行）的通知》</w:t>
      </w:r>
    </w:p>
    <w:p>
      <w:pPr>
        <w:pStyle w:val="125"/>
        <w:numPr>
          <w:ilvl w:val="0"/>
          <w:numId w:val="6"/>
        </w:numPr>
        <w:adjustRightInd w:val="0"/>
        <w:snapToGrid w:val="0"/>
        <w:spacing w:line="360" w:lineRule="auto"/>
        <w:ind w:left="0" w:firstLine="560"/>
        <w:rPr>
          <w:rFonts w:hint="default"/>
          <w:color w:val="auto"/>
          <w:sz w:val="28"/>
        </w:rPr>
      </w:pPr>
      <w:r>
        <w:rPr>
          <w:rFonts w:hint="default"/>
          <w:color w:val="auto"/>
          <w:sz w:val="28"/>
        </w:rPr>
        <w:t>《注册安全工程师分类管理办法》（安监总人事[2017]118号）</w:t>
      </w:r>
    </w:p>
    <w:p>
      <w:pPr>
        <w:pStyle w:val="125"/>
        <w:numPr>
          <w:ilvl w:val="0"/>
          <w:numId w:val="6"/>
        </w:numPr>
        <w:adjustRightInd w:val="0"/>
        <w:snapToGrid w:val="0"/>
        <w:spacing w:line="360" w:lineRule="auto"/>
        <w:ind w:left="0" w:firstLine="560"/>
        <w:rPr>
          <w:color w:val="auto"/>
          <w:sz w:val="28"/>
        </w:rPr>
      </w:pPr>
      <w:r>
        <w:rPr>
          <w:rFonts w:hint="default"/>
          <w:color w:val="auto"/>
          <w:sz w:val="28"/>
        </w:rPr>
        <w:t>《注册安全工程师职业</w:t>
      </w:r>
      <w:r>
        <w:rPr>
          <w:rFonts w:hint="eastAsia"/>
          <w:color w:val="auto"/>
          <w:sz w:val="28"/>
          <w:lang w:val="en-US" w:eastAsia="zh-CN"/>
        </w:rPr>
        <w:t>资格</w:t>
      </w:r>
      <w:r>
        <w:rPr>
          <w:rFonts w:hint="default"/>
          <w:color w:val="auto"/>
          <w:sz w:val="28"/>
        </w:rPr>
        <w:t>制度规定》（应急[2019]8号）</w:t>
      </w:r>
    </w:p>
    <w:p>
      <w:pPr>
        <w:pStyle w:val="125"/>
        <w:numPr>
          <w:ilvl w:val="0"/>
          <w:numId w:val="6"/>
        </w:numPr>
        <w:adjustRightInd w:val="0"/>
        <w:snapToGrid w:val="0"/>
        <w:spacing w:line="360" w:lineRule="auto"/>
        <w:ind w:left="0" w:firstLine="560"/>
        <w:rPr>
          <w:color w:val="auto"/>
          <w:sz w:val="28"/>
        </w:rPr>
      </w:pPr>
      <w:r>
        <w:rPr>
          <w:rFonts w:hint="eastAsia"/>
          <w:color w:val="auto"/>
          <w:sz w:val="28"/>
        </w:rPr>
        <w:t>《应急管理部办公厅关于石油天然气企业安全生产许可的复函》</w:t>
      </w:r>
      <w:r>
        <w:rPr>
          <w:rFonts w:hint="eastAsia"/>
          <w:color w:val="auto"/>
          <w:sz w:val="28"/>
          <w:lang w:eastAsia="zh-CN"/>
        </w:rPr>
        <w:t>（</w:t>
      </w:r>
      <w:r>
        <w:rPr>
          <w:rFonts w:hint="eastAsia"/>
          <w:color w:val="auto"/>
          <w:sz w:val="28"/>
        </w:rPr>
        <w:t>应急厅[2021]244号</w:t>
      </w:r>
      <w:r>
        <w:rPr>
          <w:rFonts w:hint="eastAsia"/>
          <w:color w:val="auto"/>
          <w:sz w:val="28"/>
          <w:lang w:eastAsia="zh-CN"/>
        </w:rPr>
        <w:t>）</w:t>
      </w:r>
    </w:p>
    <w:p>
      <w:pPr>
        <w:pStyle w:val="5"/>
        <w:adjustRightInd w:val="0"/>
        <w:snapToGrid w:val="0"/>
        <w:spacing w:before="0" w:after="0" w:line="360" w:lineRule="auto"/>
        <w:rPr>
          <w:rFonts w:eastAsia="黑体"/>
          <w:b w:val="0"/>
          <w:snapToGrid w:val="0"/>
          <w:color w:val="auto"/>
          <w:kern w:val="0"/>
          <w:sz w:val="28"/>
          <w:szCs w:val="28"/>
        </w:rPr>
      </w:pPr>
      <w:r>
        <w:rPr>
          <w:rFonts w:hint="eastAsia" w:eastAsia="黑体"/>
          <w:b w:val="0"/>
          <w:snapToGrid w:val="0"/>
          <w:color w:val="auto"/>
          <w:kern w:val="0"/>
          <w:sz w:val="28"/>
          <w:szCs w:val="28"/>
        </w:rPr>
        <w:t>1</w:t>
      </w:r>
      <w:r>
        <w:rPr>
          <w:rFonts w:eastAsia="黑体"/>
          <w:b w:val="0"/>
          <w:snapToGrid w:val="0"/>
          <w:color w:val="auto"/>
          <w:kern w:val="0"/>
          <w:sz w:val="28"/>
          <w:szCs w:val="28"/>
        </w:rPr>
        <w:t>.2</w:t>
      </w:r>
      <w:r>
        <w:rPr>
          <w:rFonts w:hint="eastAsia" w:eastAsia="黑体"/>
          <w:b w:val="0"/>
          <w:snapToGrid w:val="0"/>
          <w:color w:val="auto"/>
          <w:kern w:val="0"/>
          <w:sz w:val="28"/>
          <w:szCs w:val="28"/>
        </w:rPr>
        <w:t>.5 地方政府规章</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《山东省生产经营单位安全生产主体责任规定》</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山东省人民政府令[201</w:t>
      </w:r>
      <w:r>
        <w:rPr>
          <w:rFonts w:ascii="Times New Roman" w:hAnsi="Times New Roman" w:eastAsia="宋体" w:cs="Times New Roman"/>
          <w:color w:val="auto"/>
          <w:kern w:val="2"/>
          <w:sz w:val="28"/>
          <w:szCs w:val="24"/>
          <w:lang w:val="en-US" w:eastAsia="zh-CN" w:bidi="ar-SA"/>
        </w:rPr>
        <w:t>8</w:t>
      </w:r>
      <w:r>
        <w:rPr>
          <w:rFonts w:hint="eastAsia" w:ascii="Times New Roman" w:hAnsi="Times New Roman" w:eastAsia="宋体" w:cs="Times New Roman"/>
          <w:color w:val="auto"/>
          <w:kern w:val="2"/>
          <w:sz w:val="28"/>
          <w:szCs w:val="24"/>
          <w:lang w:val="en-US" w:eastAsia="zh-CN" w:bidi="ar-SA"/>
        </w:rPr>
        <w:t>]第3</w:t>
      </w:r>
      <w:r>
        <w:rPr>
          <w:rFonts w:ascii="Times New Roman" w:hAnsi="Times New Roman" w:eastAsia="宋体" w:cs="Times New Roman"/>
          <w:color w:val="auto"/>
          <w:kern w:val="2"/>
          <w:sz w:val="28"/>
          <w:szCs w:val="24"/>
          <w:lang w:val="en-US" w:eastAsia="zh-CN" w:bidi="ar-SA"/>
        </w:rPr>
        <w:t>11</w:t>
      </w:r>
      <w:r>
        <w:rPr>
          <w:rFonts w:hint="eastAsia" w:ascii="Times New Roman" w:hAnsi="Times New Roman" w:eastAsia="宋体" w:cs="Times New Roman"/>
          <w:color w:val="auto"/>
          <w:kern w:val="2"/>
          <w:sz w:val="28"/>
          <w:szCs w:val="24"/>
          <w:lang w:val="en-US" w:eastAsia="zh-CN" w:bidi="ar-SA"/>
        </w:rPr>
        <w:t>号修订</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《山东省安全生产风险管控办法》</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山东省人民政府令第331号</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《山东省生产安全事故应急办法》</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山东省人民政府令第341号</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《山东省生产安全事故隐患排查治理办法》</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山东省人民政府令第347号</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《山东省生产安全事故报告和调查处理办法》</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山东省人民政府令第342号</w:t>
      </w:r>
      <w:r>
        <w:rPr>
          <w:rFonts w:hint="default" w:cs="Times New Roman"/>
          <w:color w:val="auto"/>
          <w:kern w:val="2"/>
          <w:sz w:val="28"/>
          <w:szCs w:val="24"/>
          <w:lang w:eastAsia="zh-CN" w:bidi="ar-SA"/>
        </w:rPr>
        <w:t>，2022年4月25日，经山东省人民政府令第349号修订</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《山东省非煤矿矿山企业安全生产许可证实施方案》</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鲁安监发[2009]133号</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default" w:ascii="Times New Roman" w:hAnsi="Times New Roman" w:eastAsia="宋体" w:cs="Times New Roman"/>
          <w:color w:val="auto"/>
          <w:kern w:val="2"/>
          <w:sz w:val="28"/>
          <w:szCs w:val="24"/>
          <w:lang w:val="en-US" w:eastAsia="zh-CN" w:bidi="ar-SA"/>
        </w:rPr>
        <w:t>《关于印发&lt;山东省非煤矿山重特大生产安全事故预防措施&gt;的通知》（鲁安监发[2010]43号）</w:t>
      </w:r>
    </w:p>
    <w:p>
      <w:pPr>
        <w:widowControl w:val="0"/>
        <w:numPr>
          <w:ilvl w:val="0"/>
          <w:numId w:val="7"/>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《关于进一步加强非煤矿山安全生产工作的意见》（鲁安监发[2013]86号）</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《关于进一步加强非煤矿山安全生产标准化建设工作的通知》</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鲁安监发[2011]146号，2015修订版</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《关于开展石油天然气企业安全生产标准化建设工作的通知》</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鲁安监发[2013]77号，2015修订版</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《关于认真落实国家安全监管总局62号令切实加强非煤矿山外包工程安全管理的通知》</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鲁安监发[2014]28号，2015修订版</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《关于印发&lt;山东省非煤矿山企业安全生产风险分级监管暂行办法&gt;和&lt;山东省非煤矿山企业安全生产风险分级标准（试行）&gt;的通知》</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鲁安监发[2015]151号</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《关于印发山东省生产经营单位全员安全生产责任清单的通知》鲁安办发[2021]50号</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《山东省人民政府办公厅关于印发山东省生产经营单位安全总监制度实施办法（试行）的通知》</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鲁政办字[2021]60号</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《关于对钻井、物探、测井、录井、井下作业、油建企业实施安全生产许可的通知》鲁应急函[2021]86号</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《山东省企业安全生产“晨会”制度规范（试行）》</w:t>
      </w:r>
      <w:r>
        <w:rPr>
          <w:rFonts w:hint="eastAsia"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鲁安发[2022]4号</w:t>
      </w:r>
      <w:r>
        <w:rPr>
          <w:rFonts w:hint="eastAsia" w:cs="Times New Roman"/>
          <w:color w:val="auto"/>
          <w:kern w:val="2"/>
          <w:sz w:val="28"/>
          <w:szCs w:val="24"/>
          <w:lang w:val="en-US" w:eastAsia="zh-CN" w:bidi="ar-SA"/>
        </w:rPr>
        <w:t>）</w:t>
      </w:r>
    </w:p>
    <w:p>
      <w:pPr>
        <w:widowControl w:val="0"/>
        <w:numPr>
          <w:ilvl w:val="0"/>
          <w:numId w:val="7"/>
        </w:numPr>
        <w:adjustRightInd w:val="0"/>
        <w:snapToGrid w:val="0"/>
        <w:spacing w:line="360" w:lineRule="auto"/>
        <w:ind w:left="0" w:firstLine="560" w:firstLineChars="200"/>
        <w:jc w:val="both"/>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《关于印发《关于规范和加强安全生产安全生产培训考核工作的实施意见》的通知》鲁应急发〔2022〕6号</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cs="Times New Roman"/>
          <w:color w:val="auto"/>
          <w:kern w:val="2"/>
          <w:sz w:val="28"/>
          <w:szCs w:val="24"/>
          <w:lang w:val="en-US" w:eastAsia="zh-CN" w:bidi="ar-SA"/>
        </w:rPr>
        <w:t>《山东省人民政府安全生产委员会办公室山东省应急管理厅关于印发&lt;山东省生产经营单位劳务派遣人员和灵活用工人员安全管理办法&gt;的通知》（鲁应急发[2022]7号）</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《重点行业领域重大安全风险隐患清单》（鲁安发[2022]11号）</w:t>
      </w:r>
    </w:p>
    <w:p>
      <w:pPr>
        <w:widowControl w:val="0"/>
        <w:numPr>
          <w:ilvl w:val="0"/>
          <w:numId w:val="7"/>
        </w:numPr>
        <w:adjustRightInd w:val="0"/>
        <w:snapToGrid w:val="0"/>
        <w:spacing w:line="360" w:lineRule="auto"/>
        <w:ind w:left="0" w:firstLine="560" w:firstLineChars="200"/>
        <w:jc w:val="both"/>
        <w:rPr>
          <w:rFonts w:ascii="Times New Roman" w:hAnsi="Times New Roman" w:eastAsia="宋体" w:cs="Times New Roman"/>
          <w:color w:val="auto"/>
          <w:kern w:val="2"/>
          <w:sz w:val="28"/>
          <w:szCs w:val="24"/>
          <w:lang w:val="en-US" w:eastAsia="zh-CN" w:bidi="ar-SA"/>
        </w:rPr>
      </w:pPr>
      <w:r>
        <w:rPr>
          <w:rFonts w:hint="default" w:ascii="Times New Roman" w:hAnsi="Times New Roman" w:eastAsia="宋体" w:cs="Times New Roman"/>
          <w:color w:val="auto"/>
          <w:kern w:val="2"/>
          <w:sz w:val="28"/>
          <w:szCs w:val="24"/>
          <w:lang w:val="en-US" w:eastAsia="zh-CN" w:bidi="ar-SA"/>
        </w:rPr>
        <w:t>《关于转发省应急厅〈关于对钻井、物探、测井、录井、钻井作业、油建企业实施安全生产许可的通知〉的通知》（东应急函字</w:t>
      </w:r>
      <w:r>
        <w:rPr>
          <w:rFonts w:hint="eastAsia" w:ascii="Times New Roman" w:hAnsi="Times New Roman" w:eastAsia="宋体" w:cs="Times New Roman"/>
          <w:color w:val="auto"/>
          <w:kern w:val="2"/>
          <w:sz w:val="28"/>
          <w:szCs w:val="24"/>
          <w:lang w:val="en-US" w:eastAsia="zh-CN" w:bidi="ar-SA"/>
        </w:rPr>
        <w:t>[</w:t>
      </w:r>
      <w:r>
        <w:rPr>
          <w:rFonts w:hint="default" w:ascii="Times New Roman" w:hAnsi="Times New Roman" w:eastAsia="宋体" w:cs="Times New Roman"/>
          <w:color w:val="auto"/>
          <w:kern w:val="2"/>
          <w:sz w:val="28"/>
          <w:szCs w:val="24"/>
          <w:lang w:val="en-US" w:eastAsia="zh-CN" w:bidi="ar-SA"/>
        </w:rPr>
        <w:t>2021</w:t>
      </w:r>
      <w:r>
        <w:rPr>
          <w:rFonts w:hint="eastAsia" w:ascii="Times New Roman" w:hAnsi="Times New Roman" w:eastAsia="宋体" w:cs="Times New Roman"/>
          <w:color w:val="auto"/>
          <w:kern w:val="2"/>
          <w:sz w:val="28"/>
          <w:szCs w:val="24"/>
          <w:lang w:val="en-US" w:eastAsia="zh-CN" w:bidi="ar-SA"/>
        </w:rPr>
        <w:t>]</w:t>
      </w:r>
      <w:r>
        <w:rPr>
          <w:rFonts w:hint="default" w:ascii="Times New Roman" w:hAnsi="Times New Roman" w:eastAsia="宋体" w:cs="Times New Roman"/>
          <w:color w:val="auto"/>
          <w:kern w:val="2"/>
          <w:sz w:val="28"/>
          <w:szCs w:val="24"/>
          <w:lang w:val="en-US" w:eastAsia="zh-CN" w:bidi="ar-SA"/>
        </w:rPr>
        <w:t>49号）</w:t>
      </w:r>
    </w:p>
    <w:p>
      <w:pPr>
        <w:widowControl w:val="0"/>
        <w:numPr>
          <w:ilvl w:val="0"/>
          <w:numId w:val="7"/>
        </w:numPr>
        <w:adjustRightInd w:val="0"/>
        <w:snapToGrid w:val="0"/>
        <w:spacing w:line="360" w:lineRule="auto"/>
        <w:ind w:left="0" w:firstLine="560" w:firstLineChars="200"/>
        <w:jc w:val="both"/>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《东营市应急管理局关于进一步规范非煤矿矿山《安全生产许可证》颁发管理有关问题的函》东应急函字[2021]50号</w:t>
      </w:r>
    </w:p>
    <w:p>
      <w:pPr>
        <w:keepNext w:val="0"/>
        <w:keepLines w:val="0"/>
        <w:pageBreakBefore w:val="0"/>
        <w:widowControl w:val="0"/>
        <w:numPr>
          <w:ilvl w:val="0"/>
          <w:numId w:val="7"/>
        </w:numPr>
        <w:kinsoku/>
        <w:wordWrap/>
        <w:overflowPunct/>
        <w:topLinePunct w:val="0"/>
        <w:autoSpaceDE/>
        <w:autoSpaceDN/>
        <w:bidi w:val="0"/>
        <w:adjustRightInd w:val="0"/>
        <w:snapToGrid w:val="0"/>
        <w:spacing w:line="360" w:lineRule="auto"/>
        <w:ind w:left="0" w:firstLine="560" w:firstLineChars="200"/>
        <w:jc w:val="both"/>
        <w:textAlignment w:val="auto"/>
        <w:rPr>
          <w:rFonts w:hint="default" w:ascii="Times New Roman" w:hAnsi="Times New Roman" w:eastAsia="宋体" w:cs="Times New Roman"/>
          <w:color w:val="auto"/>
          <w:kern w:val="2"/>
          <w:sz w:val="28"/>
          <w:szCs w:val="24"/>
          <w:lang w:val="en-US" w:eastAsia="zh-CN" w:bidi="ar-SA"/>
        </w:rPr>
      </w:pPr>
      <w:r>
        <w:rPr>
          <w:rFonts w:hint="default" w:ascii="Times New Roman" w:hAnsi="Times New Roman" w:eastAsia="宋体" w:cs="Times New Roman"/>
          <w:color w:val="auto"/>
          <w:kern w:val="2"/>
          <w:sz w:val="28"/>
          <w:szCs w:val="24"/>
          <w:lang w:val="en-US" w:eastAsia="zh-CN" w:bidi="ar-SA"/>
        </w:rPr>
        <w:t>关于印发《非煤矿矿山安全生产许可证申请自查要点》的通知（东应急函字[2022]13号）</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eastAsia="黑体"/>
          <w:b w:val="0"/>
          <w:snapToGrid w:val="0"/>
          <w:color w:val="auto"/>
          <w:kern w:val="0"/>
          <w:sz w:val="28"/>
          <w:szCs w:val="28"/>
        </w:rPr>
      </w:pPr>
      <w:r>
        <w:rPr>
          <w:rFonts w:hint="eastAsia" w:eastAsia="黑体"/>
          <w:b w:val="0"/>
          <w:snapToGrid w:val="0"/>
          <w:color w:val="auto"/>
          <w:kern w:val="0"/>
          <w:sz w:val="28"/>
          <w:szCs w:val="28"/>
        </w:rPr>
        <w:t>1</w:t>
      </w:r>
      <w:r>
        <w:rPr>
          <w:rFonts w:eastAsia="黑体"/>
          <w:b w:val="0"/>
          <w:snapToGrid w:val="0"/>
          <w:color w:val="auto"/>
          <w:kern w:val="0"/>
          <w:sz w:val="28"/>
          <w:szCs w:val="28"/>
        </w:rPr>
        <w:t>.2</w:t>
      </w:r>
      <w:r>
        <w:rPr>
          <w:rFonts w:hint="eastAsia" w:eastAsia="黑体"/>
          <w:b w:val="0"/>
          <w:snapToGrid w:val="0"/>
          <w:color w:val="auto"/>
          <w:kern w:val="0"/>
          <w:sz w:val="28"/>
          <w:szCs w:val="28"/>
        </w:rPr>
        <w:t>.6 国家标准</w:t>
      </w:r>
    </w:p>
    <w:p>
      <w:pPr>
        <w:pStyle w:val="125"/>
        <w:numPr>
          <w:ilvl w:val="0"/>
          <w:numId w:val="8"/>
        </w:numPr>
        <w:adjustRightInd w:val="0"/>
        <w:snapToGrid w:val="0"/>
        <w:spacing w:line="360" w:lineRule="auto"/>
        <w:ind w:left="0" w:firstLine="560"/>
        <w:rPr>
          <w:color w:val="auto"/>
          <w:sz w:val="28"/>
        </w:rPr>
      </w:pPr>
      <w:r>
        <w:rPr>
          <w:rFonts w:hint="eastAsia"/>
          <w:color w:val="auto"/>
          <w:sz w:val="28"/>
        </w:rPr>
        <w:t>《企业职工伤亡事故分类》</w:t>
      </w:r>
      <w:r>
        <w:rPr>
          <w:rFonts w:hint="eastAsia"/>
          <w:color w:val="auto"/>
          <w:sz w:val="28"/>
          <w:lang w:eastAsia="zh-CN"/>
        </w:rPr>
        <w:t>（</w:t>
      </w:r>
      <w:r>
        <w:rPr>
          <w:rFonts w:hint="eastAsia"/>
          <w:color w:val="auto"/>
          <w:sz w:val="28"/>
        </w:rPr>
        <w:t>GB6441-1986</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《生产设备安全卫生设计总则》</w:t>
      </w:r>
      <w:r>
        <w:rPr>
          <w:rFonts w:hint="eastAsia"/>
          <w:color w:val="auto"/>
          <w:sz w:val="28"/>
          <w:lang w:eastAsia="zh-CN"/>
        </w:rPr>
        <w:t>（</w:t>
      </w:r>
      <w:r>
        <w:rPr>
          <w:rFonts w:hint="eastAsia"/>
          <w:color w:val="auto"/>
          <w:sz w:val="28"/>
        </w:rPr>
        <w:t>GB5083-1999</w:t>
      </w:r>
      <w:r>
        <w:rPr>
          <w:rFonts w:hint="eastAsia"/>
          <w:color w:val="auto"/>
          <w:sz w:val="28"/>
          <w:lang w:eastAsia="zh-CN"/>
        </w:rPr>
        <w:t>）</w:t>
      </w:r>
    </w:p>
    <w:p>
      <w:pPr>
        <w:pStyle w:val="125"/>
        <w:numPr>
          <w:ilvl w:val="0"/>
          <w:numId w:val="8"/>
        </w:numPr>
        <w:adjustRightInd w:val="0"/>
        <w:snapToGrid w:val="0"/>
        <w:spacing w:line="360" w:lineRule="auto"/>
        <w:ind w:left="0" w:firstLine="560"/>
        <w:rPr>
          <w:rFonts w:hint="eastAsia"/>
          <w:color w:val="auto"/>
          <w:sz w:val="28"/>
        </w:rPr>
      </w:pPr>
      <w:r>
        <w:rPr>
          <w:rFonts w:hint="eastAsia"/>
          <w:color w:val="auto"/>
          <w:sz w:val="28"/>
        </w:rPr>
        <w:t>《工作场所职业病危害警示标识》</w:t>
      </w:r>
      <w:r>
        <w:rPr>
          <w:rFonts w:hint="eastAsia"/>
          <w:color w:val="auto"/>
          <w:sz w:val="28"/>
          <w:lang w:eastAsia="zh-CN"/>
        </w:rPr>
        <w:t>（</w:t>
      </w:r>
      <w:r>
        <w:rPr>
          <w:rFonts w:hint="eastAsia"/>
          <w:color w:val="auto"/>
          <w:sz w:val="28"/>
        </w:rPr>
        <w:t>GBZ158-2003</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《防止静电事故通用导则》</w:t>
      </w:r>
      <w:r>
        <w:rPr>
          <w:rFonts w:hint="eastAsia"/>
          <w:color w:val="auto"/>
          <w:sz w:val="28"/>
          <w:lang w:eastAsia="zh-CN"/>
        </w:rPr>
        <w:t>（</w:t>
      </w:r>
      <w:r>
        <w:rPr>
          <w:rFonts w:hint="eastAsia"/>
          <w:color w:val="auto"/>
          <w:sz w:val="28"/>
        </w:rPr>
        <w:t>GB12158-2006</w:t>
      </w:r>
      <w:r>
        <w:rPr>
          <w:rFonts w:hint="eastAsia"/>
          <w:color w:val="auto"/>
          <w:sz w:val="28"/>
          <w:lang w:eastAsia="zh-CN"/>
        </w:rPr>
        <w:t>）</w:t>
      </w:r>
    </w:p>
    <w:p>
      <w:pPr>
        <w:pStyle w:val="125"/>
        <w:numPr>
          <w:ilvl w:val="0"/>
          <w:numId w:val="8"/>
        </w:numPr>
        <w:adjustRightInd w:val="0"/>
        <w:snapToGrid w:val="0"/>
        <w:spacing w:line="360" w:lineRule="auto"/>
        <w:ind w:left="0" w:firstLine="560"/>
        <w:rPr>
          <w:rFonts w:hint="eastAsia"/>
          <w:color w:val="auto"/>
          <w:sz w:val="28"/>
        </w:rPr>
      </w:pPr>
      <w:r>
        <w:rPr>
          <w:rFonts w:hint="eastAsia"/>
          <w:color w:val="auto"/>
          <w:sz w:val="28"/>
        </w:rPr>
        <w:t>《工作场所有害因素职业接触限值第2部分：物理因素》</w:t>
      </w:r>
      <w:r>
        <w:rPr>
          <w:rFonts w:hint="eastAsia"/>
          <w:color w:val="auto"/>
          <w:sz w:val="28"/>
          <w:lang w:eastAsia="zh-CN"/>
        </w:rPr>
        <w:t>（</w:t>
      </w:r>
      <w:r>
        <w:rPr>
          <w:rFonts w:hint="eastAsia"/>
          <w:color w:val="auto"/>
          <w:sz w:val="28"/>
        </w:rPr>
        <w:t>GBZ2.2-2007</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《安全色》</w:t>
      </w:r>
      <w:r>
        <w:rPr>
          <w:rFonts w:hint="eastAsia"/>
          <w:color w:val="auto"/>
          <w:sz w:val="28"/>
          <w:lang w:eastAsia="zh-CN"/>
        </w:rPr>
        <w:t>（</w:t>
      </w:r>
      <w:r>
        <w:rPr>
          <w:rFonts w:hint="eastAsia"/>
          <w:color w:val="auto"/>
          <w:sz w:val="28"/>
        </w:rPr>
        <w:t>GB2893-2008</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《生产过程安全卫生要求总则》</w:t>
      </w:r>
      <w:r>
        <w:rPr>
          <w:rFonts w:hint="eastAsia"/>
          <w:color w:val="auto"/>
          <w:sz w:val="28"/>
          <w:lang w:eastAsia="zh-CN"/>
        </w:rPr>
        <w:t>（</w:t>
      </w:r>
      <w:r>
        <w:rPr>
          <w:rFonts w:hint="eastAsia"/>
          <w:color w:val="auto"/>
          <w:sz w:val="28"/>
        </w:rPr>
        <w:t>GB/T12801-2008</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《安全标志及其使用导则》</w:t>
      </w:r>
      <w:r>
        <w:rPr>
          <w:rFonts w:hint="eastAsia"/>
          <w:color w:val="auto"/>
          <w:sz w:val="28"/>
          <w:lang w:eastAsia="zh-CN"/>
        </w:rPr>
        <w:t>（</w:t>
      </w:r>
      <w:r>
        <w:rPr>
          <w:rFonts w:hint="eastAsia"/>
          <w:color w:val="auto"/>
          <w:sz w:val="28"/>
        </w:rPr>
        <w:t>GB2894-2008</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《化学品分类和危险性公示通则》</w:t>
      </w:r>
      <w:r>
        <w:rPr>
          <w:rFonts w:hint="eastAsia"/>
          <w:color w:val="auto"/>
          <w:sz w:val="28"/>
          <w:lang w:eastAsia="zh-CN"/>
        </w:rPr>
        <w:t>（</w:t>
      </w:r>
      <w:r>
        <w:rPr>
          <w:rFonts w:hint="eastAsia"/>
          <w:color w:val="auto"/>
          <w:sz w:val="28"/>
        </w:rPr>
        <w:t>GB13690-2009</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《石油与石油设施雷电安全规范》</w:t>
      </w:r>
      <w:r>
        <w:rPr>
          <w:rFonts w:hint="eastAsia"/>
          <w:color w:val="auto"/>
          <w:sz w:val="28"/>
          <w:lang w:eastAsia="zh-CN"/>
        </w:rPr>
        <w:t>（</w:t>
      </w:r>
      <w:r>
        <w:rPr>
          <w:rFonts w:hint="eastAsia"/>
          <w:color w:val="auto"/>
          <w:sz w:val="28"/>
        </w:rPr>
        <w:t>GB15599-2009</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《生产过程危险和有害因素分类与代码》</w:t>
      </w:r>
      <w:r>
        <w:rPr>
          <w:rFonts w:hint="eastAsia"/>
          <w:color w:val="auto"/>
          <w:sz w:val="28"/>
          <w:lang w:eastAsia="zh-CN"/>
        </w:rPr>
        <w:t>（</w:t>
      </w:r>
      <w:r>
        <w:rPr>
          <w:rFonts w:hint="eastAsia"/>
          <w:color w:val="auto"/>
          <w:sz w:val="28"/>
        </w:rPr>
        <w:t>GB/T13861-2009</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lang w:eastAsia="zh-CN"/>
        </w:rPr>
        <w:t>《</w:t>
      </w:r>
      <w:r>
        <w:rPr>
          <w:rFonts w:hint="eastAsia"/>
          <w:color w:val="auto"/>
          <w:sz w:val="28"/>
        </w:rPr>
        <w:t>供配电系统设计规范》</w:t>
      </w:r>
      <w:r>
        <w:rPr>
          <w:rFonts w:hint="eastAsia"/>
          <w:color w:val="auto"/>
          <w:sz w:val="28"/>
          <w:lang w:eastAsia="zh-CN"/>
        </w:rPr>
        <w:t>（</w:t>
      </w:r>
      <w:r>
        <w:rPr>
          <w:rFonts w:hint="eastAsia"/>
          <w:color w:val="auto"/>
          <w:sz w:val="28"/>
        </w:rPr>
        <w:t>GB50052-2009</w:t>
      </w:r>
      <w:r>
        <w:rPr>
          <w:rFonts w:hint="eastAsia"/>
          <w:color w:val="auto"/>
          <w:sz w:val="28"/>
          <w:lang w:eastAsia="zh-CN"/>
        </w:rPr>
        <w:t>）</w:t>
      </w:r>
    </w:p>
    <w:p>
      <w:pPr>
        <w:pStyle w:val="125"/>
        <w:numPr>
          <w:ilvl w:val="0"/>
          <w:numId w:val="8"/>
        </w:numPr>
        <w:adjustRightInd w:val="0"/>
        <w:snapToGrid w:val="0"/>
        <w:spacing w:line="360" w:lineRule="auto"/>
        <w:ind w:left="0" w:firstLine="560"/>
        <w:rPr>
          <w:rFonts w:hint="eastAsia"/>
          <w:color w:val="auto"/>
          <w:sz w:val="28"/>
        </w:rPr>
      </w:pPr>
      <w:r>
        <w:rPr>
          <w:rFonts w:hint="eastAsia"/>
          <w:color w:val="auto"/>
          <w:sz w:val="28"/>
        </w:rPr>
        <w:t>《职业性接触毒物危害程度分级》</w:t>
      </w:r>
      <w:r>
        <w:rPr>
          <w:rFonts w:hint="eastAsia"/>
          <w:color w:val="auto"/>
          <w:sz w:val="28"/>
          <w:lang w:eastAsia="zh-CN"/>
        </w:rPr>
        <w:t>（</w:t>
      </w:r>
      <w:r>
        <w:rPr>
          <w:rFonts w:hint="eastAsia"/>
          <w:color w:val="auto"/>
          <w:sz w:val="28"/>
        </w:rPr>
        <w:t>GBZ</w:t>
      </w:r>
      <w:r>
        <w:rPr>
          <w:rFonts w:hint="eastAsia"/>
          <w:color w:val="auto"/>
          <w:sz w:val="28"/>
          <w:lang w:val="en-US" w:eastAsia="zh-CN"/>
        </w:rPr>
        <w:t xml:space="preserve"> </w:t>
      </w:r>
      <w:r>
        <w:rPr>
          <w:rFonts w:hint="eastAsia"/>
          <w:color w:val="auto"/>
          <w:sz w:val="28"/>
        </w:rPr>
        <w:t>230-2010</w:t>
      </w:r>
      <w:r>
        <w:rPr>
          <w:rFonts w:hint="eastAsia"/>
          <w:color w:val="auto"/>
          <w:sz w:val="28"/>
          <w:lang w:eastAsia="zh-CN"/>
        </w:rPr>
        <w:t>国卫通[2016]24号）</w:t>
      </w:r>
    </w:p>
    <w:p>
      <w:pPr>
        <w:pStyle w:val="125"/>
        <w:numPr>
          <w:ilvl w:val="0"/>
          <w:numId w:val="8"/>
        </w:numPr>
        <w:adjustRightInd w:val="0"/>
        <w:snapToGrid w:val="0"/>
        <w:spacing w:line="360" w:lineRule="auto"/>
        <w:ind w:left="0" w:firstLine="560"/>
        <w:rPr>
          <w:color w:val="auto"/>
          <w:sz w:val="28"/>
        </w:rPr>
      </w:pPr>
      <w:r>
        <w:rPr>
          <w:rFonts w:hint="eastAsia"/>
          <w:color w:val="auto"/>
          <w:sz w:val="28"/>
        </w:rPr>
        <w:t>《低压配电设计规范》</w:t>
      </w:r>
      <w:r>
        <w:rPr>
          <w:rFonts w:hint="eastAsia"/>
          <w:color w:val="auto"/>
          <w:sz w:val="28"/>
          <w:lang w:eastAsia="zh-CN"/>
        </w:rPr>
        <w:t>（</w:t>
      </w:r>
      <w:r>
        <w:rPr>
          <w:rFonts w:hint="eastAsia"/>
          <w:color w:val="auto"/>
          <w:sz w:val="28"/>
        </w:rPr>
        <w:t>GB50054-2011</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《危险货物品名表》</w:t>
      </w:r>
      <w:r>
        <w:rPr>
          <w:rFonts w:hint="eastAsia"/>
          <w:color w:val="auto"/>
          <w:sz w:val="28"/>
          <w:lang w:eastAsia="zh-CN"/>
        </w:rPr>
        <w:t>（</w:t>
      </w:r>
      <w:r>
        <w:rPr>
          <w:rFonts w:hint="eastAsia"/>
          <w:color w:val="auto"/>
          <w:sz w:val="28"/>
        </w:rPr>
        <w:t>GB12268-2012</w:t>
      </w:r>
      <w:r>
        <w:rPr>
          <w:rFonts w:hint="eastAsia"/>
          <w:color w:val="auto"/>
          <w:sz w:val="28"/>
          <w:lang w:eastAsia="zh-CN"/>
        </w:rPr>
        <w:t>）</w:t>
      </w:r>
    </w:p>
    <w:p>
      <w:pPr>
        <w:pStyle w:val="125"/>
        <w:numPr>
          <w:ilvl w:val="0"/>
          <w:numId w:val="8"/>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《危险化学品单位应急救援物资配备要求》（GB30077-2013）</w:t>
      </w:r>
    </w:p>
    <w:p>
      <w:pPr>
        <w:pStyle w:val="125"/>
        <w:numPr>
          <w:ilvl w:val="0"/>
          <w:numId w:val="8"/>
        </w:numPr>
        <w:adjustRightInd w:val="0"/>
        <w:snapToGrid w:val="0"/>
        <w:spacing w:line="360" w:lineRule="auto"/>
        <w:ind w:left="0" w:firstLine="560"/>
        <w:rPr>
          <w:color w:val="auto"/>
          <w:sz w:val="28"/>
        </w:rPr>
      </w:pPr>
      <w:r>
        <w:rPr>
          <w:rFonts w:hint="eastAsia"/>
          <w:color w:val="auto"/>
          <w:sz w:val="28"/>
        </w:rPr>
        <w:t>《爆炸危险环境电力装置设计规范》</w:t>
      </w:r>
      <w:r>
        <w:rPr>
          <w:rFonts w:hint="eastAsia"/>
          <w:color w:val="auto"/>
          <w:sz w:val="28"/>
          <w:lang w:eastAsia="zh-CN"/>
        </w:rPr>
        <w:t>（</w:t>
      </w:r>
      <w:r>
        <w:rPr>
          <w:rFonts w:hint="eastAsia"/>
          <w:color w:val="auto"/>
          <w:sz w:val="28"/>
        </w:rPr>
        <w:t>GB50058-2014</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《石油天然气工业钻井和采油设备 钻井和修井井架、底座》</w:t>
      </w:r>
      <w:r>
        <w:rPr>
          <w:rFonts w:hint="eastAsia"/>
          <w:color w:val="auto"/>
          <w:sz w:val="28"/>
          <w:lang w:eastAsia="zh-CN"/>
        </w:rPr>
        <w:t>（</w:t>
      </w:r>
      <w:r>
        <w:rPr>
          <w:rFonts w:hint="eastAsia"/>
          <w:color w:val="auto"/>
          <w:sz w:val="28"/>
        </w:rPr>
        <w:t>GB/T25428-20</w:t>
      </w:r>
      <w:r>
        <w:rPr>
          <w:color w:val="auto"/>
          <w:sz w:val="28"/>
        </w:rPr>
        <w:t>15</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《企业安全生产标准化基本规范》</w:t>
      </w:r>
      <w:r>
        <w:rPr>
          <w:rFonts w:hint="eastAsia"/>
          <w:color w:val="auto"/>
          <w:sz w:val="28"/>
          <w:lang w:eastAsia="zh-CN"/>
        </w:rPr>
        <w:t>（</w:t>
      </w:r>
      <w:r>
        <w:rPr>
          <w:color w:val="auto"/>
          <w:sz w:val="28"/>
        </w:rPr>
        <w:t>GB/T33000-2016</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《危险化学品重大危险源辨识》</w:t>
      </w:r>
      <w:r>
        <w:rPr>
          <w:rFonts w:hint="eastAsia"/>
          <w:color w:val="auto"/>
          <w:sz w:val="28"/>
          <w:lang w:eastAsia="zh-CN"/>
        </w:rPr>
        <w:t>（</w:t>
      </w:r>
      <w:r>
        <w:rPr>
          <w:rFonts w:hint="eastAsia"/>
          <w:color w:val="auto"/>
          <w:sz w:val="28"/>
        </w:rPr>
        <w:t>GB18218-20</w:t>
      </w:r>
      <w:r>
        <w:rPr>
          <w:color w:val="auto"/>
          <w:sz w:val="28"/>
        </w:rPr>
        <w:t>18</w:t>
      </w:r>
      <w:r>
        <w:rPr>
          <w:rFonts w:hint="eastAsia"/>
          <w:color w:val="auto"/>
          <w:sz w:val="28"/>
          <w:lang w:eastAsia="zh-CN"/>
        </w:rPr>
        <w:t>）</w:t>
      </w:r>
    </w:p>
    <w:p>
      <w:pPr>
        <w:pStyle w:val="125"/>
        <w:numPr>
          <w:ilvl w:val="0"/>
          <w:numId w:val="8"/>
        </w:numPr>
        <w:adjustRightInd w:val="0"/>
        <w:snapToGrid w:val="0"/>
        <w:spacing w:line="360" w:lineRule="auto"/>
        <w:ind w:left="0" w:firstLine="560"/>
        <w:rPr>
          <w:rFonts w:hint="eastAsia"/>
          <w:color w:val="auto"/>
          <w:sz w:val="28"/>
        </w:rPr>
      </w:pPr>
      <w:r>
        <w:rPr>
          <w:rFonts w:hint="eastAsia"/>
          <w:color w:val="auto"/>
          <w:sz w:val="28"/>
        </w:rPr>
        <w:t>《工作场所有害因素职业接触限值第1部分：化学有害因素》</w:t>
      </w:r>
      <w:r>
        <w:rPr>
          <w:rFonts w:hint="eastAsia"/>
          <w:color w:val="auto"/>
          <w:sz w:val="28"/>
          <w:lang w:eastAsia="zh-CN"/>
        </w:rPr>
        <w:t>（</w:t>
      </w:r>
      <w:r>
        <w:rPr>
          <w:rFonts w:hint="eastAsia"/>
          <w:color w:val="auto"/>
          <w:sz w:val="28"/>
        </w:rPr>
        <w:t>GBZ2.1-20</w:t>
      </w:r>
      <w:r>
        <w:rPr>
          <w:rFonts w:hint="eastAsia"/>
          <w:color w:val="auto"/>
          <w:sz w:val="28"/>
          <w:lang w:val="en-US" w:eastAsia="zh-CN"/>
        </w:rPr>
        <w:t>19</w:t>
      </w:r>
      <w:r>
        <w:rPr>
          <w:rFonts w:hint="eastAsia"/>
          <w:color w:val="auto"/>
          <w:sz w:val="28"/>
          <w:lang w:eastAsia="zh-CN"/>
        </w:rPr>
        <w:t>）</w:t>
      </w:r>
    </w:p>
    <w:p>
      <w:pPr>
        <w:pStyle w:val="125"/>
        <w:numPr>
          <w:ilvl w:val="0"/>
          <w:numId w:val="8"/>
        </w:numPr>
        <w:adjustRightInd w:val="0"/>
        <w:snapToGrid w:val="0"/>
        <w:spacing w:line="360" w:lineRule="auto"/>
        <w:ind w:left="0" w:firstLine="560"/>
        <w:rPr>
          <w:color w:val="auto"/>
          <w:sz w:val="28"/>
        </w:rPr>
      </w:pPr>
      <w:r>
        <w:rPr>
          <w:rFonts w:hint="eastAsia"/>
          <w:color w:val="auto"/>
          <w:sz w:val="28"/>
        </w:rPr>
        <w:t>《生产经营单位生产安全事故应急预案编制导则》</w:t>
      </w:r>
      <w:r>
        <w:rPr>
          <w:rFonts w:hint="eastAsia"/>
          <w:color w:val="auto"/>
          <w:sz w:val="28"/>
          <w:lang w:eastAsia="zh-CN"/>
        </w:rPr>
        <w:t>（</w:t>
      </w:r>
      <w:r>
        <w:rPr>
          <w:rFonts w:hint="eastAsia"/>
          <w:color w:val="auto"/>
          <w:sz w:val="28"/>
        </w:rPr>
        <w:t>GB/T29639-20</w:t>
      </w:r>
      <w:r>
        <w:rPr>
          <w:rFonts w:hint="eastAsia"/>
          <w:color w:val="auto"/>
          <w:sz w:val="28"/>
          <w:lang w:val="en-US" w:eastAsia="zh-CN"/>
        </w:rPr>
        <w:t>20</w:t>
      </w:r>
      <w:r>
        <w:rPr>
          <w:rFonts w:hint="eastAsia"/>
          <w:color w:val="auto"/>
          <w:sz w:val="28"/>
          <w:lang w:eastAsia="zh-CN"/>
        </w:rPr>
        <w:t>）</w:t>
      </w:r>
    </w:p>
    <w:p>
      <w:pPr>
        <w:pStyle w:val="125"/>
        <w:numPr>
          <w:ilvl w:val="0"/>
          <w:numId w:val="8"/>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《个体防护装备配备规范 第2部分：石油、化工、天然气》（GB39800.2-2020）</w:t>
      </w:r>
    </w:p>
    <w:p>
      <w:pPr>
        <w:pStyle w:val="125"/>
        <w:numPr>
          <w:ilvl w:val="0"/>
          <w:numId w:val="8"/>
        </w:numPr>
        <w:adjustRightInd w:val="0"/>
        <w:snapToGrid w:val="0"/>
        <w:spacing w:line="360" w:lineRule="auto"/>
        <w:ind w:left="0" w:firstLine="560"/>
        <w:rPr>
          <w:color w:val="auto"/>
          <w:sz w:val="28"/>
        </w:rPr>
      </w:pPr>
      <w:r>
        <w:rPr>
          <w:rFonts w:hint="eastAsia"/>
          <w:color w:val="auto"/>
          <w:sz w:val="28"/>
          <w:lang w:val="en-US" w:eastAsia="zh-CN"/>
        </w:rPr>
        <w:t>《石油天然气工业钻井和修井设备》（</w:t>
      </w:r>
      <w:r>
        <w:rPr>
          <w:rFonts w:hint="default"/>
          <w:color w:val="auto"/>
          <w:sz w:val="28"/>
          <w:lang w:val="en-US" w:eastAsia="zh-CN"/>
        </w:rPr>
        <w:t>GB/T17744-20</w:t>
      </w:r>
      <w:r>
        <w:rPr>
          <w:rFonts w:hint="eastAsia"/>
          <w:color w:val="auto"/>
          <w:sz w:val="28"/>
          <w:lang w:val="en-US" w:eastAsia="zh-CN"/>
        </w:rPr>
        <w:t>20）</w:t>
      </w:r>
    </w:p>
    <w:p>
      <w:pPr>
        <w:pStyle w:val="125"/>
        <w:numPr>
          <w:ilvl w:val="0"/>
          <w:numId w:val="8"/>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w:t>
      </w:r>
      <w:r>
        <w:rPr>
          <w:rFonts w:hint="default"/>
          <w:color w:val="auto"/>
          <w:sz w:val="28"/>
          <w:lang w:val="en-US" w:eastAsia="zh-CN"/>
        </w:rPr>
        <w:t>连续油管</w:t>
      </w:r>
      <w:r>
        <w:rPr>
          <w:rFonts w:hint="eastAsia"/>
          <w:color w:val="auto"/>
          <w:sz w:val="28"/>
          <w:lang w:val="en-US" w:eastAsia="zh-CN"/>
        </w:rPr>
        <w:t>》（GB</w:t>
      </w:r>
      <w:r>
        <w:rPr>
          <w:rFonts w:hint="default"/>
          <w:color w:val="auto"/>
          <w:sz w:val="28"/>
          <w:lang w:val="en-US" w:eastAsia="zh-CN"/>
        </w:rPr>
        <w:t>/</w:t>
      </w:r>
      <w:r>
        <w:rPr>
          <w:rFonts w:hint="eastAsia"/>
          <w:color w:val="auto"/>
          <w:sz w:val="28"/>
          <w:lang w:val="en-US" w:eastAsia="zh-CN"/>
        </w:rPr>
        <w:t>T34204-2017）</w:t>
      </w:r>
    </w:p>
    <w:p>
      <w:pPr>
        <w:pStyle w:val="5"/>
        <w:adjustRightInd w:val="0"/>
        <w:snapToGrid w:val="0"/>
        <w:spacing w:before="0" w:after="0" w:line="360" w:lineRule="auto"/>
        <w:rPr>
          <w:rFonts w:eastAsia="黑体"/>
          <w:b w:val="0"/>
          <w:snapToGrid w:val="0"/>
          <w:color w:val="auto"/>
          <w:kern w:val="0"/>
          <w:sz w:val="28"/>
          <w:szCs w:val="28"/>
        </w:rPr>
      </w:pPr>
      <w:r>
        <w:rPr>
          <w:rFonts w:hint="eastAsia" w:eastAsia="黑体"/>
          <w:b w:val="0"/>
          <w:snapToGrid w:val="0"/>
          <w:color w:val="auto"/>
          <w:kern w:val="0"/>
          <w:sz w:val="28"/>
          <w:szCs w:val="28"/>
        </w:rPr>
        <w:t>1.2.7 行业、地方标准</w:t>
      </w:r>
    </w:p>
    <w:p>
      <w:pPr>
        <w:pStyle w:val="259"/>
        <w:numPr>
          <w:ilvl w:val="0"/>
          <w:numId w:val="9"/>
        </w:numPr>
        <w:adjustRightInd w:val="0"/>
        <w:snapToGrid w:val="0"/>
        <w:spacing w:line="360" w:lineRule="auto"/>
        <w:ind w:left="0" w:firstLine="544" w:firstLineChars="0"/>
        <w:rPr>
          <w:rFonts w:hint="eastAsia" w:eastAsia="宋体"/>
          <w:bCs/>
          <w:color w:val="auto"/>
          <w:spacing w:val="-4"/>
          <w:sz w:val="28"/>
          <w:szCs w:val="28"/>
        </w:rPr>
      </w:pPr>
      <w:r>
        <w:rPr>
          <w:rFonts w:hint="eastAsia"/>
          <w:bCs/>
          <w:color w:val="auto"/>
          <w:spacing w:val="-4"/>
          <w:sz w:val="28"/>
          <w:szCs w:val="28"/>
        </w:rPr>
        <w:t>《安全阀安全技术监察规程》（TSG ZF001-2006</w:t>
      </w:r>
      <w:r>
        <w:rPr>
          <w:rFonts w:hint="eastAsia"/>
          <w:bCs/>
          <w:color w:val="auto"/>
          <w:spacing w:val="-4"/>
          <w:sz w:val="28"/>
          <w:szCs w:val="28"/>
          <w:lang w:val="en-US" w:eastAsia="zh-CN"/>
        </w:rPr>
        <w:t xml:space="preserve">  2009</w:t>
      </w:r>
      <w:r>
        <w:rPr>
          <w:rFonts w:hint="eastAsia" w:eastAsia="宋体"/>
          <w:bCs/>
          <w:color w:val="auto"/>
          <w:spacing w:val="-4"/>
          <w:sz w:val="28"/>
          <w:szCs w:val="28"/>
        </w:rPr>
        <w:t>第1号修改单</w:t>
      </w:r>
      <w:r>
        <w:rPr>
          <w:rFonts w:hint="eastAsia"/>
          <w:bCs/>
          <w:color w:val="auto"/>
          <w:spacing w:val="-4"/>
          <w:sz w:val="28"/>
          <w:szCs w:val="28"/>
        </w:rPr>
        <w:t>）</w:t>
      </w:r>
    </w:p>
    <w:p>
      <w:pPr>
        <w:pStyle w:val="259"/>
        <w:numPr>
          <w:ilvl w:val="0"/>
          <w:numId w:val="9"/>
        </w:numPr>
        <w:adjustRightInd w:val="0"/>
        <w:snapToGrid w:val="0"/>
        <w:spacing w:line="360" w:lineRule="auto"/>
        <w:ind w:left="0" w:firstLine="544" w:firstLineChars="0"/>
        <w:rPr>
          <w:bCs/>
          <w:color w:val="auto"/>
          <w:spacing w:val="-4"/>
          <w:sz w:val="28"/>
          <w:szCs w:val="28"/>
        </w:rPr>
      </w:pPr>
      <w:r>
        <w:rPr>
          <w:rFonts w:hint="eastAsia"/>
          <w:bCs/>
          <w:color w:val="auto"/>
          <w:spacing w:val="-4"/>
          <w:sz w:val="28"/>
          <w:szCs w:val="28"/>
        </w:rPr>
        <w:t>《石油天然气安全规程》</w:t>
      </w:r>
      <w:r>
        <w:rPr>
          <w:rFonts w:hint="eastAsia"/>
          <w:bCs/>
          <w:color w:val="auto"/>
          <w:spacing w:val="-4"/>
          <w:sz w:val="28"/>
          <w:szCs w:val="28"/>
          <w:lang w:eastAsia="zh-CN"/>
        </w:rPr>
        <w:t>（</w:t>
      </w:r>
      <w:r>
        <w:rPr>
          <w:rFonts w:hint="eastAsia"/>
          <w:bCs/>
          <w:color w:val="auto"/>
          <w:spacing w:val="-4"/>
          <w:sz w:val="28"/>
          <w:szCs w:val="28"/>
        </w:rPr>
        <w:t>AQ2012-2007</w:t>
      </w:r>
      <w:r>
        <w:rPr>
          <w:rFonts w:hint="eastAsia"/>
          <w:bCs/>
          <w:color w:val="auto"/>
          <w:spacing w:val="-4"/>
          <w:sz w:val="28"/>
          <w:szCs w:val="28"/>
          <w:lang w:eastAsia="zh-CN"/>
        </w:rPr>
        <w:t>）</w:t>
      </w:r>
    </w:p>
    <w:p>
      <w:pPr>
        <w:pStyle w:val="125"/>
        <w:numPr>
          <w:ilvl w:val="0"/>
          <w:numId w:val="9"/>
        </w:numPr>
        <w:adjustRightInd w:val="0"/>
        <w:snapToGrid w:val="0"/>
        <w:spacing w:line="360" w:lineRule="auto"/>
        <w:ind w:left="0" w:firstLine="560"/>
        <w:rPr>
          <w:color w:val="auto"/>
          <w:sz w:val="28"/>
        </w:rPr>
      </w:pPr>
      <w:r>
        <w:rPr>
          <w:rFonts w:hint="eastAsia"/>
          <w:color w:val="auto"/>
          <w:sz w:val="28"/>
        </w:rPr>
        <w:t>《安全评价通则》</w:t>
      </w:r>
      <w:r>
        <w:rPr>
          <w:rFonts w:hint="eastAsia"/>
          <w:color w:val="auto"/>
          <w:sz w:val="28"/>
          <w:lang w:eastAsia="zh-CN"/>
        </w:rPr>
        <w:t>（</w:t>
      </w:r>
      <w:r>
        <w:rPr>
          <w:rFonts w:hint="eastAsia"/>
          <w:color w:val="auto"/>
          <w:sz w:val="28"/>
        </w:rPr>
        <w:t>AQ8001-2007</w:t>
      </w:r>
      <w:r>
        <w:rPr>
          <w:rFonts w:hint="eastAsia"/>
          <w:color w:val="auto"/>
          <w:sz w:val="28"/>
          <w:lang w:eastAsia="zh-CN"/>
        </w:rPr>
        <w:t>）</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《山东省劳动防护用品配备标准》（DB37/1922-2011）</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《石油行业安全生产标准化井下作业实施规范》（AQ2041-2012）</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《油水井酸化设计、施工及评价规范》（SY/T6334-2013）</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《井下作业用防喷器》（SY/T7010-2014）</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《石油天然气工业健康、安全与环境管理体系》（SY/T6276-2014）</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《生产安全事故应急演练评估规范》（AQ/T9009-2015）</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《防止静电、雷电和杂散电流引燃的措施》（SY/T6319-2016）</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《井下作业井控技术规程》（SY/T6690-2016）</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《石油天然气工程总图设计规范》（SY/T0048-2016）</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《硫化氢防护安全培训规范》（SY/T7356-2017）</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《硫化氢环境井下作业场所作业安全规范》（SY/T6610-2017）</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《钻修井井场雷电防护规范》（SY/T7386-2017）</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《石油天然气生产专用安全标志》（SY/T6355-2017）</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《非煤矿山企业安全生产风险分级管控体系细则》（DB37/T2972-2017）</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《非煤矿山企业生产安全事故隐患排查治理体系细则》（DB37/T3013-2017）</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《陆上石油和天然气开采企业安全生产风险分级管控体系建设实施指南》（DB 37/T 3331-2018）</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《陆上石油和天然气开采企业生产安全事故隐患排查治理体系实施指南》（DB 37/T 3332-2018）</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《石油天然气作业场所劳动防护用品配备规范》（SY/T6524-2017）</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《石油钻、修井用吊具安全技术检验规范》（SY/T6605-2018）</w:t>
      </w:r>
    </w:p>
    <w:p>
      <w:pPr>
        <w:pStyle w:val="125"/>
        <w:numPr>
          <w:ilvl w:val="0"/>
          <w:numId w:val="9"/>
        </w:numPr>
        <w:adjustRightInd w:val="0"/>
        <w:snapToGrid w:val="0"/>
        <w:spacing w:line="360" w:lineRule="auto"/>
        <w:ind w:left="0" w:firstLine="560"/>
        <w:rPr>
          <w:rFonts w:hint="eastAsia"/>
          <w:color w:val="auto"/>
          <w:sz w:val="28"/>
          <w:lang w:val="en-US" w:eastAsia="zh-CN"/>
        </w:rPr>
      </w:pPr>
      <w:r>
        <w:rPr>
          <w:rFonts w:hint="eastAsia"/>
          <w:color w:val="auto"/>
          <w:sz w:val="28"/>
          <w:lang w:val="en-US" w:eastAsia="zh-CN"/>
        </w:rPr>
        <w:t>《生产安全事故应急演练基本规范》（AQ/T9007-2019）</w:t>
      </w:r>
    </w:p>
    <w:p>
      <w:pPr>
        <w:pStyle w:val="125"/>
        <w:numPr>
          <w:ilvl w:val="0"/>
          <w:numId w:val="9"/>
        </w:numPr>
        <w:adjustRightInd w:val="0"/>
        <w:snapToGrid w:val="0"/>
        <w:spacing w:line="360" w:lineRule="auto"/>
        <w:ind w:left="0" w:firstLine="560"/>
        <w:rPr>
          <w:color w:val="auto"/>
          <w:sz w:val="28"/>
        </w:rPr>
      </w:pPr>
      <w:r>
        <w:rPr>
          <w:rFonts w:hint="eastAsia"/>
          <w:color w:val="auto"/>
          <w:sz w:val="28"/>
          <w:lang w:val="en-US" w:eastAsia="zh-CN"/>
        </w:rPr>
        <w:t>《生产经营单位生产安全事故应急预案评估指南》（AQ/T9011-2019）</w:t>
      </w:r>
    </w:p>
    <w:p>
      <w:pPr>
        <w:pStyle w:val="125"/>
        <w:numPr>
          <w:ilvl w:val="0"/>
          <w:numId w:val="9"/>
        </w:numPr>
        <w:adjustRightInd w:val="0"/>
        <w:snapToGrid w:val="0"/>
        <w:spacing w:line="360" w:lineRule="auto"/>
        <w:ind w:left="0" w:firstLine="544"/>
        <w:rPr>
          <w:rFonts w:hint="eastAsia"/>
          <w:color w:val="auto"/>
          <w:sz w:val="28"/>
        </w:rPr>
      </w:pPr>
      <w:r>
        <w:rPr>
          <w:rFonts w:hint="eastAsia"/>
          <w:color w:val="auto"/>
          <w:sz w:val="28"/>
        </w:rPr>
        <w:t>《石油天然气钻井、开发、储运防火防爆安全生产技术规程》</w:t>
      </w:r>
      <w:r>
        <w:rPr>
          <w:rFonts w:hint="eastAsia"/>
          <w:color w:val="auto"/>
          <w:sz w:val="28"/>
          <w:lang w:val="en-US" w:eastAsia="zh-CN"/>
        </w:rPr>
        <w:t xml:space="preserve"> （</w:t>
      </w:r>
      <w:r>
        <w:rPr>
          <w:rFonts w:hint="eastAsia"/>
          <w:color w:val="auto"/>
          <w:sz w:val="28"/>
        </w:rPr>
        <w:t>SY/T5225-2019</w:t>
      </w:r>
      <w:r>
        <w:rPr>
          <w:rFonts w:hint="eastAsia"/>
          <w:color w:val="auto"/>
          <w:sz w:val="28"/>
          <w:lang w:val="en-US" w:eastAsia="zh-CN"/>
        </w:rPr>
        <w:t>）</w:t>
      </w:r>
    </w:p>
    <w:p>
      <w:pPr>
        <w:pStyle w:val="125"/>
        <w:numPr>
          <w:ilvl w:val="0"/>
          <w:numId w:val="9"/>
        </w:numPr>
        <w:adjustRightInd w:val="0"/>
        <w:snapToGrid w:val="0"/>
        <w:spacing w:line="360" w:lineRule="auto"/>
        <w:ind w:left="0" w:firstLine="544"/>
        <w:rPr>
          <w:bCs/>
          <w:color w:val="auto"/>
          <w:spacing w:val="-4"/>
          <w:sz w:val="28"/>
          <w:szCs w:val="28"/>
        </w:rPr>
      </w:pPr>
      <w:r>
        <w:rPr>
          <w:rFonts w:hint="eastAsia"/>
          <w:bCs/>
          <w:color w:val="auto"/>
          <w:spacing w:val="-4"/>
          <w:sz w:val="28"/>
          <w:szCs w:val="28"/>
        </w:rPr>
        <w:t>《石油与天然气井井控安全技术考核管理规则》</w:t>
      </w:r>
      <w:r>
        <w:rPr>
          <w:rFonts w:hint="eastAsia"/>
          <w:bCs/>
          <w:color w:val="auto"/>
          <w:spacing w:val="-4"/>
          <w:sz w:val="28"/>
          <w:szCs w:val="28"/>
          <w:lang w:eastAsia="zh-CN"/>
        </w:rPr>
        <w:t>（</w:t>
      </w:r>
      <w:r>
        <w:rPr>
          <w:rFonts w:hint="eastAsia"/>
          <w:bCs/>
          <w:color w:val="auto"/>
          <w:spacing w:val="-4"/>
          <w:sz w:val="28"/>
          <w:szCs w:val="28"/>
        </w:rPr>
        <w:t>SY/T5742-20</w:t>
      </w:r>
      <w:r>
        <w:rPr>
          <w:rFonts w:hint="eastAsia"/>
          <w:bCs/>
          <w:color w:val="auto"/>
          <w:spacing w:val="-4"/>
          <w:sz w:val="28"/>
          <w:szCs w:val="28"/>
          <w:lang w:val="en-US" w:eastAsia="zh-CN"/>
        </w:rPr>
        <w:t>19</w:t>
      </w:r>
      <w:r>
        <w:rPr>
          <w:rFonts w:hint="eastAsia"/>
          <w:bCs/>
          <w:color w:val="auto"/>
          <w:spacing w:val="-4"/>
          <w:sz w:val="28"/>
          <w:szCs w:val="28"/>
          <w:lang w:eastAsia="zh-CN"/>
        </w:rPr>
        <w:t>）</w:t>
      </w:r>
    </w:p>
    <w:p>
      <w:pPr>
        <w:pStyle w:val="125"/>
        <w:numPr>
          <w:ilvl w:val="0"/>
          <w:numId w:val="9"/>
        </w:numPr>
        <w:adjustRightInd w:val="0"/>
        <w:snapToGrid w:val="0"/>
        <w:spacing w:line="360" w:lineRule="auto"/>
        <w:ind w:left="0" w:firstLine="544"/>
        <w:jc w:val="both"/>
        <w:rPr>
          <w:bCs/>
          <w:color w:val="auto"/>
          <w:spacing w:val="-4"/>
          <w:sz w:val="28"/>
          <w:szCs w:val="28"/>
        </w:rPr>
      </w:pPr>
      <w:r>
        <w:rPr>
          <w:bCs/>
          <w:color w:val="auto"/>
          <w:spacing w:val="-4"/>
          <w:sz w:val="28"/>
          <w:szCs w:val="28"/>
        </w:rPr>
        <w:t>《</w:t>
      </w:r>
      <w:r>
        <w:rPr>
          <w:rFonts w:hint="default"/>
          <w:bCs/>
          <w:color w:val="auto"/>
          <w:spacing w:val="-4"/>
          <w:sz w:val="28"/>
          <w:szCs w:val="28"/>
        </w:rPr>
        <w:t>石油钻机和修井机井架承载能力检测评定方法及分级规范</w:t>
      </w:r>
      <w:r>
        <w:rPr>
          <w:rFonts w:hint="eastAsia"/>
          <w:bCs/>
          <w:color w:val="auto"/>
          <w:spacing w:val="-4"/>
          <w:sz w:val="28"/>
          <w:szCs w:val="28"/>
          <w:lang w:eastAsia="zh-CN"/>
        </w:rPr>
        <w:t>》（</w:t>
      </w:r>
      <w:r>
        <w:rPr>
          <w:bCs/>
          <w:color w:val="auto"/>
          <w:spacing w:val="-4"/>
          <w:sz w:val="28"/>
          <w:szCs w:val="28"/>
        </w:rPr>
        <w:t>SY</w:t>
      </w:r>
      <w:r>
        <w:rPr>
          <w:rFonts w:hint="eastAsia"/>
          <w:bCs/>
          <w:color w:val="auto"/>
          <w:spacing w:val="-4"/>
          <w:sz w:val="28"/>
          <w:szCs w:val="28"/>
        </w:rPr>
        <w:t>/T</w:t>
      </w:r>
      <w:r>
        <w:rPr>
          <w:bCs/>
          <w:color w:val="auto"/>
          <w:spacing w:val="-4"/>
          <w:sz w:val="28"/>
          <w:szCs w:val="28"/>
        </w:rPr>
        <w:t>6326-201</w:t>
      </w:r>
      <w:r>
        <w:rPr>
          <w:rFonts w:hint="eastAsia"/>
          <w:bCs/>
          <w:color w:val="auto"/>
          <w:spacing w:val="-4"/>
          <w:sz w:val="28"/>
          <w:szCs w:val="28"/>
          <w:lang w:val="en-US" w:eastAsia="zh-CN"/>
        </w:rPr>
        <w:t>9</w:t>
      </w:r>
      <w:r>
        <w:rPr>
          <w:rFonts w:hint="eastAsia"/>
          <w:bCs/>
          <w:color w:val="auto"/>
          <w:spacing w:val="-4"/>
          <w:sz w:val="28"/>
          <w:szCs w:val="28"/>
          <w:lang w:eastAsia="zh-CN"/>
        </w:rPr>
        <w:t>）</w:t>
      </w:r>
    </w:p>
    <w:p>
      <w:pPr>
        <w:pStyle w:val="125"/>
        <w:numPr>
          <w:ilvl w:val="0"/>
          <w:numId w:val="9"/>
        </w:numPr>
        <w:adjustRightInd w:val="0"/>
        <w:snapToGrid w:val="0"/>
        <w:spacing w:line="360" w:lineRule="auto"/>
        <w:ind w:firstLineChars="0"/>
        <w:rPr>
          <w:bCs/>
          <w:color w:val="auto"/>
          <w:spacing w:val="-4"/>
          <w:sz w:val="28"/>
          <w:szCs w:val="28"/>
        </w:rPr>
      </w:pPr>
      <w:r>
        <w:rPr>
          <w:rFonts w:hint="eastAsia"/>
          <w:bCs/>
          <w:color w:val="auto"/>
          <w:spacing w:val="-4"/>
          <w:sz w:val="28"/>
          <w:szCs w:val="28"/>
        </w:rPr>
        <w:t>《防喷器检验、修理和再制造》</w:t>
      </w:r>
      <w:r>
        <w:rPr>
          <w:rFonts w:hint="eastAsia"/>
          <w:bCs/>
          <w:color w:val="auto"/>
          <w:spacing w:val="-4"/>
          <w:sz w:val="28"/>
          <w:szCs w:val="28"/>
          <w:lang w:eastAsia="zh-CN"/>
        </w:rPr>
        <w:t>（</w:t>
      </w:r>
      <w:r>
        <w:rPr>
          <w:rFonts w:hint="eastAsia"/>
          <w:bCs/>
          <w:color w:val="auto"/>
          <w:spacing w:val="-4"/>
          <w:sz w:val="28"/>
          <w:szCs w:val="28"/>
        </w:rPr>
        <w:t>SY/T6160-20</w:t>
      </w:r>
      <w:r>
        <w:rPr>
          <w:rFonts w:hint="eastAsia"/>
          <w:bCs/>
          <w:color w:val="auto"/>
          <w:spacing w:val="-4"/>
          <w:sz w:val="28"/>
          <w:szCs w:val="28"/>
          <w:lang w:val="en-US" w:eastAsia="zh-CN"/>
        </w:rPr>
        <w:t>19</w:t>
      </w:r>
      <w:r>
        <w:rPr>
          <w:rFonts w:hint="eastAsia"/>
          <w:bCs/>
          <w:color w:val="auto"/>
          <w:spacing w:val="-4"/>
          <w:sz w:val="28"/>
          <w:szCs w:val="28"/>
          <w:lang w:eastAsia="zh-CN"/>
        </w:rPr>
        <w:t>）</w:t>
      </w:r>
    </w:p>
    <w:p>
      <w:pPr>
        <w:pStyle w:val="125"/>
        <w:numPr>
          <w:ilvl w:val="0"/>
          <w:numId w:val="9"/>
        </w:numPr>
        <w:adjustRightInd w:val="0"/>
        <w:snapToGrid w:val="0"/>
        <w:spacing w:line="360" w:lineRule="auto"/>
        <w:ind w:firstLineChars="0"/>
        <w:rPr>
          <w:bCs/>
          <w:color w:val="auto"/>
          <w:spacing w:val="-4"/>
          <w:sz w:val="28"/>
          <w:szCs w:val="28"/>
        </w:rPr>
      </w:pPr>
      <w:r>
        <w:rPr>
          <w:rFonts w:hint="eastAsia"/>
          <w:bCs/>
          <w:color w:val="auto"/>
          <w:spacing w:val="-4"/>
          <w:sz w:val="28"/>
          <w:szCs w:val="28"/>
        </w:rPr>
        <w:t>《井下作业安全规程》</w:t>
      </w:r>
      <w:r>
        <w:rPr>
          <w:rFonts w:hint="eastAsia"/>
          <w:bCs/>
          <w:color w:val="auto"/>
          <w:spacing w:val="-4"/>
          <w:sz w:val="28"/>
          <w:szCs w:val="28"/>
          <w:lang w:eastAsia="zh-CN"/>
        </w:rPr>
        <w:t>（</w:t>
      </w:r>
      <w:r>
        <w:rPr>
          <w:rFonts w:hint="eastAsia"/>
          <w:bCs/>
          <w:color w:val="auto"/>
          <w:spacing w:val="-4"/>
          <w:sz w:val="28"/>
          <w:szCs w:val="28"/>
        </w:rPr>
        <w:t>SY/T5727-20</w:t>
      </w:r>
      <w:r>
        <w:rPr>
          <w:rFonts w:hint="eastAsia"/>
          <w:bCs/>
          <w:color w:val="auto"/>
          <w:spacing w:val="-4"/>
          <w:sz w:val="28"/>
          <w:szCs w:val="28"/>
          <w:lang w:val="en-US" w:eastAsia="zh-CN"/>
        </w:rPr>
        <w:t>20</w:t>
      </w:r>
      <w:r>
        <w:rPr>
          <w:rFonts w:hint="eastAsia"/>
          <w:bCs/>
          <w:color w:val="auto"/>
          <w:spacing w:val="-4"/>
          <w:sz w:val="28"/>
          <w:szCs w:val="28"/>
          <w:lang w:eastAsia="zh-CN"/>
        </w:rPr>
        <w:t>）</w:t>
      </w:r>
    </w:p>
    <w:p>
      <w:pPr>
        <w:pStyle w:val="125"/>
        <w:numPr>
          <w:ilvl w:val="0"/>
          <w:numId w:val="9"/>
        </w:numPr>
        <w:adjustRightInd w:val="0"/>
        <w:snapToGrid w:val="0"/>
        <w:spacing w:line="360" w:lineRule="auto"/>
        <w:ind w:left="0" w:firstLine="544"/>
        <w:rPr>
          <w:rFonts w:hint="eastAsia"/>
          <w:bCs/>
          <w:color w:val="auto"/>
          <w:spacing w:val="-4"/>
          <w:sz w:val="28"/>
          <w:szCs w:val="28"/>
          <w:lang w:eastAsia="zh-CN"/>
        </w:rPr>
      </w:pPr>
      <w:r>
        <w:rPr>
          <w:rFonts w:hint="eastAsia"/>
          <w:bCs/>
          <w:color w:val="auto"/>
          <w:spacing w:val="-4"/>
          <w:sz w:val="28"/>
          <w:szCs w:val="28"/>
          <w:lang w:eastAsia="zh-CN"/>
        </w:rPr>
        <w:t>《连续油管的维护与检测》（SY/T7495-2020）</w:t>
      </w:r>
    </w:p>
    <w:p>
      <w:pPr>
        <w:pStyle w:val="125"/>
        <w:numPr>
          <w:ilvl w:val="0"/>
          <w:numId w:val="9"/>
        </w:numPr>
        <w:adjustRightInd w:val="0"/>
        <w:snapToGrid w:val="0"/>
        <w:spacing w:line="360" w:lineRule="auto"/>
        <w:ind w:left="0" w:firstLine="544"/>
        <w:rPr>
          <w:rFonts w:hint="default"/>
          <w:bCs/>
          <w:color w:val="auto"/>
          <w:spacing w:val="-4"/>
          <w:sz w:val="28"/>
          <w:szCs w:val="28"/>
        </w:rPr>
      </w:pPr>
      <w:r>
        <w:rPr>
          <w:rFonts w:hint="eastAsia"/>
          <w:bCs/>
          <w:color w:val="auto"/>
          <w:spacing w:val="-4"/>
          <w:sz w:val="28"/>
          <w:szCs w:val="28"/>
          <w:lang w:eastAsia="zh-CN"/>
        </w:rPr>
        <w:t>《连续油管作业技术规程》（SY/T7305-2021）</w:t>
      </w:r>
    </w:p>
    <w:p>
      <w:pPr>
        <w:pStyle w:val="125"/>
        <w:numPr>
          <w:ilvl w:val="0"/>
          <w:numId w:val="9"/>
        </w:numPr>
        <w:adjustRightInd w:val="0"/>
        <w:snapToGrid w:val="0"/>
        <w:spacing w:line="360" w:lineRule="auto"/>
        <w:ind w:left="0" w:firstLine="544"/>
        <w:rPr>
          <w:rFonts w:hint="default"/>
          <w:bCs/>
          <w:color w:val="auto"/>
          <w:spacing w:val="-4"/>
          <w:sz w:val="28"/>
          <w:szCs w:val="28"/>
        </w:rPr>
      </w:pPr>
      <w:r>
        <w:rPr>
          <w:rFonts w:hint="eastAsia" w:cs="Times New Roman"/>
          <w:smallCaps w:val="0"/>
          <w:color w:val="auto"/>
          <w:sz w:val="28"/>
          <w:lang w:val="en-US" w:eastAsia="zh-CN"/>
        </w:rPr>
        <w:t>《硫化氢环境人身防护规范》（SY/T6277-2017）</w:t>
      </w:r>
    </w:p>
    <w:p>
      <w:pPr>
        <w:pStyle w:val="125"/>
        <w:numPr>
          <w:ilvl w:val="0"/>
          <w:numId w:val="9"/>
        </w:numPr>
        <w:adjustRightInd w:val="0"/>
        <w:snapToGrid w:val="0"/>
        <w:spacing w:line="360" w:lineRule="auto"/>
        <w:ind w:left="0" w:firstLine="544"/>
        <w:rPr>
          <w:rFonts w:hint="default" w:cs="Times New Roman"/>
          <w:smallCaps w:val="0"/>
          <w:color w:val="auto"/>
          <w:sz w:val="28"/>
          <w:lang w:val="en-US" w:eastAsia="zh-CN"/>
        </w:rPr>
      </w:pPr>
      <w:r>
        <w:rPr>
          <w:rFonts w:hint="eastAsia" w:cs="Times New Roman"/>
          <w:smallCaps w:val="0"/>
          <w:color w:val="auto"/>
          <w:sz w:val="28"/>
          <w:lang w:val="en-US" w:eastAsia="zh-CN"/>
        </w:rPr>
        <w:t>《加固井壁和人工井壁防砂工艺作法》（SY/T 5338-2021）</w:t>
      </w:r>
    </w:p>
    <w:p>
      <w:pPr>
        <w:pStyle w:val="125"/>
        <w:numPr>
          <w:ilvl w:val="0"/>
          <w:numId w:val="9"/>
        </w:numPr>
        <w:adjustRightInd w:val="0"/>
        <w:snapToGrid w:val="0"/>
        <w:spacing w:line="360" w:lineRule="auto"/>
        <w:ind w:left="0" w:firstLine="544"/>
        <w:rPr>
          <w:rFonts w:hint="default" w:cs="Times New Roman"/>
          <w:smallCaps w:val="0"/>
          <w:color w:val="auto"/>
          <w:sz w:val="28"/>
          <w:lang w:val="en-US" w:eastAsia="zh-CN"/>
        </w:rPr>
      </w:pPr>
      <w:r>
        <w:rPr>
          <w:rFonts w:hint="eastAsia" w:cs="Times New Roman"/>
          <w:smallCaps w:val="0"/>
          <w:color w:val="auto"/>
          <w:sz w:val="28"/>
          <w:lang w:val="en-US" w:eastAsia="zh-CN"/>
        </w:rPr>
        <w:t>《常规修井作业规程 第3部分：油气井压井、替喷、诱喷》（SY/T 5587.3-2013）</w:t>
      </w:r>
    </w:p>
    <w:p>
      <w:pPr>
        <w:pStyle w:val="125"/>
        <w:numPr>
          <w:ilvl w:val="0"/>
          <w:numId w:val="9"/>
        </w:numPr>
        <w:adjustRightInd w:val="0"/>
        <w:snapToGrid w:val="0"/>
        <w:spacing w:line="360" w:lineRule="auto"/>
        <w:ind w:left="0" w:firstLine="544"/>
        <w:rPr>
          <w:rFonts w:hint="default" w:cs="Times New Roman"/>
          <w:smallCaps w:val="0"/>
          <w:color w:val="auto"/>
          <w:sz w:val="28"/>
          <w:lang w:val="en-US" w:eastAsia="zh-CN"/>
        </w:rPr>
      </w:pPr>
      <w:r>
        <w:rPr>
          <w:rFonts w:hint="eastAsia" w:cs="Times New Roman"/>
          <w:smallCaps w:val="0"/>
          <w:color w:val="auto"/>
          <w:sz w:val="28"/>
          <w:lang w:val="en-US" w:eastAsia="zh-CN"/>
        </w:rPr>
        <w:t>《常规修井作业规程 第4部分：找窜漏、封窜堵漏》（SY/T 5587.4-2019）</w:t>
      </w:r>
    </w:p>
    <w:p>
      <w:pPr>
        <w:pStyle w:val="125"/>
        <w:numPr>
          <w:ilvl w:val="0"/>
          <w:numId w:val="9"/>
        </w:numPr>
        <w:adjustRightInd w:val="0"/>
        <w:snapToGrid w:val="0"/>
        <w:spacing w:line="360" w:lineRule="auto"/>
        <w:ind w:left="0" w:firstLine="544"/>
        <w:rPr>
          <w:rFonts w:hint="default" w:cs="Times New Roman"/>
          <w:smallCaps w:val="0"/>
          <w:color w:val="auto"/>
          <w:sz w:val="28"/>
          <w:lang w:val="en-US" w:eastAsia="zh-CN"/>
        </w:rPr>
      </w:pPr>
      <w:r>
        <w:rPr>
          <w:rFonts w:hint="eastAsia" w:cs="Times New Roman"/>
          <w:smallCaps w:val="0"/>
          <w:color w:val="auto"/>
          <w:sz w:val="28"/>
          <w:lang w:val="en-US" w:eastAsia="zh-CN"/>
        </w:rPr>
        <w:t>《常规修井作业规程 第5部分：井下作业井筒准备》（SY/T 5587.5-2018）</w:t>
      </w:r>
    </w:p>
    <w:p>
      <w:pPr>
        <w:pStyle w:val="125"/>
        <w:numPr>
          <w:ilvl w:val="0"/>
          <w:numId w:val="9"/>
        </w:numPr>
        <w:adjustRightInd w:val="0"/>
        <w:snapToGrid w:val="0"/>
        <w:spacing w:line="360" w:lineRule="auto"/>
        <w:ind w:left="0" w:firstLine="544"/>
        <w:rPr>
          <w:rFonts w:hint="default" w:cs="Times New Roman"/>
          <w:smallCaps w:val="0"/>
          <w:color w:val="auto"/>
          <w:sz w:val="28"/>
          <w:lang w:val="en-US" w:eastAsia="zh-CN"/>
        </w:rPr>
      </w:pPr>
      <w:r>
        <w:rPr>
          <w:rFonts w:hint="eastAsia" w:cs="Times New Roman"/>
          <w:smallCaps w:val="0"/>
          <w:color w:val="auto"/>
          <w:sz w:val="28"/>
          <w:lang w:val="en-US" w:eastAsia="zh-CN"/>
        </w:rPr>
        <w:t>《常规修井作业规程 第12部分：解卡打捞》（SY/T 5587.12-2018）</w:t>
      </w:r>
    </w:p>
    <w:p>
      <w:pPr>
        <w:pStyle w:val="125"/>
        <w:numPr>
          <w:ilvl w:val="0"/>
          <w:numId w:val="9"/>
        </w:numPr>
        <w:adjustRightInd w:val="0"/>
        <w:snapToGrid w:val="0"/>
        <w:spacing w:line="360" w:lineRule="auto"/>
        <w:ind w:left="0" w:firstLine="544"/>
        <w:rPr>
          <w:rFonts w:hint="default" w:cs="Times New Roman"/>
          <w:smallCaps w:val="0"/>
          <w:color w:val="auto"/>
          <w:sz w:val="28"/>
          <w:lang w:val="en-US" w:eastAsia="zh-CN"/>
        </w:rPr>
      </w:pPr>
      <w:r>
        <w:rPr>
          <w:rFonts w:hint="eastAsia" w:cs="Times New Roman"/>
          <w:smallCaps w:val="0"/>
          <w:color w:val="auto"/>
          <w:sz w:val="28"/>
          <w:lang w:val="en-US" w:eastAsia="zh-CN"/>
        </w:rPr>
        <w:t>《常规修井作业规程 第14部分：注塞、钻塞》（SY/T 5587.14-2013）</w:t>
      </w:r>
    </w:p>
    <w:p>
      <w:pPr>
        <w:pStyle w:val="125"/>
        <w:numPr>
          <w:ilvl w:val="0"/>
          <w:numId w:val="9"/>
        </w:numPr>
        <w:adjustRightInd w:val="0"/>
        <w:snapToGrid w:val="0"/>
        <w:spacing w:line="360" w:lineRule="auto"/>
        <w:ind w:left="0" w:firstLine="544"/>
        <w:rPr>
          <w:rFonts w:hint="default" w:cs="Times New Roman"/>
          <w:smallCaps w:val="0"/>
          <w:color w:val="auto"/>
          <w:sz w:val="28"/>
          <w:lang w:val="en-US" w:eastAsia="zh-CN"/>
        </w:rPr>
      </w:pPr>
      <w:r>
        <w:rPr>
          <w:rFonts w:hint="default" w:cs="Times New Roman"/>
          <w:smallCaps w:val="0"/>
          <w:color w:val="auto"/>
          <w:sz w:val="28"/>
          <w:lang w:val="en-US" w:eastAsia="zh-CN"/>
        </w:rPr>
        <w:t>《油井堵水作业方法 水玻璃-氯化钙堵水及调剖工艺</w:t>
      </w:r>
      <w:r>
        <w:rPr>
          <w:rFonts w:hint="eastAsia" w:cs="Times New Roman"/>
          <w:smallCaps w:val="0"/>
          <w:color w:val="auto"/>
          <w:sz w:val="28"/>
          <w:lang w:val="en-US" w:eastAsia="zh-CN"/>
        </w:rPr>
        <w:t>作</w:t>
      </w:r>
      <w:r>
        <w:rPr>
          <w:rFonts w:hint="default" w:cs="Times New Roman"/>
          <w:smallCaps w:val="0"/>
          <w:color w:val="auto"/>
          <w:sz w:val="28"/>
          <w:lang w:val="en-US" w:eastAsia="zh-CN"/>
        </w:rPr>
        <w:t>法》</w:t>
      </w:r>
      <w:r>
        <w:rPr>
          <w:rFonts w:hint="eastAsia" w:cs="Times New Roman"/>
          <w:smallCaps w:val="0"/>
          <w:color w:val="auto"/>
          <w:sz w:val="28"/>
          <w:lang w:val="en-US" w:eastAsia="zh-CN"/>
        </w:rPr>
        <w:t>（</w:t>
      </w:r>
      <w:r>
        <w:rPr>
          <w:rFonts w:hint="default" w:cs="Times New Roman"/>
          <w:smallCaps w:val="0"/>
          <w:color w:val="auto"/>
          <w:sz w:val="28"/>
          <w:lang w:val="en-US" w:eastAsia="zh-CN"/>
        </w:rPr>
        <w:t>SY/T 5923-2012</w:t>
      </w:r>
      <w:r>
        <w:rPr>
          <w:rFonts w:hint="eastAsia" w:cs="Times New Roman"/>
          <w:smallCaps w:val="0"/>
          <w:color w:val="auto"/>
          <w:sz w:val="28"/>
          <w:lang w:val="en-US" w:eastAsia="zh-CN"/>
        </w:rPr>
        <w:t>）</w:t>
      </w:r>
    </w:p>
    <w:p>
      <w:pPr>
        <w:pStyle w:val="125"/>
        <w:numPr>
          <w:ilvl w:val="0"/>
          <w:numId w:val="9"/>
        </w:numPr>
        <w:adjustRightInd w:val="0"/>
        <w:snapToGrid w:val="0"/>
        <w:spacing w:line="360" w:lineRule="auto"/>
        <w:ind w:left="0" w:firstLine="544"/>
        <w:rPr>
          <w:rFonts w:hint="default" w:cs="Times New Roman"/>
          <w:smallCaps w:val="0"/>
          <w:color w:val="auto"/>
          <w:sz w:val="28"/>
          <w:lang w:val="en-US" w:eastAsia="zh-CN"/>
        </w:rPr>
      </w:pPr>
      <w:r>
        <w:rPr>
          <w:rFonts w:hint="default" w:cs="Times New Roman"/>
          <w:smallCaps w:val="0"/>
          <w:color w:val="auto"/>
          <w:sz w:val="28"/>
          <w:lang w:val="en-US" w:eastAsia="zh-CN"/>
        </w:rPr>
        <w:t>《注水井调剖工艺及效果评价》</w:t>
      </w:r>
      <w:r>
        <w:rPr>
          <w:rFonts w:hint="eastAsia" w:cs="Times New Roman"/>
          <w:smallCaps w:val="0"/>
          <w:color w:val="auto"/>
          <w:sz w:val="28"/>
          <w:lang w:val="en-US" w:eastAsia="zh-CN"/>
        </w:rPr>
        <w:t>（</w:t>
      </w:r>
      <w:r>
        <w:rPr>
          <w:rFonts w:hint="default" w:cs="Times New Roman"/>
          <w:smallCaps w:val="0"/>
          <w:color w:val="auto"/>
          <w:sz w:val="28"/>
          <w:lang w:val="en-US" w:eastAsia="zh-CN"/>
        </w:rPr>
        <w:t>SY/T 5588-2012</w:t>
      </w:r>
      <w:r>
        <w:rPr>
          <w:rFonts w:hint="eastAsia" w:cs="Times New Roman"/>
          <w:smallCaps w:val="0"/>
          <w:color w:val="auto"/>
          <w:sz w:val="28"/>
          <w:lang w:val="en-US" w:eastAsia="zh-CN"/>
        </w:rPr>
        <w:t>）</w:t>
      </w:r>
    </w:p>
    <w:p>
      <w:pPr>
        <w:pStyle w:val="125"/>
        <w:numPr>
          <w:ilvl w:val="0"/>
          <w:numId w:val="9"/>
        </w:numPr>
        <w:adjustRightInd w:val="0"/>
        <w:snapToGrid w:val="0"/>
        <w:spacing w:line="360" w:lineRule="auto"/>
        <w:ind w:left="0" w:firstLine="544"/>
        <w:rPr>
          <w:rFonts w:hint="default" w:cs="Times New Roman"/>
          <w:smallCaps w:val="0"/>
          <w:color w:val="auto"/>
          <w:sz w:val="28"/>
          <w:lang w:val="en-US" w:eastAsia="zh-CN"/>
        </w:rPr>
      </w:pPr>
      <w:r>
        <w:rPr>
          <w:rFonts w:hint="default" w:cs="Times New Roman"/>
          <w:smallCaps w:val="0"/>
          <w:color w:val="auto"/>
          <w:sz w:val="28"/>
          <w:lang w:val="en-US" w:eastAsia="zh-CN"/>
        </w:rPr>
        <w:t>《油井堵水效果评价方法》</w:t>
      </w:r>
      <w:r>
        <w:rPr>
          <w:rFonts w:hint="eastAsia" w:cs="Times New Roman"/>
          <w:smallCaps w:val="0"/>
          <w:color w:val="auto"/>
          <w:sz w:val="28"/>
          <w:lang w:val="en-US" w:eastAsia="zh-CN"/>
        </w:rPr>
        <w:t>（</w:t>
      </w:r>
      <w:r>
        <w:rPr>
          <w:rFonts w:hint="default" w:cs="Times New Roman"/>
          <w:smallCaps w:val="0"/>
          <w:color w:val="auto"/>
          <w:sz w:val="28"/>
          <w:lang w:val="en-US" w:eastAsia="zh-CN"/>
        </w:rPr>
        <w:t>SY/T 5874-2021</w:t>
      </w:r>
      <w:r>
        <w:rPr>
          <w:rFonts w:hint="eastAsia" w:cs="Times New Roman"/>
          <w:smallCaps w:val="0"/>
          <w:color w:val="auto"/>
          <w:sz w:val="28"/>
          <w:lang w:val="en-US" w:eastAsia="zh-CN"/>
        </w:rPr>
        <w:t>)</w:t>
      </w:r>
    </w:p>
    <w:p>
      <w:pPr>
        <w:pStyle w:val="125"/>
        <w:numPr>
          <w:ilvl w:val="0"/>
          <w:numId w:val="9"/>
        </w:numPr>
        <w:adjustRightInd w:val="0"/>
        <w:snapToGrid w:val="0"/>
        <w:spacing w:line="360" w:lineRule="auto"/>
        <w:ind w:left="0" w:firstLine="544"/>
        <w:rPr>
          <w:rFonts w:hint="default" w:cs="Times New Roman"/>
          <w:smallCaps w:val="0"/>
          <w:color w:val="auto"/>
          <w:sz w:val="28"/>
          <w:lang w:val="en-US" w:eastAsia="zh-CN"/>
        </w:rPr>
      </w:pPr>
      <w:r>
        <w:rPr>
          <w:rFonts w:hint="default" w:ascii="Times New Roman" w:hAnsi="Times New Roman" w:eastAsia="宋体" w:cs="Times New Roman"/>
          <w:b w:val="0"/>
          <w:bCs/>
          <w:kern w:val="2"/>
          <w:sz w:val="28"/>
          <w:szCs w:val="28"/>
          <w:lang w:val="en-US" w:eastAsia="zh-CN" w:bidi="ar-SA"/>
        </w:rPr>
        <w:t>《套管补贴工艺作法》（</w:t>
      </w:r>
      <w:r>
        <w:rPr>
          <w:rFonts w:hint="eastAsia" w:ascii="Times New Roman" w:hAnsi="Times New Roman" w:eastAsia="宋体" w:cs="Times New Roman"/>
          <w:b w:val="0"/>
          <w:bCs/>
          <w:kern w:val="2"/>
          <w:sz w:val="28"/>
          <w:szCs w:val="28"/>
          <w:lang w:val="en-US" w:eastAsia="zh-CN" w:bidi="ar-SA"/>
        </w:rPr>
        <w:t>SY/T 5846-2020</w:t>
      </w:r>
      <w:r>
        <w:rPr>
          <w:rFonts w:hint="default" w:ascii="Times New Roman" w:hAnsi="Times New Roman" w:eastAsia="宋体" w:cs="Times New Roman"/>
          <w:b w:val="0"/>
          <w:bCs/>
          <w:kern w:val="2"/>
          <w:sz w:val="28"/>
          <w:szCs w:val="28"/>
          <w:lang w:val="en-US" w:eastAsia="zh-CN" w:bidi="ar-SA"/>
        </w:rPr>
        <w:t>）</w:t>
      </w:r>
    </w:p>
    <w:p>
      <w:pPr>
        <w:pStyle w:val="125"/>
        <w:numPr>
          <w:ilvl w:val="0"/>
          <w:numId w:val="9"/>
        </w:numPr>
        <w:adjustRightInd w:val="0"/>
        <w:snapToGrid w:val="0"/>
        <w:spacing w:line="360" w:lineRule="auto"/>
        <w:ind w:left="0" w:firstLine="544"/>
        <w:rPr>
          <w:rFonts w:hint="default"/>
          <w:bCs/>
          <w:color w:val="auto"/>
          <w:spacing w:val="-4"/>
          <w:sz w:val="28"/>
          <w:szCs w:val="28"/>
          <w:lang w:val="en-US" w:eastAsia="zh-CN"/>
        </w:rPr>
      </w:pPr>
      <w:r>
        <w:rPr>
          <w:rFonts w:hint="eastAsia"/>
          <w:bCs/>
          <w:color w:val="auto"/>
          <w:spacing w:val="-4"/>
          <w:sz w:val="28"/>
          <w:szCs w:val="28"/>
          <w:lang w:eastAsia="zh-CN"/>
        </w:rPr>
        <w:t>《</w:t>
      </w:r>
      <w:r>
        <w:rPr>
          <w:rFonts w:hint="eastAsia"/>
          <w:bCs/>
          <w:color w:val="auto"/>
          <w:spacing w:val="-4"/>
          <w:sz w:val="28"/>
          <w:szCs w:val="28"/>
          <w:lang w:val="en-US" w:eastAsia="zh-CN"/>
        </w:rPr>
        <w:t>侧钻井施工作业及完井工艺要求》（SY/T 5792-2018）</w:t>
      </w:r>
    </w:p>
    <w:p>
      <w:pPr>
        <w:pStyle w:val="125"/>
        <w:numPr>
          <w:ilvl w:val="0"/>
          <w:numId w:val="9"/>
        </w:numPr>
        <w:adjustRightInd w:val="0"/>
        <w:snapToGrid w:val="0"/>
        <w:spacing w:line="360" w:lineRule="auto"/>
        <w:ind w:left="0" w:firstLine="544"/>
        <w:rPr>
          <w:rFonts w:hint="eastAsia"/>
          <w:bCs/>
          <w:color w:val="auto"/>
          <w:spacing w:val="-4"/>
          <w:sz w:val="28"/>
          <w:szCs w:val="28"/>
          <w:lang w:val="en-US" w:eastAsia="zh-CN"/>
        </w:rPr>
      </w:pPr>
      <w:r>
        <w:rPr>
          <w:rFonts w:hint="eastAsia"/>
          <w:bCs/>
          <w:color w:val="auto"/>
          <w:spacing w:val="-4"/>
          <w:sz w:val="28"/>
          <w:szCs w:val="28"/>
          <w:lang w:val="en-US" w:eastAsia="zh-CN"/>
        </w:rPr>
        <w:t>《套管开窗及侧钻作业方法</w:t>
      </w:r>
      <w:bookmarkStart w:id="6" w:name="1"/>
      <w:bookmarkEnd w:id="6"/>
      <w:r>
        <w:rPr>
          <w:rFonts w:hint="eastAsia"/>
          <w:bCs/>
          <w:color w:val="auto"/>
          <w:spacing w:val="-4"/>
          <w:sz w:val="28"/>
          <w:szCs w:val="28"/>
          <w:lang w:val="en-US" w:eastAsia="zh-CN"/>
        </w:rPr>
        <w:t>》（SY/T 6218-2019）</w:t>
      </w:r>
    </w:p>
    <w:p>
      <w:pPr>
        <w:pStyle w:val="125"/>
        <w:numPr>
          <w:ilvl w:val="0"/>
          <w:numId w:val="9"/>
        </w:numPr>
        <w:adjustRightInd w:val="0"/>
        <w:snapToGrid w:val="0"/>
        <w:spacing w:line="360" w:lineRule="auto"/>
        <w:ind w:left="0" w:firstLine="544"/>
        <w:rPr>
          <w:rFonts w:hint="default"/>
          <w:bCs/>
          <w:color w:val="auto"/>
          <w:spacing w:val="-4"/>
          <w:sz w:val="28"/>
          <w:szCs w:val="28"/>
          <w:lang w:val="en-US" w:eastAsia="zh-CN"/>
        </w:rPr>
      </w:pPr>
      <w:r>
        <w:rPr>
          <w:rFonts w:hint="eastAsia"/>
          <w:bCs/>
          <w:color w:val="auto"/>
          <w:spacing w:val="-4"/>
          <w:sz w:val="28"/>
          <w:szCs w:val="28"/>
          <w:lang w:val="en-US" w:eastAsia="zh-CN"/>
        </w:rPr>
        <w:t>《侧钻井膨胀套管完井工艺方法》（SY/T 6990-2014）</w:t>
      </w:r>
    </w:p>
    <w:p>
      <w:pPr>
        <w:pStyle w:val="125"/>
        <w:numPr>
          <w:ilvl w:val="0"/>
          <w:numId w:val="9"/>
        </w:numPr>
        <w:adjustRightInd w:val="0"/>
        <w:snapToGrid w:val="0"/>
        <w:spacing w:line="360" w:lineRule="auto"/>
        <w:ind w:left="0" w:firstLine="544"/>
        <w:rPr>
          <w:rFonts w:hint="default" w:eastAsia="宋体"/>
          <w:bCs/>
          <w:color w:val="auto"/>
          <w:spacing w:val="-4"/>
          <w:sz w:val="28"/>
          <w:szCs w:val="28"/>
          <w:lang w:val="en-US" w:eastAsia="zh-CN"/>
        </w:rPr>
      </w:pPr>
      <w:r>
        <w:rPr>
          <w:rFonts w:hint="eastAsia" w:eastAsia="宋体"/>
          <w:bCs/>
          <w:color w:val="auto"/>
          <w:spacing w:val="-4"/>
          <w:sz w:val="28"/>
          <w:szCs w:val="28"/>
          <w:lang w:val="en-US" w:eastAsia="zh-CN"/>
        </w:rPr>
        <w:t>《石油天然气钻采设备 钻井和修井井架、底座的检查、维护、修理与使用》（SY/T 6408-2018）</w:t>
      </w:r>
    </w:p>
    <w:p>
      <w:pPr>
        <w:pStyle w:val="125"/>
        <w:numPr>
          <w:ilvl w:val="0"/>
          <w:numId w:val="9"/>
        </w:numPr>
        <w:adjustRightInd w:val="0"/>
        <w:snapToGrid w:val="0"/>
        <w:spacing w:line="360" w:lineRule="auto"/>
        <w:ind w:left="0" w:firstLine="544"/>
        <w:rPr>
          <w:rFonts w:hint="default" w:eastAsia="宋体"/>
          <w:bCs/>
          <w:color w:val="auto"/>
          <w:spacing w:val="-4"/>
          <w:sz w:val="28"/>
          <w:szCs w:val="28"/>
          <w:lang w:val="en-US" w:eastAsia="zh-CN"/>
        </w:rPr>
      </w:pPr>
      <w:r>
        <w:rPr>
          <w:rFonts w:hint="default" w:eastAsia="宋体"/>
          <w:bCs/>
          <w:color w:val="auto"/>
          <w:spacing w:val="-4"/>
          <w:sz w:val="28"/>
          <w:szCs w:val="28"/>
          <w:lang w:val="en-US" w:eastAsia="zh-CN"/>
        </w:rPr>
        <w:t>《石油钻机和修井机使用与维护》</w:t>
      </w:r>
      <w:r>
        <w:rPr>
          <w:rFonts w:hint="eastAsia" w:eastAsia="宋体"/>
          <w:bCs/>
          <w:color w:val="auto"/>
          <w:spacing w:val="-4"/>
          <w:sz w:val="28"/>
          <w:szCs w:val="28"/>
          <w:lang w:val="en-US" w:eastAsia="zh-CN"/>
        </w:rPr>
        <w:t>（</w:t>
      </w:r>
      <w:r>
        <w:rPr>
          <w:rFonts w:hint="default" w:eastAsia="宋体"/>
          <w:bCs/>
          <w:color w:val="auto"/>
          <w:spacing w:val="-4"/>
          <w:sz w:val="28"/>
          <w:szCs w:val="28"/>
          <w:lang w:val="en-US" w:eastAsia="zh-CN"/>
        </w:rPr>
        <w:t>SY/T 6117-2016</w:t>
      </w:r>
      <w:r>
        <w:rPr>
          <w:rFonts w:hint="eastAsia" w:eastAsia="宋体"/>
          <w:bCs/>
          <w:color w:val="auto"/>
          <w:spacing w:val="-4"/>
          <w:sz w:val="28"/>
          <w:szCs w:val="28"/>
          <w:lang w:val="en-US" w:eastAsia="zh-CN"/>
        </w:rPr>
        <w:t>）</w:t>
      </w:r>
    </w:p>
    <w:p>
      <w:pPr>
        <w:pStyle w:val="125"/>
        <w:numPr>
          <w:ilvl w:val="0"/>
          <w:numId w:val="9"/>
        </w:numPr>
        <w:adjustRightInd w:val="0"/>
        <w:snapToGrid w:val="0"/>
        <w:spacing w:line="360" w:lineRule="auto"/>
        <w:ind w:left="0" w:firstLine="544"/>
        <w:rPr>
          <w:rFonts w:hint="default" w:eastAsia="宋体"/>
          <w:bCs/>
          <w:color w:val="auto"/>
          <w:spacing w:val="-4"/>
          <w:sz w:val="28"/>
          <w:szCs w:val="28"/>
          <w:lang w:val="en-US" w:eastAsia="zh-CN"/>
        </w:rPr>
      </w:pPr>
      <w:r>
        <w:rPr>
          <w:rFonts w:hint="default" w:eastAsia="宋体"/>
          <w:bCs/>
          <w:color w:val="auto"/>
          <w:spacing w:val="-4"/>
          <w:sz w:val="28"/>
          <w:szCs w:val="28"/>
          <w:lang w:val="en-US" w:eastAsia="zh-CN"/>
        </w:rPr>
        <w:t>《油井防砂效果评价方法》</w:t>
      </w:r>
      <w:r>
        <w:rPr>
          <w:rFonts w:hint="eastAsia" w:eastAsia="宋体"/>
          <w:bCs/>
          <w:color w:val="auto"/>
          <w:spacing w:val="-4"/>
          <w:sz w:val="28"/>
          <w:szCs w:val="28"/>
          <w:lang w:val="en-US" w:eastAsia="zh-CN"/>
        </w:rPr>
        <w:t>（</w:t>
      </w:r>
      <w:r>
        <w:rPr>
          <w:rFonts w:hint="default" w:eastAsia="宋体"/>
          <w:bCs/>
          <w:color w:val="auto"/>
          <w:spacing w:val="-4"/>
          <w:sz w:val="28"/>
          <w:szCs w:val="28"/>
          <w:lang w:val="en-US" w:eastAsia="zh-CN"/>
        </w:rPr>
        <w:t>SY/T5183-2016</w:t>
      </w:r>
      <w:r>
        <w:rPr>
          <w:rFonts w:hint="eastAsia" w:eastAsia="宋体"/>
          <w:bCs/>
          <w:color w:val="auto"/>
          <w:spacing w:val="-4"/>
          <w:sz w:val="28"/>
          <w:szCs w:val="28"/>
          <w:lang w:val="en-US" w:eastAsia="zh-CN"/>
        </w:rPr>
        <w:t>）</w:t>
      </w:r>
    </w:p>
    <w:p>
      <w:pPr>
        <w:pStyle w:val="125"/>
        <w:numPr>
          <w:ilvl w:val="0"/>
          <w:numId w:val="9"/>
        </w:numPr>
        <w:adjustRightInd w:val="0"/>
        <w:snapToGrid w:val="0"/>
        <w:spacing w:line="360" w:lineRule="auto"/>
        <w:ind w:left="0" w:firstLine="544"/>
        <w:rPr>
          <w:rFonts w:hint="default" w:eastAsia="宋体"/>
          <w:bCs/>
          <w:color w:val="auto"/>
          <w:spacing w:val="-4"/>
          <w:sz w:val="28"/>
          <w:szCs w:val="28"/>
          <w:lang w:val="en-US" w:eastAsia="zh-CN"/>
        </w:rPr>
      </w:pPr>
      <w:r>
        <w:rPr>
          <w:rFonts w:hint="default" w:eastAsia="宋体"/>
          <w:bCs/>
          <w:color w:val="auto"/>
          <w:spacing w:val="-4"/>
          <w:sz w:val="28"/>
          <w:szCs w:val="28"/>
          <w:lang w:val="en-US" w:eastAsia="zh-CN"/>
        </w:rPr>
        <w:t>《钻（修）井井架逃生装置安全规范》</w:t>
      </w:r>
      <w:r>
        <w:rPr>
          <w:rFonts w:hint="eastAsia" w:eastAsia="宋体"/>
          <w:bCs/>
          <w:color w:val="auto"/>
          <w:spacing w:val="-4"/>
          <w:sz w:val="28"/>
          <w:szCs w:val="28"/>
          <w:lang w:val="en-US" w:eastAsia="zh-CN"/>
        </w:rPr>
        <w:t>（</w:t>
      </w:r>
      <w:r>
        <w:rPr>
          <w:rFonts w:hint="default" w:eastAsia="宋体"/>
          <w:bCs/>
          <w:color w:val="auto"/>
          <w:spacing w:val="-4"/>
          <w:sz w:val="28"/>
          <w:szCs w:val="28"/>
          <w:lang w:val="en-US" w:eastAsia="zh-CN"/>
        </w:rPr>
        <w:t>SY/T7028-2016</w:t>
      </w:r>
      <w:r>
        <w:rPr>
          <w:rFonts w:hint="eastAsia" w:eastAsia="宋体"/>
          <w:bCs/>
          <w:color w:val="auto"/>
          <w:spacing w:val="-4"/>
          <w:sz w:val="28"/>
          <w:szCs w:val="28"/>
          <w:lang w:val="en-US" w:eastAsia="zh-CN"/>
        </w:rPr>
        <w:t>）</w:t>
      </w:r>
    </w:p>
    <w:bookmarkEnd w:id="4"/>
    <w:bookmarkEnd w:id="5"/>
    <w:p>
      <w:pPr>
        <w:pStyle w:val="5"/>
        <w:adjustRightInd w:val="0"/>
        <w:snapToGrid w:val="0"/>
        <w:spacing w:before="0" w:after="0" w:line="360" w:lineRule="auto"/>
        <w:rPr>
          <w:rFonts w:eastAsia="黑体"/>
          <w:b w:val="0"/>
          <w:snapToGrid w:val="0"/>
          <w:color w:val="auto"/>
          <w:kern w:val="0"/>
          <w:sz w:val="28"/>
          <w:szCs w:val="28"/>
        </w:rPr>
      </w:pPr>
      <w:bookmarkStart w:id="7" w:name="_Toc215277129"/>
      <w:r>
        <w:rPr>
          <w:rFonts w:hint="eastAsia" w:eastAsia="黑体"/>
          <w:b w:val="0"/>
          <w:snapToGrid w:val="0"/>
          <w:color w:val="auto"/>
          <w:kern w:val="0"/>
          <w:sz w:val="28"/>
          <w:szCs w:val="28"/>
        </w:rPr>
        <w:t>1.2.</w:t>
      </w:r>
      <w:r>
        <w:rPr>
          <w:rFonts w:eastAsia="黑体"/>
          <w:b w:val="0"/>
          <w:snapToGrid w:val="0"/>
          <w:color w:val="auto"/>
          <w:kern w:val="0"/>
          <w:sz w:val="28"/>
          <w:szCs w:val="28"/>
        </w:rPr>
        <w:t xml:space="preserve">8 </w:t>
      </w:r>
      <w:r>
        <w:rPr>
          <w:rFonts w:hint="eastAsia" w:eastAsia="黑体"/>
          <w:b w:val="0"/>
          <w:snapToGrid w:val="0"/>
          <w:color w:val="auto"/>
          <w:kern w:val="0"/>
          <w:sz w:val="28"/>
          <w:szCs w:val="28"/>
        </w:rPr>
        <w:t>工程有关技术文件</w:t>
      </w:r>
      <w:bookmarkEnd w:id="7"/>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1</w:t>
      </w:r>
      <w:r>
        <w:rPr>
          <w:rFonts w:hint="eastAsia"/>
          <w:snapToGrid w:val="0"/>
          <w:color w:val="auto"/>
          <w:kern w:val="0"/>
          <w:sz w:val="28"/>
          <w:lang w:val="en-US" w:eastAsia="zh-CN"/>
        </w:rPr>
        <w:t xml:space="preserve">. </w:t>
      </w:r>
      <w:r>
        <w:rPr>
          <w:rFonts w:hint="eastAsia"/>
          <w:color w:val="auto"/>
          <w:sz w:val="28"/>
          <w:szCs w:val="28"/>
          <w:lang w:eastAsia="zh-CN"/>
        </w:rPr>
        <w:t>胜利油田康贝油气工程有限公司</w:t>
      </w:r>
      <w:r>
        <w:rPr>
          <w:rFonts w:hint="eastAsia"/>
          <w:color w:val="auto"/>
          <w:sz w:val="28"/>
          <w:szCs w:val="28"/>
        </w:rPr>
        <w:t>井下作业（小修作业、大修作业、</w:t>
      </w:r>
      <w:r>
        <w:rPr>
          <w:rFonts w:hint="eastAsia"/>
          <w:color w:val="auto"/>
          <w:sz w:val="28"/>
          <w:szCs w:val="28"/>
          <w:lang w:val="en-US" w:eastAsia="zh-CN"/>
        </w:rPr>
        <w:t>侧钻、</w:t>
      </w:r>
      <w:r>
        <w:rPr>
          <w:rFonts w:hint="eastAsia"/>
          <w:color w:val="auto"/>
          <w:sz w:val="28"/>
          <w:szCs w:val="28"/>
          <w:lang w:eastAsia="zh-CN"/>
        </w:rPr>
        <w:t>连续油管</w:t>
      </w:r>
      <w:r>
        <w:rPr>
          <w:rFonts w:hint="eastAsia"/>
          <w:color w:val="auto"/>
          <w:sz w:val="28"/>
          <w:szCs w:val="28"/>
        </w:rPr>
        <w:t>作业、酸化、防砂、</w:t>
      </w:r>
      <w:r>
        <w:rPr>
          <w:rFonts w:hint="eastAsia"/>
          <w:color w:val="auto"/>
          <w:sz w:val="28"/>
          <w:szCs w:val="28"/>
          <w:lang w:eastAsia="zh-CN"/>
        </w:rPr>
        <w:t>堵水/调剖</w:t>
      </w:r>
      <w:r>
        <w:rPr>
          <w:rFonts w:hint="eastAsia"/>
          <w:color w:val="auto"/>
          <w:sz w:val="28"/>
          <w:szCs w:val="28"/>
        </w:rPr>
        <w:t>、特殊工艺技术服务（套管补贴</w:t>
      </w:r>
      <w:r>
        <w:rPr>
          <w:rFonts w:hint="eastAsia"/>
          <w:color w:val="auto"/>
          <w:sz w:val="28"/>
          <w:szCs w:val="28"/>
          <w:lang w:eastAsia="zh-CN"/>
        </w:rPr>
        <w:t>）</w:t>
      </w:r>
      <w:r>
        <w:rPr>
          <w:rFonts w:hint="eastAsia"/>
          <w:color w:val="auto"/>
          <w:sz w:val="28"/>
          <w:szCs w:val="28"/>
        </w:rPr>
        <w:t>、井下复杂情况处理（打捞、堵漏）、现场试压作业）项目安全现状评价技术服务合同</w:t>
      </w:r>
      <w:r>
        <w:rPr>
          <w:rFonts w:hint="eastAsia"/>
          <w:snapToGrid w:val="0"/>
          <w:color w:val="auto"/>
          <w:kern w:val="0"/>
          <w:sz w:val="28"/>
        </w:rPr>
        <w:t>。</w:t>
      </w:r>
    </w:p>
    <w:p>
      <w:pPr>
        <w:adjustRightInd w:val="0"/>
        <w:snapToGrid w:val="0"/>
        <w:spacing w:line="360" w:lineRule="auto"/>
        <w:ind w:firstLine="560" w:firstLineChars="200"/>
        <w:rPr>
          <w:snapToGrid w:val="0"/>
          <w:color w:val="auto"/>
          <w:kern w:val="0"/>
          <w:sz w:val="28"/>
        </w:rPr>
      </w:pPr>
      <w:r>
        <w:rPr>
          <w:rFonts w:hint="eastAsia"/>
          <w:snapToGrid w:val="0"/>
          <w:color w:val="auto"/>
          <w:kern w:val="0"/>
          <w:sz w:val="28"/>
        </w:rPr>
        <w:t>2</w:t>
      </w:r>
      <w:r>
        <w:rPr>
          <w:rFonts w:hint="eastAsia"/>
          <w:snapToGrid w:val="0"/>
          <w:color w:val="auto"/>
          <w:kern w:val="0"/>
          <w:sz w:val="28"/>
          <w:lang w:val="en-US" w:eastAsia="zh-CN"/>
        </w:rPr>
        <w:t xml:space="preserve">. </w:t>
      </w:r>
      <w:r>
        <w:rPr>
          <w:rFonts w:hint="eastAsia"/>
          <w:color w:val="auto"/>
          <w:sz w:val="28"/>
          <w:szCs w:val="28"/>
          <w:lang w:eastAsia="zh-CN"/>
        </w:rPr>
        <w:t>胜利油田康贝油气工程有限公司</w:t>
      </w:r>
      <w:r>
        <w:rPr>
          <w:rFonts w:hint="eastAsia"/>
          <w:snapToGrid w:val="0"/>
          <w:color w:val="auto"/>
          <w:kern w:val="0"/>
          <w:sz w:val="28"/>
        </w:rPr>
        <w:t>提供的有关文件、资料。</w:t>
      </w:r>
    </w:p>
    <w:p>
      <w:pPr>
        <w:tabs>
          <w:tab w:val="left" w:pos="6120"/>
        </w:tabs>
        <w:adjustRightInd w:val="0"/>
        <w:snapToGrid w:val="0"/>
        <w:spacing w:line="360" w:lineRule="auto"/>
        <w:ind w:firstLine="560" w:firstLineChars="200"/>
        <w:rPr>
          <w:snapToGrid w:val="0"/>
          <w:color w:val="auto"/>
          <w:kern w:val="0"/>
          <w:sz w:val="28"/>
        </w:rPr>
      </w:pPr>
      <w:r>
        <w:rPr>
          <w:rFonts w:hint="eastAsia"/>
          <w:snapToGrid w:val="0"/>
          <w:color w:val="auto"/>
          <w:kern w:val="0"/>
          <w:sz w:val="28"/>
        </w:rPr>
        <w:t>3</w:t>
      </w:r>
      <w:r>
        <w:rPr>
          <w:rFonts w:hint="eastAsia"/>
          <w:snapToGrid w:val="0"/>
          <w:color w:val="auto"/>
          <w:kern w:val="0"/>
          <w:sz w:val="28"/>
          <w:lang w:val="en-US" w:eastAsia="zh-CN"/>
        </w:rPr>
        <w:t xml:space="preserve">. </w:t>
      </w:r>
      <w:r>
        <w:rPr>
          <w:rFonts w:hint="eastAsia"/>
          <w:snapToGrid w:val="0"/>
          <w:color w:val="auto"/>
          <w:kern w:val="0"/>
          <w:sz w:val="28"/>
        </w:rPr>
        <w:t>其他与该工程安全评价有关的技术资料。</w:t>
      </w:r>
    </w:p>
    <w:p>
      <w:pPr>
        <w:pStyle w:val="4"/>
        <w:adjustRightInd w:val="0"/>
        <w:snapToGrid w:val="0"/>
        <w:spacing w:before="0" w:after="0" w:line="360" w:lineRule="auto"/>
        <w:rPr>
          <w:rFonts w:hint="default" w:ascii="Times New Roman" w:hAnsi="Times New Roman" w:eastAsia="黑体"/>
          <w:b w:val="0"/>
          <w:bCs/>
          <w:color w:val="auto"/>
          <w:szCs w:val="32"/>
          <w:lang w:val="en-US" w:eastAsia="zh-CN"/>
        </w:rPr>
      </w:pPr>
      <w:bookmarkStart w:id="8" w:name="_Toc202759399"/>
      <w:bookmarkStart w:id="9" w:name="_Toc31821"/>
      <w:r>
        <w:rPr>
          <w:rFonts w:hint="eastAsia" w:ascii="Times New Roman" w:hAnsi="Times New Roman"/>
          <w:b w:val="0"/>
          <w:bCs/>
          <w:color w:val="auto"/>
          <w:szCs w:val="32"/>
        </w:rPr>
        <w:t>1.3</w:t>
      </w:r>
      <w:r>
        <w:rPr>
          <w:rFonts w:ascii="Times New Roman" w:hAnsi="Times New Roman"/>
          <w:b w:val="0"/>
          <w:bCs/>
          <w:color w:val="auto"/>
          <w:szCs w:val="32"/>
        </w:rPr>
        <w:t xml:space="preserve"> </w:t>
      </w:r>
      <w:r>
        <w:rPr>
          <w:rFonts w:hint="eastAsia" w:ascii="Times New Roman" w:hAnsi="Times New Roman"/>
          <w:b w:val="0"/>
          <w:bCs/>
          <w:color w:val="auto"/>
          <w:szCs w:val="32"/>
        </w:rPr>
        <w:t>评价范围</w:t>
      </w:r>
      <w:bookmarkEnd w:id="8"/>
      <w:bookmarkEnd w:id="9"/>
    </w:p>
    <w:p>
      <w:pPr>
        <w:adjustRightInd w:val="0"/>
        <w:snapToGrid w:val="0"/>
        <w:spacing w:line="360" w:lineRule="auto"/>
        <w:ind w:firstLine="570"/>
        <w:rPr>
          <w:rFonts w:hint="eastAsia"/>
          <w:color w:val="auto"/>
          <w:sz w:val="28"/>
          <w:szCs w:val="28"/>
        </w:rPr>
      </w:pPr>
      <w:r>
        <w:rPr>
          <w:rFonts w:hint="eastAsia"/>
          <w:color w:val="auto"/>
          <w:sz w:val="28"/>
          <w:szCs w:val="28"/>
          <w:lang w:val="en-US" w:eastAsia="zh-CN"/>
        </w:rPr>
        <w:t>根据企业石油天然气服务业务情况，并与企业协商确定，</w:t>
      </w:r>
      <w:r>
        <w:rPr>
          <w:rFonts w:hint="eastAsia"/>
          <w:color w:val="auto"/>
          <w:sz w:val="28"/>
          <w:szCs w:val="28"/>
        </w:rPr>
        <w:t>本次评价范围为</w:t>
      </w:r>
      <w:r>
        <w:rPr>
          <w:rFonts w:hint="eastAsia"/>
          <w:color w:val="auto"/>
          <w:sz w:val="28"/>
          <w:szCs w:val="28"/>
          <w:lang w:eastAsia="zh-CN"/>
        </w:rPr>
        <w:t>胜利油田康贝油气工程有限公司</w:t>
      </w:r>
      <w:r>
        <w:rPr>
          <w:rFonts w:hint="eastAsia"/>
          <w:color w:val="auto"/>
          <w:sz w:val="28"/>
          <w:szCs w:val="28"/>
          <w:lang w:val="en-US" w:eastAsia="zh-CN"/>
        </w:rPr>
        <w:t>陆上石油天然气</w:t>
      </w:r>
      <w:r>
        <w:rPr>
          <w:rFonts w:hint="eastAsia"/>
          <w:color w:val="auto"/>
          <w:sz w:val="28"/>
          <w:szCs w:val="28"/>
        </w:rPr>
        <w:t>井下作业（小修作业、大修作业、</w:t>
      </w:r>
      <w:r>
        <w:rPr>
          <w:rFonts w:hint="eastAsia"/>
          <w:color w:val="auto"/>
          <w:sz w:val="28"/>
          <w:szCs w:val="28"/>
          <w:lang w:val="en-US" w:eastAsia="zh-CN"/>
        </w:rPr>
        <w:t>侧钻、</w:t>
      </w:r>
      <w:r>
        <w:rPr>
          <w:rFonts w:hint="eastAsia"/>
          <w:color w:val="auto"/>
          <w:sz w:val="28"/>
          <w:szCs w:val="28"/>
          <w:lang w:eastAsia="zh-CN"/>
        </w:rPr>
        <w:t>连续油管</w:t>
      </w:r>
      <w:r>
        <w:rPr>
          <w:rFonts w:hint="eastAsia"/>
          <w:color w:val="auto"/>
          <w:sz w:val="28"/>
          <w:szCs w:val="28"/>
        </w:rPr>
        <w:t>作业、酸化、防砂、</w:t>
      </w:r>
      <w:r>
        <w:rPr>
          <w:rFonts w:hint="eastAsia"/>
          <w:color w:val="auto"/>
          <w:sz w:val="28"/>
          <w:szCs w:val="28"/>
          <w:lang w:eastAsia="zh-CN"/>
        </w:rPr>
        <w:t>堵水/调剖</w:t>
      </w:r>
      <w:r>
        <w:rPr>
          <w:rFonts w:hint="eastAsia"/>
          <w:color w:val="auto"/>
          <w:sz w:val="28"/>
          <w:szCs w:val="28"/>
        </w:rPr>
        <w:t>、特殊工艺技术服务（套管补贴</w:t>
      </w:r>
      <w:r>
        <w:rPr>
          <w:rFonts w:hint="eastAsia"/>
          <w:color w:val="auto"/>
          <w:sz w:val="28"/>
          <w:szCs w:val="28"/>
          <w:lang w:eastAsia="zh-CN"/>
        </w:rPr>
        <w:t>）</w:t>
      </w:r>
      <w:r>
        <w:rPr>
          <w:rFonts w:hint="eastAsia"/>
          <w:color w:val="auto"/>
          <w:sz w:val="28"/>
          <w:szCs w:val="28"/>
        </w:rPr>
        <w:t>、井下复杂情况处理（打捞、堵漏）、现场试压）</w:t>
      </w:r>
      <w:r>
        <w:rPr>
          <w:rFonts w:hint="eastAsia"/>
          <w:color w:val="auto"/>
          <w:sz w:val="28"/>
          <w:szCs w:val="28"/>
          <w:lang w:eastAsia="zh-CN"/>
        </w:rPr>
        <w:t>（</w:t>
      </w:r>
      <w:r>
        <w:rPr>
          <w:rFonts w:hint="eastAsia"/>
          <w:color w:val="auto"/>
          <w:sz w:val="28"/>
          <w:szCs w:val="28"/>
          <w:lang w:val="en-US" w:eastAsia="zh-CN"/>
        </w:rPr>
        <w:t>不涉及海上</w:t>
      </w:r>
      <w:r>
        <w:rPr>
          <w:rFonts w:hint="eastAsia"/>
          <w:color w:val="auto"/>
          <w:sz w:val="28"/>
          <w:szCs w:val="28"/>
          <w:lang w:eastAsia="zh-CN"/>
        </w:rPr>
        <w:t>）</w:t>
      </w:r>
      <w:r>
        <w:rPr>
          <w:rFonts w:hint="eastAsia"/>
          <w:color w:val="auto"/>
          <w:sz w:val="28"/>
          <w:szCs w:val="28"/>
        </w:rPr>
        <w:t>项目有关的设施、设备的实际运行状况以及安全管理状况，</w:t>
      </w:r>
      <w:r>
        <w:rPr>
          <w:rFonts w:hint="eastAsia" w:cs="宋体"/>
          <w:color w:val="auto"/>
          <w:kern w:val="0"/>
          <w:sz w:val="28"/>
          <w:szCs w:val="28"/>
        </w:rPr>
        <w:t>通过对危险有害因素和企业现有的安全技术设施的分析，确定公司是否具备从事</w:t>
      </w:r>
      <w:r>
        <w:rPr>
          <w:rFonts w:hint="eastAsia" w:cs="宋体"/>
          <w:color w:val="auto"/>
          <w:kern w:val="0"/>
          <w:sz w:val="28"/>
          <w:szCs w:val="28"/>
          <w:lang w:val="en-US" w:eastAsia="zh-CN"/>
        </w:rPr>
        <w:t>陆上石油天然气</w:t>
      </w:r>
      <w:r>
        <w:rPr>
          <w:rFonts w:hint="eastAsia" w:cs="宋体"/>
          <w:color w:val="auto"/>
          <w:kern w:val="0"/>
          <w:sz w:val="28"/>
          <w:szCs w:val="28"/>
        </w:rPr>
        <w:t>井下作业</w:t>
      </w:r>
      <w:r>
        <w:rPr>
          <w:rFonts w:hint="eastAsia"/>
          <w:color w:val="auto"/>
          <w:sz w:val="28"/>
          <w:szCs w:val="28"/>
        </w:rPr>
        <w:t>（小修作业、大修作业、</w:t>
      </w:r>
      <w:r>
        <w:rPr>
          <w:rFonts w:hint="eastAsia"/>
          <w:color w:val="auto"/>
          <w:sz w:val="28"/>
          <w:szCs w:val="28"/>
          <w:lang w:val="en-US" w:eastAsia="zh-CN"/>
        </w:rPr>
        <w:t>侧钻、</w:t>
      </w:r>
      <w:r>
        <w:rPr>
          <w:rFonts w:hint="eastAsia"/>
          <w:color w:val="auto"/>
          <w:sz w:val="28"/>
          <w:szCs w:val="28"/>
          <w:lang w:eastAsia="zh-CN"/>
        </w:rPr>
        <w:t>连续油管</w:t>
      </w:r>
      <w:r>
        <w:rPr>
          <w:rFonts w:hint="eastAsia"/>
          <w:color w:val="auto"/>
          <w:sz w:val="28"/>
          <w:szCs w:val="28"/>
        </w:rPr>
        <w:t>作业、酸化、防砂、</w:t>
      </w:r>
      <w:r>
        <w:rPr>
          <w:rFonts w:hint="eastAsia"/>
          <w:color w:val="auto"/>
          <w:sz w:val="28"/>
          <w:szCs w:val="28"/>
          <w:lang w:eastAsia="zh-CN"/>
        </w:rPr>
        <w:t>堵水/调剖</w:t>
      </w:r>
      <w:r>
        <w:rPr>
          <w:rFonts w:hint="eastAsia"/>
          <w:color w:val="auto"/>
          <w:sz w:val="28"/>
          <w:szCs w:val="28"/>
        </w:rPr>
        <w:t>、特殊工艺技术服务（套管补贴</w:t>
      </w:r>
      <w:r>
        <w:rPr>
          <w:rFonts w:hint="eastAsia"/>
          <w:color w:val="auto"/>
          <w:sz w:val="28"/>
          <w:szCs w:val="28"/>
          <w:lang w:eastAsia="zh-CN"/>
        </w:rPr>
        <w:t>）</w:t>
      </w:r>
      <w:r>
        <w:rPr>
          <w:rFonts w:hint="eastAsia"/>
          <w:color w:val="auto"/>
          <w:sz w:val="28"/>
          <w:szCs w:val="28"/>
        </w:rPr>
        <w:t>、井下复杂情况处理（打捞、堵漏）、现场试压）项目</w:t>
      </w:r>
      <w:r>
        <w:rPr>
          <w:rFonts w:hint="eastAsia" w:cs="宋体"/>
          <w:color w:val="auto"/>
          <w:kern w:val="0"/>
          <w:sz w:val="28"/>
          <w:szCs w:val="28"/>
        </w:rPr>
        <w:t>的各项安全生产条件</w:t>
      </w:r>
      <w:r>
        <w:rPr>
          <w:rFonts w:hint="eastAsia"/>
          <w:color w:val="auto"/>
          <w:sz w:val="28"/>
          <w:szCs w:val="28"/>
        </w:rPr>
        <w:t>。</w:t>
      </w:r>
    </w:p>
    <w:p>
      <w:pPr>
        <w:adjustRightInd w:val="0"/>
        <w:snapToGrid w:val="0"/>
        <w:spacing w:line="360" w:lineRule="auto"/>
        <w:ind w:firstLine="570"/>
        <w:rPr>
          <w:rFonts w:hint="default" w:ascii="Times New Roman" w:hAnsi="Times New Roman" w:cs="Times New Roman"/>
          <w:color w:val="auto"/>
          <w:sz w:val="28"/>
          <w:szCs w:val="28"/>
          <w:lang w:val="en-US" w:eastAsia="zh-CN"/>
        </w:rPr>
      </w:pPr>
      <w:r>
        <w:rPr>
          <w:rFonts w:hint="default" w:ascii="Times New Roman" w:hAnsi="Times New Roman" w:cs="Times New Roman"/>
          <w:color w:val="auto"/>
          <w:sz w:val="28"/>
          <w:szCs w:val="28"/>
          <w:lang w:val="en-US" w:eastAsia="zh-CN"/>
        </w:rPr>
        <w:t>具体评价范围如表1-1所示：</w:t>
      </w:r>
    </w:p>
    <w:p>
      <w:pPr>
        <w:pStyle w:val="61"/>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b/>
          <w:bCs/>
          <w:color w:val="auto"/>
          <w:sz w:val="21"/>
          <w:szCs w:val="21"/>
        </w:rPr>
        <w:t>表</w:t>
      </w:r>
      <w:r>
        <w:rPr>
          <w:rFonts w:hint="default" w:ascii="Times New Roman" w:hAnsi="Times New Roman" w:cs="Times New Roman"/>
          <w:b/>
          <w:bCs/>
          <w:color w:val="auto"/>
          <w:sz w:val="21"/>
          <w:szCs w:val="21"/>
          <w:lang w:val="en-US" w:eastAsia="zh-CN"/>
        </w:rPr>
        <w:t>1</w:t>
      </w:r>
      <w:r>
        <w:rPr>
          <w:rFonts w:hint="default" w:ascii="Times New Roman" w:hAnsi="Times New Roman" w:cs="Times New Roman"/>
          <w:b/>
          <w:bCs/>
          <w:color w:val="auto"/>
          <w:sz w:val="21"/>
          <w:szCs w:val="21"/>
        </w:rPr>
        <w:t>-1</w:t>
      </w:r>
      <w:r>
        <w:rPr>
          <w:rFonts w:hint="eastAsia" w:cs="Times New Roman"/>
          <w:b/>
          <w:bCs/>
          <w:color w:val="auto"/>
          <w:sz w:val="21"/>
          <w:szCs w:val="21"/>
          <w:lang w:val="en-US" w:eastAsia="zh-CN"/>
        </w:rPr>
        <w:t xml:space="preserve">  </w:t>
      </w:r>
      <w:r>
        <w:rPr>
          <w:rFonts w:hint="default" w:ascii="Times New Roman" w:hAnsi="Times New Roman" w:cs="Times New Roman"/>
          <w:b/>
          <w:bCs/>
          <w:color w:val="auto"/>
          <w:sz w:val="21"/>
          <w:szCs w:val="21"/>
          <w:lang w:val="en-US" w:eastAsia="zh-CN"/>
        </w:rPr>
        <w:t>评价范围</w:t>
      </w:r>
      <w:r>
        <w:rPr>
          <w:rFonts w:hint="default" w:ascii="Times New Roman" w:hAnsi="Times New Roman" w:cs="Times New Roman"/>
          <w:b/>
          <w:bCs/>
          <w:color w:val="auto"/>
          <w:sz w:val="21"/>
          <w:szCs w:val="21"/>
        </w:rPr>
        <w:t>一览表</w:t>
      </w:r>
    </w:p>
    <w:tbl>
      <w:tblPr>
        <w:tblStyle w:val="52"/>
        <w:tblW w:w="868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5584"/>
        <w:gridCol w:w="16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1480" w:type="dxa"/>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项目类型</w:t>
            </w:r>
          </w:p>
        </w:tc>
        <w:tc>
          <w:tcPr>
            <w:tcW w:w="5584" w:type="dxa"/>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具体内容</w:t>
            </w:r>
          </w:p>
        </w:tc>
        <w:tc>
          <w:tcPr>
            <w:tcW w:w="1618" w:type="dxa"/>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80" w:type="dxa"/>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石油天然气服务业务</w:t>
            </w:r>
          </w:p>
        </w:tc>
        <w:tc>
          <w:tcPr>
            <w:tcW w:w="5584" w:type="dxa"/>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both"/>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井下作业（小修作业、大修作业、</w:t>
            </w:r>
            <w:r>
              <w:rPr>
                <w:rFonts w:hint="eastAsia" w:ascii="Times New Roman" w:hAnsi="Times New Roman" w:eastAsia="宋体" w:cs="Times New Roman"/>
                <w:color w:val="auto"/>
                <w:szCs w:val="21"/>
                <w:lang w:val="en-US" w:eastAsia="zh-CN"/>
              </w:rPr>
              <w:t>侧钻、</w:t>
            </w:r>
            <w:r>
              <w:rPr>
                <w:rFonts w:hint="eastAsia" w:cs="Times New Roman"/>
                <w:color w:val="auto"/>
                <w:szCs w:val="21"/>
                <w:lang w:eastAsia="zh-CN"/>
              </w:rPr>
              <w:t>连续油管</w:t>
            </w:r>
            <w:r>
              <w:rPr>
                <w:rFonts w:hint="eastAsia" w:ascii="Times New Roman" w:hAnsi="Times New Roman" w:eastAsia="宋体" w:cs="Times New Roman"/>
                <w:color w:val="auto"/>
                <w:szCs w:val="21"/>
                <w:lang w:eastAsia="zh-CN"/>
              </w:rPr>
              <w:t>作业、酸化、防砂、</w:t>
            </w:r>
            <w:r>
              <w:rPr>
                <w:rFonts w:hint="eastAsia" w:cs="Times New Roman"/>
                <w:color w:val="auto"/>
                <w:szCs w:val="21"/>
                <w:lang w:eastAsia="zh-CN"/>
              </w:rPr>
              <w:t>堵水/调剖</w:t>
            </w:r>
            <w:r>
              <w:rPr>
                <w:rFonts w:hint="eastAsia" w:ascii="Times New Roman" w:hAnsi="Times New Roman" w:eastAsia="宋体" w:cs="Times New Roman"/>
                <w:color w:val="auto"/>
                <w:szCs w:val="21"/>
                <w:lang w:eastAsia="zh-CN"/>
              </w:rPr>
              <w:t>、特殊工艺技术服务（套管补贴）、井下复杂情况处理（打捞、堵漏）、现场试压）</w:t>
            </w:r>
          </w:p>
        </w:tc>
        <w:tc>
          <w:tcPr>
            <w:tcW w:w="1618" w:type="dxa"/>
            <w:tcBorders>
              <w:tl2br w:val="nil"/>
              <w:tr2bl w:val="nil"/>
            </w:tcBorders>
            <w:noWrap w:val="0"/>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80"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组织机构</w:t>
            </w:r>
          </w:p>
        </w:tc>
        <w:tc>
          <w:tcPr>
            <w:tcW w:w="5584"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涉及企业机密，不予公开。</w:t>
            </w:r>
          </w:p>
        </w:tc>
        <w:tc>
          <w:tcPr>
            <w:tcW w:w="1618"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宋体" w:cs="Times New Roman"/>
                <w:color w:val="auto"/>
                <w:szCs w:val="21"/>
                <w:lang w:val="en-US" w:eastAsia="zh-CN"/>
              </w:rPr>
              <w:t>组织机构</w:t>
            </w:r>
            <w:r>
              <w:rPr>
                <w:rFonts w:hint="eastAsia" w:cs="Times New Roman"/>
                <w:color w:val="auto"/>
                <w:szCs w:val="21"/>
                <w:lang w:val="en-US" w:eastAsia="zh-CN"/>
              </w:rPr>
              <w:t>、</w:t>
            </w:r>
            <w:r>
              <w:rPr>
                <w:rFonts w:hint="default" w:ascii="Times New Roman" w:hAnsi="Times New Roman" w:eastAsia="宋体" w:cs="Times New Roman"/>
                <w:color w:val="auto"/>
                <w:szCs w:val="21"/>
                <w:lang w:val="en-US" w:eastAsia="zh-CN"/>
              </w:rPr>
              <w:t>基层队伍</w:t>
            </w:r>
            <w:r>
              <w:rPr>
                <w:rFonts w:hint="eastAsia" w:cs="Times New Roman"/>
                <w:color w:val="auto"/>
                <w:szCs w:val="21"/>
                <w:lang w:val="en-US" w:eastAsia="zh-CN"/>
              </w:rPr>
              <w:t>岗位情况，</w:t>
            </w:r>
            <w:r>
              <w:rPr>
                <w:rFonts w:hint="default" w:ascii="Times New Roman" w:hAnsi="Times New Roman" w:eastAsia="宋体" w:cs="Times New Roman"/>
                <w:color w:val="auto"/>
                <w:szCs w:val="21"/>
                <w:lang w:val="en-US" w:eastAsia="zh-CN"/>
              </w:rPr>
              <w:t>详细情况见第2.2及2.3.3节。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80"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作业区域</w:t>
            </w:r>
          </w:p>
        </w:tc>
        <w:tc>
          <w:tcPr>
            <w:tcW w:w="5584"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胜利油田区域内</w:t>
            </w:r>
          </w:p>
        </w:tc>
        <w:tc>
          <w:tcPr>
            <w:tcW w:w="1618"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kern w:val="0"/>
                <w:sz w:val="24"/>
                <w:szCs w:val="24"/>
                <w:u w:val="none"/>
                <w:lang w:val="en-US" w:eastAsia="zh-CN" w:bidi="ar"/>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28" w:hRule="atLeast"/>
          <w:jc w:val="center"/>
        </w:trPr>
        <w:tc>
          <w:tcPr>
            <w:tcW w:w="1480"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主要作业流程</w:t>
            </w:r>
          </w:p>
        </w:tc>
        <w:tc>
          <w:tcPr>
            <w:tcW w:w="5584"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人员、设备、材料进入井场；现场</w:t>
            </w:r>
            <w:r>
              <w:rPr>
                <w:rFonts w:hint="eastAsia" w:ascii="Times New Roman" w:hAnsi="Times New Roman" w:eastAsia="宋体" w:cs="Times New Roman"/>
                <w:color w:val="auto"/>
                <w:szCs w:val="21"/>
                <w:lang w:val="en-US" w:eastAsia="zh-CN"/>
              </w:rPr>
              <w:t>井下</w:t>
            </w:r>
            <w:r>
              <w:rPr>
                <w:rFonts w:hint="default" w:ascii="Times New Roman" w:hAnsi="Times New Roman" w:eastAsia="宋体" w:cs="Times New Roman"/>
                <w:color w:val="auto"/>
                <w:szCs w:val="21"/>
                <w:lang w:val="en-US" w:eastAsia="zh-CN"/>
              </w:rPr>
              <w:t>作业（小修作业、大修作业、侧钻、</w:t>
            </w:r>
            <w:r>
              <w:rPr>
                <w:rFonts w:hint="eastAsia" w:cs="Times New Roman"/>
                <w:color w:val="auto"/>
                <w:szCs w:val="21"/>
                <w:lang w:val="en-US" w:eastAsia="zh-CN"/>
              </w:rPr>
              <w:t>连续油管</w:t>
            </w:r>
            <w:r>
              <w:rPr>
                <w:rFonts w:hint="default" w:ascii="Times New Roman" w:hAnsi="Times New Roman" w:eastAsia="宋体" w:cs="Times New Roman"/>
                <w:color w:val="auto"/>
                <w:szCs w:val="21"/>
                <w:lang w:val="en-US" w:eastAsia="zh-CN"/>
              </w:rPr>
              <w:t>作业、酸化、防砂、</w:t>
            </w:r>
            <w:r>
              <w:rPr>
                <w:rFonts w:hint="eastAsia" w:cs="Times New Roman"/>
                <w:color w:val="auto"/>
                <w:szCs w:val="21"/>
                <w:lang w:val="en-US" w:eastAsia="zh-CN"/>
              </w:rPr>
              <w:t>堵水/调剖</w:t>
            </w:r>
            <w:r>
              <w:rPr>
                <w:rFonts w:hint="default" w:ascii="Times New Roman" w:hAnsi="Times New Roman" w:eastAsia="宋体" w:cs="Times New Roman"/>
                <w:color w:val="auto"/>
                <w:szCs w:val="21"/>
                <w:lang w:val="en-US" w:eastAsia="zh-CN"/>
              </w:rPr>
              <w:t>、特殊工艺技术服务（套管补贴）、井下复杂情况处理（打捞、堵漏）、现场试压）；离场</w:t>
            </w:r>
          </w:p>
        </w:tc>
        <w:tc>
          <w:tcPr>
            <w:tcW w:w="1618"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eastAsia="宋体" w:cs="Times New Roman"/>
                <w:color w:val="auto"/>
                <w:szCs w:val="21"/>
                <w:lang w:val="en-US" w:eastAsia="zh-CN"/>
              </w:rPr>
              <w:t>详细作业流程见报告第2.3.2节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80"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主要设备设施</w:t>
            </w:r>
          </w:p>
        </w:tc>
        <w:tc>
          <w:tcPr>
            <w:tcW w:w="5584"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胜利油田康贝油气工程有限公司井下作业（小修作业、大修作业、侧钻、</w:t>
            </w:r>
            <w:r>
              <w:rPr>
                <w:rFonts w:hint="eastAsia" w:cs="Times New Roman"/>
                <w:color w:val="auto"/>
                <w:szCs w:val="21"/>
                <w:lang w:val="en-US" w:eastAsia="zh-CN"/>
              </w:rPr>
              <w:t>连续油管</w:t>
            </w:r>
            <w:r>
              <w:rPr>
                <w:rFonts w:hint="default" w:ascii="Times New Roman" w:hAnsi="Times New Roman" w:eastAsia="宋体" w:cs="Times New Roman"/>
                <w:color w:val="auto"/>
                <w:szCs w:val="21"/>
                <w:lang w:val="en-US" w:eastAsia="zh-CN"/>
              </w:rPr>
              <w:t>作业、酸化、防砂、</w:t>
            </w:r>
            <w:r>
              <w:rPr>
                <w:rFonts w:hint="eastAsia" w:cs="Times New Roman"/>
                <w:color w:val="auto"/>
                <w:szCs w:val="21"/>
                <w:lang w:val="en-US" w:eastAsia="zh-CN"/>
              </w:rPr>
              <w:t>堵水/调剖</w:t>
            </w:r>
            <w:r>
              <w:rPr>
                <w:rFonts w:hint="default" w:ascii="Times New Roman" w:hAnsi="Times New Roman" w:eastAsia="宋体" w:cs="Times New Roman"/>
                <w:color w:val="auto"/>
                <w:szCs w:val="21"/>
                <w:lang w:val="en-US" w:eastAsia="zh-CN"/>
              </w:rPr>
              <w:t>、特殊工艺技术服务（套管补贴）、井下复杂情况处理（打捞、堵漏）、现场试压）</w:t>
            </w:r>
            <w:r>
              <w:rPr>
                <w:rFonts w:hint="eastAsia" w:ascii="Times New Roman" w:hAnsi="Times New Roman" w:eastAsia="宋体" w:cs="Times New Roman"/>
                <w:color w:val="auto"/>
                <w:szCs w:val="21"/>
                <w:lang w:val="en-US" w:eastAsia="zh-CN"/>
              </w:rPr>
              <w:t>的设备设施</w:t>
            </w:r>
            <w:r>
              <w:rPr>
                <w:rFonts w:hint="eastAsia" w:cs="Times New Roman"/>
                <w:color w:val="auto"/>
                <w:szCs w:val="21"/>
                <w:lang w:val="en-US" w:eastAsia="zh-CN"/>
              </w:rPr>
              <w:t>：修井机、通井机、井架及底座、连续油管作业主车、连续油管滚筒撬、泵车、混砂车、井控装备、高压管汇等。</w:t>
            </w:r>
          </w:p>
        </w:tc>
        <w:tc>
          <w:tcPr>
            <w:tcW w:w="1618" w:type="dxa"/>
            <w:tcBorders>
              <w:tl2br w:val="nil"/>
              <w:tr2bl w:val="nil"/>
            </w:tcBorders>
            <w:shd w:val="clear" w:color="auto" w:fill="FFFFFF"/>
            <w:noWrap w:val="0"/>
            <w:vAlign w:val="center"/>
          </w:tcPr>
          <w:p>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详细设备设施情况见2.3.4节，承包商的设备设施不在评价范围。</w:t>
            </w:r>
          </w:p>
        </w:tc>
      </w:tr>
    </w:tbl>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color w:val="auto"/>
          <w:sz w:val="28"/>
          <w:szCs w:val="28"/>
          <w:lang w:val="en-US" w:eastAsia="zh-CN"/>
        </w:rPr>
      </w:pPr>
      <w:r>
        <w:rPr>
          <w:rFonts w:hint="eastAsia" w:ascii="Times New Roman" w:hAnsi="Times New Roman" w:eastAsia="宋体" w:cs="Times New Roman"/>
          <w:color w:val="auto"/>
          <w:szCs w:val="21"/>
          <w:lang w:val="en-US" w:eastAsia="zh-CN"/>
        </w:rPr>
        <w:t>备注：</w:t>
      </w:r>
      <w:r>
        <w:rPr>
          <w:rFonts w:hint="eastAsia" w:cs="Times New Roman"/>
          <w:color w:val="auto"/>
          <w:szCs w:val="21"/>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73"/>
        <w:textAlignment w:val="auto"/>
        <w:rPr>
          <w:rFonts w:hint="default"/>
          <w:color w:val="auto"/>
          <w:sz w:val="28"/>
          <w:szCs w:val="28"/>
          <w:lang w:val="en-US" w:eastAsia="zh-CN"/>
        </w:rPr>
      </w:pPr>
      <w:r>
        <w:rPr>
          <w:rFonts w:hint="eastAsia"/>
          <w:color w:val="auto"/>
          <w:sz w:val="28"/>
          <w:szCs w:val="28"/>
          <w:lang w:val="en-US" w:eastAsia="zh-CN"/>
        </w:rPr>
        <w:t>凡涉及该公司的环保问题、污水处理、职业卫生评价、办公生活设施、厂外运输、物料输送</w:t>
      </w:r>
      <w:r>
        <w:rPr>
          <w:rFonts w:hint="eastAsia"/>
          <w:color w:val="auto"/>
          <w:sz w:val="28"/>
          <w:szCs w:val="28"/>
          <w:highlight w:val="none"/>
          <w:lang w:val="en-US" w:eastAsia="zh-CN"/>
        </w:rPr>
        <w:t>等</w:t>
      </w:r>
      <w:r>
        <w:rPr>
          <w:rFonts w:hint="eastAsia"/>
          <w:color w:val="auto"/>
          <w:sz w:val="28"/>
          <w:szCs w:val="28"/>
          <w:lang w:val="en-US" w:eastAsia="zh-CN"/>
        </w:rPr>
        <w:t>，则应执行国家有关规定和相关标准，不在本评价范围。</w:t>
      </w:r>
    </w:p>
    <w:p>
      <w:pPr>
        <w:adjustRightInd w:val="0"/>
        <w:snapToGrid w:val="0"/>
        <w:spacing w:line="360" w:lineRule="auto"/>
        <w:ind w:firstLine="570"/>
        <w:rPr>
          <w:rFonts w:hint="default"/>
          <w:color w:val="auto"/>
          <w:sz w:val="28"/>
          <w:szCs w:val="28"/>
          <w:lang w:val="en-US" w:eastAsia="zh-CN"/>
        </w:rPr>
      </w:pPr>
      <w:r>
        <w:rPr>
          <w:rFonts w:hint="eastAsia"/>
          <w:color w:val="auto"/>
          <w:sz w:val="28"/>
          <w:szCs w:val="28"/>
          <w:lang w:val="en-US" w:eastAsia="zh-CN"/>
        </w:rPr>
        <w:t>根据《非煤矿矿山企业安全生产许可证实施办法》（国家安全生产监督管理总局令[2009]第20号，第78号修订）、《关于对钻井、物探、测井、录井、井下作业、油建企业实施安全生产许可的通知》（鲁应急函[2021]86号）、《东营市应急管理局关于进一步规范非煤矿矿山《安全生产许可证》颁发管理有关问题的函》（东应急函字[2021]50号）等文件要求，企业安全生产许可证申请范围为：陆上石油天然气井下作业（小修作业、大修作业、侧钻、连续油管作业、酸化、防砂、堵水/调剖、特殊工艺技术服务（套管补贴）、井下复杂情况处理（打捞、堵漏）、现场试压），本次安全评价范围与企业安全生产许可证申请范围一致。</w:t>
      </w:r>
    </w:p>
    <w:p>
      <w:pPr>
        <w:pStyle w:val="4"/>
        <w:adjustRightInd w:val="0"/>
        <w:snapToGrid w:val="0"/>
        <w:spacing w:before="0" w:after="0" w:line="360" w:lineRule="auto"/>
        <w:rPr>
          <w:rFonts w:ascii="Times New Roman" w:hAnsi="Times New Roman"/>
          <w:b w:val="0"/>
          <w:bCs/>
          <w:color w:val="auto"/>
          <w:szCs w:val="32"/>
        </w:rPr>
      </w:pPr>
      <w:bookmarkStart w:id="10" w:name="_Toc202759400"/>
      <w:bookmarkStart w:id="11" w:name="_Toc25419"/>
      <w:r>
        <w:rPr>
          <w:rFonts w:hint="eastAsia" w:ascii="Times New Roman" w:hAnsi="Times New Roman"/>
          <w:b w:val="0"/>
          <w:bCs/>
          <w:color w:val="auto"/>
          <w:szCs w:val="32"/>
        </w:rPr>
        <w:t>1.4</w:t>
      </w:r>
      <w:r>
        <w:rPr>
          <w:rFonts w:ascii="Times New Roman" w:hAnsi="Times New Roman"/>
          <w:b w:val="0"/>
          <w:bCs/>
          <w:color w:val="auto"/>
          <w:szCs w:val="32"/>
        </w:rPr>
        <w:t xml:space="preserve"> </w:t>
      </w:r>
      <w:r>
        <w:rPr>
          <w:rFonts w:hint="eastAsia" w:ascii="Times New Roman" w:hAnsi="Times New Roman"/>
          <w:b w:val="0"/>
          <w:bCs/>
          <w:color w:val="auto"/>
          <w:szCs w:val="32"/>
        </w:rPr>
        <w:t>评价程序</w:t>
      </w:r>
      <w:bookmarkEnd w:id="10"/>
      <w:bookmarkEnd w:id="11"/>
    </w:p>
    <w:p>
      <w:pPr>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rPr>
      </w:pPr>
      <w:bookmarkStart w:id="12" w:name="_Toc202759401"/>
      <w:r>
        <w:rPr>
          <w:rFonts w:hint="eastAsia" w:ascii="Times New Roman" w:hAnsi="Times New Roman" w:eastAsia="宋体" w:cs="Times New Roman"/>
          <w:color w:val="auto"/>
          <w:sz w:val="28"/>
          <w:szCs w:val="28"/>
        </w:rPr>
        <w:t>安全现状评价工作程序如下：</w:t>
      </w:r>
    </w:p>
    <w:p>
      <w:pPr>
        <w:pStyle w:val="269"/>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1.前期准备；</w:t>
      </w:r>
    </w:p>
    <w:p>
      <w:pPr>
        <w:pStyle w:val="269"/>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2.辨识与识别危险、有害因素；</w:t>
      </w:r>
    </w:p>
    <w:p>
      <w:pPr>
        <w:pStyle w:val="269"/>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3.划分评价单元；</w:t>
      </w:r>
    </w:p>
    <w:p>
      <w:pPr>
        <w:pStyle w:val="269"/>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4.选择评价方法；</w:t>
      </w:r>
    </w:p>
    <w:p>
      <w:pPr>
        <w:pStyle w:val="269"/>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5.定性、定量评价；</w:t>
      </w:r>
    </w:p>
    <w:p>
      <w:pPr>
        <w:pStyle w:val="269"/>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6.提出安全对策措施及建议；</w:t>
      </w:r>
    </w:p>
    <w:p>
      <w:pPr>
        <w:pStyle w:val="269"/>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7.做出评价结论；</w:t>
      </w:r>
    </w:p>
    <w:p>
      <w:pPr>
        <w:pStyle w:val="269"/>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8.编制完成安全现状评价报告。</w:t>
      </w:r>
    </w:p>
    <w:p>
      <w:pPr>
        <w:pStyle w:val="269"/>
        <w:keepNext w:val="0"/>
        <w:keepLines w:val="0"/>
        <w:pageBreakBefore w:val="0"/>
        <w:widowControl w:val="0"/>
        <w:kinsoku/>
        <w:wordWrap/>
        <w:overflowPunct/>
        <w:topLinePunct w:val="0"/>
        <w:bidi w:val="0"/>
        <w:adjustRightInd w:val="0"/>
        <w:snapToGrid w:val="0"/>
        <w:spacing w:line="360" w:lineRule="auto"/>
        <w:ind w:firstLine="560" w:firstLineChars="200"/>
        <w:textAlignment w:val="auto"/>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具体程序见下图1-1。</w:t>
      </w:r>
    </w:p>
    <w:p>
      <w:pPr>
        <w:pStyle w:val="269"/>
        <w:rPr>
          <w:color w:val="auto"/>
        </w:rPr>
      </w:pPr>
    </w:p>
    <w:p>
      <w:pPr>
        <w:pStyle w:val="269"/>
      </w:pPr>
      <w:r>
        <w:rPr>
          <w:rFonts w:hint="default" w:ascii="Times New Roman" w:hAnsi="Times New Roman" w:eastAsia="Times New Roman"/>
          <w:position w:val="-134"/>
          <w:sz w:val="20"/>
          <w:szCs w:val="24"/>
        </w:rPr>
        <w:drawing>
          <wp:anchor distT="0" distB="0" distL="0" distR="0" simplePos="0" relativeHeight="251671552" behindDoc="0" locked="0" layoutInCell="1" allowOverlap="1">
            <wp:simplePos x="0" y="0"/>
            <wp:positionH relativeFrom="column">
              <wp:posOffset>739140</wp:posOffset>
            </wp:positionH>
            <wp:positionV relativeFrom="paragraph">
              <wp:posOffset>30480</wp:posOffset>
            </wp:positionV>
            <wp:extent cx="3569970" cy="5176520"/>
            <wp:effectExtent l="9525" t="9525" r="20955" b="14605"/>
            <wp:wrapNone/>
            <wp:docPr id="1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3569970" cy="5176520"/>
                    </a:xfrm>
                    <a:prstGeom prst="rect">
                      <a:avLst/>
                    </a:prstGeom>
                    <a:noFill/>
                    <a:ln w="6350" cmpd="sng">
                      <a:solidFill>
                        <a:srgbClr val="000000"/>
                      </a:solidFill>
                      <a:miter lim="800000"/>
                      <a:headEnd/>
                      <a:tailEnd/>
                    </a:ln>
                    <a:effectLst/>
                  </pic:spPr>
                </pic:pic>
              </a:graphicData>
            </a:graphic>
          </wp:anchor>
        </w:drawing>
      </w:r>
    </w:p>
    <w:p>
      <w:pPr>
        <w:pStyle w:val="269"/>
      </w:pPr>
    </w:p>
    <w:p>
      <w:pPr>
        <w:pStyle w:val="269"/>
      </w:pPr>
    </w:p>
    <w:p>
      <w:pPr>
        <w:pStyle w:val="269"/>
      </w:pPr>
    </w:p>
    <w:p>
      <w:pPr>
        <w:pStyle w:val="269"/>
      </w:pPr>
    </w:p>
    <w:p>
      <w:pPr>
        <w:pStyle w:val="269"/>
      </w:pPr>
    </w:p>
    <w:p>
      <w:pPr>
        <w:pStyle w:val="269"/>
      </w:pPr>
    </w:p>
    <w:p>
      <w:pPr>
        <w:pStyle w:val="269"/>
      </w:pPr>
    </w:p>
    <w:p>
      <w:pPr>
        <w:pStyle w:val="269"/>
      </w:pPr>
    </w:p>
    <w:p>
      <w:pPr>
        <w:pStyle w:val="269"/>
      </w:pPr>
    </w:p>
    <w:p>
      <w:pPr>
        <w:pStyle w:val="269"/>
      </w:pPr>
    </w:p>
    <w:p>
      <w:pPr>
        <w:pStyle w:val="269"/>
      </w:pPr>
    </w:p>
    <w:p>
      <w:pPr>
        <w:pStyle w:val="269"/>
      </w:pPr>
    </w:p>
    <w:p>
      <w:pPr>
        <w:pStyle w:val="269"/>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b/>
          <w:sz w:val="24"/>
          <w:szCs w:val="28"/>
        </w:r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b/>
          <w:sz w:val="24"/>
          <w:szCs w:val="28"/>
        </w:r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b/>
          <w:sz w:val="24"/>
          <w:szCs w:val="28"/>
        </w:r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b/>
          <w:sz w:val="24"/>
          <w:szCs w:val="28"/>
        </w:r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b/>
          <w:sz w:val="24"/>
          <w:szCs w:val="28"/>
        </w:r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b/>
          <w:sz w:val="24"/>
          <w:szCs w:val="28"/>
        </w:r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rFonts w:hint="eastAsia"/>
          <w:b/>
          <w:sz w:val="24"/>
          <w:szCs w:val="28"/>
        </w:rPr>
      </w:pP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center"/>
        <w:textAlignment w:val="auto"/>
        <w:rPr>
          <w:b/>
          <w:sz w:val="24"/>
          <w:szCs w:val="28"/>
        </w:rPr>
      </w:pPr>
      <w:r>
        <w:rPr>
          <w:rFonts w:hint="eastAsia"/>
          <w:b/>
          <w:sz w:val="21"/>
          <w:szCs w:val="21"/>
        </w:rPr>
        <w:t>图1-1</w:t>
      </w:r>
      <w:r>
        <w:rPr>
          <w:b/>
          <w:sz w:val="21"/>
          <w:szCs w:val="21"/>
        </w:rPr>
        <w:t xml:space="preserve">  </w:t>
      </w:r>
      <w:r>
        <w:rPr>
          <w:rFonts w:hint="eastAsia"/>
          <w:b/>
          <w:sz w:val="21"/>
          <w:szCs w:val="21"/>
        </w:rPr>
        <w:t>安全现状评价程序</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sz w:val="28"/>
          <w:szCs w:val="28"/>
        </w:rPr>
        <w:sectPr>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AndChars" w:linePitch="312" w:charSpace="0"/>
        </w:sectPr>
      </w:pPr>
    </w:p>
    <w:bookmarkEnd w:id="12"/>
    <w:p>
      <w:pPr>
        <w:pStyle w:val="3"/>
        <w:adjustRightInd w:val="0"/>
        <w:snapToGrid w:val="0"/>
        <w:spacing w:line="360" w:lineRule="auto"/>
        <w:rPr>
          <w:rFonts w:eastAsia="楷体_GB2312"/>
          <w:b/>
          <w:sz w:val="36"/>
          <w:szCs w:val="36"/>
        </w:rPr>
      </w:pPr>
      <w:bookmarkStart w:id="13" w:name="_Toc13361"/>
      <w:bookmarkStart w:id="14" w:name="_Toc285310333"/>
      <w:bookmarkStart w:id="15" w:name="_Toc244964626"/>
      <w:bookmarkStart w:id="16" w:name="_Toc248650007"/>
      <w:bookmarkStart w:id="17" w:name="_Toc276394619"/>
      <w:bookmarkStart w:id="18" w:name="_Toc291144363"/>
      <w:r>
        <w:rPr>
          <w:rFonts w:hint="eastAsia" w:eastAsia="楷体_GB2312"/>
          <w:b/>
          <w:sz w:val="36"/>
          <w:szCs w:val="36"/>
        </w:rPr>
        <w:t>2</w:t>
      </w:r>
      <w:r>
        <w:rPr>
          <w:rFonts w:eastAsia="楷体_GB2312"/>
          <w:b/>
          <w:sz w:val="36"/>
          <w:szCs w:val="36"/>
        </w:rPr>
        <w:t xml:space="preserve"> </w:t>
      </w:r>
      <w:r>
        <w:rPr>
          <w:rFonts w:hint="eastAsia" w:eastAsia="楷体_GB2312"/>
          <w:b/>
          <w:sz w:val="36"/>
          <w:szCs w:val="36"/>
        </w:rPr>
        <w:t>被评价单位基本情况</w:t>
      </w:r>
      <w:bookmarkEnd w:id="13"/>
      <w:bookmarkEnd w:id="14"/>
    </w:p>
    <w:p>
      <w:pPr>
        <w:pStyle w:val="4"/>
        <w:adjustRightInd w:val="0"/>
        <w:snapToGrid w:val="0"/>
        <w:spacing w:before="0" w:after="0" w:line="360" w:lineRule="auto"/>
        <w:rPr>
          <w:rFonts w:ascii="Times New Roman" w:hAnsi="Times New Roman"/>
          <w:b w:val="0"/>
          <w:bCs/>
          <w:szCs w:val="32"/>
        </w:rPr>
      </w:pPr>
      <w:bookmarkStart w:id="19" w:name="_Toc285310334"/>
      <w:bookmarkStart w:id="20" w:name="_Toc31633"/>
      <w:r>
        <w:rPr>
          <w:rFonts w:hint="eastAsia" w:ascii="Times New Roman" w:hAnsi="Times New Roman"/>
          <w:b w:val="0"/>
          <w:bCs/>
          <w:szCs w:val="32"/>
        </w:rPr>
        <w:t>2.1</w:t>
      </w:r>
      <w:bookmarkEnd w:id="19"/>
      <w:r>
        <w:rPr>
          <w:rFonts w:ascii="Times New Roman" w:hAnsi="Times New Roman"/>
          <w:b w:val="0"/>
          <w:bCs/>
          <w:szCs w:val="32"/>
        </w:rPr>
        <w:t xml:space="preserve"> </w:t>
      </w:r>
      <w:r>
        <w:rPr>
          <w:rFonts w:hint="eastAsia" w:ascii="Times New Roman" w:hAnsi="Times New Roman"/>
          <w:b w:val="0"/>
          <w:bCs/>
          <w:szCs w:val="32"/>
        </w:rPr>
        <w:t>企业概况</w:t>
      </w:r>
      <w:bookmarkEnd w:id="20"/>
    </w:p>
    <w:p>
      <w:pPr>
        <w:adjustRightInd w:val="0"/>
        <w:snapToGrid w:val="0"/>
        <w:spacing w:line="360" w:lineRule="auto"/>
        <w:ind w:firstLine="560" w:firstLineChars="200"/>
        <w:rPr>
          <w:rFonts w:hint="eastAsia"/>
          <w:sz w:val="28"/>
          <w:szCs w:val="28"/>
          <w:lang w:eastAsia="zh-CN"/>
        </w:rPr>
      </w:pPr>
      <w:r>
        <w:rPr>
          <w:rFonts w:hint="eastAsia"/>
          <w:sz w:val="28"/>
          <w:szCs w:val="28"/>
          <w:lang w:eastAsia="zh-CN"/>
        </w:rPr>
        <w:t>胜利油田康贝油气工程有限公司</w:t>
      </w:r>
      <w:r>
        <w:rPr>
          <w:rFonts w:hint="eastAsia"/>
          <w:sz w:val="28"/>
          <w:szCs w:val="28"/>
          <w:lang w:val="en-US" w:eastAsia="zh-CN"/>
        </w:rPr>
        <w:t>由胜利油田康贝石油工程装备有限公司100%认缴出资，公司</w:t>
      </w:r>
      <w:r>
        <w:rPr>
          <w:rFonts w:hint="eastAsia"/>
          <w:sz w:val="28"/>
          <w:szCs w:val="28"/>
          <w:lang w:eastAsia="zh-CN"/>
        </w:rPr>
        <w:t>成立于2003年</w:t>
      </w:r>
      <w:r>
        <w:rPr>
          <w:rFonts w:hint="eastAsia"/>
          <w:sz w:val="28"/>
          <w:szCs w:val="28"/>
          <w:lang w:val="en-US" w:eastAsia="zh-CN"/>
        </w:rPr>
        <w:t>06</w:t>
      </w:r>
      <w:r>
        <w:rPr>
          <w:rFonts w:hint="eastAsia"/>
          <w:sz w:val="28"/>
          <w:szCs w:val="28"/>
          <w:lang w:eastAsia="zh-CN"/>
        </w:rPr>
        <w:t>月</w:t>
      </w:r>
      <w:r>
        <w:rPr>
          <w:rFonts w:hint="eastAsia"/>
          <w:sz w:val="28"/>
          <w:szCs w:val="28"/>
          <w:lang w:val="en-US" w:eastAsia="zh-CN"/>
        </w:rPr>
        <w:t>09</w:t>
      </w:r>
      <w:r>
        <w:rPr>
          <w:rFonts w:hint="eastAsia"/>
          <w:sz w:val="28"/>
          <w:szCs w:val="28"/>
          <w:lang w:eastAsia="zh-CN"/>
        </w:rPr>
        <w:t>日</w:t>
      </w:r>
      <w:r>
        <w:rPr>
          <w:rFonts w:hint="eastAsia"/>
          <w:sz w:val="28"/>
          <w:szCs w:val="28"/>
          <w:lang w:val="en-US" w:eastAsia="zh-CN"/>
        </w:rPr>
        <w:t>，</w:t>
      </w:r>
      <w:r>
        <w:rPr>
          <w:rFonts w:hint="eastAsia"/>
          <w:sz w:val="28"/>
          <w:szCs w:val="28"/>
          <w:lang w:eastAsia="zh-CN"/>
        </w:rPr>
        <w:t>住所位于</w:t>
      </w:r>
      <w:r>
        <w:rPr>
          <w:rFonts w:hint="eastAsia"/>
          <w:sz w:val="28"/>
          <w:szCs w:val="28"/>
          <w:lang w:val="en-US" w:eastAsia="zh-CN"/>
        </w:rPr>
        <w:t>山东省</w:t>
      </w:r>
      <w:r>
        <w:rPr>
          <w:rFonts w:hint="eastAsia"/>
          <w:sz w:val="28"/>
          <w:szCs w:val="28"/>
          <w:lang w:eastAsia="zh-CN"/>
        </w:rPr>
        <w:t>东营市</w:t>
      </w:r>
      <w:r>
        <w:rPr>
          <w:rFonts w:hint="eastAsia"/>
          <w:sz w:val="28"/>
          <w:szCs w:val="28"/>
          <w:lang w:val="en-US" w:eastAsia="zh-CN"/>
        </w:rPr>
        <w:t>东营区胜园街道嘉祥路51号</w:t>
      </w:r>
      <w:r>
        <w:rPr>
          <w:rFonts w:hint="eastAsia"/>
          <w:sz w:val="28"/>
          <w:szCs w:val="28"/>
          <w:lang w:eastAsia="zh-CN"/>
        </w:rPr>
        <w:t>，公司法定代表人</w:t>
      </w:r>
      <w:r>
        <w:rPr>
          <w:rFonts w:hint="eastAsia"/>
          <w:sz w:val="28"/>
          <w:szCs w:val="28"/>
          <w:lang w:val="en-US" w:eastAsia="zh-CN"/>
        </w:rPr>
        <w:t>范涛</w:t>
      </w:r>
      <w:r>
        <w:rPr>
          <w:rFonts w:hint="eastAsia"/>
          <w:sz w:val="28"/>
          <w:szCs w:val="28"/>
          <w:lang w:eastAsia="zh-CN"/>
        </w:rPr>
        <w:t>，注册资本</w:t>
      </w:r>
      <w:r>
        <w:rPr>
          <w:rFonts w:hint="eastAsia"/>
          <w:sz w:val="28"/>
          <w:szCs w:val="28"/>
          <w:lang w:val="en-US" w:eastAsia="zh-CN"/>
        </w:rPr>
        <w:t>肆</w:t>
      </w:r>
      <w:r>
        <w:rPr>
          <w:rFonts w:hint="eastAsia"/>
          <w:sz w:val="28"/>
          <w:szCs w:val="28"/>
          <w:lang w:eastAsia="zh-CN"/>
        </w:rPr>
        <w:t>仟万元整。公司主要经营范围为</w:t>
      </w:r>
      <w:r>
        <w:rPr>
          <w:rFonts w:hint="eastAsia"/>
          <w:sz w:val="28"/>
          <w:szCs w:val="28"/>
          <w:lang w:val="en-US" w:eastAsia="zh-CN"/>
        </w:rPr>
        <w:t>许可项目：</w:t>
      </w:r>
      <w:r>
        <w:rPr>
          <w:rFonts w:hint="eastAsia"/>
          <w:sz w:val="28"/>
          <w:szCs w:val="28"/>
          <w:lang w:eastAsia="zh-CN"/>
        </w:rPr>
        <w:t>矿产资源（非煤矿山）开采；道路货物运输（不含危险货物）。（依法须经批准的项目，经相关部门批准后方可开展经营活动，具体经营项目以相关部门批准文件或许可证件为准）一般项目：石油天然气技术服务；技术服务、技术开发、技术咨询、技术交流、技术转让、技术推广；工程技术服务（规划管理、勘察、设计、监理除外）；机械设备租赁；化工产品销售（不含许可类化工产品）；机械设备销售；海洋工程装备销售；专用化学产品销售（不含危险化学品）；石油钻采专用设备销售；专用设备修理；机械设备研发；石油钻采专用设备制造；新材料技术研发；水污染治理；机械电气设备销售。（除依法须经批准的项目外，凭营业执照依法自主开展经营活动）。</w:t>
      </w:r>
    </w:p>
    <w:p>
      <w:pPr>
        <w:adjustRightInd w:val="0"/>
        <w:snapToGrid w:val="0"/>
        <w:spacing w:line="360" w:lineRule="auto"/>
        <w:ind w:firstLine="560" w:firstLineChars="200"/>
        <w:rPr>
          <w:rFonts w:hint="eastAsia"/>
          <w:sz w:val="28"/>
          <w:szCs w:val="28"/>
          <w:lang w:val="en-US" w:eastAsia="zh-CN"/>
        </w:rPr>
      </w:pPr>
      <w:r>
        <w:rPr>
          <w:rFonts w:hint="eastAsia"/>
          <w:sz w:val="28"/>
          <w:szCs w:val="28"/>
          <w:lang w:eastAsia="zh-CN"/>
        </w:rPr>
        <w:t>胜利油田康贝油气工程有限公司于201</w:t>
      </w:r>
      <w:r>
        <w:rPr>
          <w:rFonts w:hint="eastAsia"/>
          <w:sz w:val="28"/>
          <w:szCs w:val="28"/>
          <w:lang w:val="en-US" w:eastAsia="zh-CN"/>
        </w:rPr>
        <w:t>9</w:t>
      </w:r>
      <w:r>
        <w:rPr>
          <w:rFonts w:hint="eastAsia"/>
          <w:sz w:val="28"/>
          <w:szCs w:val="28"/>
          <w:lang w:eastAsia="zh-CN"/>
        </w:rPr>
        <w:t>年4月</w:t>
      </w:r>
      <w:r>
        <w:rPr>
          <w:rFonts w:hint="eastAsia"/>
          <w:sz w:val="28"/>
          <w:szCs w:val="28"/>
          <w:lang w:val="en-US" w:eastAsia="zh-CN"/>
        </w:rPr>
        <w:t>10</w:t>
      </w:r>
      <w:r>
        <w:rPr>
          <w:rFonts w:hint="eastAsia"/>
          <w:sz w:val="28"/>
          <w:szCs w:val="28"/>
          <w:lang w:eastAsia="zh-CN"/>
        </w:rPr>
        <w:t>日取得安全生产许可证，许可范围：</w:t>
      </w:r>
      <w:r>
        <w:rPr>
          <w:rFonts w:hint="eastAsia"/>
          <w:sz w:val="28"/>
          <w:szCs w:val="28"/>
          <w:lang w:val="en-US" w:eastAsia="zh-CN"/>
        </w:rPr>
        <w:t>油井井下作业，</w:t>
      </w:r>
      <w:r>
        <w:rPr>
          <w:rFonts w:hint="eastAsia"/>
          <w:sz w:val="28"/>
          <w:szCs w:val="28"/>
          <w:lang w:eastAsia="zh-CN"/>
        </w:rPr>
        <w:t>编号：（鲁）FM安许证字（201</w:t>
      </w:r>
      <w:r>
        <w:rPr>
          <w:rFonts w:hint="eastAsia"/>
          <w:sz w:val="28"/>
          <w:szCs w:val="28"/>
          <w:lang w:val="en-US" w:eastAsia="zh-CN"/>
        </w:rPr>
        <w:t>9</w:t>
      </w:r>
      <w:r>
        <w:rPr>
          <w:rFonts w:hint="eastAsia"/>
          <w:sz w:val="28"/>
          <w:szCs w:val="28"/>
          <w:lang w:eastAsia="zh-CN"/>
        </w:rPr>
        <w:t>）05-001</w:t>
      </w:r>
      <w:r>
        <w:rPr>
          <w:rFonts w:hint="eastAsia"/>
          <w:sz w:val="28"/>
          <w:szCs w:val="28"/>
          <w:lang w:val="en-US" w:eastAsia="zh-CN"/>
        </w:rPr>
        <w:t>3</w:t>
      </w:r>
      <w:r>
        <w:rPr>
          <w:rFonts w:hint="eastAsia"/>
          <w:sz w:val="28"/>
          <w:szCs w:val="28"/>
          <w:lang w:eastAsia="zh-CN"/>
        </w:rPr>
        <w:t>，有效期至</w:t>
      </w:r>
      <w:r>
        <w:rPr>
          <w:rFonts w:hint="eastAsia"/>
          <w:sz w:val="28"/>
          <w:szCs w:val="28"/>
          <w:lang w:val="en-US" w:eastAsia="zh-CN"/>
        </w:rPr>
        <w:t>2022年5月25日</w:t>
      </w:r>
      <w:r>
        <w:rPr>
          <w:rFonts w:hint="eastAsia"/>
          <w:sz w:val="28"/>
          <w:szCs w:val="28"/>
          <w:lang w:eastAsia="zh-CN"/>
        </w:rPr>
        <w:t>。</w:t>
      </w:r>
      <w:r>
        <w:rPr>
          <w:rFonts w:hint="eastAsia"/>
          <w:sz w:val="28"/>
          <w:szCs w:val="28"/>
          <w:lang w:val="en-US" w:eastAsia="zh-CN"/>
        </w:rPr>
        <w:t>根据《关于石油天然气技术服务企业不再实施安全许可的通知》（鲁应急函〔2019〕第46号）的规定，山东省应急厅不再对石油天然气技术服务企业实施安全许可，因此胜利油田康贝油气工程有限公司在安全生产许可证到期之后未再办理。根据《关于对钻井、物探、测井、录井、井下作业、油建企业实施安全生产许可的通知》（鲁应急函[2021]86号）、《东营市应急管理局关于进一步规范非煤矿矿山《安全生产许可证》颁发管理有关问题的函》（东应急函字[2021]50号）等文件要求，胜利油田康贝油气工程有限公司现申请办理安全生产许可证。</w:t>
      </w:r>
    </w:p>
    <w:p>
      <w:pPr>
        <w:pStyle w:val="4"/>
        <w:adjustRightInd w:val="0"/>
        <w:snapToGrid w:val="0"/>
        <w:spacing w:before="0" w:after="0" w:line="360" w:lineRule="auto"/>
        <w:rPr>
          <w:rFonts w:ascii="Times New Roman" w:hAnsi="Times New Roman"/>
          <w:b w:val="0"/>
          <w:bCs/>
          <w:szCs w:val="32"/>
        </w:rPr>
      </w:pPr>
      <w:bookmarkStart w:id="21" w:name="_Toc21545"/>
      <w:r>
        <w:rPr>
          <w:rFonts w:hint="eastAsia" w:ascii="Times New Roman" w:hAnsi="Times New Roman"/>
          <w:b w:val="0"/>
          <w:bCs/>
          <w:szCs w:val="32"/>
        </w:rPr>
        <w:t>2.</w:t>
      </w:r>
      <w:r>
        <w:rPr>
          <w:rFonts w:ascii="Times New Roman" w:hAnsi="Times New Roman"/>
          <w:b w:val="0"/>
          <w:bCs/>
          <w:szCs w:val="32"/>
        </w:rPr>
        <w:t xml:space="preserve">2 </w:t>
      </w:r>
      <w:r>
        <w:rPr>
          <w:rFonts w:hint="eastAsia" w:ascii="Times New Roman" w:hAnsi="Times New Roman"/>
          <w:b w:val="0"/>
          <w:bCs/>
          <w:szCs w:val="32"/>
        </w:rPr>
        <w:t>机构设置</w:t>
      </w:r>
      <w:bookmarkEnd w:id="21"/>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eastAsia" w:ascii="Times New Roman" w:hAnsi="Times New Roman" w:eastAsia="宋体" w:cs="Times New Roman"/>
          <w:kern w:val="2"/>
          <w:sz w:val="28"/>
          <w:szCs w:val="28"/>
          <w:lang w:val="en-US" w:eastAsia="zh-CN" w:bidi="ar-SA"/>
        </w:rPr>
      </w:pPr>
      <w:bookmarkStart w:id="22" w:name="_Toc285310336"/>
      <w:bookmarkStart w:id="23" w:name="_Toc202759402"/>
      <w:r>
        <w:rPr>
          <w:rFonts w:hint="eastAsia" w:ascii="Times New Roman" w:hAnsi="Times New Roman" w:eastAsia="宋体" w:cs="Times New Roman"/>
          <w:kern w:val="2"/>
          <w:sz w:val="28"/>
          <w:szCs w:val="28"/>
          <w:lang w:val="en-US" w:eastAsia="zh-CN" w:bidi="ar-SA"/>
        </w:rPr>
        <w:t>涉及企业机密，不予公开。</w:t>
      </w:r>
    </w:p>
    <w:p>
      <w:pPr>
        <w:pStyle w:val="4"/>
        <w:adjustRightInd w:val="0"/>
        <w:snapToGrid w:val="0"/>
        <w:spacing w:before="0" w:after="0" w:line="360" w:lineRule="auto"/>
        <w:rPr>
          <w:rFonts w:ascii="Times New Roman" w:hAnsi="Times New Roman"/>
          <w:b w:val="0"/>
          <w:bCs/>
          <w:szCs w:val="32"/>
        </w:rPr>
      </w:pPr>
      <w:bookmarkStart w:id="24" w:name="_Toc26473"/>
      <w:r>
        <w:rPr>
          <w:rFonts w:hint="eastAsia" w:ascii="Times New Roman" w:hAnsi="Times New Roman"/>
          <w:b w:val="0"/>
          <w:bCs/>
          <w:szCs w:val="32"/>
        </w:rPr>
        <w:t>2.</w:t>
      </w:r>
      <w:r>
        <w:rPr>
          <w:rFonts w:ascii="Times New Roman" w:hAnsi="Times New Roman"/>
          <w:b w:val="0"/>
          <w:bCs/>
          <w:szCs w:val="32"/>
        </w:rPr>
        <w:t xml:space="preserve">3 </w:t>
      </w:r>
      <w:r>
        <w:rPr>
          <w:rFonts w:hint="eastAsia" w:ascii="Times New Roman" w:hAnsi="Times New Roman"/>
          <w:b w:val="0"/>
          <w:bCs/>
          <w:szCs w:val="32"/>
        </w:rPr>
        <w:t>主要装备、设施、作业场所概况</w:t>
      </w:r>
      <w:bookmarkEnd w:id="22"/>
      <w:bookmarkEnd w:id="24"/>
    </w:p>
    <w:p>
      <w:pPr>
        <w:pStyle w:val="5"/>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2.</w:t>
      </w:r>
      <w:r>
        <w:rPr>
          <w:rFonts w:eastAsia="黑体"/>
          <w:b w:val="0"/>
          <w:snapToGrid w:val="0"/>
          <w:kern w:val="0"/>
          <w:sz w:val="28"/>
          <w:szCs w:val="28"/>
        </w:rPr>
        <w:t>3</w:t>
      </w:r>
      <w:r>
        <w:rPr>
          <w:rFonts w:hint="eastAsia" w:eastAsia="黑体"/>
          <w:b w:val="0"/>
          <w:snapToGrid w:val="0"/>
          <w:kern w:val="0"/>
          <w:sz w:val="28"/>
          <w:szCs w:val="28"/>
        </w:rPr>
        <w:t>.1</w:t>
      </w:r>
      <w:r>
        <w:rPr>
          <w:rFonts w:eastAsia="黑体"/>
          <w:b w:val="0"/>
          <w:snapToGrid w:val="0"/>
          <w:kern w:val="0"/>
          <w:sz w:val="28"/>
          <w:szCs w:val="28"/>
        </w:rPr>
        <w:t xml:space="preserve"> </w:t>
      </w:r>
      <w:r>
        <w:rPr>
          <w:rFonts w:hint="eastAsia" w:eastAsia="黑体"/>
          <w:b w:val="0"/>
          <w:snapToGrid w:val="0"/>
          <w:kern w:val="0"/>
          <w:sz w:val="28"/>
          <w:szCs w:val="28"/>
        </w:rPr>
        <w:t>作业类型</w:t>
      </w:r>
    </w:p>
    <w:p>
      <w:pPr>
        <w:pStyle w:val="15"/>
        <w:adjustRightInd w:val="0"/>
        <w:snapToGrid w:val="0"/>
        <w:spacing w:line="360" w:lineRule="auto"/>
        <w:ind w:firstLine="560"/>
        <w:rPr>
          <w:sz w:val="28"/>
          <w:szCs w:val="28"/>
        </w:rPr>
      </w:pPr>
      <w:r>
        <w:rPr>
          <w:rFonts w:hint="eastAsia"/>
          <w:sz w:val="28"/>
          <w:szCs w:val="28"/>
          <w:lang w:eastAsia="zh-CN"/>
        </w:rPr>
        <w:t>胜利油田康贝油气工程有限公司</w:t>
      </w:r>
      <w:r>
        <w:rPr>
          <w:rFonts w:hint="eastAsia"/>
          <w:sz w:val="28"/>
          <w:szCs w:val="28"/>
        </w:rPr>
        <w:t>井下作业项目主要包括小修作业、大修作业、</w:t>
      </w:r>
      <w:r>
        <w:rPr>
          <w:rFonts w:hint="eastAsia"/>
          <w:sz w:val="28"/>
          <w:szCs w:val="28"/>
          <w:lang w:val="en-US" w:eastAsia="zh-CN"/>
        </w:rPr>
        <w:t>侧钻、</w:t>
      </w:r>
      <w:r>
        <w:rPr>
          <w:rFonts w:hint="eastAsia"/>
          <w:sz w:val="28"/>
          <w:szCs w:val="28"/>
          <w:lang w:eastAsia="zh-CN"/>
        </w:rPr>
        <w:t>连续油管</w:t>
      </w:r>
      <w:r>
        <w:rPr>
          <w:rFonts w:hint="eastAsia"/>
          <w:sz w:val="28"/>
          <w:szCs w:val="28"/>
        </w:rPr>
        <w:t>作业、酸化、防砂、堵水</w:t>
      </w:r>
      <w:r>
        <w:rPr>
          <w:rFonts w:hint="eastAsia"/>
          <w:sz w:val="28"/>
          <w:szCs w:val="28"/>
          <w:lang w:val="en-US" w:eastAsia="zh-CN"/>
        </w:rPr>
        <w:t>/</w:t>
      </w:r>
      <w:r>
        <w:rPr>
          <w:rFonts w:hint="eastAsia"/>
          <w:sz w:val="28"/>
          <w:szCs w:val="28"/>
        </w:rPr>
        <w:t>调剖、特殊工艺技术服务（套管补贴</w:t>
      </w:r>
      <w:r>
        <w:rPr>
          <w:rFonts w:hint="eastAsia"/>
          <w:sz w:val="28"/>
          <w:szCs w:val="28"/>
          <w:lang w:eastAsia="zh-CN"/>
        </w:rPr>
        <w:t>）</w:t>
      </w:r>
      <w:r>
        <w:rPr>
          <w:rFonts w:hint="eastAsia"/>
          <w:sz w:val="28"/>
          <w:szCs w:val="28"/>
        </w:rPr>
        <w:t>、井下复杂情况处理（打捞、堵漏）、现场试压。</w:t>
      </w:r>
    </w:p>
    <w:p>
      <w:pPr>
        <w:pStyle w:val="15"/>
        <w:adjustRightInd w:val="0"/>
        <w:snapToGrid w:val="0"/>
        <w:spacing w:line="360" w:lineRule="auto"/>
        <w:ind w:firstLine="562"/>
        <w:rPr>
          <w:rFonts w:hint="eastAsia" w:eastAsia="宋体"/>
          <w:b/>
          <w:sz w:val="28"/>
          <w:szCs w:val="28"/>
          <w:lang w:eastAsia="zh-CN"/>
        </w:rPr>
      </w:pPr>
      <w:r>
        <w:rPr>
          <w:rFonts w:hint="eastAsia"/>
          <w:b/>
          <w:sz w:val="28"/>
          <w:szCs w:val="28"/>
        </w:rPr>
        <w:t>1</w:t>
      </w:r>
      <w:r>
        <w:rPr>
          <w:b/>
          <w:sz w:val="28"/>
          <w:szCs w:val="28"/>
        </w:rPr>
        <w:t>.</w:t>
      </w:r>
      <w:bookmarkStart w:id="25" w:name="_Hlk535829784"/>
      <w:r>
        <w:rPr>
          <w:rFonts w:hint="eastAsia"/>
          <w:b/>
          <w:sz w:val="28"/>
          <w:szCs w:val="28"/>
        </w:rPr>
        <w:t>小修作业</w:t>
      </w:r>
      <w:bookmarkEnd w:id="25"/>
    </w:p>
    <w:p>
      <w:pPr>
        <w:pStyle w:val="15"/>
        <w:adjustRightInd w:val="0"/>
        <w:snapToGrid w:val="0"/>
        <w:spacing w:line="360" w:lineRule="auto"/>
        <w:ind w:firstLine="560"/>
        <w:rPr>
          <w:rFonts w:hint="eastAsia"/>
          <w:sz w:val="28"/>
          <w:szCs w:val="28"/>
        </w:rPr>
      </w:pPr>
      <w:r>
        <w:rPr>
          <w:rFonts w:hint="eastAsia"/>
          <w:sz w:val="28"/>
          <w:szCs w:val="28"/>
        </w:rPr>
        <w:t>油气田开发过程中，根据油气田调整、改造、完善、挖潜的需要，按照工艺、施工、地质设计要求，利用一套地面和井下设备、工具，对油、气、水井采取各种井下技术措施，达到提高注采量，改善储层渗流条件及油、气、水井技术状况，提高采收速度和采收率的目的施工。主要包括冲砂检泵、清蜡检泵、更换井下管柱或井下工具、注水泥、测压、卡堵水、注水井测试、调配等。</w:t>
      </w:r>
    </w:p>
    <w:p>
      <w:pPr>
        <w:pStyle w:val="15"/>
        <w:adjustRightInd w:val="0"/>
        <w:snapToGrid w:val="0"/>
        <w:spacing w:line="360" w:lineRule="auto"/>
        <w:ind w:firstLine="560"/>
        <w:rPr>
          <w:rFonts w:hint="eastAsia"/>
          <w:sz w:val="28"/>
          <w:szCs w:val="28"/>
        </w:rPr>
      </w:pPr>
      <w:r>
        <w:rPr>
          <w:rFonts w:hint="eastAsia"/>
          <w:sz w:val="28"/>
          <w:szCs w:val="28"/>
        </w:rPr>
        <w:t>作业施工使用通井机（或修井机）起下管柱，用到的物料主要是洗井水、压井液等。</w:t>
      </w:r>
    </w:p>
    <w:p>
      <w:pPr>
        <w:pStyle w:val="15"/>
        <w:adjustRightInd w:val="0"/>
        <w:snapToGrid w:val="0"/>
        <w:spacing w:line="360" w:lineRule="auto"/>
        <w:ind w:firstLine="562"/>
        <w:rPr>
          <w:b/>
          <w:sz w:val="28"/>
          <w:szCs w:val="28"/>
        </w:rPr>
      </w:pPr>
      <w:r>
        <w:rPr>
          <w:b/>
          <w:sz w:val="28"/>
          <w:szCs w:val="28"/>
        </w:rPr>
        <w:t>2.</w:t>
      </w:r>
      <w:r>
        <w:rPr>
          <w:rFonts w:hint="eastAsia"/>
          <w:b/>
          <w:sz w:val="28"/>
          <w:szCs w:val="28"/>
        </w:rPr>
        <w:t>大修作业</w:t>
      </w:r>
    </w:p>
    <w:p>
      <w:pPr>
        <w:pStyle w:val="15"/>
        <w:adjustRightInd w:val="0"/>
        <w:snapToGrid w:val="0"/>
        <w:spacing w:line="360" w:lineRule="auto"/>
        <w:ind w:firstLine="560"/>
        <w:rPr>
          <w:rFonts w:hint="eastAsia"/>
          <w:sz w:val="28"/>
          <w:szCs w:val="28"/>
        </w:rPr>
      </w:pPr>
      <w:r>
        <w:rPr>
          <w:rFonts w:hint="eastAsia"/>
          <w:sz w:val="28"/>
          <w:szCs w:val="28"/>
        </w:rPr>
        <w:t>油水井在生产过程中，因地层出砂、套管变形、井下落物等，造成油水井不能正常生产或者停产，特别是管柱卡死和井下落物，严重时可造成油水井报废。大修就是针对上述故障，利用钻具打捞、对套管进行磨铣、冲砂等措施，以解除套管堵塞、扩大套管内径，从而实现生产工具能够通过套管下入井内，油水井恢复正常生产的施工过程。</w:t>
      </w:r>
    </w:p>
    <w:p>
      <w:pPr>
        <w:pStyle w:val="15"/>
        <w:adjustRightInd w:val="0"/>
        <w:snapToGrid w:val="0"/>
        <w:spacing w:line="360" w:lineRule="auto"/>
        <w:ind w:firstLine="560"/>
        <w:rPr>
          <w:sz w:val="28"/>
          <w:szCs w:val="28"/>
        </w:rPr>
      </w:pPr>
      <w:r>
        <w:rPr>
          <w:rFonts w:hint="eastAsia"/>
          <w:sz w:val="28"/>
          <w:szCs w:val="28"/>
        </w:rPr>
        <w:t>大修施工使用修井机起下管柱，用到的物料主要是洗井水、压井液、泥浆（修换套使用）等。处理井筒后，针对井筒故障选择打捞等工具和修换套、解卡等技术进行修理。</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cs="Times New Roman"/>
          <w:b/>
          <w:sz w:val="28"/>
          <w:szCs w:val="28"/>
          <w:lang w:val="en-US" w:eastAsia="zh-CN"/>
        </w:rPr>
      </w:pPr>
      <w:r>
        <w:rPr>
          <w:rFonts w:hint="eastAsia" w:ascii="Times New Roman" w:hAnsi="Times New Roman" w:cs="Times New Roman"/>
          <w:b/>
          <w:sz w:val="28"/>
          <w:szCs w:val="28"/>
          <w:lang w:val="en-US" w:eastAsia="zh-CN"/>
        </w:rPr>
        <w:t>3.侧钻</w:t>
      </w:r>
    </w:p>
    <w:p>
      <w:pPr>
        <w:pStyle w:val="15"/>
        <w:adjustRightInd w:val="0"/>
        <w:snapToGrid w:val="0"/>
        <w:spacing w:line="360" w:lineRule="auto"/>
        <w:ind w:firstLine="56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侧钻是开窗侧钻的简称，利用开窗工具在老井套管上进行开窗（或者老井套管损坏无法修复），利用老井井眼对油藏进行再开发挖潜，充分利用老井原有的一些采输设备，使老井的生产潜力得以充分发挥的工艺技术。可延长老井使用寿命，提高原油产量，同时能利用老井的井眼大幅度降低施工成本，缩短施工周期，提高综合经济效益。侧钻施工使用修井机起下管柱，用到的物料主要是洗井水、泥浆等。处理老井井筒后，投斜向器、开窗、定向钻进、电测、通井、下尾管、固井等建立新井筒。</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cs="Times New Roman"/>
          <w:b/>
          <w:sz w:val="28"/>
          <w:szCs w:val="28"/>
        </w:rPr>
      </w:pPr>
      <w:r>
        <w:rPr>
          <w:rFonts w:hint="eastAsia" w:ascii="Times New Roman" w:hAnsi="Times New Roman" w:cs="Times New Roman"/>
          <w:b/>
          <w:sz w:val="28"/>
          <w:szCs w:val="28"/>
          <w:lang w:val="en-US" w:eastAsia="zh-CN"/>
        </w:rPr>
        <w:t>4.</w:t>
      </w:r>
      <w:r>
        <w:rPr>
          <w:rFonts w:hint="eastAsia" w:cs="Times New Roman"/>
          <w:b/>
          <w:sz w:val="28"/>
          <w:szCs w:val="28"/>
          <w:lang w:eastAsia="zh-CN"/>
        </w:rPr>
        <w:t>连续油管</w:t>
      </w:r>
      <w:r>
        <w:rPr>
          <w:rFonts w:hint="eastAsia" w:ascii="Times New Roman" w:hAnsi="Times New Roman" w:cs="Times New Roman"/>
          <w:b/>
          <w:sz w:val="28"/>
          <w:szCs w:val="28"/>
        </w:rPr>
        <w:t>作业</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cs="Times New Roman"/>
          <w:b/>
          <w:sz w:val="28"/>
          <w:szCs w:val="28"/>
        </w:rPr>
      </w:pPr>
      <w:r>
        <w:rPr>
          <w:rFonts w:hint="eastAsia" w:ascii="Times New Roman" w:hAnsi="Times New Roman" w:cs="Times New Roman"/>
          <w:sz w:val="28"/>
          <w:szCs w:val="28"/>
          <w:lang w:val="en-US" w:eastAsia="zh-CN"/>
        </w:rPr>
        <w:t>连续油管作业是利用连续油管作业设备及相关配套设施，对井内进行连续油管通井、刮管、冲砂、桥塞坐封等各项作业的工艺技术。用到的物料主要是洗井水、压井液、二氧化碳、氮气及油层保护液等。替出井内液体，处理井筒后，对目的层井段进行通刮、测量井深、打桥塞等取得相关资料数据。辅助设备和工具包括地面管汇、撬装泵、井控装置等。</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cs="Times New Roman"/>
          <w:b/>
          <w:sz w:val="28"/>
          <w:szCs w:val="28"/>
        </w:rPr>
      </w:pPr>
      <w:r>
        <w:rPr>
          <w:rFonts w:hint="eastAsia" w:ascii="Times New Roman" w:hAnsi="Times New Roman" w:cs="Times New Roman"/>
          <w:b/>
          <w:sz w:val="28"/>
          <w:szCs w:val="28"/>
          <w:lang w:val="en-US" w:eastAsia="zh-CN"/>
        </w:rPr>
        <w:t>5.</w:t>
      </w:r>
      <w:r>
        <w:rPr>
          <w:rFonts w:hint="eastAsia" w:ascii="Times New Roman" w:hAnsi="Times New Roman" w:cs="Times New Roman"/>
          <w:b/>
          <w:sz w:val="28"/>
          <w:szCs w:val="28"/>
        </w:rPr>
        <w:t>酸化</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酸化是在高于地层破裂压力下用酸液作为压裂液，不加支撑剂的压裂（即酸压）。酸压过程中靠酸液的溶蚀作用将地层裂缝的壁面溶蚀成凹凸不平的表面，停泵卸压后，裂缝壁面不会完全闭合，因此具有较高的导流能力，恢复和提高油井生产能力。适用于碳酸盐岩油藏。</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cs="Times New Roman"/>
          <w:b/>
          <w:sz w:val="28"/>
          <w:szCs w:val="28"/>
        </w:rPr>
      </w:pPr>
      <w:r>
        <w:rPr>
          <w:rFonts w:hint="eastAsia" w:ascii="Times New Roman" w:hAnsi="Times New Roman" w:cs="Times New Roman"/>
          <w:sz w:val="28"/>
          <w:szCs w:val="28"/>
          <w:lang w:val="en-US" w:eastAsia="zh-CN"/>
        </w:rPr>
        <w:t>酸化施工时使用的主要设备为压裂车组</w:t>
      </w:r>
      <w:r>
        <w:rPr>
          <w:rFonts w:hint="eastAsia" w:ascii="Times New Roman" w:hAnsi="Times New Roman" w:cs="Times New Roman"/>
          <w:color w:val="auto"/>
          <w:sz w:val="28"/>
          <w:szCs w:val="28"/>
          <w:lang w:val="en-US" w:eastAsia="zh-CN"/>
        </w:rPr>
        <w:t>泵车、</w:t>
      </w:r>
      <w:r>
        <w:rPr>
          <w:rFonts w:hint="eastAsia" w:cs="Times New Roman"/>
          <w:color w:val="auto"/>
          <w:sz w:val="28"/>
          <w:szCs w:val="28"/>
          <w:lang w:val="en-US" w:eastAsia="zh-CN"/>
        </w:rPr>
        <w:t>高压管汇</w:t>
      </w:r>
      <w:r>
        <w:rPr>
          <w:rFonts w:hint="eastAsia" w:ascii="Times New Roman" w:hAnsi="Times New Roman" w:cs="Times New Roman"/>
          <w:color w:val="auto"/>
          <w:sz w:val="28"/>
          <w:szCs w:val="28"/>
          <w:lang w:val="en-US" w:eastAsia="zh-CN"/>
        </w:rPr>
        <w:t>等，</w:t>
      </w:r>
      <w:r>
        <w:rPr>
          <w:rFonts w:hint="eastAsia" w:ascii="Times New Roman" w:hAnsi="Times New Roman" w:cs="Times New Roman"/>
          <w:sz w:val="28"/>
          <w:szCs w:val="28"/>
          <w:lang w:val="en-US" w:eastAsia="zh-CN"/>
        </w:rPr>
        <w:t>辅助设备及工具包括酸化井口、酸罐等，根据设计用料一般为盐酸</w:t>
      </w:r>
      <w:r>
        <w:rPr>
          <w:rFonts w:hint="eastAsia" w:cs="Times New Roman"/>
          <w:sz w:val="28"/>
          <w:szCs w:val="28"/>
          <w:lang w:val="en-US" w:eastAsia="zh-CN"/>
        </w:rPr>
        <w:t>、复合酸</w:t>
      </w:r>
      <w:r>
        <w:rPr>
          <w:rFonts w:hint="eastAsia" w:ascii="Times New Roman" w:hAnsi="Times New Roman" w:cs="Times New Roman"/>
          <w:sz w:val="28"/>
          <w:szCs w:val="28"/>
          <w:lang w:val="en-US" w:eastAsia="zh-CN"/>
        </w:rPr>
        <w:t>等。施工过程主要包括走泵试压、酸压施工、施工收尾。</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cs="Times New Roman"/>
          <w:b/>
          <w:sz w:val="28"/>
          <w:szCs w:val="28"/>
        </w:rPr>
      </w:pPr>
      <w:r>
        <w:rPr>
          <w:rFonts w:hint="eastAsia" w:ascii="Times New Roman" w:hAnsi="Times New Roman" w:cs="Times New Roman"/>
          <w:b/>
          <w:sz w:val="28"/>
          <w:szCs w:val="28"/>
          <w:lang w:val="en-US" w:eastAsia="zh-CN"/>
        </w:rPr>
        <w:t>6.</w:t>
      </w:r>
      <w:r>
        <w:rPr>
          <w:rFonts w:hint="eastAsia" w:ascii="Times New Roman" w:hAnsi="Times New Roman" w:cs="Times New Roman"/>
          <w:b/>
          <w:sz w:val="28"/>
          <w:szCs w:val="28"/>
        </w:rPr>
        <w:t>防砂</w:t>
      </w:r>
    </w:p>
    <w:p>
      <w:pPr>
        <w:keepNext w:val="0"/>
        <w:keepLines w:val="0"/>
        <w:pageBreakBefore w:val="0"/>
        <w:widowControl w:val="0"/>
        <w:kinsoku/>
        <w:wordWrap/>
        <w:overflowPunct/>
        <w:topLinePunct w:val="0"/>
        <w:autoSpaceDE/>
        <w:autoSpaceDN/>
        <w:bidi w:val="0"/>
        <w:adjustRightInd w:val="0"/>
        <w:snapToGrid w:val="0"/>
        <w:spacing w:beforeLines="0" w:afterLines="0" w:line="360" w:lineRule="auto"/>
        <w:ind w:firstLine="560" w:firstLineChars="200"/>
        <w:jc w:val="both"/>
        <w:textAlignment w:val="auto"/>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防砂是通过滤砂管防砂、循环充填防砂、笼统挤压充填防砂和分层挤压砾充填防砂等工艺技术，实现井筒挡砂从而提高油气产量的施工作业。防砂施工时使用的主要设备为</w:t>
      </w:r>
      <w:r>
        <w:rPr>
          <w:rFonts w:hint="default" w:ascii="Times New Roman" w:hAnsi="Times New Roman" w:eastAsia="宋体" w:cs="Times New Roman"/>
          <w:b w:val="0"/>
          <w:bCs w:val="0"/>
          <w:color w:val="auto"/>
          <w:kern w:val="2"/>
          <w:sz w:val="28"/>
          <w:szCs w:val="28"/>
          <w:lang w:val="en-US" w:eastAsia="zh-CN" w:bidi="ar-SA"/>
        </w:rPr>
        <w:t>防砂车组，辅助设备及工具包括砂罐车、高低压管汇等，</w:t>
      </w:r>
      <w:r>
        <w:rPr>
          <w:rFonts w:hint="default" w:ascii="Times New Roman" w:hAnsi="Times New Roman" w:eastAsia="宋体" w:cs="Times New Roman"/>
          <w:kern w:val="2"/>
          <w:sz w:val="28"/>
          <w:szCs w:val="28"/>
          <w:lang w:val="en-US" w:eastAsia="zh-CN" w:bidi="ar-SA"/>
        </w:rPr>
        <w:t>用料包括压裂液、支撑剂等</w:t>
      </w:r>
      <w:r>
        <w:rPr>
          <w:rFonts w:hint="eastAsia" w:cs="Times New Roman"/>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康贝油气公司采用循环充填技术技术进行防砂。</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cs="Times New Roman"/>
          <w:b/>
          <w:sz w:val="28"/>
          <w:szCs w:val="28"/>
        </w:rPr>
      </w:pPr>
      <w:r>
        <w:rPr>
          <w:rFonts w:hint="eastAsia" w:ascii="Times New Roman" w:hAnsi="Times New Roman" w:cs="Times New Roman"/>
          <w:b/>
          <w:sz w:val="28"/>
          <w:szCs w:val="28"/>
          <w:lang w:val="en-US" w:eastAsia="zh-CN"/>
        </w:rPr>
        <w:t>7.</w:t>
      </w:r>
      <w:r>
        <w:rPr>
          <w:rFonts w:hint="eastAsia" w:ascii="Times New Roman" w:hAnsi="Times New Roman" w:cs="Times New Roman"/>
          <w:b/>
          <w:sz w:val="28"/>
          <w:szCs w:val="28"/>
        </w:rPr>
        <w:t>堵水</w:t>
      </w:r>
      <w:r>
        <w:rPr>
          <w:rFonts w:hint="eastAsia" w:ascii="Times New Roman" w:hAnsi="Times New Roman" w:cs="Times New Roman"/>
          <w:b/>
          <w:sz w:val="28"/>
          <w:szCs w:val="28"/>
          <w:lang w:val="en-US" w:eastAsia="zh-CN"/>
        </w:rPr>
        <w:t>/</w:t>
      </w:r>
      <w:r>
        <w:rPr>
          <w:rFonts w:hint="eastAsia" w:ascii="Times New Roman" w:hAnsi="Times New Roman" w:cs="Times New Roman"/>
          <w:b/>
          <w:sz w:val="28"/>
          <w:szCs w:val="28"/>
        </w:rPr>
        <w:t>调剖</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堵水/调剖是通过向注水层或产层挤入堵剂，调整注水层垂向吸收能力分布，或堵塞产层出水通道的工艺。通过地面高压泵入设备将有机或无机堵剂注入地层，封堵水窜通道，调整注水井（采油井）层间、层内的吸水（产液）剖面，改善储层平面注采流线分布，扩大水驱波及体积，提高井区剩余储量动用程度，最终提高油井产能。主要设备为高压注入泵组</w:t>
      </w:r>
      <w:r>
        <w:rPr>
          <w:rFonts w:hint="eastAsia" w:cs="Times New Roman"/>
          <w:kern w:val="2"/>
          <w:sz w:val="28"/>
          <w:szCs w:val="28"/>
          <w:lang w:val="en-US" w:eastAsia="zh-CN" w:bidi="ar-SA"/>
        </w:rPr>
        <w:t>。</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cs="Times New Roman"/>
          <w:b/>
          <w:sz w:val="28"/>
          <w:szCs w:val="28"/>
          <w:lang w:eastAsia="zh-CN"/>
        </w:rPr>
      </w:pPr>
      <w:r>
        <w:rPr>
          <w:rFonts w:hint="eastAsia" w:ascii="Times New Roman" w:hAnsi="Times New Roman" w:cs="Times New Roman"/>
          <w:b/>
          <w:sz w:val="28"/>
          <w:szCs w:val="28"/>
          <w:lang w:val="en-US" w:eastAsia="zh-CN"/>
        </w:rPr>
        <w:t>8.</w:t>
      </w:r>
      <w:r>
        <w:rPr>
          <w:rFonts w:hint="eastAsia" w:ascii="Times New Roman" w:hAnsi="Times New Roman" w:cs="Times New Roman"/>
          <w:b/>
          <w:sz w:val="28"/>
          <w:szCs w:val="28"/>
        </w:rPr>
        <w:t>特殊工艺技术服务（套管补贴</w:t>
      </w:r>
      <w:r>
        <w:rPr>
          <w:rFonts w:hint="eastAsia" w:ascii="Times New Roman" w:hAnsi="Times New Roman" w:cs="Times New Roman"/>
          <w:b/>
          <w:sz w:val="28"/>
          <w:szCs w:val="28"/>
          <w:lang w:eastAsia="zh-CN"/>
        </w:rPr>
        <w:t>）</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套管补贴是指通过水力或机械作用下使具有延展性的金属管材直径变大，胀贴在破损套管内壁，阻断破损点与套管外连同的工艺。</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cs="Times New Roman"/>
          <w:b/>
          <w:sz w:val="28"/>
          <w:szCs w:val="28"/>
        </w:rPr>
      </w:pPr>
      <w:r>
        <w:rPr>
          <w:rFonts w:hint="eastAsia" w:ascii="Times New Roman" w:hAnsi="Times New Roman" w:cs="Times New Roman"/>
          <w:b/>
          <w:sz w:val="28"/>
          <w:szCs w:val="28"/>
          <w:lang w:val="en-US" w:eastAsia="zh-CN"/>
        </w:rPr>
        <w:t>9.</w:t>
      </w:r>
      <w:r>
        <w:rPr>
          <w:rFonts w:hint="eastAsia" w:ascii="Times New Roman" w:hAnsi="Times New Roman" w:cs="Times New Roman"/>
          <w:b/>
          <w:sz w:val="28"/>
          <w:szCs w:val="28"/>
        </w:rPr>
        <w:t>井下复杂情况处理（打捞、堵漏）</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按落物名称性质划分，井下落物类型主要有：管类落物、杆类落物、绳类落物和小件落物。打捞前应首先掌握油水井基础数据，即了解清楚钻井和采油资料，搞清井的结构，套管情况，有无早期落物等。其次搞清楚造成落物的原因，落物落井后有无变形及砂面掩埋等情况。计算打捞时可能达到的最大负荷，加固井架和绷绳坑。还要考虑到捞住落物后，若井下遇卡应有预防和解卡措施等</w:t>
      </w:r>
      <w:r>
        <w:rPr>
          <w:rFonts w:hint="eastAsia" w:ascii="Times New Roman" w:hAnsi="Times New Roman" w:eastAsia="宋体" w:cs="Times New Roman"/>
          <w:color w:val="FF0000"/>
          <w:kern w:val="2"/>
          <w:sz w:val="28"/>
          <w:szCs w:val="28"/>
          <w:lang w:val="en-US" w:eastAsia="zh-CN" w:bidi="ar-SA"/>
        </w:rPr>
        <w:t>。</w:t>
      </w:r>
      <w:r>
        <w:rPr>
          <w:rFonts w:hint="eastAsia" w:ascii="Times New Roman" w:hAnsi="Times New Roman" w:eastAsia="宋体" w:cs="Times New Roman"/>
          <w:kern w:val="2"/>
          <w:sz w:val="28"/>
          <w:szCs w:val="28"/>
          <w:lang w:val="en-US" w:eastAsia="zh-CN" w:bidi="ar-SA"/>
        </w:rPr>
        <w:t>这类落物大部分是抽油杆类，也有加重杆和仪表等。落物有落到套管里的，也有落到油管里的。小件落物种类很多，如钢球类、钳牙、牙轮、螺丝等。此类落物虽小但打捞困难极大。</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堵漏、封堵是指对井筒破损处或射孔井段挤注堵剂，阻断井筒与挤入点连通的工艺。</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cs="Times New Roman"/>
          <w:b/>
          <w:sz w:val="28"/>
          <w:szCs w:val="28"/>
        </w:rPr>
      </w:pPr>
      <w:r>
        <w:rPr>
          <w:rFonts w:hint="eastAsia" w:ascii="Times New Roman" w:hAnsi="Times New Roman" w:cs="Times New Roman"/>
          <w:b/>
          <w:sz w:val="28"/>
          <w:szCs w:val="28"/>
          <w:lang w:val="en-US" w:eastAsia="zh-CN"/>
        </w:rPr>
        <w:t>10.</w:t>
      </w:r>
      <w:r>
        <w:rPr>
          <w:rFonts w:hint="eastAsia" w:ascii="Times New Roman" w:hAnsi="Times New Roman" w:cs="Times New Roman"/>
          <w:b/>
          <w:sz w:val="28"/>
          <w:szCs w:val="28"/>
        </w:rPr>
        <w:t>现场试压</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现场试压主要是为现场大修、小修作业井控工具进行现场试压的设备，试压合格后打印试压曲线，由试压方、施工方双方签字确认。</w:t>
      </w:r>
    </w:p>
    <w:p>
      <w:pPr>
        <w:pStyle w:val="5"/>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2.</w:t>
      </w:r>
      <w:r>
        <w:rPr>
          <w:rFonts w:eastAsia="黑体"/>
          <w:b w:val="0"/>
          <w:snapToGrid w:val="0"/>
          <w:kern w:val="0"/>
          <w:sz w:val="28"/>
          <w:szCs w:val="28"/>
        </w:rPr>
        <w:t>3</w:t>
      </w:r>
      <w:r>
        <w:rPr>
          <w:rFonts w:hint="eastAsia" w:eastAsia="黑体"/>
          <w:b w:val="0"/>
          <w:snapToGrid w:val="0"/>
          <w:kern w:val="0"/>
          <w:sz w:val="28"/>
          <w:szCs w:val="28"/>
        </w:rPr>
        <w:t>.2</w:t>
      </w:r>
      <w:r>
        <w:rPr>
          <w:rFonts w:eastAsia="黑体"/>
          <w:b w:val="0"/>
          <w:snapToGrid w:val="0"/>
          <w:kern w:val="0"/>
          <w:sz w:val="28"/>
          <w:szCs w:val="28"/>
        </w:rPr>
        <w:t xml:space="preserve"> </w:t>
      </w:r>
      <w:r>
        <w:rPr>
          <w:rFonts w:hint="eastAsia" w:eastAsia="黑体"/>
          <w:b w:val="0"/>
          <w:snapToGrid w:val="0"/>
          <w:kern w:val="0"/>
          <w:sz w:val="28"/>
          <w:szCs w:val="28"/>
        </w:rPr>
        <w:t>作业</w:t>
      </w:r>
      <w:r>
        <w:rPr>
          <w:rFonts w:hint="eastAsia" w:eastAsia="黑体"/>
          <w:b w:val="0"/>
          <w:snapToGrid w:val="0"/>
          <w:kern w:val="0"/>
          <w:sz w:val="28"/>
          <w:szCs w:val="28"/>
          <w:lang w:val="en-US" w:eastAsia="zh-CN"/>
        </w:rPr>
        <w:t>施工</w:t>
      </w:r>
      <w:r>
        <w:rPr>
          <w:rFonts w:hint="eastAsia" w:eastAsia="黑体"/>
          <w:b w:val="0"/>
          <w:snapToGrid w:val="0"/>
          <w:kern w:val="0"/>
          <w:sz w:val="28"/>
          <w:szCs w:val="28"/>
        </w:rPr>
        <w:t>流程</w:t>
      </w:r>
    </w:p>
    <w:p>
      <w:pPr>
        <w:pStyle w:val="15"/>
        <w:adjustRightInd w:val="0"/>
        <w:snapToGrid w:val="0"/>
        <w:spacing w:line="360" w:lineRule="auto"/>
        <w:ind w:firstLine="562"/>
        <w:rPr>
          <w:b/>
          <w:sz w:val="28"/>
          <w:szCs w:val="28"/>
        </w:rPr>
      </w:pPr>
      <w:r>
        <w:rPr>
          <w:rFonts w:hint="eastAsia"/>
          <w:b/>
          <w:sz w:val="28"/>
          <w:szCs w:val="28"/>
        </w:rPr>
        <w:t>1</w:t>
      </w:r>
      <w:r>
        <w:rPr>
          <w:b/>
          <w:sz w:val="28"/>
          <w:szCs w:val="28"/>
        </w:rPr>
        <w:t>.</w:t>
      </w:r>
      <w:r>
        <w:rPr>
          <w:rFonts w:hint="eastAsia"/>
          <w:b/>
          <w:sz w:val="28"/>
          <w:szCs w:val="28"/>
        </w:rPr>
        <w:t>小修作业流程：</w:t>
      </w:r>
    </w:p>
    <w:p>
      <w:pPr>
        <w:pStyle w:val="15"/>
        <w:adjustRightInd w:val="0"/>
        <w:snapToGrid w:val="0"/>
        <w:spacing w:line="360" w:lineRule="auto"/>
        <w:ind w:firstLine="560"/>
        <w:rPr>
          <w:rFonts w:hint="eastAsia"/>
          <w:sz w:val="28"/>
        </w:rPr>
      </w:pPr>
      <w:r>
        <w:rPr>
          <w:rFonts w:hint="eastAsia"/>
          <w:sz w:val="28"/>
          <w:lang w:eastAsia="zh-CN"/>
        </w:rPr>
        <w:t>胜利油田康贝油气工程有限公司</w:t>
      </w:r>
      <w:r>
        <w:rPr>
          <w:rFonts w:hint="eastAsia"/>
          <w:sz w:val="28"/>
        </w:rPr>
        <w:t>井下作业油水井维修小修作业流程如下：</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sz w:val="28"/>
          <w:lang w:val="en-US" w:eastAsia="zh-CN"/>
        </w:rPr>
      </w:pPr>
      <w:r>
        <w:rPr>
          <w:rFonts w:hint="eastAsia"/>
          <w:sz w:val="28"/>
          <w:lang w:eastAsia="zh-CN"/>
        </w:rPr>
        <w:t>（</w:t>
      </w:r>
      <w:r>
        <w:rPr>
          <w:rFonts w:hint="eastAsia"/>
          <w:sz w:val="28"/>
          <w:lang w:val="en-US" w:eastAsia="zh-CN"/>
        </w:rPr>
        <w:t>1</w:t>
      </w:r>
      <w:r>
        <w:rPr>
          <w:rFonts w:hint="eastAsia"/>
          <w:sz w:val="28"/>
          <w:lang w:eastAsia="zh-CN"/>
        </w:rPr>
        <w:t>）</w:t>
      </w:r>
      <w:r>
        <w:rPr>
          <w:rFonts w:hint="eastAsia"/>
          <w:sz w:val="28"/>
          <w:lang w:val="en-US" w:eastAsia="zh-CN"/>
        </w:rPr>
        <w:t>作业流程</w:t>
      </w:r>
    </w:p>
    <w:p>
      <w:pPr>
        <w:pStyle w:val="15"/>
        <w:adjustRightInd w:val="0"/>
        <w:snapToGrid w:val="0"/>
        <w:spacing w:line="360" w:lineRule="auto"/>
        <w:ind w:firstLine="560"/>
        <w:rPr>
          <w:rFonts w:hint="eastAsia"/>
          <w:sz w:val="28"/>
        </w:rPr>
      </w:pPr>
      <w:r>
        <w:rPr>
          <w:rFonts w:hint="eastAsia"/>
          <w:sz w:val="28"/>
          <w:lang w:val="en-US" w:eastAsia="zh-CN"/>
        </w:rPr>
        <w:t>1）甲方将待上作业井号分配给作业队，作业队接收该井号。</w:t>
      </w:r>
    </w:p>
    <w:p>
      <w:pPr>
        <w:pStyle w:val="15"/>
        <w:adjustRightInd w:val="0"/>
        <w:snapToGrid w:val="0"/>
        <w:spacing w:line="360" w:lineRule="auto"/>
        <w:ind w:firstLine="560"/>
        <w:rPr>
          <w:rFonts w:hint="eastAsia"/>
          <w:sz w:val="28"/>
        </w:rPr>
      </w:pPr>
      <w:r>
        <w:rPr>
          <w:rFonts w:hint="eastAsia"/>
          <w:sz w:val="28"/>
          <w:lang w:val="en-US" w:eastAsia="zh-CN"/>
        </w:rPr>
        <w:t>2）作业队接到井号后，前往该井进行现场勘查该井进井路况，井场条件、井口设备状况等情况，以确定该井是否具备上井作业条件。</w:t>
      </w:r>
    </w:p>
    <w:p>
      <w:pPr>
        <w:pStyle w:val="15"/>
        <w:adjustRightInd w:val="0"/>
        <w:snapToGrid w:val="0"/>
        <w:spacing w:line="360" w:lineRule="auto"/>
        <w:ind w:firstLine="560"/>
        <w:rPr>
          <w:rFonts w:hint="eastAsia"/>
          <w:sz w:val="28"/>
          <w:lang w:val="en-US" w:eastAsia="zh-CN"/>
        </w:rPr>
      </w:pPr>
      <w:r>
        <w:rPr>
          <w:rFonts w:hint="eastAsia"/>
          <w:sz w:val="28"/>
          <w:lang w:val="en-US" w:eastAsia="zh-CN"/>
        </w:rPr>
        <w:t>3）作业队确定该井具备上井作业条件后，技术人员查询该井的井史资料，根据甲方提供的地质设计、工艺设计，安全管理部对该井进行安全、环境风险评估，评估通过后，由技术人员编制该井的施工设计、</w:t>
      </w:r>
      <w:r>
        <w:rPr>
          <w:rFonts w:hint="eastAsia"/>
          <w:color w:val="000000" w:themeColor="text1"/>
          <w:sz w:val="28"/>
          <w:lang w:val="en-US" w:eastAsia="zh-CN"/>
          <w14:textFill>
            <w14:solidFill>
              <w14:schemeClr w14:val="tx1"/>
            </w14:solidFill>
          </w14:textFill>
        </w:rPr>
        <w:t>HSE单井作业指导书</w:t>
      </w:r>
      <w:r>
        <w:rPr>
          <w:rFonts w:hint="eastAsia"/>
          <w:sz w:val="28"/>
          <w:lang w:val="en-US" w:eastAsia="zh-CN"/>
        </w:rPr>
        <w:t>、作业计划书、单井应急预案，并将施工设计报请甲方审批，甲方作业管理部门审批通过后，技术人员对施工人员进行该井技术交底。</w:t>
      </w:r>
    </w:p>
    <w:p>
      <w:pPr>
        <w:pStyle w:val="15"/>
        <w:adjustRightInd w:val="0"/>
        <w:snapToGrid w:val="0"/>
        <w:spacing w:line="360" w:lineRule="auto"/>
        <w:ind w:firstLine="560"/>
        <w:rPr>
          <w:rFonts w:hint="eastAsia"/>
          <w:sz w:val="28"/>
        </w:rPr>
      </w:pPr>
      <w:r>
        <w:rPr>
          <w:rFonts w:hint="eastAsia"/>
          <w:sz w:val="28"/>
          <w:lang w:val="en-US" w:eastAsia="zh-CN"/>
        </w:rPr>
        <w:t>4）作业队按照工艺设计和施工设计的要求，着手对施工人员、设备、器材、车辆进行全面细致准备。搬上动力至作业井场，与油水井管理人员对该井设备、器材、环保等情况现场进行交接。接井后按“三标”施工要求布置井场做好开工准备，由甲方及公司作业管理部门进行开工前验收，验收合格后进行施工。作业队按照设计的工艺技术和质量要求进行各道工序的作业施工，各作业环节都有专人对施工的安全质量负责，关键工序施工时，技术人员到现场进行指挥施工，整个作业施工过程接受甲方作业监督人员全程监督。</w:t>
      </w:r>
    </w:p>
    <w:p>
      <w:pPr>
        <w:pStyle w:val="15"/>
        <w:adjustRightInd w:val="0"/>
        <w:snapToGrid w:val="0"/>
        <w:spacing w:line="360" w:lineRule="auto"/>
        <w:ind w:firstLine="560"/>
        <w:rPr>
          <w:rFonts w:hint="eastAsia"/>
          <w:sz w:val="28"/>
        </w:rPr>
      </w:pPr>
      <w:r>
        <w:rPr>
          <w:rFonts w:hint="eastAsia"/>
          <w:sz w:val="28"/>
          <w:lang w:val="en-US" w:eastAsia="zh-CN"/>
        </w:rPr>
        <w:t>5）作业井完井后，作业队清理作业现场恢复作业井场，由作业队与甲方油水井管理人员对该井设备、器材、环保等情况进行现场交接，双方签字认可，完成交接。</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sz w:val="28"/>
          <w:lang w:val="en-US" w:eastAsia="zh-CN"/>
        </w:rPr>
      </w:pPr>
      <w:r>
        <w:rPr>
          <w:rFonts w:hint="eastAsia"/>
          <w:sz w:val="28"/>
          <w:lang w:val="en-US" w:eastAsia="zh-CN"/>
        </w:rPr>
        <w:t>（2）施工流程</w:t>
      </w:r>
    </w:p>
    <w:p>
      <w:pPr>
        <w:pStyle w:val="15"/>
        <w:adjustRightInd w:val="0"/>
        <w:snapToGrid w:val="0"/>
        <w:spacing w:line="360" w:lineRule="auto"/>
        <w:ind w:firstLine="560"/>
        <w:rPr>
          <w:rFonts w:hint="eastAsia"/>
          <w:sz w:val="28"/>
          <w:lang w:val="en-US" w:eastAsia="zh-CN"/>
        </w:rPr>
      </w:pPr>
      <w:r>
        <w:rPr>
          <w:rFonts w:hint="eastAsia"/>
          <w:sz w:val="28"/>
          <w:lang w:val="en-US" w:eastAsia="zh-CN"/>
        </w:rPr>
        <w:t>1）上动力</w:t>
      </w:r>
    </w:p>
    <w:p>
      <w:pPr>
        <w:pStyle w:val="15"/>
        <w:adjustRightInd w:val="0"/>
        <w:snapToGrid w:val="0"/>
        <w:spacing w:line="360" w:lineRule="auto"/>
        <w:ind w:firstLine="560"/>
        <w:rPr>
          <w:rFonts w:hint="eastAsia"/>
          <w:sz w:val="28"/>
          <w:lang w:val="en-US" w:eastAsia="zh-CN"/>
        </w:rPr>
      </w:pPr>
      <w:r>
        <w:rPr>
          <w:rFonts w:hint="eastAsia"/>
          <w:sz w:val="28"/>
          <w:lang w:val="en-US" w:eastAsia="zh-CN"/>
        </w:rPr>
        <w:t>队长全面负责整理现场标准化，井口岗用活动扳手拆卸井口螺丝，班长操作机车对井口后，接着用开口扳手校正拉力表；场地岗用活动扳手校正井架法兰螺丝，用铁锨平整井场。</w:t>
      </w:r>
    </w:p>
    <w:p>
      <w:pPr>
        <w:pStyle w:val="15"/>
        <w:adjustRightInd w:val="0"/>
        <w:snapToGrid w:val="0"/>
        <w:spacing w:line="360" w:lineRule="auto"/>
        <w:ind w:firstLine="560"/>
        <w:rPr>
          <w:rFonts w:hint="eastAsia"/>
          <w:sz w:val="28"/>
          <w:lang w:val="en-US" w:eastAsia="zh-CN"/>
        </w:rPr>
      </w:pPr>
      <w:r>
        <w:rPr>
          <w:rFonts w:hint="eastAsia"/>
          <w:sz w:val="28"/>
          <w:lang w:val="en-US" w:eastAsia="zh-CN"/>
        </w:rPr>
        <w:t>2）装防喷器</w:t>
      </w:r>
    </w:p>
    <w:p>
      <w:pPr>
        <w:pStyle w:val="15"/>
        <w:adjustRightInd w:val="0"/>
        <w:snapToGrid w:val="0"/>
        <w:spacing w:line="360" w:lineRule="auto"/>
        <w:ind w:firstLine="560"/>
        <w:rPr>
          <w:rFonts w:hint="eastAsia"/>
          <w:sz w:val="28"/>
          <w:lang w:val="en-US" w:eastAsia="zh-CN"/>
        </w:rPr>
      </w:pPr>
      <w:r>
        <w:rPr>
          <w:rFonts w:hint="eastAsia"/>
          <w:sz w:val="28"/>
          <w:lang w:val="en-US" w:eastAsia="zh-CN"/>
        </w:rPr>
        <w:t>井口岗用活动扳手装防喷器12条井口大螺丝对角上紧后，场地岗搬皮碗封到井口，接着井口岗两人打上专用吊卡，由班长下放大钩到井口，提起皮碗封下入井内，井口岗两人同时关闭防喷器。</w:t>
      </w:r>
    </w:p>
    <w:p>
      <w:pPr>
        <w:pStyle w:val="15"/>
        <w:adjustRightInd w:val="0"/>
        <w:snapToGrid w:val="0"/>
        <w:spacing w:line="360" w:lineRule="auto"/>
        <w:ind w:firstLine="560"/>
        <w:rPr>
          <w:rFonts w:hint="eastAsia"/>
          <w:sz w:val="28"/>
          <w:lang w:val="en-US" w:eastAsia="zh-CN"/>
        </w:rPr>
      </w:pPr>
      <w:r>
        <w:rPr>
          <w:rFonts w:hint="eastAsia"/>
          <w:sz w:val="28"/>
          <w:lang w:val="en-US" w:eastAsia="zh-CN"/>
        </w:rPr>
        <w:t>3）洗井</w:t>
      </w:r>
    </w:p>
    <w:p>
      <w:pPr>
        <w:pStyle w:val="15"/>
        <w:adjustRightInd w:val="0"/>
        <w:snapToGrid w:val="0"/>
        <w:spacing w:line="360" w:lineRule="auto"/>
        <w:ind w:firstLine="560"/>
        <w:rPr>
          <w:rFonts w:hint="eastAsia"/>
          <w:sz w:val="28"/>
          <w:lang w:val="en-US" w:eastAsia="zh-CN"/>
        </w:rPr>
      </w:pPr>
      <w:r>
        <w:rPr>
          <w:rFonts w:hint="eastAsia"/>
          <w:sz w:val="28"/>
          <w:lang w:val="en-US" w:eastAsia="zh-CN"/>
        </w:rPr>
        <w:t>施工车辆到达施工现场，井口岗立即连接泵车至井口上法兰水龙带，用榔头砸紧，接着把上水管线插到大罐；拉水车到位，把油田净化水倒入大罐，立即启动水泥车洗井。</w:t>
      </w:r>
    </w:p>
    <w:p>
      <w:pPr>
        <w:pStyle w:val="15"/>
        <w:adjustRightInd w:val="0"/>
        <w:snapToGrid w:val="0"/>
        <w:spacing w:line="360" w:lineRule="auto"/>
        <w:ind w:firstLine="560"/>
        <w:rPr>
          <w:rFonts w:hint="eastAsia"/>
          <w:sz w:val="28"/>
          <w:lang w:val="en-US" w:eastAsia="zh-CN"/>
        </w:rPr>
      </w:pPr>
      <w:r>
        <w:rPr>
          <w:rFonts w:hint="eastAsia"/>
          <w:sz w:val="28"/>
          <w:lang w:val="en-US" w:eastAsia="zh-CN"/>
        </w:rPr>
        <w:t>4）提抽油杆</w:t>
      </w:r>
    </w:p>
    <w:p>
      <w:pPr>
        <w:pStyle w:val="15"/>
        <w:adjustRightInd w:val="0"/>
        <w:snapToGrid w:val="0"/>
        <w:spacing w:line="360" w:lineRule="auto"/>
        <w:ind w:firstLine="560"/>
        <w:rPr>
          <w:rFonts w:hint="eastAsia"/>
          <w:sz w:val="28"/>
          <w:lang w:val="en-US" w:eastAsia="zh-CN"/>
        </w:rPr>
      </w:pPr>
      <w:r>
        <w:rPr>
          <w:rFonts w:hint="eastAsia"/>
          <w:sz w:val="28"/>
          <w:lang w:val="en-US" w:eastAsia="zh-CN"/>
        </w:rPr>
        <w:t>班长操作设备，井口岗负责扶正抽油杆吊卡，扶抽油杆吊钩挂上吊卡，示意班长起钻，待抽油杆接箍露出井口0.2-0.3m停止上提，井口岗负责打上吊卡并检查是否合格，示意班长下放抽油杆，接箍坐于吊卡上，井口岗两人持900mm管钳打好背钳，手持600mm管钳打好，两人合力卸开，示意班长上提大钩使抽油杆离开井口0.1-0.2m，班长下放大钩，由场地岗将抽油杆拉下，平整摆放于抽油杆桥上。</w:t>
      </w:r>
    </w:p>
    <w:p>
      <w:pPr>
        <w:pStyle w:val="15"/>
        <w:adjustRightInd w:val="0"/>
        <w:snapToGrid w:val="0"/>
        <w:spacing w:line="360" w:lineRule="auto"/>
        <w:ind w:firstLine="560"/>
        <w:rPr>
          <w:rFonts w:hint="eastAsia"/>
          <w:sz w:val="28"/>
          <w:lang w:val="en-US" w:eastAsia="zh-CN"/>
        </w:rPr>
      </w:pPr>
      <w:r>
        <w:rPr>
          <w:rFonts w:hint="eastAsia"/>
          <w:sz w:val="28"/>
          <w:lang w:val="en-US" w:eastAsia="zh-CN"/>
        </w:rPr>
        <w:t>5）提原井管</w:t>
      </w:r>
    </w:p>
    <w:p>
      <w:pPr>
        <w:pStyle w:val="15"/>
        <w:adjustRightInd w:val="0"/>
        <w:snapToGrid w:val="0"/>
        <w:spacing w:line="360" w:lineRule="auto"/>
        <w:ind w:firstLine="560"/>
        <w:rPr>
          <w:rFonts w:hint="eastAsia"/>
          <w:sz w:val="28"/>
          <w:lang w:val="en-US" w:eastAsia="zh-CN"/>
        </w:rPr>
      </w:pPr>
      <w:r>
        <w:rPr>
          <w:rFonts w:hint="eastAsia"/>
          <w:sz w:val="28"/>
          <w:lang w:val="en-US" w:eastAsia="zh-CN"/>
        </w:rPr>
        <w:t>班长负责设备操作，井口岗两人负责摘挂吊卡，场地岗负责拉送油管，摘（挂）吊卡到位并确保吊卡月牙朝上后，井口岗负责示意班长起（下）钻具，井口岗两人负责合力拉送液压钳，由井口岗负责操作液压钳上（卸）油管，完成后示意班长起（下）钻具，完成施工。由场地岗一根一根排齐。</w:t>
      </w:r>
    </w:p>
    <w:p>
      <w:pPr>
        <w:pStyle w:val="15"/>
        <w:adjustRightInd w:val="0"/>
        <w:snapToGrid w:val="0"/>
        <w:spacing w:line="360" w:lineRule="auto"/>
        <w:ind w:firstLine="560"/>
        <w:rPr>
          <w:rFonts w:hint="eastAsia"/>
          <w:sz w:val="28"/>
          <w:lang w:val="en-US" w:eastAsia="zh-CN"/>
        </w:rPr>
      </w:pPr>
      <w:r>
        <w:rPr>
          <w:rFonts w:hint="eastAsia"/>
          <w:sz w:val="28"/>
          <w:lang w:val="en-US" w:eastAsia="zh-CN"/>
        </w:rPr>
        <w:t>6）填砂</w:t>
      </w:r>
    </w:p>
    <w:p>
      <w:pPr>
        <w:pStyle w:val="15"/>
        <w:adjustRightInd w:val="0"/>
        <w:snapToGrid w:val="0"/>
        <w:spacing w:line="360" w:lineRule="auto"/>
        <w:ind w:firstLine="560"/>
        <w:rPr>
          <w:rFonts w:hint="eastAsia"/>
          <w:sz w:val="28"/>
          <w:lang w:val="en-US" w:eastAsia="zh-CN"/>
        </w:rPr>
      </w:pPr>
      <w:r>
        <w:rPr>
          <w:rFonts w:hint="eastAsia"/>
          <w:sz w:val="28"/>
          <w:lang w:val="en-US" w:eastAsia="zh-CN"/>
        </w:rPr>
        <w:t>管理区配送石英砂，井口岗把填砂漏斗挂在井口防喷器法兰上，由带班干部往填砂漏斗推送石英砂，由井口岗、场地岗、班长四人往井口搬送石英砂。</w:t>
      </w:r>
    </w:p>
    <w:p>
      <w:pPr>
        <w:pStyle w:val="15"/>
        <w:adjustRightInd w:val="0"/>
        <w:snapToGrid w:val="0"/>
        <w:spacing w:line="360" w:lineRule="auto"/>
        <w:ind w:firstLine="560"/>
        <w:rPr>
          <w:rFonts w:hint="eastAsia"/>
          <w:sz w:val="28"/>
          <w:lang w:val="en-US" w:eastAsia="zh-CN"/>
        </w:rPr>
      </w:pPr>
      <w:r>
        <w:rPr>
          <w:rFonts w:hint="eastAsia"/>
          <w:sz w:val="28"/>
          <w:lang w:val="en-US" w:eastAsia="zh-CN"/>
        </w:rPr>
        <w:t>7）打水泥塞</w:t>
      </w:r>
    </w:p>
    <w:p>
      <w:pPr>
        <w:pStyle w:val="15"/>
        <w:adjustRightInd w:val="0"/>
        <w:snapToGrid w:val="0"/>
        <w:spacing w:line="360" w:lineRule="auto"/>
        <w:ind w:firstLine="560"/>
        <w:rPr>
          <w:rFonts w:hint="eastAsia"/>
          <w:sz w:val="28"/>
          <w:lang w:val="en-US" w:eastAsia="zh-CN"/>
        </w:rPr>
      </w:pPr>
      <w:r>
        <w:rPr>
          <w:rFonts w:hint="eastAsia"/>
          <w:sz w:val="28"/>
          <w:lang w:val="en-US" w:eastAsia="zh-CN"/>
        </w:rPr>
        <w:t>管理区配送油井专用水泥，水泥车到达施工现场，井口岗立即连接泵车至井口上法兰水龙带，用榔头砸紧，1方小罐放入适当清水，场地岗、班长负者往小罐均匀倒入水泥粉，由井口岗二人搅拌水泥，搅拌均匀，密度达到设计要求，启动水泥车，注入井内。</w:t>
      </w:r>
    </w:p>
    <w:p>
      <w:pPr>
        <w:pStyle w:val="15"/>
        <w:adjustRightInd w:val="0"/>
        <w:snapToGrid w:val="0"/>
        <w:spacing w:line="360" w:lineRule="auto"/>
        <w:ind w:firstLine="560"/>
        <w:rPr>
          <w:rFonts w:hint="eastAsia"/>
          <w:sz w:val="28"/>
          <w:lang w:val="en-US" w:eastAsia="zh-CN"/>
        </w:rPr>
      </w:pPr>
      <w:r>
        <w:rPr>
          <w:rFonts w:hint="eastAsia"/>
          <w:sz w:val="28"/>
          <w:lang w:val="en-US" w:eastAsia="zh-CN"/>
        </w:rPr>
        <w:t>8）通井</w:t>
      </w:r>
    </w:p>
    <w:p>
      <w:pPr>
        <w:pStyle w:val="15"/>
        <w:adjustRightInd w:val="0"/>
        <w:snapToGrid w:val="0"/>
        <w:spacing w:line="360" w:lineRule="auto"/>
        <w:ind w:firstLine="560"/>
        <w:rPr>
          <w:rFonts w:hint="eastAsia"/>
          <w:sz w:val="28"/>
          <w:lang w:val="en-US" w:eastAsia="zh-CN"/>
        </w:rPr>
      </w:pPr>
      <w:r>
        <w:rPr>
          <w:rFonts w:hint="eastAsia"/>
          <w:sz w:val="28"/>
          <w:lang w:val="en-US" w:eastAsia="zh-CN"/>
        </w:rPr>
        <w:t>井口岗二人同时将通井规连接油管下部用管钳上扣，用专用油管吊卡搭在油管接箍下部，由班长启动修井机或通井机上提1米接着下放油管，直到通至设计要求深度。</w:t>
      </w:r>
    </w:p>
    <w:p>
      <w:pPr>
        <w:pStyle w:val="15"/>
        <w:adjustRightInd w:val="0"/>
        <w:snapToGrid w:val="0"/>
        <w:spacing w:line="360" w:lineRule="auto"/>
        <w:ind w:firstLine="560"/>
        <w:rPr>
          <w:rFonts w:hint="eastAsia"/>
          <w:sz w:val="28"/>
          <w:lang w:val="en-US" w:eastAsia="zh-CN"/>
        </w:rPr>
      </w:pPr>
      <w:r>
        <w:rPr>
          <w:rFonts w:hint="eastAsia"/>
          <w:sz w:val="28"/>
          <w:lang w:val="en-US" w:eastAsia="zh-CN"/>
        </w:rPr>
        <w:t>9）油管输送射孔</w:t>
      </w:r>
    </w:p>
    <w:p>
      <w:pPr>
        <w:pStyle w:val="15"/>
        <w:adjustRightInd w:val="0"/>
        <w:snapToGrid w:val="0"/>
        <w:spacing w:line="360" w:lineRule="auto"/>
        <w:ind w:firstLine="560"/>
        <w:rPr>
          <w:rFonts w:hint="eastAsia"/>
          <w:sz w:val="28"/>
          <w:lang w:val="en-US" w:eastAsia="zh-CN"/>
        </w:rPr>
      </w:pPr>
      <w:r>
        <w:rPr>
          <w:rFonts w:hint="eastAsia"/>
          <w:sz w:val="28"/>
          <w:lang w:val="en-US" w:eastAsia="zh-CN"/>
        </w:rPr>
        <w:t>胜利油田康贝油气工程有限公司作业队负责油管输送射孔中的起下管柱工序，测井公司负责提供射孔工具、数据校深、投棒工序。现场施工：测井公司车辆到位，射孔队施工人员用专用扳手连接射孔枪身，连接好枪身卡上专用吊卡，由康贝作业队班长启动修井机或通井机把枪身下入井内，直到下到设计要求深度，通知测井公司投棒，射孔完成，再由康贝作业队将射孔管柱全部起出，油管输送射孔工序施工完成。</w:t>
      </w:r>
    </w:p>
    <w:p>
      <w:pPr>
        <w:pStyle w:val="15"/>
        <w:adjustRightInd w:val="0"/>
        <w:snapToGrid w:val="0"/>
        <w:spacing w:line="360" w:lineRule="auto"/>
        <w:ind w:firstLine="560"/>
        <w:rPr>
          <w:rFonts w:hint="eastAsia"/>
          <w:sz w:val="28"/>
          <w:lang w:val="en-US" w:eastAsia="zh-CN"/>
        </w:rPr>
      </w:pPr>
      <w:r>
        <w:rPr>
          <w:rFonts w:hint="eastAsia"/>
          <w:sz w:val="28"/>
          <w:lang w:val="en-US" w:eastAsia="zh-CN"/>
        </w:rPr>
        <w:t>10）冲砂、钻水泥塞施工</w:t>
      </w:r>
    </w:p>
    <w:p>
      <w:pPr>
        <w:pStyle w:val="15"/>
        <w:adjustRightInd w:val="0"/>
        <w:snapToGrid w:val="0"/>
        <w:spacing w:line="360" w:lineRule="auto"/>
        <w:ind w:firstLine="560"/>
        <w:rPr>
          <w:rFonts w:hint="eastAsia"/>
          <w:sz w:val="28"/>
          <w:lang w:val="en-US" w:eastAsia="zh-CN"/>
        </w:rPr>
      </w:pPr>
      <w:r>
        <w:rPr>
          <w:rFonts w:hint="eastAsia"/>
          <w:sz w:val="28"/>
          <w:lang w:val="en-US" w:eastAsia="zh-CN"/>
        </w:rPr>
        <w:t>班长负责操作设备，场地岗持900mm管钳打好背钳，井口岗两人配合，井口岗负责扶正水龙头，井口岗手持900mm管钳负责将水龙头上紧，井口岗负责扶正水龙带，将水龙带油壬与水龙头连接，并用榔头砸紧，打好吊卡并挂好水龙带保险绳，挂好吊环，井口岗示意班长上提单根，连接钻具。井口岗两人负责摘挂吊卡，场地岗负责拉送油管，摘（挂）吊卡到位并确保吊卡月牙朝上后，井口岗负责示意班长起（下）钻具，井口岗两人负责合力拉送液压钳，由井口岗负责操作液压钳上（卸）油管，完成后示意班长起（下）钻具，完成施工。场地岗负责指挥泵、罐车就位，司机不能离开岗位。队长负责指挥并负责观察泵压、排量、出口情况，钻压及悬重变化，处理现场意外情况。</w:t>
      </w:r>
    </w:p>
    <w:p>
      <w:pPr>
        <w:pStyle w:val="15"/>
        <w:adjustRightInd w:val="0"/>
        <w:snapToGrid w:val="0"/>
        <w:spacing w:line="360" w:lineRule="auto"/>
        <w:ind w:firstLine="560"/>
        <w:rPr>
          <w:rFonts w:hint="eastAsia"/>
          <w:sz w:val="28"/>
          <w:lang w:val="en-US" w:eastAsia="zh-CN"/>
        </w:rPr>
      </w:pPr>
      <w:r>
        <w:rPr>
          <w:rFonts w:hint="eastAsia"/>
          <w:sz w:val="28"/>
          <w:lang w:val="en-US" w:eastAsia="zh-CN"/>
        </w:rPr>
        <w:t>11）下生产管</w:t>
      </w:r>
    </w:p>
    <w:p>
      <w:pPr>
        <w:pStyle w:val="15"/>
        <w:adjustRightInd w:val="0"/>
        <w:snapToGrid w:val="0"/>
        <w:spacing w:line="360" w:lineRule="auto"/>
        <w:ind w:firstLine="560"/>
        <w:rPr>
          <w:rFonts w:hint="eastAsia"/>
          <w:sz w:val="28"/>
          <w:lang w:val="en-US" w:eastAsia="zh-CN"/>
        </w:rPr>
      </w:pPr>
      <w:r>
        <w:rPr>
          <w:rFonts w:hint="eastAsia"/>
          <w:sz w:val="28"/>
          <w:lang w:val="en-US" w:eastAsia="zh-CN"/>
        </w:rPr>
        <w:t>按设计要求下入生产管柱，由场地岗与井口岗用管钳上紧打孔筛管、内衬配套泵、旋转泄油器，打上专用吊卡，由班长启动修井机下放大钩到井口，打上吊卡上提一定高度，把完井工具下入井内，接着场地岗用管钳一根一根拉倒井口，井口岗二人开始下油管，用专用油管吊卡搭在油管接箍下部，由班长上提接着下放油管，直到下到设计要求深度。</w:t>
      </w:r>
    </w:p>
    <w:p>
      <w:pPr>
        <w:pStyle w:val="15"/>
        <w:adjustRightInd w:val="0"/>
        <w:snapToGrid w:val="0"/>
        <w:spacing w:line="360" w:lineRule="auto"/>
        <w:ind w:firstLine="560"/>
        <w:rPr>
          <w:rFonts w:hint="eastAsia"/>
          <w:sz w:val="28"/>
          <w:lang w:val="en-US" w:eastAsia="zh-CN"/>
        </w:rPr>
      </w:pPr>
      <w:r>
        <w:rPr>
          <w:rFonts w:hint="eastAsia"/>
          <w:sz w:val="28"/>
          <w:lang w:val="en-US" w:eastAsia="zh-CN"/>
        </w:rPr>
        <w:t>12）油管试压</w:t>
      </w:r>
    </w:p>
    <w:p>
      <w:pPr>
        <w:pStyle w:val="15"/>
        <w:adjustRightInd w:val="0"/>
        <w:snapToGrid w:val="0"/>
        <w:spacing w:line="360" w:lineRule="auto"/>
        <w:ind w:firstLine="560"/>
        <w:rPr>
          <w:rFonts w:hint="eastAsia"/>
          <w:sz w:val="28"/>
          <w:lang w:val="en-US" w:eastAsia="zh-CN"/>
        </w:rPr>
      </w:pPr>
      <w:r>
        <w:rPr>
          <w:rFonts w:hint="eastAsia"/>
          <w:sz w:val="28"/>
          <w:lang w:val="en-US" w:eastAsia="zh-CN"/>
        </w:rPr>
        <w:t>泵车到达施工现场，井口岗连接泵车至井口上法兰水龙带，用榔头砸紧，接着把上水管线插到大罐；拉水车到位，把油田净化水倒入大罐，立即启动车辆进行试压，稳压30min压降不低于0.5MPa为合格。</w:t>
      </w:r>
    </w:p>
    <w:p>
      <w:pPr>
        <w:pStyle w:val="15"/>
        <w:adjustRightInd w:val="0"/>
        <w:snapToGrid w:val="0"/>
        <w:spacing w:line="360" w:lineRule="auto"/>
        <w:ind w:firstLine="560"/>
        <w:rPr>
          <w:rFonts w:hint="eastAsia"/>
          <w:sz w:val="28"/>
          <w:lang w:val="en-US" w:eastAsia="zh-CN"/>
        </w:rPr>
      </w:pPr>
      <w:r>
        <w:rPr>
          <w:rFonts w:hint="eastAsia"/>
          <w:sz w:val="28"/>
          <w:lang w:val="en-US" w:eastAsia="zh-CN"/>
        </w:rPr>
        <w:t>13）下杆</w:t>
      </w:r>
    </w:p>
    <w:p>
      <w:pPr>
        <w:pStyle w:val="15"/>
        <w:adjustRightInd w:val="0"/>
        <w:snapToGrid w:val="0"/>
        <w:spacing w:line="360" w:lineRule="auto"/>
        <w:ind w:firstLine="560"/>
        <w:rPr>
          <w:rFonts w:hint="eastAsia"/>
          <w:sz w:val="28"/>
          <w:lang w:val="en-US" w:eastAsia="zh-CN"/>
        </w:rPr>
      </w:pPr>
      <w:r>
        <w:rPr>
          <w:rFonts w:hint="eastAsia"/>
          <w:sz w:val="28"/>
          <w:lang w:val="en-US" w:eastAsia="zh-CN"/>
        </w:rPr>
        <w:t>班长操作设备，井口岗两人负责将抽油杆吊卡卡在抽油杆上并检查合格，扶抽油杆吊钩挂上吊卡，示意班长上提钻具，待抽油杆接箍距井内抽油杆上0.1-0.2m时停止上提，场地岗将拉送的抽油杆交给井口岗，将管钳打在抽油杆台阶上，扶正对准井内抽油杆，井口岗手持管钳打好背钳，示意班长下放将抽油杆公、母扣对接，两人配合上紧，示意班长上提钻具0.1-0.2m，井口岗将抽油杆吊卡摘下并卡在下一根抽油杆上并检查合格，班长下放钻具将抽油杆下入井内。直到下到设计要求深度。</w:t>
      </w:r>
    </w:p>
    <w:p>
      <w:pPr>
        <w:pStyle w:val="15"/>
        <w:adjustRightInd w:val="0"/>
        <w:snapToGrid w:val="0"/>
        <w:spacing w:line="360" w:lineRule="auto"/>
        <w:ind w:firstLine="560"/>
        <w:rPr>
          <w:rFonts w:hint="eastAsia"/>
          <w:sz w:val="28"/>
          <w:lang w:val="en-US" w:eastAsia="zh-CN"/>
        </w:rPr>
      </w:pPr>
      <w:r>
        <w:rPr>
          <w:rFonts w:hint="eastAsia"/>
          <w:sz w:val="28"/>
          <w:lang w:val="en-US" w:eastAsia="zh-CN"/>
        </w:rPr>
        <w:t>14）试抽、交井</w:t>
      </w:r>
    </w:p>
    <w:p>
      <w:pPr>
        <w:pStyle w:val="15"/>
        <w:adjustRightInd w:val="0"/>
        <w:snapToGrid w:val="0"/>
        <w:spacing w:line="360" w:lineRule="auto"/>
        <w:ind w:firstLine="560"/>
        <w:rPr>
          <w:rFonts w:hint="eastAsia"/>
          <w:sz w:val="28"/>
          <w:lang w:val="en-US" w:eastAsia="zh-CN"/>
        </w:rPr>
      </w:pPr>
      <w:r>
        <w:rPr>
          <w:rFonts w:hint="eastAsia"/>
          <w:sz w:val="28"/>
          <w:lang w:val="en-US" w:eastAsia="zh-CN"/>
        </w:rPr>
        <w:t>班长用通井机试抽憋压合格后，队长与管理区交井。</w:t>
      </w:r>
    </w:p>
    <w:p>
      <w:pPr>
        <w:pStyle w:val="15"/>
        <w:adjustRightInd w:val="0"/>
        <w:snapToGrid w:val="0"/>
        <w:spacing w:line="360" w:lineRule="auto"/>
        <w:ind w:firstLine="562"/>
        <w:rPr>
          <w:b/>
          <w:sz w:val="28"/>
        </w:rPr>
      </w:pPr>
      <w:r>
        <w:rPr>
          <w:rFonts w:hint="eastAsia"/>
          <w:b/>
          <w:sz w:val="28"/>
        </w:rPr>
        <w:t>2</w:t>
      </w:r>
      <w:r>
        <w:rPr>
          <w:b/>
          <w:sz w:val="28"/>
        </w:rPr>
        <w:t>.</w:t>
      </w:r>
      <w:r>
        <w:rPr>
          <w:rFonts w:hint="eastAsia"/>
          <w:b/>
          <w:sz w:val="28"/>
        </w:rPr>
        <w:t>大修作业流程</w:t>
      </w:r>
    </w:p>
    <w:p>
      <w:pPr>
        <w:pStyle w:val="15"/>
        <w:adjustRightInd w:val="0"/>
        <w:snapToGrid w:val="0"/>
        <w:spacing w:line="360" w:lineRule="auto"/>
        <w:ind w:firstLine="560"/>
        <w:rPr>
          <w:sz w:val="28"/>
        </w:rPr>
      </w:pPr>
      <w:r>
        <w:rPr>
          <w:rFonts w:hint="eastAsia"/>
          <w:sz w:val="28"/>
          <w:lang w:eastAsia="zh-CN"/>
        </w:rPr>
        <w:t>胜利油田康贝油气工程有限公司</w:t>
      </w:r>
      <w:r>
        <w:rPr>
          <w:rFonts w:hint="eastAsia"/>
          <w:sz w:val="28"/>
        </w:rPr>
        <w:t>井下作业油水井大修作业流程：</w:t>
      </w:r>
    </w:p>
    <w:p>
      <w:pPr>
        <w:pStyle w:val="15"/>
        <w:numPr>
          <w:ilvl w:val="0"/>
          <w:numId w:val="10"/>
        </w:numPr>
        <w:adjustRightInd w:val="0"/>
        <w:snapToGrid w:val="0"/>
        <w:spacing w:line="360" w:lineRule="auto"/>
        <w:ind w:firstLine="560"/>
        <w:rPr>
          <w:rFonts w:hint="eastAsia"/>
          <w:sz w:val="28"/>
          <w:lang w:val="en-US" w:eastAsia="zh-CN"/>
        </w:rPr>
      </w:pPr>
      <w:r>
        <w:rPr>
          <w:rFonts w:hint="eastAsia"/>
          <w:sz w:val="28"/>
          <w:lang w:val="en-US" w:eastAsia="zh-CN"/>
        </w:rPr>
        <w:t>作业流程</w:t>
      </w:r>
    </w:p>
    <w:p>
      <w:pPr>
        <w:pStyle w:val="15"/>
        <w:adjustRightInd w:val="0"/>
        <w:snapToGrid w:val="0"/>
        <w:spacing w:line="360" w:lineRule="auto"/>
        <w:ind w:firstLine="560"/>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1）甲方将待上作业井号分配给作业队，大修队接收该井号。</w:t>
      </w:r>
    </w:p>
    <w:p>
      <w:pPr>
        <w:pStyle w:val="15"/>
        <w:adjustRightInd w:val="0"/>
        <w:snapToGrid w:val="0"/>
        <w:spacing w:line="360" w:lineRule="auto"/>
        <w:ind w:firstLine="560"/>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2）作业队接到井号后，前往该井进行现场勘查该井进井路况，井场条件、井口设备状况等情况，以确定该井是否具备上井作业条件。</w:t>
      </w:r>
    </w:p>
    <w:p>
      <w:pPr>
        <w:pStyle w:val="15"/>
        <w:adjustRightInd w:val="0"/>
        <w:snapToGrid w:val="0"/>
        <w:spacing w:line="360" w:lineRule="auto"/>
        <w:ind w:firstLine="560"/>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3）作业队确定该井具备上井作业条件后，技术人员查询该井的井史资料，根据甲方提供的地质设计、工艺设计，</w:t>
      </w:r>
      <w:r>
        <w:rPr>
          <w:rFonts w:hint="eastAsia" w:cs="Times New Roman"/>
          <w:sz w:val="28"/>
          <w:lang w:val="en-US" w:eastAsia="zh-CN"/>
        </w:rPr>
        <w:t>安全管理部</w:t>
      </w:r>
      <w:r>
        <w:rPr>
          <w:rFonts w:hint="eastAsia" w:ascii="Times New Roman" w:hAnsi="Times New Roman" w:cs="Times New Roman"/>
          <w:sz w:val="28"/>
          <w:lang w:val="en-US" w:eastAsia="zh-CN"/>
        </w:rPr>
        <w:t xml:space="preserve">对该井进行安全、环境风险评估，评估通过后，由技术人员编制该井的施工设计、HSE单井作业指导书、作业计划书、单井应急预案，并将施工设计报请甲方审批，甲方作业管理部门审批通过后，技术人员对施工人员进行该井技术交底。 </w:t>
      </w:r>
    </w:p>
    <w:p>
      <w:pPr>
        <w:pStyle w:val="15"/>
        <w:adjustRightInd w:val="0"/>
        <w:snapToGrid w:val="0"/>
        <w:spacing w:line="360" w:lineRule="auto"/>
        <w:ind w:firstLine="560"/>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4）作业队按照工艺设计和施工设计的要求，着手对施工人员、设备、器材、车辆进行全面细致准备。搬上动力至作业井场，与油水井管理人员对该井设备、器材、环保等情况现场进行交接。接井后按“三标”施工要求布置井场做好开工准备，由甲方及公司作业管理部门进行开工前验收，验收合格后进行施工。作业队按照设计的工艺技术和质量要求进行各道工序的作业施工，各作业环节都有专人对施工的安全质量负责，关键工序施工时，技术人员到现场进行指挥施工，整个作业施工过程接受甲方作业监督人员全程监督。</w:t>
      </w:r>
    </w:p>
    <w:p>
      <w:pPr>
        <w:pStyle w:val="15"/>
        <w:adjustRightInd w:val="0"/>
        <w:snapToGrid w:val="0"/>
        <w:spacing w:line="360" w:lineRule="auto"/>
        <w:ind w:firstLine="560"/>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5）作业井完井后，作业队清理作业现场恢复作业井场，由作业队与甲方油水井管理人员对该井设备、器材、环保等情况进行现场交接，双方签字认可，完成交接。</w:t>
      </w:r>
    </w:p>
    <w:p>
      <w:pPr>
        <w:pStyle w:val="15"/>
        <w:numPr>
          <w:ilvl w:val="0"/>
          <w:numId w:val="10"/>
        </w:numPr>
        <w:adjustRightInd w:val="0"/>
        <w:snapToGrid w:val="0"/>
        <w:spacing w:line="360" w:lineRule="auto"/>
        <w:ind w:firstLine="560"/>
        <w:rPr>
          <w:rFonts w:hint="eastAsia"/>
          <w:sz w:val="28"/>
          <w:lang w:val="en-US" w:eastAsia="zh-CN"/>
        </w:rPr>
      </w:pPr>
      <w:r>
        <w:rPr>
          <w:rFonts w:hint="eastAsia"/>
          <w:sz w:val="28"/>
          <w:lang w:val="en-US" w:eastAsia="zh-CN"/>
        </w:rPr>
        <w:t>施工流程</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1）上动力</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设备设施搬迁就位，队长全面负责整理现场标准化，操作人员用活动扳手拆卸井口螺丝，操作机车对井口后，接着用开口扳手校正拉力表；用活动扳手校正井架法兰螺丝，用铁锨平整井场。</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2）装防喷器</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用活动扳手装液压防喷器12条井口大螺丝对角上紧后，搬皮碗封到井口，接着打上专用吊卡，下放大钩到井口，提起皮碗封下入井内，同时关闭防器。</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3）提原井管</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摘（挂）吊卡到位并确保吊卡月牙朝上后，起（下）钻具、拉送液压钳，</w:t>
      </w:r>
      <w:r>
        <w:rPr>
          <w:rFonts w:hint="eastAsia" w:ascii="Times New Roman" w:hAnsi="Times New Roman" w:eastAsia="宋体" w:cs="Times New Roman"/>
          <w:color w:val="auto"/>
          <w:kern w:val="2"/>
          <w:sz w:val="28"/>
          <w:szCs w:val="24"/>
          <w:lang w:val="en-US" w:eastAsia="zh-CN" w:bidi="ar-SA"/>
        </w:rPr>
        <w:t>操作</w:t>
      </w:r>
      <w:r>
        <w:rPr>
          <w:rFonts w:hint="eastAsia"/>
          <w:sz w:val="28"/>
          <w:lang w:val="en-US" w:eastAsia="zh-CN"/>
        </w:rPr>
        <w:t>液压钳上（卸）油管，完成后起（下）钻具，完成施工。</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4）复杂打捞</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根据井内落物状态，选择合适打捞工具，连接打捞工具下入，控制下放速度，打捞管柱下至预测落物顶部以上100m时，减缓管柱下放速度，缓慢下放管柱，速度控制在10-20m/min，同时顺螺纹紧扣方向缓慢旋转管柱，观察指重表的变化，当悬重有下降显示时，应立即停止下放管柱，顺螺旋紧扣方向旋转5-10圈后上提管柱10-30m，观察悬重变化。打捞后起出管柱。若一次未捞完，应重复打捞直至捞出全部落物为止。</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5）解卡、倒扣</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检查机车离合器、刹车等，确保提升设备完好，检查天车、游动滑车、拉力表、提升大绳、死绳头、活绳头、井架、绷绳、地锚等部位确保游动系统完好。上提管柱至原井管柱悬重，用液压钳正转管柱紧扣10-15圈，慢提管柱，当负荷增加到一定值时，迅速下放管柱卸载。重复上述操作，直至解卡成功，起出井内管柱，若解卡不成功，可进行倒扣起出管柱。</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6）冲、磨、钻、铣、套施工</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持管钳打好背钳，扶正水龙头，将水龙头上紧，扶正水龙带，将水龙带油壬与水龙头连接，并用榔头砸紧，打好吊卡并挂好水龙带保险绳，挂好吊环，上提单根，连接钻具。摘挂吊卡，拉送油管，摘（挂）吊卡到位并确保吊卡月牙朝上后，起（下）钻具，拉送液压钳，液压钳上（卸）油管，完成后起（下）钻具，完成施工。指挥泵、罐车就位，司机不能离开岗位。队长负责指挥并负责观察泵压、排量、出口情况，钻压及悬重变化，处理现场意外情况。</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7）打铅印</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将铅模连接在下井第一根油管的底部扶正管柱，缓慢下放，下油管5-8根后倒上自封封井器。铅模下至鱼顶1-1.5m左右时停止下放，连接泵车正循环大排量冲洗鱼顶，循环正常后缓慢下放管柱，当铅模下至距鱼顶0.5-1m时，停泵。缓慢下放铅模打印，一般加压20-30kN，不应重复打印，起出井内油管。</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8）通井</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把通井规连接油管下部用管钳上扣，用专用油管吊卡搭在油管接箍下部，启动机车上提1m接着下放油管，直到通至设计要求深度。</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9）验套</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下入验套管柱至设计位置，接进出口管线，地面管线试压合格，按设计要求验套，稳压时间30min，无返出量或套压无变化为合格，起出管柱。</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10）下完井管柱</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按设计要求下入完井管柱，用管钳上紧油管，打上专用吊卡，启动修井机或通井机下放大钩到井口，打上吊卡上提一定高度，把完井工具下入井内，接着用管钳一根一根拉倒井口，开始下油管，用专用油管吊卡搭在油管接箍下部，上提接着下放油管，直到下到设计要求深度。</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11）交井</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sz w:val="28"/>
          <w:lang w:val="en-US" w:eastAsia="zh-CN"/>
        </w:rPr>
      </w:pPr>
      <w:r>
        <w:rPr>
          <w:rFonts w:hint="eastAsia"/>
          <w:sz w:val="28"/>
          <w:lang w:val="en-US" w:eastAsia="zh-CN"/>
        </w:rPr>
        <w:t>作业井完井后，作业队清理作业现场，队长与管理区交井，完成交接。</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sz w:val="28"/>
          <w:lang w:val="en-US" w:eastAsia="zh-CN"/>
        </w:rPr>
      </w:pPr>
      <w:r>
        <w:rPr>
          <w:rFonts w:hint="eastAsia"/>
          <w:b/>
          <w:sz w:val="28"/>
          <w:lang w:val="en-US" w:eastAsia="zh-CN"/>
        </w:rPr>
        <w:t>3.侧钻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（1）作业流程</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1）甲方将待搬上井号分配给侧钻队，侧钻队接收该井号。</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2）侧钻队接到井号后，前往该井进行现场勘查该井进井路况，井场条件、井口设备状况等情况，以确定该井是否具备上井作业条件。</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color w:val="auto"/>
          <w:sz w:val="28"/>
          <w:lang w:val="en-US" w:eastAsia="zh-CN"/>
        </w:rPr>
      </w:pPr>
      <w:r>
        <w:rPr>
          <w:rFonts w:hint="eastAsia" w:ascii="Times New Roman" w:hAnsi="Times New Roman" w:cs="Times New Roman"/>
          <w:sz w:val="28"/>
          <w:lang w:val="en-US" w:eastAsia="zh-CN"/>
        </w:rPr>
        <w:t>3）侧钻队确定该井具备作业条件后，技术人员查询该井的井史资料，根据甲方提供的地质设计、工艺设计，</w:t>
      </w:r>
      <w:r>
        <w:rPr>
          <w:rFonts w:hint="eastAsia" w:cs="Times New Roman"/>
          <w:color w:val="auto"/>
          <w:sz w:val="28"/>
          <w:lang w:val="en-US" w:eastAsia="zh-CN"/>
        </w:rPr>
        <w:t>安全管理部</w:t>
      </w:r>
      <w:r>
        <w:rPr>
          <w:rFonts w:hint="eastAsia" w:ascii="Times New Roman" w:hAnsi="Times New Roman" w:cs="Times New Roman"/>
          <w:color w:val="auto"/>
          <w:sz w:val="28"/>
          <w:lang w:val="en-US" w:eastAsia="zh-CN"/>
        </w:rPr>
        <w:t>对该井进行安全、环境风险评估，评估通过后，由技术人员编制该井的施工设计、</w:t>
      </w:r>
      <w:r>
        <w:rPr>
          <w:rFonts w:hint="default" w:ascii="Times New Roman" w:hAnsi="Times New Roman" w:cs="Times New Roman"/>
          <w:color w:val="auto"/>
          <w:sz w:val="28"/>
          <w:lang w:val="en-US" w:eastAsia="zh-CN"/>
        </w:rPr>
        <w:t>HSE</w:t>
      </w:r>
      <w:r>
        <w:rPr>
          <w:rFonts w:hint="eastAsia" w:ascii="Times New Roman" w:hAnsi="Times New Roman" w:cs="Times New Roman"/>
          <w:color w:val="auto"/>
          <w:sz w:val="28"/>
          <w:lang w:val="en-US" w:eastAsia="zh-CN"/>
        </w:rPr>
        <w:t>单井作业指导书、作业计划书、单井应急预案，并将施工设计报请甲方审批，甲方作业管理部门审批通过后，技术人员对施工人员进行该井技术交底。</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4）侧钻队按照工艺设计和施工设计的要求，着手对施工人员、设备、器材、车辆进行全面细致准备。搬上动力至井场，与油水井管理人员对该井设备、器材、环保等情况现场进行交接。接井后按</w:t>
      </w:r>
      <w:r>
        <w:rPr>
          <w:rFonts w:hint="default" w:ascii="Times New Roman" w:hAnsi="Times New Roman" w:cs="Times New Roman"/>
          <w:sz w:val="28"/>
          <w:lang w:val="en-US" w:eastAsia="zh-CN"/>
        </w:rPr>
        <w:t>“</w:t>
      </w:r>
      <w:r>
        <w:rPr>
          <w:rFonts w:hint="eastAsia" w:ascii="Times New Roman" w:hAnsi="Times New Roman" w:cs="Times New Roman"/>
          <w:sz w:val="28"/>
          <w:lang w:val="en-US" w:eastAsia="zh-CN"/>
        </w:rPr>
        <w:t>三标</w:t>
      </w:r>
      <w:r>
        <w:rPr>
          <w:rFonts w:hint="default" w:ascii="Times New Roman" w:hAnsi="Times New Roman" w:cs="Times New Roman"/>
          <w:sz w:val="28"/>
          <w:lang w:val="en-US" w:eastAsia="zh-CN"/>
        </w:rPr>
        <w:t>”</w:t>
      </w:r>
      <w:r>
        <w:rPr>
          <w:rFonts w:hint="eastAsia" w:ascii="Times New Roman" w:hAnsi="Times New Roman" w:cs="Times New Roman"/>
          <w:sz w:val="28"/>
          <w:lang w:val="en-US" w:eastAsia="zh-CN"/>
        </w:rPr>
        <w:t>施工要求布置井场做好开工准备，由甲方及公司作业管理部门进行开工前验收，验收合格后进行施工。按照设计的工艺技术和质量要求进行各道工序的作业施工，各作业环节都有专人对施工的安全质量负责，关键工序施工时，技术人员到现场进行指挥施工，整个作业施工过程接受甲方作业监督人员全程监督。</w:t>
      </w:r>
    </w:p>
    <w:p>
      <w:pPr>
        <w:pStyle w:val="1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5）作业井完井后，清理作业现场恢复作业井场，与甲方油水井管理人员对该井设备、器材、环保等情况进行现场交接，双方签字认可，完成交接。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（2）施工流程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1</w:t>
      </w:r>
      <w:r>
        <w:rPr>
          <w:rFonts w:hint="eastAsia" w:ascii="Times New Roman" w:hAnsi="Times New Roman"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上动力</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设备设施搬迁就位，队长全面负责整理现场标准化，</w:t>
      </w:r>
      <w:r>
        <w:rPr>
          <w:rFonts w:hint="eastAsia" w:cs="Times New Roman"/>
          <w:color w:val="auto"/>
          <w:kern w:val="2"/>
          <w:sz w:val="28"/>
          <w:szCs w:val="24"/>
          <w:lang w:val="en-US" w:eastAsia="zh-CN" w:bidi="ar-SA"/>
        </w:rPr>
        <w:t>操作人员</w:t>
      </w:r>
      <w:r>
        <w:rPr>
          <w:rFonts w:hint="eastAsia" w:ascii="Times New Roman" w:hAnsi="Times New Roman" w:eastAsia="宋体" w:cs="Times New Roman"/>
          <w:color w:val="auto"/>
          <w:kern w:val="2"/>
          <w:sz w:val="28"/>
          <w:szCs w:val="24"/>
          <w:lang w:val="en-US" w:eastAsia="zh-CN" w:bidi="ar-SA"/>
        </w:rPr>
        <w:t>用活动扳手拆卸井口螺丝，操作机车对井口后，接着用开口扳手校正拉力表；用活动扳手校正井架法兰螺丝，用铁锨平整井场。</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2</w:t>
      </w:r>
      <w:r>
        <w:rPr>
          <w:rFonts w:hint="eastAsia" w:ascii="Times New Roman" w:hAnsi="Times New Roman"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装防喷器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用活动扳手装液压防喷器12条井口大螺丝对角上紧后，搬皮碗封到井口，接着打上专用吊卡，下放大钩到井口，提起皮碗封下入井内，同时关闭防器。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3</w:t>
      </w:r>
      <w:r>
        <w:rPr>
          <w:rFonts w:hint="eastAsia" w:ascii="Times New Roman" w:hAnsi="Times New Roman" w:cs="Times New Roman"/>
          <w:color w:val="auto"/>
          <w:kern w:val="2"/>
          <w:sz w:val="28"/>
          <w:szCs w:val="24"/>
          <w:lang w:val="en-US" w:eastAsia="zh-CN" w:bidi="ar-SA"/>
        </w:rPr>
        <w:t>）</w:t>
      </w:r>
      <w:r>
        <w:rPr>
          <w:rFonts w:hint="eastAsia" w:ascii="Times New Roman" w:hAnsi="Times New Roman" w:eastAsia="宋体" w:cs="Times New Roman"/>
          <w:color w:val="auto"/>
          <w:kern w:val="2"/>
          <w:sz w:val="28"/>
          <w:szCs w:val="24"/>
          <w:lang w:val="en-US" w:eastAsia="zh-CN" w:bidi="ar-SA"/>
        </w:rPr>
        <w:t>起下管柱</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color w:val="auto"/>
          <w:kern w:val="2"/>
          <w:sz w:val="28"/>
          <w:szCs w:val="24"/>
          <w:lang w:val="en-US" w:eastAsia="zh-CN" w:bidi="ar-SA"/>
        </w:rPr>
      </w:pPr>
      <w:r>
        <w:rPr>
          <w:rFonts w:hint="eastAsia" w:ascii="Times New Roman" w:hAnsi="Times New Roman" w:eastAsia="宋体" w:cs="Times New Roman"/>
          <w:color w:val="auto"/>
          <w:kern w:val="2"/>
          <w:sz w:val="28"/>
          <w:szCs w:val="24"/>
          <w:lang w:val="en-US" w:eastAsia="zh-CN" w:bidi="ar-SA"/>
        </w:rPr>
        <w:t>摘（挂）吊卡到位并确保吊卡月牙朝上后，起（下）钻具，拉送液压钳，操作液压钳上（卸）油管，完成后起（下）钻具，完成施工。</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4）通井</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把通井规连接油管下部用管钳上扣，用专用油管吊卡搭在油管接箍下部，启动机车上提1米接着下放油管，直到通至设计要求深度。</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5）刮管</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把刮管器连接油管下部用管钳上扣，用专用油管吊卡搭在油管接箍下部，启动机车上提1米接着下放油管，直到刮至设计要求深度，在设计要求井段上下反复刮削三次，大排量洗井至净，起出管柱。</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6）冲、磨、钻、铣、套施工</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持管钳打好背钳，扶正水龙头，将水龙头上紧，扶正水龙带，将水龙带油壬与水龙头连接，并用榔头砸紧，打好吊卡并挂好水龙带保险绳，挂好吊环，上提单根，连接钻具。摘挂吊卡，拉送油管，摘（挂）吊卡到位并确保吊卡月牙朝上后，起（下）钻具，拉送液压钳，操作液压钳上（卸）油管，完成后起（下）钻具，完成施工。指挥泵、罐车就位，司机不能离开岗位。队长负责指挥并负责观察泵压、排量、出口情况，钻压及悬重变化，处理现场意外情况。</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eastAsia"/>
          <w:lang w:val="en-US" w:eastAsia="zh-CN"/>
        </w:rPr>
        <w:t>7）开窗：按设计要求下入管柱，在设计位置定位开窗作业，钻至设计位置，下入套管，施工完成。</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8）固井</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管理区配送油井专用水泥，水泥车到达施工现场，立即连接泵车至井口上法兰水龙带，用榔头砸紧，将搅拌均匀的水泥浆密度达到设计要求后，启动水泥车，注入井内。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9）交井</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lang w:val="en-US" w:eastAsia="zh-CN"/>
        </w:rPr>
        <w:t>施工完成后，清理作业现场，队长与管理区交井，完成交接。</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sz w:val="28"/>
        </w:rPr>
      </w:pPr>
      <w:r>
        <w:rPr>
          <w:rFonts w:hint="eastAsia"/>
          <w:b/>
          <w:sz w:val="28"/>
          <w:lang w:val="en-US" w:eastAsia="zh-CN"/>
        </w:rPr>
        <w:t>4.</w:t>
      </w:r>
      <w:r>
        <w:rPr>
          <w:rFonts w:hint="eastAsia"/>
          <w:b/>
          <w:sz w:val="28"/>
          <w:lang w:eastAsia="zh-CN"/>
        </w:rPr>
        <w:t>连续油管</w:t>
      </w:r>
      <w:r>
        <w:rPr>
          <w:rFonts w:hint="eastAsia"/>
          <w:b/>
          <w:sz w:val="28"/>
        </w:rPr>
        <w:t>作业</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（1）作业流程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1）甲方将待上作业井号分配给连续油管队，连续油管队接收该井号。</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2）连续油管队接到井号后，前往该井进行现场勘查该井进井路况，井场条件、井口设备状况等情况，以确定该井是否具备上井作业条件。</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3）连续油管队确定该井具备上井作业条件后，技术人员查询该井的井史资料，根据甲方提供的地质设计、</w:t>
      </w:r>
      <w:r>
        <w:rPr>
          <w:rFonts w:hint="default"/>
          <w:color w:val="auto"/>
          <w:lang w:val="en-US" w:eastAsia="zh-CN"/>
        </w:rPr>
        <w:t>工艺设计，安全管理部对该井进行安全、环境风险评估，评估通过后，由技术人员编制该井的施工设计、HSE单井作业指导书、作业计划书、单井</w:t>
      </w:r>
      <w:r>
        <w:rPr>
          <w:rFonts w:hint="default"/>
          <w:lang w:val="en-US" w:eastAsia="zh-CN"/>
        </w:rPr>
        <w:t>应急预案，并将施工设计报请甲方审批，甲方作业管理部门审批通过后，技术人员对施工人员进行该井技术交底。</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4）连续油管队按照工艺设计和施工设计的要求，着手对人员、设备、器材、车辆进行全面细致准备。搬上动力至施工井场，与油水井管理人员对该井设备、器材、环保等情况现场进行交接。接井后按“三标”施工要求布置井场做好开工准备，由甲方及公司作业管理部门进行开工前验收，验收合格后进行施工。连续油管队按照设计的工艺技术和质量要求进行各道工序的作业施工，各作业环节都有专人对施工的安全质量负责，关键工序施工时，技术人员到现场进行指挥施工，整个作业施工过程接受甲方作业监督人员全程监督。</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5）作业井完井后，连续油管队清理作业现场恢复井场，由连续油管队与甲方油水井管理人员对该井设备、器材、环保等情况进行现场交接，双方签字认可，交井完工。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（2）施工流程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1）上动力</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设备设施搬迁就位，队长全面负责整理现场标准化，队长负责指挥将设备按标准摆放就位，安装设备完成。</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2）下放连续管作业</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lang w:val="en-US" w:eastAsia="zh-CN"/>
        </w:rPr>
        <w:t>①</w:t>
      </w:r>
      <w:r>
        <w:rPr>
          <w:rFonts w:hint="eastAsia"/>
          <w:lang w:val="en-US" w:eastAsia="zh-CN"/>
        </w:rPr>
        <w:t>滚筒控制：下放连续管作业时，滚筒控制手柄放在“下放”位置，滚筒压力调节在4M</w:t>
      </w:r>
      <w:r>
        <w:t>Pa</w:t>
      </w:r>
      <w:r>
        <w:rPr>
          <w:rFonts w:hint="eastAsia"/>
        </w:rPr>
        <w:t>左右，滚筒的先导压力是根据滚筒马达刹车预设的，一般用调压阀调节在</w:t>
      </w:r>
      <w:r>
        <w:t>3MPa</w:t>
      </w:r>
      <w:r>
        <w:rPr>
          <w:rFonts w:hint="eastAsia"/>
        </w:rPr>
        <w:t>左右。</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②</w:t>
      </w:r>
      <w:r>
        <w:rPr>
          <w:rFonts w:hint="eastAsia"/>
        </w:rPr>
        <w:t>将注入头控制手柄锁定装置向上提起，手柄推向“下”管位置，观察参数记录仪上的速度（初始速度应在</w:t>
      </w:r>
      <w:r>
        <w:t>0</w:t>
      </w:r>
      <w:r>
        <w:rPr>
          <w:rFonts w:hint="eastAsia"/>
          <w:lang w:val="en-US" w:eastAsia="zh-CN"/>
        </w:rPr>
        <w:t>-</w:t>
      </w:r>
      <w:r>
        <w:t>0.5m/min</w:t>
      </w:r>
      <w:r>
        <w:rPr>
          <w:rFonts w:hint="eastAsia"/>
        </w:rPr>
        <w:t>）、发动机转速、注入头马达压力（在</w:t>
      </w:r>
      <w:r>
        <w:t>6MPa</w:t>
      </w:r>
      <w:r>
        <w:rPr>
          <w:rFonts w:hint="eastAsia"/>
        </w:rPr>
        <w:t>左右）、回油压力、滚筒先导压力是否正常。</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③</w:t>
      </w:r>
      <w:r>
        <w:rPr>
          <w:rFonts w:hint="eastAsia"/>
        </w:rPr>
        <w:t>运行几分钟后，观察注入头、滚筒、供液油泵运行情况；油箱油温以及绷绳等有无异常情况（如有立刻停机检查整改），正常后调节注入头控制手柄，逐步提高下放连续管速度，一般正常下放连续管速度在</w:t>
      </w:r>
      <w:r>
        <w:t>10</w:t>
      </w:r>
      <w:r>
        <w:rPr>
          <w:rFonts w:hint="eastAsia"/>
          <w:lang w:val="en-US" w:eastAsia="zh-CN"/>
        </w:rPr>
        <w:t>-</w:t>
      </w:r>
      <w:r>
        <w:t>20m/min</w:t>
      </w:r>
      <w:r>
        <w:rPr>
          <w:rFonts w:hint="eastAsia"/>
        </w:rPr>
        <w:t>之间，不超过</w:t>
      </w:r>
      <w:r>
        <w:t>35m/min</w:t>
      </w:r>
      <w:r>
        <w:rPr>
          <w:rFonts w:hint="eastAsia"/>
        </w:rPr>
        <w:t>。每下入</w:t>
      </w:r>
      <w:r>
        <w:t>200</w:t>
      </w:r>
      <w:r>
        <w:rPr>
          <w:rFonts w:hint="eastAsia"/>
          <w:lang w:val="en-US" w:eastAsia="zh-CN"/>
        </w:rPr>
        <w:t>-</w:t>
      </w:r>
      <w:r>
        <w:t>300m</w:t>
      </w:r>
      <w:r>
        <w:rPr>
          <w:rFonts w:hint="eastAsia"/>
        </w:rPr>
        <w:t>给注入头链条喷洒润滑油一次。</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④</w:t>
      </w:r>
      <w:r>
        <w:rPr>
          <w:rFonts w:hint="eastAsia"/>
        </w:rPr>
        <w:t>随着连续管下入深度的不断增加，记录仪上的载荷逐渐增加，此时根据载荷情况逐步提高夹紧力和张紧力，以防止溜管等事故的发生。下下连续油管过程中每</w:t>
      </w:r>
      <w:r>
        <w:t>10</w:t>
      </w:r>
      <w:r>
        <w:rPr>
          <w:rFonts w:hint="eastAsia"/>
        </w:rPr>
        <w:t>分钟对各项参数做一次记录，包括时间、起下状态、深度、载荷、张紧压力、夹紧压力、起下速度、若同时进行循环洗井工序记录循环压力。</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⑤</w:t>
      </w:r>
      <w:r>
        <w:rPr>
          <w:rFonts w:hint="eastAsia"/>
        </w:rPr>
        <w:t>待连续管下到设计深度后，向后推注入头方向控制手柄至“中间”位置。使注入头马达排量调到</w:t>
      </w:r>
      <w:r>
        <w:t>0</w:t>
      </w:r>
      <w:r>
        <w:rPr>
          <w:rFonts w:hint="eastAsia"/>
        </w:rPr>
        <w:t>，压力为补液泵压力，约为</w:t>
      </w:r>
      <w:r>
        <w:t>2MPa</w:t>
      </w:r>
      <w:r>
        <w:rPr>
          <w:rFonts w:hint="eastAsia"/>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⑥</w:t>
      </w:r>
      <w:r>
        <w:rPr>
          <w:rFonts w:hint="eastAsia"/>
        </w:rPr>
        <w:t>操纵滚筒控制阀位于“中间”位置。</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⑦</w:t>
      </w:r>
      <w:r>
        <w:rPr>
          <w:rFonts w:hint="eastAsia"/>
        </w:rPr>
        <w:t>注意观察记录井口压力表及循环压力表压力，根据井口压力情况，关闭半封及防喷盒。</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⑧</w:t>
      </w:r>
      <w:r>
        <w:rPr>
          <w:rFonts w:hint="eastAsia"/>
        </w:rPr>
        <w:t>调节控制台上柴油发动机转速旋钮，降至怠速</w:t>
      </w:r>
      <w:r>
        <w:t>600</w:t>
      </w:r>
      <w:r>
        <w:rPr>
          <w:rFonts w:hint="eastAsia"/>
          <w:lang w:val="en-US" w:eastAsia="zh-CN"/>
        </w:rPr>
        <w:t>-</w:t>
      </w:r>
      <w:r>
        <w:t>800rpm</w:t>
      </w:r>
      <w:r>
        <w:rPr>
          <w:rFonts w:hint="eastAsia"/>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bookmarkStart w:id="26" w:name="_Toc4725"/>
      <w:r>
        <w:rPr>
          <w:rFonts w:hint="eastAsia"/>
          <w:lang w:val="en-US" w:eastAsia="zh-CN"/>
        </w:rPr>
        <w:t>3）</w:t>
      </w:r>
      <w:r>
        <w:rPr>
          <w:rFonts w:hint="eastAsia"/>
        </w:rPr>
        <w:t>起升连续管作业</w:t>
      </w:r>
      <w:bookmarkEnd w:id="26"/>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①</w:t>
      </w:r>
      <w:r>
        <w:rPr>
          <w:rFonts w:hint="eastAsia"/>
        </w:rPr>
        <w:t>井下作业完成后，记录好深度、载荷等数据，准备起管。</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②</w:t>
      </w:r>
      <w:r>
        <w:rPr>
          <w:rFonts w:hint="eastAsia"/>
        </w:rPr>
        <w:t>旋转柴油发动机转速旋钮，调至</w:t>
      </w:r>
      <w:r>
        <w:t>1500</w:t>
      </w:r>
      <w:r>
        <w:rPr>
          <w:rFonts w:hint="eastAsia"/>
          <w:lang w:val="en-US" w:eastAsia="zh-CN"/>
        </w:rPr>
        <w:t>-</w:t>
      </w:r>
      <w:r>
        <w:t>1800rpm</w:t>
      </w:r>
      <w:r>
        <w:rPr>
          <w:rFonts w:hint="eastAsia"/>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③</w:t>
      </w:r>
      <w:r>
        <w:rPr>
          <w:rFonts w:hint="eastAsia"/>
        </w:rPr>
        <w:t>将注入头控制手柄锁定位置向下拉起，手柄拉向“起”管位置，滚筒控制手柄旋钮旋至“收起”位置。</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④</w:t>
      </w:r>
      <w:r>
        <w:rPr>
          <w:rFonts w:hint="eastAsia"/>
        </w:rPr>
        <w:t>随着连续管在滚筒上不断地緾绕，滚筒与注入头之间连续管的张紧力减少，滚筒外层连续管可能出现膨松现象，应及时调整减小滚筒马达工作压力。</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ascii="宋体" w:hAnsi="宋体" w:eastAsia="宋体" w:cs="宋体"/>
        </w:rPr>
        <w:t>⑤</w:t>
      </w:r>
      <w:r>
        <w:rPr>
          <w:rFonts w:hint="eastAsia"/>
        </w:rPr>
        <w:t>随着连续管不断起出，所需夹紧力和张紧力不断减小，根据载荷情况逐渐调整夹紧液缸压力和张紧液缸压力，以减少对连续管的夹持力，延长使用寿命。</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ascii="宋体" w:hAnsi="宋体" w:eastAsia="宋体" w:cs="宋体"/>
        </w:rPr>
        <w:t>⑥</w:t>
      </w:r>
      <w:r>
        <w:rPr>
          <w:rFonts w:hint="eastAsia"/>
        </w:rPr>
        <w:t>起升连续管速度通常在</w:t>
      </w:r>
      <w:r>
        <w:t>15m/min</w:t>
      </w:r>
      <w:r>
        <w:rPr>
          <w:rFonts w:hint="eastAsia"/>
          <w:lang w:val="en-US" w:eastAsia="zh-CN"/>
        </w:rPr>
        <w:t>-</w:t>
      </w:r>
      <w:r>
        <w:t>20m/min</w:t>
      </w:r>
      <w:r>
        <w:rPr>
          <w:rFonts w:hint="eastAsia"/>
        </w:rPr>
        <w:t>左右。在</w:t>
      </w:r>
      <w:r>
        <w:t>1200m</w:t>
      </w:r>
      <w:r>
        <w:rPr>
          <w:rFonts w:hint="eastAsia"/>
          <w:lang w:val="en-US" w:eastAsia="zh-CN"/>
        </w:rPr>
        <w:t>-</w:t>
      </w:r>
      <w:r>
        <w:t>800m</w:t>
      </w:r>
      <w:r>
        <w:rPr>
          <w:rFonts w:hint="eastAsia"/>
        </w:rPr>
        <w:t>段，注入头高低速控制可由低速档转换成高速档，起升速度可达</w:t>
      </w:r>
      <w:r>
        <w:t>20m/min</w:t>
      </w:r>
      <w:r>
        <w:rPr>
          <w:rFonts w:hint="eastAsia"/>
          <w:lang w:val="en-US" w:eastAsia="zh-CN"/>
        </w:rPr>
        <w:t>-</w:t>
      </w:r>
      <w:r>
        <w:t>50m/min</w:t>
      </w:r>
      <w:r>
        <w:rPr>
          <w:rFonts w:hint="eastAsia"/>
        </w:rPr>
        <w:t>之间，可根据连续管排管及井下情况来定，建议最大起升速度控制在</w:t>
      </w:r>
      <w:r>
        <w:t>30m/min</w:t>
      </w:r>
      <w:r>
        <w:rPr>
          <w:rFonts w:hint="eastAsia"/>
          <w:lang w:val="en-US" w:eastAsia="zh-CN"/>
        </w:rPr>
        <w:t>-</w:t>
      </w:r>
      <w:r>
        <w:t>40m/min</w:t>
      </w:r>
      <w:r>
        <w:rPr>
          <w:rFonts w:hint="eastAsia"/>
        </w:rPr>
        <w:t>，以充分保障施工的安全和顺利进行。在连续管起至接近井口位置时，速度降到</w:t>
      </w:r>
      <w:r>
        <w:t>0.5m/min</w:t>
      </w:r>
      <w:r>
        <w:rPr>
          <w:rFonts w:hint="eastAsia"/>
          <w:lang w:val="en-US" w:eastAsia="zh-CN"/>
        </w:rPr>
        <w:t>-</w:t>
      </w:r>
      <w:r>
        <w:t>3m/min</w:t>
      </w:r>
      <w:r>
        <w:rPr>
          <w:rFonts w:hint="eastAsia"/>
        </w:rPr>
        <w:t>之间，使连续管头部和工具平稳通过采油树、防喷器，到达防喷器及防喷盒之间，方便拆卸。</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4）通井</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井口岗二人同时将通井规连接油管下部用管钳上扣，按照连续油管下放、起升作业程序开始施工，直到通至设计要求深度。</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5）刮管</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井口岗二人同时把刮管器连接油管下部用管钳上扣，按照连续油管下放、起升作业程序开始施工，直到刮至设计要求深度，在设计要求井段上下反复刮削三次，大排量洗井至净，起出管柱。</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6）冲、钻施工</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井口岗二人同时把下井工具连接油管下部用管钳上扣，按照连续油管下放、起升作业程序开始施工，班长负责操作设备，井口岗将管线连接，完成设计要求工序。场地岗负责指挥泵、罐车就位，司机不能离开岗位。队长负责指挥并负责观察泵压、排量、出口情况，钻压及悬重变化，处理现场意外情况。</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sz w:val="28"/>
        </w:rPr>
      </w:pPr>
      <w:r>
        <w:rPr>
          <w:rFonts w:hint="eastAsia"/>
          <w:b/>
          <w:sz w:val="28"/>
          <w:lang w:val="en-US" w:eastAsia="zh-CN"/>
        </w:rPr>
        <w:t>5.</w:t>
      </w:r>
      <w:r>
        <w:rPr>
          <w:rFonts w:hint="eastAsia"/>
          <w:b/>
          <w:sz w:val="28"/>
        </w:rPr>
        <w:t>酸化</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碳酸盐岩油气层的酸化主要用盐酸（HCI），为了延缓酸的反应速度，也采用油酸乳化液、稠化盐酸液、泡沫盐酸液等。砂岩油气层的酸化主要用</w:t>
      </w:r>
      <w:r>
        <w:rPr>
          <w:rFonts w:hint="eastAsia" w:cs="Times New Roman"/>
          <w:lang w:val="en-US" w:eastAsia="zh-CN"/>
        </w:rPr>
        <w:t>复合酸</w:t>
      </w:r>
      <w:r>
        <w:rPr>
          <w:rFonts w:hint="eastAsia" w:ascii="Times New Roman" w:hAnsi="Times New Roman" w:cs="Times New Roman"/>
          <w:lang w:val="en-US" w:eastAsia="zh-CN"/>
        </w:rPr>
        <w:t>。酸液由甲方提供，利用酸罐车运输至井场。</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1）上动力</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设备设施就位，队长与配合单位对接将设备按标准摆放就位，安装设备完成。</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2）酸化施工</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酸化现场施工准备</w:t>
      </w:r>
      <w:r>
        <w:rPr>
          <w:rFonts w:hint="eastAsia" w:cs="Times New Roman"/>
          <w:lang w:val="en-US" w:eastAsia="zh-CN"/>
        </w:rPr>
        <w:t>完成后，</w:t>
      </w:r>
      <w:r>
        <w:rPr>
          <w:rFonts w:hint="eastAsia" w:ascii="Times New Roman" w:hAnsi="Times New Roman" w:cs="Times New Roman"/>
          <w:lang w:val="en-US" w:eastAsia="zh-CN"/>
        </w:rPr>
        <w:t>操作</w:t>
      </w:r>
      <w:r>
        <w:rPr>
          <w:rFonts w:hint="eastAsia" w:cs="Times New Roman"/>
          <w:lang w:val="en-US" w:eastAsia="zh-CN"/>
        </w:rPr>
        <w:t>人员</w:t>
      </w:r>
      <w:r>
        <w:rPr>
          <w:rFonts w:hint="eastAsia" w:ascii="Times New Roman" w:hAnsi="Times New Roman" w:cs="Times New Roman"/>
          <w:lang w:val="en-US" w:eastAsia="zh-CN"/>
        </w:rPr>
        <w:t>将地面管线连接，管线试压至设计最高施工压力的1.5倍，队长指挥</w:t>
      </w:r>
      <w:r>
        <w:rPr>
          <w:rFonts w:hint="eastAsia" w:cs="Times New Roman"/>
          <w:lang w:val="en-US" w:eastAsia="zh-CN"/>
        </w:rPr>
        <w:t>泵</w:t>
      </w:r>
      <w:r>
        <w:rPr>
          <w:rFonts w:hint="eastAsia" w:ascii="Times New Roman" w:hAnsi="Times New Roman" w:cs="Times New Roman"/>
          <w:lang w:val="en-US" w:eastAsia="zh-CN"/>
        </w:rPr>
        <w:t>车开泵洗井，按设计要求完成施工；打开套管闸门，正替80%油管容积的酸液，随后关闭套管闸门后，指挥</w:t>
      </w:r>
      <w:r>
        <w:rPr>
          <w:rFonts w:hint="eastAsia" w:cs="Times New Roman"/>
          <w:lang w:val="en-US" w:eastAsia="zh-CN"/>
        </w:rPr>
        <w:t>泵</w:t>
      </w:r>
      <w:r>
        <w:rPr>
          <w:rFonts w:hint="eastAsia" w:ascii="Times New Roman" w:hAnsi="Times New Roman" w:cs="Times New Roman"/>
          <w:lang w:val="en-US" w:eastAsia="zh-CN"/>
        </w:rPr>
        <w:t>车正挤入剩余的酸液，正挤</w:t>
      </w:r>
      <w:r>
        <w:rPr>
          <w:rFonts w:hint="eastAsia" w:ascii="Times New Roman" w:hAnsi="Times New Roman" w:cs="Times New Roman"/>
          <w:highlight w:val="none"/>
          <w:lang w:val="en-US" w:eastAsia="zh-CN"/>
        </w:rPr>
        <w:t>顶替液</w:t>
      </w:r>
      <w:r>
        <w:rPr>
          <w:rFonts w:hint="eastAsia" w:cs="Times New Roman"/>
          <w:highlight w:val="none"/>
          <w:lang w:val="en-US" w:eastAsia="zh-CN"/>
        </w:rPr>
        <w:t>（油田净化水）</w:t>
      </w:r>
      <w:r>
        <w:rPr>
          <w:rFonts w:hint="eastAsia" w:ascii="Times New Roman" w:hAnsi="Times New Roman" w:cs="Times New Roman"/>
          <w:lang w:val="en-US" w:eastAsia="zh-CN"/>
        </w:rPr>
        <w:t>，确保酸液全部进入地层，施工完成后按设计要求关井反应，起出管柱转下步施工工序。残酸排入井场废液池、储液罐，拉走处理后排放，注意保护环境。</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sz w:val="28"/>
        </w:rPr>
      </w:pPr>
      <w:r>
        <w:rPr>
          <w:rFonts w:hint="eastAsia"/>
          <w:b/>
          <w:sz w:val="28"/>
          <w:lang w:val="en-US" w:eastAsia="zh-CN"/>
        </w:rPr>
        <w:t>6.</w:t>
      </w:r>
      <w:r>
        <w:rPr>
          <w:rFonts w:hint="eastAsia"/>
          <w:b/>
          <w:sz w:val="28"/>
        </w:rPr>
        <w:t>防砂</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1</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上动力</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设备设施就位，队长与配合单位对接将设备按标准摆放就位，安装设备完成。</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2）防砂</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将地面施工管线连接就位，管线试压至设计最高施工压力的1.5倍不降试压合格，打开油、套管闸门，指挥开泵，按设计要求完成正洗井施工，按照设计的泵注程序</w:t>
      </w:r>
      <w:r>
        <w:rPr>
          <w:rFonts w:hint="eastAsia" w:cs="Times New Roman"/>
          <w:lang w:val="en-US" w:eastAsia="zh-CN"/>
        </w:rPr>
        <w:t>施工</w:t>
      </w:r>
      <w:r>
        <w:rPr>
          <w:rFonts w:hint="eastAsia" w:ascii="Times New Roman" w:hAnsi="Times New Roman" w:cs="Times New Roman"/>
          <w:lang w:val="en-US" w:eastAsia="zh-CN"/>
        </w:rPr>
        <w:t>，观察泵压和地层吸收能力。泵压稳定后，按设计的泵注程序开始地层挤压充填施工，施工过程中，严格控制并记录施工排量、砂比、填砂量、泵压，当泵压比试挤泵压升高5MPa～10MPa或达到设计的填砂量后停止加砂，继续顶替携砂液，直至将砂子全部顶入地层后停泵，待压力扩散。正循环充填，加完整论设计砂量后，继续顶替携砂液，终止泵压控制在12MPa～16MPa。要求充填时泵车不能有停车或者换挡的情况发生。反洗井：填结束后反循环洗井，将多余的砾石洗出。按充填工具使用规定丢手。施工结束后，起出防砂管柱，并检查充填工具以下内管柱情况。</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eastAsia="宋体"/>
          <w:b/>
          <w:sz w:val="28"/>
          <w:lang w:eastAsia="zh-CN"/>
        </w:rPr>
      </w:pPr>
      <w:r>
        <w:rPr>
          <w:rFonts w:hint="eastAsia"/>
          <w:b/>
          <w:sz w:val="28"/>
          <w:lang w:val="en-US" w:eastAsia="zh-CN"/>
        </w:rPr>
        <w:t>7.</w:t>
      </w:r>
      <w:r>
        <w:rPr>
          <w:rFonts w:hint="eastAsia"/>
          <w:b/>
          <w:sz w:val="28"/>
          <w:lang w:eastAsia="zh-CN"/>
        </w:rPr>
        <w:t>堵水/调剖</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1</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上动力</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设备设施就位，队长与配合单位对接将设备按标准摆放就位，安装设备完成。</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2</w:t>
      </w:r>
      <w:r>
        <w:rPr>
          <w:rFonts w:hint="eastAsia" w:ascii="Times New Roman" w:hAnsi="Times New Roman" w:cs="Times New Roman"/>
          <w:kern w:val="2"/>
          <w:sz w:val="28"/>
          <w:szCs w:val="24"/>
          <w:lang w:val="en-US" w:eastAsia="zh-CN" w:bidi="ar-SA"/>
        </w:rPr>
        <w:t>）</w:t>
      </w:r>
      <w:r>
        <w:rPr>
          <w:rFonts w:hint="eastAsia" w:cs="Times New Roman"/>
          <w:kern w:val="2"/>
          <w:sz w:val="28"/>
          <w:szCs w:val="24"/>
          <w:lang w:val="en-US" w:eastAsia="zh-CN" w:bidi="ar-SA"/>
        </w:rPr>
        <w:t>堵水/调剖</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将地面管线连接，管线试压至设计最高施工压力的1.5倍，指挥开泵洗井，按设计要求完成施工；打开套管闸门，试挤符合设计要求后注入调剖堵剂，关闭套管闸门后，指挥水泥车正挤</w:t>
      </w:r>
      <w:r>
        <w:rPr>
          <w:rFonts w:hint="eastAsia" w:ascii="Times New Roman" w:hAnsi="Times New Roman" w:eastAsia="宋体" w:cs="Times New Roman"/>
          <w:kern w:val="2"/>
          <w:sz w:val="28"/>
          <w:szCs w:val="24"/>
          <w:highlight w:val="none"/>
          <w:lang w:val="en-US" w:eastAsia="zh-CN" w:bidi="ar-SA"/>
        </w:rPr>
        <w:t>顶替液（油田净化水）</w:t>
      </w:r>
      <w:r>
        <w:rPr>
          <w:rFonts w:hint="eastAsia" w:ascii="Times New Roman" w:hAnsi="Times New Roman" w:eastAsia="宋体" w:cs="Times New Roman"/>
          <w:kern w:val="2"/>
          <w:sz w:val="28"/>
          <w:szCs w:val="24"/>
          <w:lang w:val="en-US" w:eastAsia="zh-CN" w:bidi="ar-SA"/>
        </w:rPr>
        <w:t>，使调剖堵剂全部进入地层。关闭油管闸门，关井侯凝。</w:t>
      </w:r>
      <w:r>
        <w:rPr>
          <w:rFonts w:hint="eastAsia" w:cs="Times New Roman"/>
          <w:kern w:val="2"/>
          <w:sz w:val="28"/>
          <w:szCs w:val="24"/>
          <w:lang w:val="en-US" w:eastAsia="zh-CN" w:bidi="ar-SA"/>
        </w:rPr>
        <w:t>堵水/调剖</w:t>
      </w:r>
      <w:r>
        <w:rPr>
          <w:rFonts w:hint="eastAsia" w:ascii="Times New Roman" w:hAnsi="Times New Roman" w:eastAsia="宋体" w:cs="Times New Roman"/>
          <w:kern w:val="2"/>
          <w:sz w:val="28"/>
          <w:szCs w:val="24"/>
          <w:lang w:val="en-US" w:eastAsia="zh-CN" w:bidi="ar-SA"/>
        </w:rPr>
        <w:t>施工结束后起出管柱。</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sz w:val="28"/>
          <w:lang w:eastAsia="zh-CN"/>
        </w:rPr>
      </w:pPr>
      <w:r>
        <w:rPr>
          <w:rFonts w:hint="eastAsia"/>
          <w:b/>
          <w:sz w:val="28"/>
          <w:lang w:val="en-US" w:eastAsia="zh-CN"/>
        </w:rPr>
        <w:t>8.</w:t>
      </w:r>
      <w:r>
        <w:rPr>
          <w:rFonts w:hint="eastAsia"/>
          <w:b/>
          <w:sz w:val="28"/>
        </w:rPr>
        <w:t>特殊工艺技术服务（套管补贴</w:t>
      </w:r>
      <w:r>
        <w:rPr>
          <w:rFonts w:hint="eastAsia"/>
          <w:b/>
          <w:sz w:val="28"/>
          <w:lang w:eastAsia="zh-CN"/>
        </w:rPr>
        <w:t>）</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1</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上动力</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设备设施就位，队长与配合单位对接将设备按标准摆放就位，安装设备完成。</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2</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套管补贴</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连接地面管线，指挥开泵，管线试压45MPa，稳压30min，压降不超过0.5MPa为合格。正打压启动膨胀锥，边打压司钻边上提管柱，直至压力突降为止，补贴完成。操作修井机或通井机下探补贴段上界，悬重下降不超过30</w:t>
      </w:r>
      <w:r>
        <w:rPr>
          <w:rFonts w:hint="eastAsia" w:cs="Times New Roman"/>
          <w:kern w:val="2"/>
          <w:sz w:val="28"/>
          <w:szCs w:val="24"/>
          <w:lang w:val="en-US" w:eastAsia="zh-CN" w:bidi="ar-SA"/>
        </w:rPr>
        <w:t>k</w:t>
      </w:r>
      <w:r>
        <w:rPr>
          <w:rFonts w:hint="eastAsia" w:ascii="Times New Roman" w:hAnsi="Times New Roman" w:eastAsia="宋体" w:cs="Times New Roman"/>
          <w:kern w:val="2"/>
          <w:sz w:val="28"/>
          <w:szCs w:val="24"/>
          <w:lang w:val="en-US" w:eastAsia="zh-CN" w:bidi="ar-SA"/>
        </w:rPr>
        <w:t>N。</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3</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起下管柱</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摘挂吊卡，拉送油管，摘（挂）吊卡到位并确保吊卡月牙朝上后，起（下）钻具，拉送液压钳，操作液压钳上（卸）油管，完成后起（下）钻具，完成施工。</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4</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通井</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将通井规连接油管下部用管钳上扣，用专用油管吊卡搭在油管接箍下部，启动修井机或通井机上提1米接着下放油管，直到通至设计要求深度。</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5</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试压</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水泥车到达施工现场，立即连接泵车至井口上法兰水龙带，用榔头砸紧，接着把上水管线插到大罐；拉水车到位，把油田净化水倒入大罐，立即启动水泥车开始试压，按设计要求进行打压，稳压30min压力不降，试压合格。</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sz w:val="28"/>
        </w:rPr>
      </w:pPr>
      <w:r>
        <w:rPr>
          <w:rFonts w:hint="eastAsia"/>
          <w:b/>
          <w:sz w:val="28"/>
          <w:lang w:val="en-US" w:eastAsia="zh-CN"/>
        </w:rPr>
        <w:t>9.</w:t>
      </w:r>
      <w:r>
        <w:rPr>
          <w:rFonts w:hint="eastAsia"/>
          <w:b/>
          <w:sz w:val="28"/>
        </w:rPr>
        <w:t>井下复杂情况处理（打捞、堵漏）</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1</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上动力</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设备设施就位，队长与配合单位对接将设备按标准摆放就位，安装设备完成。</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2</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起下管柱</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摘挂吊卡，拉送油管，摘（挂）吊卡到位并确保吊卡月牙朝上后，起（下）钻具，拉送液压钳，操作液压钳上（卸）油管，完成后起（下）钻具，完成施工。</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3</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堵漏、封堵</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连接施工管线，指挥开泵，管线试压至设计最高施工压力的1.5倍，按设计要求完成洗井施工。用油井G级水泥、水泥添加剂、清水、配制灰浆密度、配置量应符合设计要求。指挥开泵挤水泥浆，挤注完成后，上提管柱至封堵层以上20m反洗井，洗出封堵管柱内的水泥浆，洗至出口不含水泥浆停泵。将油套关闭，关井候凝48小时。</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4</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探灰面</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操作修井机或通井机下放管柱探灰面，下放加压5-15kN，实探3次，误差不超过0.5m，探至灰面后上提油管20m，灰面位置应符合设计要求。</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5</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钻水泥塞</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cs="Times New Roman"/>
          <w:kern w:val="2"/>
          <w:sz w:val="28"/>
          <w:szCs w:val="24"/>
          <w:lang w:val="en-US" w:eastAsia="zh-CN" w:bidi="ar-SA"/>
        </w:rPr>
        <w:t>用</w:t>
      </w:r>
      <w:r>
        <w:rPr>
          <w:rFonts w:hint="eastAsia" w:ascii="Times New Roman" w:hAnsi="Times New Roman" w:eastAsia="宋体" w:cs="Times New Roman"/>
          <w:kern w:val="2"/>
          <w:sz w:val="28"/>
          <w:szCs w:val="24"/>
          <w:lang w:val="en-US" w:eastAsia="zh-CN" w:bidi="ar-SA"/>
        </w:rPr>
        <w:t>900mm管钳打好背钳，扶正水龙头，</w:t>
      </w:r>
      <w:r>
        <w:rPr>
          <w:rFonts w:hint="eastAsia" w:cs="Times New Roman"/>
          <w:kern w:val="2"/>
          <w:sz w:val="28"/>
          <w:szCs w:val="24"/>
          <w:lang w:val="en-US" w:eastAsia="zh-CN" w:bidi="ar-SA"/>
        </w:rPr>
        <w:t>用</w:t>
      </w:r>
      <w:r>
        <w:rPr>
          <w:rFonts w:hint="eastAsia" w:ascii="Times New Roman" w:hAnsi="Times New Roman" w:eastAsia="宋体" w:cs="Times New Roman"/>
          <w:kern w:val="2"/>
          <w:sz w:val="28"/>
          <w:szCs w:val="24"/>
          <w:lang w:val="en-US" w:eastAsia="zh-CN" w:bidi="ar-SA"/>
        </w:rPr>
        <w:t>900mm管钳将水龙头上紧，扶正水龙带，将水龙带油壬与水龙头连接，并用榔头砸紧，打好吊卡并挂好水龙带保险绳，挂好吊环，上提单根，连接钻具。摘挂吊卡，拉送油管，摘（挂）吊卡到位并确保吊卡月牙朝上后，起（下）钻具，完成施工。指挥泵、罐车就位，司机不能离开岗位。队长负责指挥并负责观察泵压、排量、出口情况，钻压及悬重变化，处理现场意外情况。</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6</w:t>
      </w:r>
      <w:r>
        <w:rPr>
          <w:rFonts w:hint="eastAsia" w:ascii="Times New Roman" w:hAnsi="Times New Roman" w:cs="Times New Roman"/>
          <w:kern w:val="2"/>
          <w:sz w:val="28"/>
          <w:szCs w:val="24"/>
          <w:lang w:val="en-US" w:eastAsia="zh-CN" w:bidi="ar-SA"/>
        </w:rPr>
        <w:t>）</w:t>
      </w:r>
      <w:r>
        <w:rPr>
          <w:rFonts w:hint="eastAsia" w:ascii="Times New Roman" w:hAnsi="Times New Roman" w:eastAsia="宋体" w:cs="Times New Roman"/>
          <w:kern w:val="2"/>
          <w:sz w:val="28"/>
          <w:szCs w:val="24"/>
          <w:lang w:val="en-US" w:eastAsia="zh-CN" w:bidi="ar-SA"/>
        </w:rPr>
        <w:t>试压</w:t>
      </w:r>
    </w:p>
    <w:p>
      <w:pPr>
        <w:pStyle w:val="15"/>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b/>
          <w:sz w:val="28"/>
        </w:rPr>
      </w:pPr>
      <w:r>
        <w:rPr>
          <w:rFonts w:hint="eastAsia" w:ascii="Times New Roman" w:hAnsi="Times New Roman" w:eastAsia="宋体" w:cs="Times New Roman"/>
          <w:kern w:val="2"/>
          <w:sz w:val="28"/>
          <w:szCs w:val="24"/>
          <w:lang w:val="en-US" w:eastAsia="zh-CN" w:bidi="ar-SA"/>
        </w:rPr>
        <w:t>水泥车到达施工现场，立即连接泵车至井口上法兰水龙带，用榔头砸紧，接着把上水管线插到大罐；拉水车到位，把油田净化水倒入大罐，立即启动水泥车开始试压，按设计要求进行打压，稳压30min压力不降，试压合格。</w:t>
      </w:r>
    </w:p>
    <w:p>
      <w:pPr>
        <w:pStyle w:val="15"/>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firstLine="560" w:firstLineChars="200"/>
        <w:textAlignment w:val="auto"/>
        <w:rPr>
          <w:rFonts w:hint="eastAsia"/>
          <w:b/>
          <w:sz w:val="28"/>
        </w:rPr>
      </w:pPr>
      <w:r>
        <w:rPr>
          <w:rFonts w:hint="eastAsia"/>
          <w:b/>
          <w:sz w:val="28"/>
        </w:rPr>
        <w:t>现场试压</w:t>
      </w:r>
    </w:p>
    <w:p>
      <w:pPr>
        <w:keepNext w:val="0"/>
        <w:keepLines w:val="0"/>
        <w:pageBreakBefore w:val="0"/>
        <w:widowControl w:val="0"/>
        <w:numPr>
          <w:ilvl w:val="0"/>
          <w:numId w:val="12"/>
        </w:numPr>
        <w:kinsoku/>
        <w:wordWrap/>
        <w:overflowPunct/>
        <w:topLinePunct w:val="0"/>
        <w:autoSpaceDE/>
        <w:autoSpaceDN/>
        <w:bidi w:val="0"/>
        <w:adjustRightInd w:val="0"/>
        <w:snapToGrid w:val="0"/>
        <w:spacing w:line="360" w:lineRule="auto"/>
        <w:ind w:firstLine="560" w:firstLineChars="200"/>
        <w:jc w:val="both"/>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作业流程</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1</w:t>
      </w:r>
      <w:r>
        <w:rPr>
          <w:rFonts w:hint="eastAsia"/>
          <w:lang w:val="en-US" w:eastAsia="zh-CN"/>
        </w:rPr>
        <w:t>）</w:t>
      </w:r>
      <w:r>
        <w:rPr>
          <w:rFonts w:hint="default"/>
          <w:lang w:val="en-US" w:eastAsia="zh-CN"/>
        </w:rPr>
        <w:t xml:space="preserve">施工方将待试压井号分配给试压队，试压队接收该井号。 </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2</w:t>
      </w:r>
      <w:r>
        <w:rPr>
          <w:rFonts w:hint="eastAsia"/>
          <w:lang w:val="en-US" w:eastAsia="zh-CN"/>
        </w:rPr>
        <w:t>）</w:t>
      </w:r>
      <w:r>
        <w:rPr>
          <w:rFonts w:hint="default"/>
          <w:lang w:val="en-US" w:eastAsia="zh-CN"/>
        </w:rPr>
        <w:t xml:space="preserve">试压队接到井号后，前往该井进行现场试压。 </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3</w:t>
      </w:r>
      <w:r>
        <w:rPr>
          <w:rFonts w:hint="eastAsia"/>
          <w:lang w:val="en-US" w:eastAsia="zh-CN"/>
        </w:rPr>
        <w:t>）</w:t>
      </w:r>
      <w:r>
        <w:rPr>
          <w:rFonts w:hint="default"/>
          <w:lang w:val="en-US" w:eastAsia="zh-CN"/>
        </w:rPr>
        <w:t>试压结束后，试压方、施工方双方签字认可，试压完成。</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（2）施工流程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1）上动力</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设备设施就位，队长与配合单位对接将设备按标准摆放就位。</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2）试压要求</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ascii="宋体" w:hAnsi="宋体" w:eastAsia="宋体" w:cs="宋体"/>
          <w:lang w:val="en-US" w:eastAsia="zh-CN"/>
        </w:rPr>
        <w:t>①</w:t>
      </w:r>
      <w:r>
        <w:rPr>
          <w:rFonts w:hint="eastAsia"/>
          <w:lang w:val="en-US" w:eastAsia="zh-CN"/>
        </w:rPr>
        <w:t>防喷器安装后对套管短节以上井口及井控装置进行整体试压。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ascii="宋体" w:hAnsi="宋体" w:eastAsia="宋体" w:cs="宋体"/>
          <w:lang w:val="en-US" w:eastAsia="zh-CN"/>
        </w:rPr>
        <w:t>②</w:t>
      </w:r>
      <w:r>
        <w:rPr>
          <w:rFonts w:hint="eastAsia"/>
          <w:lang w:val="en-US" w:eastAsia="zh-CN"/>
        </w:rPr>
        <w:t>在不超过油水井口额定压力或套管抗内压强度80%的情况下，闸板防喷器试压到额定工作压力，稳压时间不少于15min，允许压降不超过0.7MPa。</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ascii="宋体" w:hAnsi="宋体" w:eastAsia="宋体" w:cs="宋体"/>
          <w:lang w:val="en-US" w:eastAsia="zh-CN"/>
        </w:rPr>
        <w:t>③</w:t>
      </w:r>
      <w:r>
        <w:rPr>
          <w:rFonts w:hint="eastAsia"/>
          <w:lang w:val="en-US" w:eastAsia="zh-CN"/>
        </w:rPr>
        <w:t>试压合格后，应出具《井控装置现场试压报告单》。</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3）现场试压</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施工前检查试压装置水柜水位是否在警戒线以上，保证足够使用且保持水滤清器清洁有效；打开水柜三通阀，确保水泵进水管无漏气、漏水现象；随后打开试压控制柜内高压球阀；缓缓拉出卷盘机上高压胶管，并接到被试压管汇接头上，保证接头无漏气、漏水现象，并在被试压管汇上安装卸压阀能安全卸压；将需要试压的设备逐一试压完成，试压合格，操作工用电脑仪器设备将试压曲线打印出来，双方签字，试压结束。</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cs="Times New Roman"/>
          <w:sz w:val="28"/>
          <w:szCs w:val="28"/>
          <w:lang w:val="en-US" w:eastAsia="zh-CN"/>
        </w:rPr>
      </w:pPr>
      <w:r>
        <w:rPr>
          <w:rFonts w:hint="eastAsia" w:eastAsia="黑体"/>
          <w:b w:val="0"/>
          <w:snapToGrid w:val="0"/>
          <w:kern w:val="0"/>
          <w:sz w:val="28"/>
          <w:szCs w:val="28"/>
        </w:rPr>
        <w:t>2.</w:t>
      </w:r>
      <w:r>
        <w:rPr>
          <w:rFonts w:eastAsia="黑体"/>
          <w:b w:val="0"/>
          <w:snapToGrid w:val="0"/>
          <w:kern w:val="0"/>
          <w:sz w:val="28"/>
          <w:szCs w:val="28"/>
        </w:rPr>
        <w:t>3</w:t>
      </w:r>
      <w:r>
        <w:rPr>
          <w:rFonts w:hint="eastAsia" w:eastAsia="黑体"/>
          <w:b w:val="0"/>
          <w:snapToGrid w:val="0"/>
          <w:kern w:val="0"/>
          <w:sz w:val="28"/>
          <w:szCs w:val="28"/>
        </w:rPr>
        <w:t>.</w:t>
      </w:r>
      <w:r>
        <w:rPr>
          <w:rFonts w:eastAsia="黑体"/>
          <w:b w:val="0"/>
          <w:snapToGrid w:val="0"/>
          <w:kern w:val="0"/>
          <w:sz w:val="28"/>
          <w:szCs w:val="28"/>
        </w:rPr>
        <w:t xml:space="preserve">3 </w:t>
      </w:r>
      <w:r>
        <w:rPr>
          <w:rFonts w:hint="eastAsia" w:eastAsia="黑体"/>
          <w:b w:val="0"/>
          <w:snapToGrid w:val="0"/>
          <w:kern w:val="0"/>
          <w:sz w:val="28"/>
          <w:szCs w:val="28"/>
          <w:lang w:val="en-US" w:eastAsia="zh-CN"/>
        </w:rPr>
        <w:t>基层队伍介绍</w:t>
      </w:r>
    </w:p>
    <w:p>
      <w:pPr>
        <w:bidi w:val="0"/>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涉及企业机密，不予公开。</w:t>
      </w:r>
    </w:p>
    <w:p>
      <w:pPr>
        <w:pStyle w:val="5"/>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eastAsia="黑体"/>
          <w:b w:val="0"/>
          <w:snapToGrid w:val="0"/>
          <w:kern w:val="0"/>
          <w:sz w:val="28"/>
          <w:szCs w:val="28"/>
        </w:rPr>
      </w:pPr>
      <w:r>
        <w:rPr>
          <w:rFonts w:hint="eastAsia" w:eastAsia="黑体"/>
          <w:b w:val="0"/>
          <w:snapToGrid w:val="0"/>
          <w:kern w:val="0"/>
          <w:sz w:val="28"/>
          <w:szCs w:val="28"/>
        </w:rPr>
        <w:t>2.</w:t>
      </w:r>
      <w:r>
        <w:rPr>
          <w:rFonts w:eastAsia="黑体"/>
          <w:b w:val="0"/>
          <w:snapToGrid w:val="0"/>
          <w:kern w:val="0"/>
          <w:sz w:val="28"/>
          <w:szCs w:val="28"/>
        </w:rPr>
        <w:t>3</w:t>
      </w:r>
      <w:r>
        <w:rPr>
          <w:rFonts w:hint="eastAsia" w:eastAsia="黑体"/>
          <w:b w:val="0"/>
          <w:snapToGrid w:val="0"/>
          <w:kern w:val="0"/>
          <w:sz w:val="28"/>
          <w:szCs w:val="28"/>
        </w:rPr>
        <w:t>.</w:t>
      </w:r>
      <w:r>
        <w:rPr>
          <w:rFonts w:hint="eastAsia" w:eastAsia="黑体"/>
          <w:b w:val="0"/>
          <w:snapToGrid w:val="0"/>
          <w:kern w:val="0"/>
          <w:sz w:val="28"/>
          <w:szCs w:val="28"/>
          <w:lang w:val="en-US" w:eastAsia="zh-CN"/>
        </w:rPr>
        <w:t>4</w:t>
      </w:r>
      <w:r>
        <w:rPr>
          <w:rFonts w:eastAsia="黑体"/>
          <w:b w:val="0"/>
          <w:snapToGrid w:val="0"/>
          <w:kern w:val="0"/>
          <w:sz w:val="28"/>
          <w:szCs w:val="28"/>
        </w:rPr>
        <w:t xml:space="preserve"> </w:t>
      </w:r>
      <w:r>
        <w:rPr>
          <w:rFonts w:hint="eastAsia" w:eastAsia="黑体"/>
          <w:b w:val="0"/>
          <w:snapToGrid w:val="0"/>
          <w:kern w:val="0"/>
          <w:sz w:val="28"/>
          <w:szCs w:val="28"/>
          <w:lang w:val="en-US" w:eastAsia="zh-CN"/>
        </w:rPr>
        <w:t>设备</w:t>
      </w:r>
      <w:r>
        <w:rPr>
          <w:rFonts w:hint="eastAsia" w:eastAsia="黑体"/>
          <w:b w:val="0"/>
          <w:snapToGrid w:val="0"/>
          <w:kern w:val="0"/>
          <w:sz w:val="28"/>
          <w:szCs w:val="28"/>
        </w:rPr>
        <w:t>、设施的配备</w:t>
      </w:r>
    </w:p>
    <w:p>
      <w:pPr>
        <w:pStyle w:val="15"/>
        <w:keepNext w:val="0"/>
        <w:keepLines w:val="0"/>
        <w:pageBreakBefore w:val="0"/>
        <w:widowControl w:val="0"/>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sz w:val="28"/>
          <w:szCs w:val="28"/>
          <w:lang w:val="en-US" w:eastAsia="zh-CN"/>
        </w:rPr>
        <w:t>涉及企业机密，不予公开。</w:t>
      </w:r>
      <w:r>
        <w:rPr>
          <w:rFonts w:hint="eastAsia"/>
          <w:sz w:val="28"/>
          <w:szCs w:val="28"/>
          <w:lang w:val="en-US" w:eastAsia="zh-CN"/>
        </w:rPr>
        <w:br w:type="textWrapping"/>
      </w:r>
      <w:r>
        <w:rPr>
          <w:rFonts w:hint="eastAsia"/>
          <w:sz w:val="28"/>
          <w:szCs w:val="28"/>
          <w:lang w:eastAsia="zh-CN"/>
        </w:rPr>
        <w:t>胜利油田康贝油气工程有限公司</w:t>
      </w:r>
      <w:r>
        <w:rPr>
          <w:rFonts w:hint="eastAsia"/>
          <w:sz w:val="28"/>
        </w:rPr>
        <w:t>主要设备设施情况见表2-</w:t>
      </w:r>
      <w:r>
        <w:rPr>
          <w:sz w:val="28"/>
        </w:rPr>
        <w:t>2</w:t>
      </w:r>
      <w:r>
        <w:rPr>
          <w:rFonts w:hint="eastAsia"/>
          <w:sz w:val="28"/>
        </w:rPr>
        <w:t>，安全设施配置情况见表2-</w:t>
      </w:r>
      <w:r>
        <w:rPr>
          <w:sz w:val="28"/>
        </w:rPr>
        <w:t>3</w:t>
      </w:r>
      <w:r>
        <w:rPr>
          <w:rFonts w:hint="eastAsia"/>
          <w:sz w:val="28"/>
        </w:rPr>
        <w:t>。</w:t>
      </w:r>
    </w:p>
    <w:p>
      <w:pPr>
        <w:pStyle w:val="15"/>
        <w:keepNext w:val="0"/>
        <w:keepLines w:val="0"/>
        <w:pageBreakBefore w:val="0"/>
        <w:widowControl w:val="0"/>
        <w:kinsoku/>
        <w:wordWrap/>
        <w:overflowPunct/>
        <w:topLinePunct w:val="0"/>
        <w:autoSpaceDE/>
        <w:autoSpaceDN/>
        <w:bidi w:val="0"/>
        <w:adjustRightInd w:val="0"/>
        <w:snapToGrid w:val="0"/>
        <w:spacing w:line="240" w:lineRule="auto"/>
        <w:ind w:firstLine="480"/>
        <w:jc w:val="center"/>
        <w:textAlignment w:val="auto"/>
        <w:rPr>
          <w:rFonts w:hint="eastAsia"/>
          <w:b/>
          <w:bCs/>
          <w:sz w:val="21"/>
          <w:szCs w:val="21"/>
        </w:rPr>
      </w:pPr>
      <w:r>
        <w:rPr>
          <w:rFonts w:hint="eastAsia"/>
          <w:b/>
          <w:bCs/>
          <w:sz w:val="21"/>
          <w:szCs w:val="21"/>
        </w:rPr>
        <w:t>表2-</w:t>
      </w:r>
      <w:r>
        <w:rPr>
          <w:rFonts w:hint="eastAsia"/>
          <w:b/>
          <w:bCs/>
          <w:sz w:val="21"/>
          <w:szCs w:val="21"/>
          <w:lang w:val="en-US" w:eastAsia="zh-CN"/>
        </w:rPr>
        <w:t>2  康贝油气公司井下</w:t>
      </w:r>
      <w:r>
        <w:rPr>
          <w:rFonts w:hint="eastAsia"/>
          <w:b/>
          <w:bCs/>
          <w:sz w:val="21"/>
          <w:szCs w:val="21"/>
        </w:rPr>
        <w:t>作业主要设备清单</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sz w:val="24"/>
          <w:szCs w:val="28"/>
        </w:rPr>
      </w:pPr>
      <w:r>
        <w:rPr>
          <w:rFonts w:hint="eastAsia" w:cs="Times New Roman"/>
          <w:color w:val="auto"/>
          <w:szCs w:val="21"/>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sz w:val="24"/>
          <w:szCs w:val="28"/>
          <w:lang w:val="en-US" w:eastAsia="zh-CN"/>
        </w:rPr>
      </w:pPr>
      <w:r>
        <w:rPr>
          <w:rFonts w:hint="eastAsia"/>
          <w:sz w:val="24"/>
          <w:szCs w:val="28"/>
        </w:rPr>
        <w:t>注：</w:t>
      </w:r>
      <w:r>
        <w:rPr>
          <w:rFonts w:hint="eastAsia"/>
          <w:sz w:val="24"/>
          <w:szCs w:val="28"/>
          <w:lang w:val="en-US" w:eastAsia="zh-CN"/>
        </w:rPr>
        <w:t>修井机、井架底座等设备设施</w:t>
      </w:r>
      <w:r>
        <w:rPr>
          <w:rFonts w:hint="eastAsia"/>
          <w:sz w:val="24"/>
          <w:szCs w:val="28"/>
          <w:lang w:eastAsia="zh-CN"/>
        </w:rPr>
        <w:t>台账及部分检验检测报告</w:t>
      </w:r>
      <w:r>
        <w:rPr>
          <w:rFonts w:hint="eastAsia"/>
          <w:sz w:val="24"/>
          <w:szCs w:val="28"/>
        </w:rPr>
        <w:t>详见报告附件</w:t>
      </w:r>
      <w:r>
        <w:rPr>
          <w:rFonts w:hint="eastAsia"/>
          <w:sz w:val="24"/>
          <w:szCs w:val="28"/>
          <w:lang w:val="en-US" w:eastAsia="zh-CN"/>
        </w:rPr>
        <w:t>16。表格内容为企业整改后的设备设施检测检验记录。</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color w:val="auto"/>
          <w:kern w:val="2"/>
          <w:sz w:val="28"/>
          <w:szCs w:val="28"/>
          <w:lang w:val="en-US" w:eastAsia="zh-CN" w:bidi="ar-SA"/>
        </w:rPr>
        <w:t>评价过程中</w:t>
      </w:r>
      <w:r>
        <w:rPr>
          <w:rFonts w:hint="eastAsia" w:cs="Times New Roman"/>
          <w:color w:val="auto"/>
          <w:kern w:val="2"/>
          <w:sz w:val="28"/>
          <w:szCs w:val="28"/>
          <w:lang w:val="en-US" w:eastAsia="zh-CN" w:bidi="ar-SA"/>
        </w:rPr>
        <w:t>发现康贝油气公司部分设备检测已到期，安全设备设施中部分压力表检测已到期，胜利油田康贝油气工程有限公司立即采取措施组织对这些设备设施进行了检测检验，结论合格。</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 xml:space="preserve">表2-3 </w:t>
      </w:r>
      <w:r>
        <w:rPr>
          <w:rFonts w:hint="eastAsia" w:cs="Times New Roman"/>
          <w:b/>
          <w:bCs/>
          <w:kern w:val="2"/>
          <w:sz w:val="21"/>
          <w:szCs w:val="21"/>
          <w:lang w:val="en-US" w:eastAsia="zh-CN" w:bidi="ar-SA"/>
        </w:rPr>
        <w:t xml:space="preserve"> </w:t>
      </w:r>
      <w:r>
        <w:rPr>
          <w:rFonts w:hint="eastAsia" w:ascii="Times New Roman" w:hAnsi="Times New Roman" w:eastAsia="宋体" w:cs="Times New Roman"/>
          <w:b/>
          <w:bCs/>
          <w:kern w:val="2"/>
          <w:sz w:val="21"/>
          <w:szCs w:val="21"/>
          <w:lang w:val="en-US" w:eastAsia="zh-CN" w:bidi="ar-SA"/>
        </w:rPr>
        <w:t>胜利油田康贝油气工程有限公司安全设备设施（压力表、安全阀）台账</w:t>
      </w:r>
    </w:p>
    <w:p>
      <w:pPr>
        <w:adjustRightInd w:val="0"/>
        <w:snapToGrid w:val="0"/>
        <w:spacing w:line="360" w:lineRule="auto"/>
        <w:jc w:val="center"/>
        <w:rPr>
          <w:rFonts w:hint="eastAsia"/>
          <w:sz w:val="24"/>
          <w:szCs w:val="28"/>
          <w:lang w:val="en-US" w:eastAsia="zh-CN"/>
        </w:rPr>
      </w:pPr>
      <w:r>
        <w:rPr>
          <w:rFonts w:hint="eastAsia"/>
          <w:sz w:val="24"/>
          <w:szCs w:val="28"/>
        </w:rPr>
        <w:t>注：</w:t>
      </w:r>
      <w:r>
        <w:rPr>
          <w:rFonts w:hint="eastAsia"/>
          <w:sz w:val="24"/>
          <w:szCs w:val="28"/>
          <w:lang w:val="en-US" w:eastAsia="zh-CN"/>
        </w:rPr>
        <w:t>安全阀、压力表</w:t>
      </w:r>
      <w:r>
        <w:rPr>
          <w:rFonts w:hint="eastAsia"/>
          <w:sz w:val="24"/>
          <w:szCs w:val="28"/>
          <w:lang w:eastAsia="zh-CN"/>
        </w:rPr>
        <w:t>台账及部分检验检测报告</w:t>
      </w:r>
      <w:r>
        <w:rPr>
          <w:rFonts w:hint="eastAsia"/>
          <w:sz w:val="24"/>
          <w:szCs w:val="28"/>
        </w:rPr>
        <w:t>详见报告附件</w:t>
      </w:r>
      <w:r>
        <w:rPr>
          <w:rFonts w:hint="eastAsia"/>
          <w:sz w:val="24"/>
          <w:szCs w:val="28"/>
          <w:lang w:val="en-US" w:eastAsia="zh-CN"/>
        </w:rPr>
        <w:t>17。表格内容为企业整改后的安全阀、压力表检测检验记录。</w:t>
      </w:r>
    </w:p>
    <w:p>
      <w:pPr>
        <w:adjustRightInd w:val="0"/>
        <w:snapToGrid w:val="0"/>
        <w:spacing w:line="360" w:lineRule="auto"/>
        <w:jc w:val="center"/>
        <w:rPr>
          <w:rFonts w:hint="eastAsia"/>
          <w:sz w:val="24"/>
          <w:szCs w:val="28"/>
        </w:rPr>
        <w:sectPr>
          <w:headerReference r:id="rId12" w:type="default"/>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rtlGutter w:val="0"/>
          <w:docGrid w:type="linesAndChars" w:linePitch="319" w:charSpace="0"/>
        </w:sectPr>
      </w:pPr>
    </w:p>
    <w:p>
      <w:pPr>
        <w:pStyle w:val="5"/>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default" w:eastAsia="黑体"/>
          <w:b w:val="0"/>
          <w:snapToGrid w:val="0"/>
          <w:kern w:val="0"/>
          <w:sz w:val="28"/>
          <w:szCs w:val="28"/>
          <w:lang w:val="en-US" w:eastAsia="zh-CN"/>
        </w:rPr>
      </w:pPr>
      <w:r>
        <w:rPr>
          <w:rFonts w:hint="eastAsia" w:eastAsia="黑体"/>
          <w:b w:val="0"/>
          <w:snapToGrid w:val="0"/>
          <w:kern w:val="0"/>
          <w:sz w:val="28"/>
          <w:szCs w:val="28"/>
        </w:rPr>
        <w:t>2.3.</w:t>
      </w:r>
      <w:r>
        <w:rPr>
          <w:rFonts w:hint="eastAsia" w:eastAsia="黑体"/>
          <w:b w:val="0"/>
          <w:snapToGrid w:val="0"/>
          <w:kern w:val="0"/>
          <w:sz w:val="28"/>
          <w:szCs w:val="28"/>
          <w:lang w:val="en-US" w:eastAsia="zh-CN"/>
        </w:rPr>
        <w:t>5</w:t>
      </w:r>
      <w:r>
        <w:rPr>
          <w:rFonts w:hint="eastAsia" w:eastAsia="黑体"/>
          <w:b w:val="0"/>
          <w:snapToGrid w:val="0"/>
          <w:kern w:val="0"/>
          <w:sz w:val="28"/>
          <w:szCs w:val="28"/>
        </w:rPr>
        <w:t xml:space="preserve"> 作业</w:t>
      </w:r>
      <w:r>
        <w:rPr>
          <w:rFonts w:hint="eastAsia" w:eastAsia="黑体"/>
          <w:b w:val="0"/>
          <w:snapToGrid w:val="0"/>
          <w:kern w:val="0"/>
          <w:sz w:val="28"/>
          <w:szCs w:val="28"/>
          <w:lang w:val="en-US" w:eastAsia="zh-CN"/>
        </w:rPr>
        <w:t>区域及自然条件</w:t>
      </w:r>
    </w:p>
    <w:p>
      <w:pPr>
        <w:pStyle w:val="216"/>
        <w:adjustRightInd w:val="0"/>
        <w:snapToGrid w:val="0"/>
        <w:spacing w:after="0" w:line="360" w:lineRule="auto"/>
        <w:ind w:firstLine="560" w:firstLineChars="200"/>
        <w:rPr>
          <w:sz w:val="28"/>
        </w:rPr>
      </w:pPr>
      <w:r>
        <w:rPr>
          <w:rFonts w:hint="eastAsia"/>
          <w:sz w:val="28"/>
          <w:szCs w:val="28"/>
          <w:lang w:eastAsia="zh-CN"/>
        </w:rPr>
        <w:t>胜利油田康贝油气工程有限公司</w:t>
      </w:r>
      <w:r>
        <w:rPr>
          <w:rFonts w:hint="eastAsia"/>
          <w:sz w:val="28"/>
          <w:szCs w:val="28"/>
        </w:rPr>
        <w:t>位于</w:t>
      </w:r>
      <w:r>
        <w:rPr>
          <w:rFonts w:hint="eastAsia"/>
          <w:sz w:val="28"/>
          <w:szCs w:val="28"/>
          <w:lang w:val="en-US" w:eastAsia="zh-CN"/>
        </w:rPr>
        <w:t>山东省东营市东营区胜园街道嘉祥路51号</w:t>
      </w:r>
      <w:r>
        <w:rPr>
          <w:rFonts w:hint="eastAsia"/>
          <w:sz w:val="28"/>
          <w:szCs w:val="28"/>
        </w:rPr>
        <w:t>，公司业务主要是小修作业、大修作业、</w:t>
      </w:r>
      <w:r>
        <w:rPr>
          <w:rFonts w:hint="eastAsia"/>
          <w:sz w:val="28"/>
          <w:szCs w:val="28"/>
          <w:lang w:val="en-US" w:eastAsia="zh-CN"/>
        </w:rPr>
        <w:t>侧钻、</w:t>
      </w:r>
      <w:r>
        <w:rPr>
          <w:rFonts w:hint="eastAsia"/>
          <w:sz w:val="28"/>
          <w:szCs w:val="28"/>
          <w:lang w:eastAsia="zh-CN"/>
        </w:rPr>
        <w:t>连续油管</w:t>
      </w:r>
      <w:r>
        <w:rPr>
          <w:rFonts w:hint="eastAsia"/>
          <w:sz w:val="28"/>
          <w:szCs w:val="28"/>
        </w:rPr>
        <w:t>作业、酸化、防砂、</w:t>
      </w:r>
      <w:r>
        <w:rPr>
          <w:rFonts w:hint="eastAsia"/>
          <w:sz w:val="28"/>
          <w:szCs w:val="28"/>
          <w:lang w:eastAsia="zh-CN"/>
        </w:rPr>
        <w:t>堵水/调剖</w:t>
      </w:r>
      <w:r>
        <w:rPr>
          <w:rFonts w:hint="eastAsia"/>
          <w:sz w:val="28"/>
          <w:szCs w:val="28"/>
        </w:rPr>
        <w:t>、特殊工艺技术服务（套管补贴</w:t>
      </w:r>
      <w:r>
        <w:rPr>
          <w:rFonts w:hint="eastAsia"/>
          <w:sz w:val="28"/>
          <w:szCs w:val="28"/>
          <w:lang w:eastAsia="zh-CN"/>
        </w:rPr>
        <w:t>）</w:t>
      </w:r>
      <w:r>
        <w:rPr>
          <w:rFonts w:hint="eastAsia"/>
          <w:sz w:val="28"/>
          <w:szCs w:val="28"/>
        </w:rPr>
        <w:t>、井下复杂情况处理（打捞、堵漏）、现场试压。该企业主要服务于</w:t>
      </w:r>
      <w:r>
        <w:rPr>
          <w:rFonts w:hint="eastAsia"/>
          <w:sz w:val="28"/>
          <w:szCs w:val="28"/>
          <w:lang w:val="en-US" w:eastAsia="zh-CN"/>
        </w:rPr>
        <w:t>石油开发中心、滨南采油厂、胜利采油厂</w:t>
      </w:r>
      <w:r>
        <w:rPr>
          <w:rFonts w:hint="default"/>
          <w:sz w:val="28"/>
          <w:szCs w:val="28"/>
          <w:lang w:eastAsia="zh-CN"/>
        </w:rPr>
        <w:t>、鲁胜公司</w:t>
      </w:r>
      <w:r>
        <w:rPr>
          <w:rFonts w:hint="eastAsia"/>
          <w:sz w:val="28"/>
          <w:szCs w:val="28"/>
          <w:lang w:val="en-US" w:eastAsia="zh-CN"/>
        </w:rPr>
        <w:t>，作业地点主要涉及东营市、滨州市等。</w:t>
      </w:r>
    </w:p>
    <w:p>
      <w:pPr>
        <w:pStyle w:val="216"/>
        <w:numPr>
          <w:ilvl w:val="0"/>
          <w:numId w:val="13"/>
        </w:numPr>
        <w:adjustRightInd w:val="0"/>
        <w:snapToGrid w:val="0"/>
        <w:spacing w:after="0" w:line="360" w:lineRule="auto"/>
        <w:ind w:firstLine="560" w:firstLineChars="200"/>
        <w:jc w:val="both"/>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东营</w:t>
      </w:r>
      <w:r>
        <w:rPr>
          <w:rFonts w:hint="eastAsia"/>
          <w:color w:val="000000" w:themeColor="text1"/>
          <w:sz w:val="28"/>
          <w:szCs w:val="28"/>
          <w:lang w:val="en-US" w:eastAsia="zh-CN"/>
          <w14:textFill>
            <w14:solidFill>
              <w14:schemeClr w14:val="tx1"/>
            </w14:solidFill>
          </w14:textFill>
        </w:rPr>
        <w:t>市</w:t>
      </w:r>
      <w:r>
        <w:rPr>
          <w:rFonts w:hint="default"/>
          <w:color w:val="000000" w:themeColor="text1"/>
          <w:sz w:val="28"/>
          <w:szCs w:val="28"/>
          <w14:textFill>
            <w14:solidFill>
              <w14:schemeClr w14:val="tx1"/>
            </w14:solidFill>
          </w14:textFill>
        </w:rPr>
        <w:t>自然条件</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4"/>
          <w:lang w:val="en-US" w:eastAsia="zh-CN"/>
        </w:rPr>
        <w:t>1）</w:t>
      </w:r>
      <w:r>
        <w:rPr>
          <w:rFonts w:hint="eastAsia" w:ascii="Times New Roman" w:hAnsi="Times New Roman" w:eastAsia="宋体" w:cs="Times New Roman"/>
          <w:smallCaps w:val="0"/>
          <w:sz w:val="28"/>
          <w:szCs w:val="28"/>
        </w:rPr>
        <w:t>气候特征</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东营地区属暖温带大陆性季风气候。春季降水少，风速大，气候干燥：夏季气温高，湿度大，降水集中，有时受台风侵袭</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秋季气温急降，雨量骤减</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冬季雨雪稀少，寒冷干燥。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2</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气温</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年平均气温12.6℃，极端最低气温-23.3℃，极端最高气温为41.3℃。</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3</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降水</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年平均降雨量为544.4mm</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年度变化幅度较大，属降雨不稳定地区。</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4</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风况</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lang w:eastAsia="zh-CN"/>
        </w:rPr>
      </w:pPr>
      <w:r>
        <w:rPr>
          <w:rFonts w:hint="eastAsia" w:ascii="Times New Roman" w:hAnsi="Times New Roman" w:eastAsia="宋体" w:cs="Times New Roman"/>
          <w:smallCaps w:val="0"/>
          <w:sz w:val="28"/>
          <w:szCs w:val="24"/>
        </w:rPr>
        <w:t>年平均风速3.7m/s</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夏季盛行SE风，冬季盛行NW风。最小频率风向为NNE</w:t>
      </w:r>
      <w:r>
        <w:rPr>
          <w:rFonts w:hint="eastAsia" w:ascii="Times New Roman" w:hAnsi="Times New Roman" w:eastAsia="宋体" w:cs="Times New Roman"/>
          <w:smallCaps w:val="0"/>
          <w:sz w:val="28"/>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5</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地温和霜冻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地面温度年平均为14.9℃，最大冻土深度0.60m</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解冻日一般在30∽40天。</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6</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地震烈度</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该地区的抗震设防烈度为7度。</w:t>
      </w:r>
    </w:p>
    <w:p>
      <w:pPr>
        <w:keepNext w:val="0"/>
        <w:keepLines w:val="0"/>
        <w:pageBreakBefore w:val="0"/>
        <w:widowControl w:val="0"/>
        <w:numPr>
          <w:ilvl w:val="0"/>
          <w:numId w:val="14"/>
        </w:numPr>
        <w:kinsoku/>
        <w:wordWrap/>
        <w:overflowPunct/>
        <w:topLinePunct w:val="0"/>
        <w:autoSpaceDE/>
        <w:autoSpaceDN/>
        <w:bidi w:val="0"/>
        <w:adjustRightInd w:val="0"/>
        <w:snapToGrid w:val="0"/>
        <w:spacing w:line="360" w:lineRule="auto"/>
        <w:ind w:firstLine="560" w:firstLineChars="200"/>
        <w:jc w:val="both"/>
        <w:textAlignment w:val="auto"/>
        <w:rPr>
          <w:rFonts w:hint="eastAsia" w:ascii="Times New Roman" w:hAnsi="Times New Roman" w:eastAsia="宋体" w:cs="Times New Roman"/>
          <w:smallCaps w:val="0"/>
          <w:color w:val="000000"/>
          <w:kern w:val="2"/>
          <w:sz w:val="28"/>
          <w:szCs w:val="24"/>
          <w:lang w:val="en-US" w:eastAsia="zh-CN" w:bidi="ar-SA"/>
        </w:rPr>
      </w:pPr>
      <w:r>
        <w:rPr>
          <w:rFonts w:hint="eastAsia" w:ascii="Times New Roman" w:hAnsi="Times New Roman" w:eastAsia="宋体" w:cs="Times New Roman"/>
          <w:smallCaps w:val="0"/>
          <w:color w:val="000000"/>
          <w:kern w:val="2"/>
          <w:sz w:val="28"/>
          <w:szCs w:val="24"/>
          <w:lang w:val="en-US" w:eastAsia="zh-CN" w:bidi="ar-SA"/>
        </w:rPr>
        <w:t>社会环境</w:t>
      </w:r>
    </w:p>
    <w:p>
      <w:pPr>
        <w:pStyle w:val="216"/>
        <w:adjustRightInd w:val="0"/>
        <w:snapToGrid w:val="0"/>
        <w:spacing w:after="0" w:line="360" w:lineRule="auto"/>
        <w:ind w:firstLine="560" w:firstLineChars="200"/>
        <w:jc w:val="both"/>
        <w:rPr>
          <w:rFonts w:hint="eastAsia" w:ascii="Times New Roman" w:hAnsi="Times New Roman" w:eastAsia="宋体" w:cs="Times New Roman"/>
          <w:smallCaps w:val="0"/>
          <w:color w:val="auto"/>
          <w:kern w:val="2"/>
          <w:sz w:val="28"/>
          <w:szCs w:val="24"/>
          <w:lang w:val="en-US" w:eastAsia="zh-CN" w:bidi="ar-SA"/>
        </w:rPr>
      </w:pPr>
      <w:r>
        <w:rPr>
          <w:rFonts w:hint="default" w:ascii="Times New Roman" w:hAnsi="Times New Roman" w:eastAsia="宋体" w:cs="Times New Roman"/>
          <w:smallCaps w:val="0"/>
          <w:color w:val="auto"/>
          <w:kern w:val="2"/>
          <w:sz w:val="28"/>
          <w:szCs w:val="24"/>
          <w:lang w:val="en-US" w:eastAsia="zh-CN" w:bidi="ar-SA"/>
        </w:rPr>
        <w:t>东营地处中国华东地区、山东东北部、黄河入海口的三角洲地带，东临渤海，与日本、韩国隔海相望，北靠京津唐经济区，南连山东半岛蓝色经济区，向西辐射广大内陆地区，是环渤海经济区的重要节点、山东半岛城市群的重要组成部分，处于连接中原经济区与东北经济区、京津唐经济区与胶东半岛经济区的枢纽位置。</w:t>
      </w:r>
      <w:r>
        <w:rPr>
          <w:rFonts w:hint="eastAsia" w:ascii="Times New Roman" w:hAnsi="Times New Roman" w:eastAsia="宋体" w:cs="Times New Roman"/>
          <w:smallCaps w:val="0"/>
          <w:color w:val="auto"/>
          <w:kern w:val="2"/>
          <w:sz w:val="28"/>
          <w:szCs w:val="24"/>
          <w:lang w:val="en-US" w:eastAsia="zh-CN" w:bidi="ar-SA"/>
        </w:rPr>
        <w:t>交通便利，社会环境良好。</w:t>
      </w:r>
    </w:p>
    <w:p>
      <w:pPr>
        <w:widowControl/>
        <w:numPr>
          <w:ilvl w:val="0"/>
          <w:numId w:val="13"/>
        </w:numPr>
        <w:adjustRightInd w:val="0"/>
        <w:snapToGrid w:val="0"/>
        <w:spacing w:after="0" w:line="360" w:lineRule="auto"/>
        <w:ind w:firstLine="560" w:firstLineChars="200"/>
        <w:jc w:val="both"/>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8"/>
          <w:szCs w:val="28"/>
          <w:lang w:val="en-US" w:eastAsia="zh-CN" w:bidi="ar-SA"/>
          <w14:textFill>
            <w14:solidFill>
              <w14:schemeClr w14:val="tx1"/>
            </w14:solidFill>
          </w14:textFill>
        </w:rPr>
        <w:t>滨州市自然条件</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1</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气候特征</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滨州市属暖温带大陆性季风气候区，四季分明，雨热同季。</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2</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气温</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lang w:eastAsia="zh-CN"/>
        </w:rPr>
      </w:pPr>
      <w:r>
        <w:rPr>
          <w:rFonts w:hint="eastAsia" w:ascii="Times New Roman" w:hAnsi="Times New Roman" w:eastAsia="宋体" w:cs="Times New Roman"/>
          <w:smallCaps w:val="0"/>
          <w:sz w:val="28"/>
          <w:szCs w:val="24"/>
        </w:rPr>
        <w:t>年平均气温12</w:t>
      </w:r>
      <w:r>
        <w:rPr>
          <w:rFonts w:hint="eastAsia" w:ascii="Times New Roman" w:hAnsi="Times New Roman" w:eastAsia="宋体" w:cs="Times New Roman"/>
          <w:smallCaps w:val="0"/>
          <w:sz w:val="28"/>
          <w:szCs w:val="24"/>
          <w:lang w:val="en-US" w:eastAsia="zh-CN"/>
        </w:rPr>
        <w:t>.</w:t>
      </w:r>
      <w:r>
        <w:rPr>
          <w:rFonts w:hint="eastAsia" w:ascii="Times New Roman" w:hAnsi="Times New Roman" w:eastAsia="宋体" w:cs="Times New Roman"/>
          <w:smallCaps w:val="0"/>
          <w:sz w:val="28"/>
          <w:szCs w:val="24"/>
        </w:rPr>
        <w:t>5℃，历年极端最高气温为40.9℃，极端最低气温为-22.8℃</w:t>
      </w:r>
      <w:r>
        <w:rPr>
          <w:rFonts w:hint="eastAsia" w:ascii="Times New Roman" w:hAnsi="Times New Roman" w:eastAsia="宋体" w:cs="Times New Roman"/>
          <w:smallCaps w:val="0"/>
          <w:sz w:val="28"/>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3</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降水</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年平均降雨量640.9mm</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降水主要集中在夏季，月最大降水量为316.5mm</w:t>
      </w:r>
      <w:r>
        <w:rPr>
          <w:rFonts w:hint="eastAsia" w:ascii="Times New Roman" w:hAnsi="Times New Roman" w:eastAsia="宋体" w:cs="Times New Roman"/>
          <w:smallCaps w:val="0"/>
          <w:sz w:val="28"/>
          <w:szCs w:val="24"/>
          <w:lang w:eastAsia="zh-CN"/>
        </w:rPr>
        <w:t>；</w:t>
      </w:r>
      <w:r>
        <w:rPr>
          <w:rFonts w:hint="eastAsia" w:ascii="Times New Roman" w:hAnsi="Times New Roman" w:eastAsia="宋体" w:cs="Times New Roman"/>
          <w:smallCaps w:val="0"/>
          <w:sz w:val="28"/>
          <w:szCs w:val="24"/>
        </w:rPr>
        <w:t>年平均相对湿度为67%。</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rPr>
        <w:t>4</w:t>
      </w:r>
      <w:r>
        <w:rPr>
          <w:rFonts w:hint="eastAsia" w:ascii="Times New Roman" w:hAnsi="Times New Roman" w:eastAsia="宋体" w:cs="Times New Roman"/>
          <w:smallCaps w:val="0"/>
          <w:sz w:val="28"/>
          <w:szCs w:val="28"/>
          <w:lang w:eastAsia="zh-CN"/>
        </w:rPr>
        <w:t>）</w:t>
      </w:r>
      <w:r>
        <w:rPr>
          <w:rFonts w:hint="eastAsia" w:ascii="Times New Roman" w:hAnsi="Times New Roman" w:eastAsia="宋体" w:cs="Times New Roman"/>
          <w:smallCaps w:val="0"/>
          <w:sz w:val="28"/>
          <w:szCs w:val="28"/>
        </w:rPr>
        <w:t>风况</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夏季多偏南风，冬季多偏北风，最小频率风向为N风。</w:t>
      </w:r>
    </w:p>
    <w:p>
      <w:pPr>
        <w:keepNext w:val="0"/>
        <w:keepLines w:val="0"/>
        <w:pageBreakBefore w:val="0"/>
        <w:widowControl w:val="0"/>
        <w:numPr>
          <w:ilvl w:val="0"/>
          <w:numId w:val="15"/>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lang w:val="en-US" w:eastAsia="zh-CN"/>
        </w:rPr>
      </w:pPr>
      <w:r>
        <w:rPr>
          <w:rFonts w:hint="eastAsia" w:ascii="Times New Roman" w:hAnsi="Times New Roman" w:eastAsia="宋体" w:cs="Times New Roman"/>
          <w:smallCaps w:val="0"/>
          <w:sz w:val="28"/>
          <w:szCs w:val="28"/>
          <w:lang w:val="en-US" w:eastAsia="zh-CN"/>
        </w:rPr>
        <w:t>土壤冻结深度</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lang w:eastAsia="zh-CN"/>
        </w:rPr>
      </w:pPr>
      <w:r>
        <w:rPr>
          <w:rFonts w:hint="eastAsia" w:ascii="Times New Roman" w:hAnsi="Times New Roman" w:eastAsia="宋体" w:cs="Times New Roman"/>
          <w:smallCaps w:val="0"/>
          <w:sz w:val="28"/>
          <w:szCs w:val="28"/>
          <w:lang w:val="en-US" w:eastAsia="zh-CN"/>
        </w:rPr>
        <w:t>土壤</w:t>
      </w:r>
      <w:r>
        <w:rPr>
          <w:rFonts w:hint="eastAsia" w:ascii="Times New Roman" w:hAnsi="Times New Roman" w:eastAsia="宋体" w:cs="Times New Roman"/>
          <w:smallCaps w:val="0"/>
          <w:sz w:val="28"/>
          <w:szCs w:val="28"/>
        </w:rPr>
        <w:t>最大冻结深度0.64m</w:t>
      </w:r>
      <w:r>
        <w:rPr>
          <w:rFonts w:hint="eastAsia" w:ascii="Times New Roman" w:hAnsi="Times New Roman" w:eastAsia="宋体" w:cs="Times New Roman"/>
          <w:smallCaps w:val="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8"/>
        </w:rPr>
      </w:pPr>
      <w:r>
        <w:rPr>
          <w:rFonts w:hint="eastAsia" w:ascii="Times New Roman" w:hAnsi="Times New Roman" w:eastAsia="宋体" w:cs="Times New Roman"/>
          <w:smallCaps w:val="0"/>
          <w:sz w:val="28"/>
          <w:szCs w:val="28"/>
          <w:lang w:val="en-US" w:eastAsia="zh-CN"/>
        </w:rPr>
        <w:t>6）</w:t>
      </w:r>
      <w:r>
        <w:rPr>
          <w:rFonts w:hint="eastAsia" w:ascii="Times New Roman" w:hAnsi="Times New Roman" w:eastAsia="宋体" w:cs="Times New Roman"/>
          <w:smallCaps w:val="0"/>
          <w:sz w:val="28"/>
          <w:szCs w:val="28"/>
        </w:rPr>
        <w:t>地震烈度</w:t>
      </w:r>
    </w:p>
    <w:p>
      <w:pPr>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sz w:val="28"/>
          <w:szCs w:val="24"/>
        </w:rPr>
      </w:pPr>
      <w:r>
        <w:rPr>
          <w:rFonts w:hint="eastAsia" w:ascii="Times New Roman" w:hAnsi="Times New Roman" w:eastAsia="宋体" w:cs="Times New Roman"/>
          <w:smallCaps w:val="0"/>
          <w:sz w:val="28"/>
          <w:szCs w:val="24"/>
        </w:rPr>
        <w:t>该地区的抗震设防烈度为6度。</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jc w:val="both"/>
        <w:textAlignment w:val="auto"/>
        <w:rPr>
          <w:rFonts w:hint="eastAsia" w:ascii="Times New Roman" w:hAnsi="Times New Roman" w:eastAsia="宋体" w:cs="Times New Roman"/>
          <w:smallCaps w:val="0"/>
          <w:color w:val="000000"/>
          <w:kern w:val="2"/>
          <w:sz w:val="28"/>
          <w:szCs w:val="24"/>
          <w:lang w:val="en-US" w:eastAsia="zh-CN" w:bidi="ar-SA"/>
        </w:rPr>
      </w:pPr>
      <w:r>
        <w:rPr>
          <w:rFonts w:hint="eastAsia" w:ascii="Times New Roman" w:hAnsi="Times New Roman" w:eastAsia="宋体" w:cs="Times New Roman"/>
          <w:smallCaps w:val="0"/>
          <w:color w:val="000000"/>
          <w:kern w:val="2"/>
          <w:sz w:val="28"/>
          <w:szCs w:val="24"/>
          <w:lang w:val="en-US" w:eastAsia="zh-CN" w:bidi="ar-SA"/>
        </w:rPr>
        <w:t>7）社会环境</w:t>
      </w:r>
    </w:p>
    <w:p>
      <w:pPr>
        <w:pStyle w:val="216"/>
        <w:adjustRightInd w:val="0"/>
        <w:snapToGrid w:val="0"/>
        <w:spacing w:after="0" w:line="360" w:lineRule="auto"/>
        <w:ind w:firstLine="560" w:firstLineChars="200"/>
        <w:jc w:val="both"/>
        <w:rPr>
          <w:rFonts w:hint="eastAsia" w:ascii="Times New Roman" w:hAnsi="Times New Roman" w:eastAsia="宋体" w:cs="Times New Roman"/>
          <w:smallCaps w:val="0"/>
          <w:color w:val="auto"/>
          <w:kern w:val="2"/>
          <w:sz w:val="28"/>
          <w:szCs w:val="24"/>
          <w:lang w:val="en-US" w:eastAsia="zh-CN" w:bidi="ar-SA"/>
        </w:rPr>
      </w:pPr>
      <w:r>
        <w:rPr>
          <w:rFonts w:hint="eastAsia" w:ascii="Times New Roman" w:hAnsi="Times New Roman" w:eastAsia="宋体" w:cs="Times New Roman"/>
          <w:smallCaps w:val="0"/>
          <w:color w:val="000000"/>
          <w:kern w:val="2"/>
          <w:sz w:val="28"/>
          <w:szCs w:val="24"/>
          <w:lang w:val="en-US" w:eastAsia="zh-CN" w:bidi="ar-SA"/>
        </w:rPr>
        <w:t>滨州历史悠久，是黄河文化和齐文化的发祥地之一，是渤海革命老区中心区、渤海区党委机关驻地。滨州依河傍海，是连接苏、鲁、京、津的重要通道，是国家级交通运输的枢纽城市之一。交通便利，社会环境良好。</w:t>
      </w:r>
    </w:p>
    <w:p>
      <w:pPr>
        <w:pStyle w:val="4"/>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ascii="Times New Roman" w:hAnsi="Times New Roman"/>
          <w:b w:val="0"/>
          <w:bCs/>
          <w:szCs w:val="32"/>
        </w:rPr>
      </w:pPr>
      <w:bookmarkStart w:id="27" w:name="_Toc6918"/>
      <w:r>
        <w:rPr>
          <w:rFonts w:hint="eastAsia" w:ascii="Times New Roman" w:hAnsi="Times New Roman"/>
          <w:b w:val="0"/>
          <w:bCs/>
          <w:szCs w:val="32"/>
        </w:rPr>
        <w:t>2.</w:t>
      </w:r>
      <w:r>
        <w:rPr>
          <w:rFonts w:ascii="Times New Roman" w:hAnsi="Times New Roman"/>
          <w:b w:val="0"/>
          <w:bCs/>
          <w:szCs w:val="32"/>
        </w:rPr>
        <w:t xml:space="preserve">4 </w:t>
      </w:r>
      <w:r>
        <w:rPr>
          <w:rFonts w:hint="eastAsia" w:ascii="Times New Roman" w:hAnsi="Times New Roman"/>
          <w:b w:val="0"/>
          <w:bCs/>
          <w:szCs w:val="32"/>
        </w:rPr>
        <w:t>安全生产管理机构的设置和安全生产管理人员的配备</w:t>
      </w:r>
      <w:bookmarkEnd w:id="27"/>
    </w:p>
    <w:p>
      <w:pPr>
        <w:adjustRightInd w:val="0"/>
        <w:snapToGrid w:val="0"/>
        <w:spacing w:line="360" w:lineRule="auto"/>
        <w:ind w:firstLine="560" w:firstLineChars="200"/>
        <w:rPr>
          <w:rFonts w:hint="eastAsia"/>
          <w:sz w:val="28"/>
          <w:lang w:eastAsia="zh-CN"/>
        </w:rPr>
      </w:pPr>
      <w:r>
        <w:rPr>
          <w:rFonts w:hint="eastAsia"/>
          <w:sz w:val="28"/>
          <w:lang w:eastAsia="zh-CN"/>
        </w:rPr>
        <w:t>根据《中华人民共和国安全生产法》（主席令[2014]第13号，[20</w:t>
      </w:r>
      <w:r>
        <w:rPr>
          <w:rFonts w:hint="eastAsia"/>
          <w:sz w:val="28"/>
          <w:lang w:val="en-US" w:eastAsia="zh-CN"/>
        </w:rPr>
        <w:t>21</w:t>
      </w:r>
      <w:r>
        <w:rPr>
          <w:rFonts w:hint="eastAsia"/>
          <w:sz w:val="28"/>
          <w:lang w:eastAsia="zh-CN"/>
        </w:rPr>
        <w:t>]第</w:t>
      </w:r>
      <w:r>
        <w:rPr>
          <w:rFonts w:hint="eastAsia"/>
          <w:sz w:val="28"/>
          <w:lang w:val="en-US" w:eastAsia="zh-CN"/>
        </w:rPr>
        <w:t>88号令修正</w:t>
      </w:r>
      <w:r>
        <w:rPr>
          <w:rFonts w:hint="eastAsia"/>
          <w:sz w:val="28"/>
          <w:lang w:eastAsia="zh-CN"/>
        </w:rPr>
        <w:t>）第二十</w:t>
      </w:r>
      <w:r>
        <w:rPr>
          <w:rFonts w:hint="eastAsia"/>
          <w:sz w:val="28"/>
          <w:lang w:val="en-US" w:eastAsia="zh-CN"/>
        </w:rPr>
        <w:t>四</w:t>
      </w:r>
      <w:r>
        <w:rPr>
          <w:rFonts w:hint="eastAsia"/>
          <w:sz w:val="28"/>
          <w:lang w:eastAsia="zh-CN"/>
        </w:rPr>
        <w:t>条，“矿山、金属冶炼、建筑施工、运输单位和危险物品的生产、经营、储存、</w:t>
      </w:r>
      <w:r>
        <w:rPr>
          <w:rFonts w:hint="eastAsia"/>
          <w:sz w:val="28"/>
          <w:lang w:val="en-US" w:eastAsia="zh-CN"/>
        </w:rPr>
        <w:t>装卸</w:t>
      </w:r>
      <w:r>
        <w:rPr>
          <w:rFonts w:hint="eastAsia"/>
          <w:sz w:val="28"/>
          <w:lang w:eastAsia="zh-CN"/>
        </w:rPr>
        <w:t>单位，应当设置安全生产管理机构或者配备专职安全生产管理人员。”</w:t>
      </w:r>
    </w:p>
    <w:p>
      <w:pPr>
        <w:adjustRightInd w:val="0"/>
        <w:snapToGrid w:val="0"/>
        <w:spacing w:line="360" w:lineRule="auto"/>
        <w:ind w:firstLine="560" w:firstLineChars="200"/>
        <w:rPr>
          <w:rFonts w:hint="eastAsia"/>
          <w:sz w:val="28"/>
          <w:lang w:eastAsia="zh-CN"/>
        </w:rPr>
      </w:pPr>
      <w:r>
        <w:rPr>
          <w:rFonts w:hint="eastAsia"/>
          <w:sz w:val="28"/>
          <w:lang w:eastAsia="zh-CN"/>
        </w:rPr>
        <w:t>根据《山东省生产经营单位安全生产主体责任规定》（山东省人民政府令[2018]第311号）第九条，“矿山、金属冶炼、道路运输、建筑施工单位，危险物品的生产、经营、储存、装卸、运输单位和使用危险物品从事生产并且使用量达到规定数量的单位（以下简称高危生产经营单位），应当按照下列规定设置安全生产管理机构或者配备安全生产管理人员：从业人员在100人以上不足300人的，应当设置安全生产管理机构，并配备2名以上专职安全生产管理人员，其中至少应当有1名注册安全工程师。</w:t>
      </w:r>
    </w:p>
    <w:p>
      <w:pPr>
        <w:adjustRightInd w:val="0"/>
        <w:snapToGrid w:val="0"/>
        <w:spacing w:line="360" w:lineRule="auto"/>
        <w:ind w:firstLine="560" w:firstLineChars="200"/>
        <w:rPr>
          <w:rFonts w:hint="eastAsia"/>
          <w:sz w:val="28"/>
          <w:lang w:val="en-US" w:eastAsia="zh-CN"/>
        </w:rPr>
      </w:pPr>
      <w:r>
        <w:rPr>
          <w:rFonts w:hint="eastAsia"/>
          <w:sz w:val="28"/>
          <w:lang w:val="en-US" w:eastAsia="zh-CN"/>
        </w:rPr>
        <w:t>涉及企业机密，不予公开。</w:t>
      </w:r>
    </w:p>
    <w:p>
      <w:pPr>
        <w:adjustRightInd w:val="0"/>
        <w:snapToGrid w:val="0"/>
        <w:spacing w:line="360" w:lineRule="auto"/>
        <w:ind w:firstLine="560" w:firstLineChars="200"/>
        <w:rPr>
          <w:rFonts w:hint="default"/>
          <w:sz w:val="28"/>
          <w:szCs w:val="28"/>
          <w:lang w:val="en-US"/>
        </w:rPr>
      </w:pPr>
      <w:r>
        <w:rPr>
          <w:rFonts w:hint="eastAsia"/>
          <w:sz w:val="28"/>
          <w:szCs w:val="28"/>
          <w:lang w:val="en-US" w:eastAsia="zh-CN"/>
        </w:rPr>
        <w:t>康贝油气公司</w:t>
      </w:r>
      <w:r>
        <w:rPr>
          <w:rFonts w:hint="eastAsia"/>
          <w:sz w:val="28"/>
          <w:szCs w:val="28"/>
        </w:rPr>
        <w:t>安全</w:t>
      </w:r>
      <w:r>
        <w:rPr>
          <w:rFonts w:hint="eastAsia"/>
          <w:sz w:val="28"/>
          <w:szCs w:val="28"/>
          <w:lang w:val="en-US" w:eastAsia="zh-CN"/>
        </w:rPr>
        <w:t>总监刘佣</w:t>
      </w:r>
      <w:r>
        <w:rPr>
          <w:rFonts w:hint="eastAsia"/>
          <w:sz w:val="28"/>
          <w:szCs w:val="28"/>
        </w:rPr>
        <w:t>具有注册安全工程师证书</w:t>
      </w:r>
      <w:r>
        <w:rPr>
          <w:rFonts w:hint="eastAsia"/>
          <w:sz w:val="28"/>
          <w:szCs w:val="28"/>
          <w:lang w:val="en-US" w:eastAsia="zh-CN"/>
        </w:rPr>
        <w:t>并已注册，注册类别其他安全，聘用单位胜利油田康贝油气工程有限公司，有效期至2026年5月28日，公司注册安全工程师配备</w:t>
      </w:r>
      <w:r>
        <w:rPr>
          <w:rFonts w:hint="eastAsia"/>
          <w:sz w:val="28"/>
          <w:szCs w:val="28"/>
        </w:rPr>
        <w:t>符合《中华人民共和国安全生产法》（主席令[2014]第13号</w:t>
      </w:r>
      <w:r>
        <w:rPr>
          <w:rFonts w:hint="eastAsia"/>
          <w:sz w:val="28"/>
          <w:szCs w:val="28"/>
          <w:lang w:eastAsia="zh-CN"/>
        </w:rPr>
        <w:t>，</w:t>
      </w:r>
      <w:r>
        <w:rPr>
          <w:rFonts w:hint="eastAsia"/>
          <w:sz w:val="28"/>
          <w:szCs w:val="28"/>
        </w:rPr>
        <w:t>[20</w:t>
      </w:r>
      <w:r>
        <w:rPr>
          <w:rFonts w:hint="eastAsia"/>
          <w:sz w:val="28"/>
          <w:szCs w:val="28"/>
          <w:lang w:val="en-US" w:eastAsia="zh-CN"/>
        </w:rPr>
        <w:t>21</w:t>
      </w:r>
      <w:r>
        <w:rPr>
          <w:rFonts w:hint="eastAsia"/>
          <w:sz w:val="28"/>
          <w:szCs w:val="28"/>
        </w:rPr>
        <w:t>]第</w:t>
      </w:r>
      <w:r>
        <w:rPr>
          <w:rFonts w:hint="eastAsia"/>
          <w:sz w:val="28"/>
          <w:szCs w:val="28"/>
          <w:lang w:val="en-US" w:eastAsia="zh-CN"/>
        </w:rPr>
        <w:t>88号令修正</w:t>
      </w:r>
      <w:r>
        <w:rPr>
          <w:rFonts w:hint="eastAsia"/>
          <w:sz w:val="28"/>
          <w:szCs w:val="28"/>
        </w:rPr>
        <w:t>）第二十</w:t>
      </w:r>
      <w:r>
        <w:rPr>
          <w:rFonts w:hint="eastAsia"/>
          <w:sz w:val="28"/>
          <w:szCs w:val="28"/>
          <w:lang w:val="en-US" w:eastAsia="zh-CN"/>
        </w:rPr>
        <w:t>七</w:t>
      </w:r>
      <w:r>
        <w:rPr>
          <w:rFonts w:hint="eastAsia"/>
          <w:sz w:val="28"/>
          <w:szCs w:val="28"/>
        </w:rPr>
        <w:t>条</w:t>
      </w:r>
      <w:r>
        <w:rPr>
          <w:rFonts w:hint="eastAsia"/>
          <w:sz w:val="28"/>
          <w:szCs w:val="28"/>
          <w:lang w:val="en-US" w:eastAsia="zh-CN"/>
        </w:rPr>
        <w:t>等的</w:t>
      </w:r>
      <w:r>
        <w:rPr>
          <w:rFonts w:hint="eastAsia"/>
          <w:sz w:val="28"/>
          <w:szCs w:val="28"/>
        </w:rPr>
        <w:t>相关要求。</w:t>
      </w:r>
      <w:r>
        <w:rPr>
          <w:rFonts w:hint="eastAsia"/>
          <w:sz w:val="28"/>
          <w:szCs w:val="28"/>
          <w:lang w:val="en-US" w:eastAsia="zh-CN"/>
        </w:rPr>
        <w:t>企业注册安全工程师证书资格证、执业证及劳动合同详见报告附件6。</w:t>
      </w:r>
    </w:p>
    <w:p>
      <w:pPr>
        <w:adjustRightInd w:val="0"/>
        <w:snapToGrid w:val="0"/>
        <w:spacing w:line="360" w:lineRule="auto"/>
        <w:ind w:firstLine="560" w:firstLineChars="200"/>
        <w:rPr>
          <w:sz w:val="28"/>
          <w:szCs w:val="28"/>
        </w:rPr>
      </w:pPr>
      <w:r>
        <w:rPr>
          <w:rFonts w:hint="eastAsia"/>
          <w:sz w:val="28"/>
          <w:szCs w:val="28"/>
        </w:rPr>
        <w:t>综上，该公司安全生产管理机构的设置</w:t>
      </w:r>
      <w:r>
        <w:rPr>
          <w:rFonts w:hint="eastAsia"/>
          <w:sz w:val="28"/>
          <w:szCs w:val="28"/>
          <w:lang w:eastAsia="zh-CN"/>
        </w:rPr>
        <w:t>、</w:t>
      </w:r>
      <w:r>
        <w:rPr>
          <w:rFonts w:hint="eastAsia"/>
          <w:sz w:val="28"/>
          <w:szCs w:val="28"/>
          <w:lang w:val="en-US" w:eastAsia="zh-CN"/>
        </w:rPr>
        <w:t>安全总监及</w:t>
      </w:r>
      <w:r>
        <w:rPr>
          <w:rFonts w:hint="eastAsia"/>
          <w:sz w:val="28"/>
          <w:szCs w:val="28"/>
        </w:rPr>
        <w:t>专职安全生产管理人员的配备情况符合相关要求。</w:t>
      </w:r>
    </w:p>
    <w:p>
      <w:pPr>
        <w:pStyle w:val="4"/>
        <w:adjustRightInd w:val="0"/>
        <w:snapToGrid w:val="0"/>
        <w:spacing w:before="0" w:after="0" w:line="360" w:lineRule="auto"/>
        <w:rPr>
          <w:rFonts w:ascii="Times New Roman" w:hAnsi="Times New Roman"/>
          <w:b w:val="0"/>
          <w:bCs/>
          <w:szCs w:val="32"/>
        </w:rPr>
      </w:pPr>
      <w:bookmarkStart w:id="28" w:name="_Toc10952"/>
      <w:r>
        <w:rPr>
          <w:rFonts w:hint="eastAsia" w:ascii="Times New Roman" w:hAnsi="Times New Roman"/>
          <w:b w:val="0"/>
          <w:bCs/>
          <w:szCs w:val="32"/>
        </w:rPr>
        <w:t>2.</w:t>
      </w:r>
      <w:r>
        <w:rPr>
          <w:rFonts w:ascii="Times New Roman" w:hAnsi="Times New Roman"/>
          <w:b w:val="0"/>
          <w:bCs/>
          <w:szCs w:val="32"/>
        </w:rPr>
        <w:t xml:space="preserve">5 </w:t>
      </w:r>
      <w:r>
        <w:rPr>
          <w:rFonts w:hint="eastAsia" w:ascii="Times New Roman" w:hAnsi="Times New Roman"/>
          <w:b w:val="0"/>
          <w:bCs/>
          <w:szCs w:val="32"/>
        </w:rPr>
        <w:t>安全生产规章制度及操作规程</w:t>
      </w:r>
      <w:bookmarkEnd w:id="28"/>
    </w:p>
    <w:p>
      <w:pPr>
        <w:adjustRightInd w:val="0"/>
        <w:snapToGrid w:val="0"/>
        <w:spacing w:line="360" w:lineRule="auto"/>
        <w:ind w:firstLine="560" w:firstLineChars="200"/>
        <w:rPr>
          <w:sz w:val="28"/>
        </w:rPr>
      </w:pPr>
      <w:r>
        <w:rPr>
          <w:rFonts w:hint="eastAsia"/>
          <w:sz w:val="28"/>
        </w:rPr>
        <w:t>公司自成立以来，建立健全了以安全生产责任制为主要内容的各项安全管理制度，根据本单位施工工艺、设备和岗位特点制定了各岗位安全操作规程，并汇编成册。</w:t>
      </w:r>
    </w:p>
    <w:p>
      <w:pPr>
        <w:pStyle w:val="5"/>
        <w:adjustRightInd w:val="0"/>
        <w:snapToGrid w:val="0"/>
        <w:spacing w:before="0" w:after="0" w:line="360" w:lineRule="auto"/>
        <w:rPr>
          <w:rFonts w:hint="eastAsia" w:eastAsia="黑体"/>
          <w:b w:val="0"/>
          <w:snapToGrid w:val="0"/>
          <w:kern w:val="0"/>
          <w:sz w:val="28"/>
          <w:szCs w:val="28"/>
          <w:shd w:val="clear" w:fill="FFFF00"/>
          <w:lang w:eastAsia="zh-CN"/>
        </w:rPr>
      </w:pPr>
      <w:r>
        <w:rPr>
          <w:rFonts w:hint="eastAsia" w:eastAsia="黑体"/>
          <w:b w:val="0"/>
          <w:snapToGrid w:val="0"/>
          <w:kern w:val="0"/>
          <w:sz w:val="28"/>
          <w:szCs w:val="28"/>
        </w:rPr>
        <w:t>2.</w:t>
      </w:r>
      <w:r>
        <w:rPr>
          <w:rFonts w:eastAsia="黑体"/>
          <w:b w:val="0"/>
          <w:snapToGrid w:val="0"/>
          <w:kern w:val="0"/>
          <w:sz w:val="28"/>
          <w:szCs w:val="28"/>
        </w:rPr>
        <w:t>5</w:t>
      </w:r>
      <w:r>
        <w:rPr>
          <w:rFonts w:hint="eastAsia" w:eastAsia="黑体"/>
          <w:b w:val="0"/>
          <w:snapToGrid w:val="0"/>
          <w:kern w:val="0"/>
          <w:sz w:val="28"/>
          <w:szCs w:val="28"/>
        </w:rPr>
        <w:t>.</w:t>
      </w:r>
      <w:r>
        <w:rPr>
          <w:rFonts w:eastAsia="黑体"/>
          <w:b w:val="0"/>
          <w:snapToGrid w:val="0"/>
          <w:kern w:val="0"/>
          <w:sz w:val="28"/>
          <w:szCs w:val="28"/>
        </w:rPr>
        <w:t xml:space="preserve">1 </w:t>
      </w:r>
      <w:r>
        <w:rPr>
          <w:rFonts w:hint="eastAsia" w:eastAsia="黑体"/>
          <w:b w:val="0"/>
          <w:snapToGrid w:val="0"/>
          <w:kern w:val="0"/>
          <w:sz w:val="28"/>
          <w:szCs w:val="28"/>
        </w:rPr>
        <w:t>安全生产责任制</w:t>
      </w:r>
    </w:p>
    <w:p>
      <w:pPr>
        <w:tabs>
          <w:tab w:val="left" w:pos="0"/>
        </w:tabs>
        <w:adjustRightInd w:val="0"/>
        <w:snapToGrid w:val="0"/>
        <w:spacing w:line="360" w:lineRule="auto"/>
        <w:ind w:firstLine="560" w:firstLineChars="200"/>
        <w:rPr>
          <w:sz w:val="28"/>
          <w:szCs w:val="28"/>
        </w:rPr>
      </w:pPr>
      <w:r>
        <w:rPr>
          <w:rFonts w:hint="eastAsia"/>
          <w:sz w:val="28"/>
          <w:szCs w:val="28"/>
        </w:rPr>
        <w:t>安全生产责任制是根据我国的安全生产方针“安全第一，预防为主，综合治理”和安全生产法规建立的各级领导、职能部门</w:t>
      </w:r>
      <w:r>
        <w:rPr>
          <w:rFonts w:hint="eastAsia"/>
          <w:sz w:val="28"/>
          <w:szCs w:val="28"/>
          <w:lang w:val="en-US" w:eastAsia="zh-CN"/>
        </w:rPr>
        <w:t>人员</w:t>
      </w:r>
      <w:r>
        <w:rPr>
          <w:rFonts w:hint="eastAsia"/>
          <w:sz w:val="28"/>
          <w:szCs w:val="28"/>
        </w:rPr>
        <w:t>、工程技术人员、岗位操作人员在劳动生产过程中对安全生产层层负责的制度</w:t>
      </w:r>
      <w:r>
        <w:rPr>
          <w:rFonts w:hint="eastAsia"/>
          <w:sz w:val="28"/>
          <w:szCs w:val="28"/>
          <w:lang w:eastAsia="zh-CN"/>
        </w:rPr>
        <w:t>，</w:t>
      </w:r>
      <w:r>
        <w:rPr>
          <w:rFonts w:hint="eastAsia"/>
          <w:sz w:val="28"/>
          <w:szCs w:val="28"/>
          <w:lang w:val="en-US" w:eastAsia="zh-CN"/>
        </w:rPr>
        <w:t>详见报告附件22</w:t>
      </w:r>
      <w:r>
        <w:rPr>
          <w:rFonts w:hint="eastAsia"/>
          <w:sz w:val="28"/>
          <w:szCs w:val="28"/>
        </w:rPr>
        <w:t>。安全生产责任制是企业岗位责任制的一个组成部分，是企业中最基本的一项安全制度，也是企业安全生产、劳动保护管理制度的核心。该公司已经建立的安全生产责任制主要包括：</w:t>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t>油气</w:t>
      </w:r>
      <w:r>
        <w:rPr>
          <w:rFonts w:hint="eastAsia"/>
          <w:sz w:val="28"/>
          <w:szCs w:val="28"/>
        </w:rPr>
        <w:fldChar w:fldCharType="begin"/>
      </w:r>
      <w:r>
        <w:rPr>
          <w:rFonts w:hint="eastAsia"/>
          <w:sz w:val="28"/>
          <w:szCs w:val="28"/>
        </w:rPr>
        <w:instrText xml:space="preserve"> HYPERLINK \l _Toc8934 </w:instrText>
      </w:r>
      <w:r>
        <w:rPr>
          <w:rFonts w:hint="eastAsia"/>
          <w:sz w:val="28"/>
          <w:szCs w:val="28"/>
        </w:rPr>
        <w:fldChar w:fldCharType="separate"/>
      </w:r>
      <w:r>
        <w:rPr>
          <w:rFonts w:hint="eastAsia"/>
          <w:sz w:val="28"/>
          <w:szCs w:val="28"/>
        </w:rPr>
        <w:t>公司总经理（法人）</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t>油气</w:t>
      </w:r>
      <w:r>
        <w:rPr>
          <w:rFonts w:hint="eastAsia"/>
          <w:sz w:val="28"/>
          <w:szCs w:val="28"/>
        </w:rPr>
        <w:fldChar w:fldCharType="begin"/>
      </w:r>
      <w:r>
        <w:rPr>
          <w:rFonts w:hint="eastAsia"/>
          <w:sz w:val="28"/>
          <w:szCs w:val="28"/>
        </w:rPr>
        <w:instrText xml:space="preserve"> HYPERLINK \l _Toc8214 </w:instrText>
      </w:r>
      <w:r>
        <w:rPr>
          <w:rFonts w:hint="eastAsia"/>
          <w:sz w:val="28"/>
          <w:szCs w:val="28"/>
        </w:rPr>
        <w:fldChar w:fldCharType="separate"/>
      </w:r>
      <w:r>
        <w:rPr>
          <w:rFonts w:hint="eastAsia"/>
          <w:sz w:val="28"/>
          <w:szCs w:val="28"/>
        </w:rPr>
        <w:t>公司安全总监</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_Toc16093 </w:instrText>
      </w:r>
      <w:r>
        <w:rPr>
          <w:rFonts w:hint="eastAsia"/>
          <w:sz w:val="28"/>
          <w:szCs w:val="28"/>
        </w:rPr>
        <w:fldChar w:fldCharType="separate"/>
      </w:r>
      <w:r>
        <w:rPr>
          <w:rFonts w:hint="eastAsia"/>
          <w:sz w:val="28"/>
          <w:szCs w:val="28"/>
        </w:rPr>
        <w:t>技术管理部主任</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_Toc24568 </w:instrText>
      </w:r>
      <w:r>
        <w:rPr>
          <w:rFonts w:hint="eastAsia"/>
          <w:sz w:val="28"/>
          <w:szCs w:val="28"/>
        </w:rPr>
        <w:fldChar w:fldCharType="separate"/>
      </w:r>
      <w:r>
        <w:rPr>
          <w:rFonts w:hint="eastAsia"/>
          <w:sz w:val="28"/>
          <w:szCs w:val="28"/>
        </w:rPr>
        <w:t>技术管理部技术员</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_Toc774 </w:instrText>
      </w:r>
      <w:r>
        <w:rPr>
          <w:rFonts w:hint="eastAsia"/>
          <w:sz w:val="28"/>
          <w:szCs w:val="28"/>
        </w:rPr>
        <w:fldChar w:fldCharType="separate"/>
      </w:r>
      <w:r>
        <w:rPr>
          <w:rFonts w:hint="eastAsia"/>
          <w:sz w:val="28"/>
          <w:szCs w:val="28"/>
        </w:rPr>
        <w:t>安全</w:t>
      </w:r>
      <w:r>
        <w:rPr>
          <w:rFonts w:hint="eastAsia"/>
          <w:sz w:val="28"/>
          <w:szCs w:val="28"/>
          <w:lang w:eastAsia="zh-CN"/>
        </w:rPr>
        <w:t>管理</w:t>
      </w:r>
      <w:r>
        <w:rPr>
          <w:rFonts w:hint="eastAsia"/>
          <w:sz w:val="28"/>
          <w:szCs w:val="28"/>
        </w:rPr>
        <w:t>部主任</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_Toc19114 </w:instrText>
      </w:r>
      <w:r>
        <w:rPr>
          <w:rFonts w:hint="eastAsia"/>
          <w:sz w:val="28"/>
          <w:szCs w:val="28"/>
        </w:rPr>
        <w:fldChar w:fldCharType="separate"/>
      </w:r>
      <w:r>
        <w:rPr>
          <w:rFonts w:hint="eastAsia"/>
          <w:sz w:val="28"/>
          <w:szCs w:val="28"/>
        </w:rPr>
        <w:t>安全</w:t>
      </w:r>
      <w:r>
        <w:rPr>
          <w:rFonts w:hint="eastAsia"/>
          <w:sz w:val="28"/>
          <w:szCs w:val="28"/>
          <w:lang w:eastAsia="zh-CN"/>
        </w:rPr>
        <w:t>管理</w:t>
      </w:r>
      <w:r>
        <w:rPr>
          <w:rFonts w:hint="eastAsia"/>
          <w:sz w:val="28"/>
          <w:szCs w:val="28"/>
        </w:rPr>
        <w:t>部安全员</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_Toc21889 </w:instrText>
      </w:r>
      <w:r>
        <w:rPr>
          <w:rFonts w:hint="eastAsia"/>
          <w:sz w:val="28"/>
          <w:szCs w:val="28"/>
        </w:rPr>
        <w:fldChar w:fldCharType="separate"/>
      </w:r>
      <w:r>
        <w:rPr>
          <w:rFonts w:hint="eastAsia"/>
          <w:sz w:val="28"/>
          <w:szCs w:val="28"/>
        </w:rPr>
        <w:t>安全</w:t>
      </w:r>
      <w:r>
        <w:rPr>
          <w:rFonts w:hint="eastAsia"/>
          <w:sz w:val="28"/>
          <w:szCs w:val="28"/>
          <w:lang w:eastAsia="zh-CN"/>
        </w:rPr>
        <w:t>管理</w:t>
      </w:r>
      <w:r>
        <w:rPr>
          <w:rFonts w:hint="eastAsia"/>
          <w:sz w:val="28"/>
          <w:szCs w:val="28"/>
        </w:rPr>
        <w:t>部资料员</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_Toc29479 </w:instrText>
      </w:r>
      <w:r>
        <w:rPr>
          <w:rFonts w:hint="eastAsia"/>
          <w:sz w:val="28"/>
          <w:szCs w:val="28"/>
        </w:rPr>
        <w:fldChar w:fldCharType="separate"/>
      </w:r>
      <w:r>
        <w:rPr>
          <w:rFonts w:hint="eastAsia"/>
          <w:sz w:val="28"/>
          <w:szCs w:val="28"/>
        </w:rPr>
        <w:t>财务资产部主任</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_Toc30054 </w:instrText>
      </w:r>
      <w:r>
        <w:rPr>
          <w:rFonts w:hint="eastAsia"/>
          <w:sz w:val="28"/>
          <w:szCs w:val="28"/>
        </w:rPr>
        <w:fldChar w:fldCharType="separate"/>
      </w:r>
      <w:r>
        <w:rPr>
          <w:rFonts w:hint="eastAsia"/>
          <w:sz w:val="28"/>
          <w:szCs w:val="28"/>
        </w:rPr>
        <w:t>财务资产部库房管理</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_Toc23554 </w:instrText>
      </w:r>
      <w:r>
        <w:rPr>
          <w:rFonts w:hint="eastAsia"/>
          <w:sz w:val="28"/>
          <w:szCs w:val="28"/>
        </w:rPr>
        <w:fldChar w:fldCharType="separate"/>
      </w:r>
      <w:r>
        <w:rPr>
          <w:rFonts w:hint="eastAsia"/>
          <w:sz w:val="28"/>
          <w:szCs w:val="28"/>
        </w:rPr>
        <w:t>财务资产部会计</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_Toc9049 </w:instrText>
      </w:r>
      <w:r>
        <w:rPr>
          <w:rFonts w:hint="eastAsia"/>
          <w:sz w:val="28"/>
          <w:szCs w:val="28"/>
        </w:rPr>
        <w:fldChar w:fldCharType="separate"/>
      </w:r>
      <w:r>
        <w:rPr>
          <w:rFonts w:hint="eastAsia"/>
          <w:sz w:val="28"/>
          <w:szCs w:val="28"/>
        </w:rPr>
        <w:t>财务资产部出纳</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_Toc21058 </w:instrText>
      </w:r>
      <w:r>
        <w:rPr>
          <w:rFonts w:hint="eastAsia"/>
          <w:sz w:val="28"/>
          <w:szCs w:val="28"/>
        </w:rPr>
        <w:fldChar w:fldCharType="separate"/>
      </w:r>
      <w:r>
        <w:rPr>
          <w:rFonts w:hint="eastAsia"/>
          <w:sz w:val="28"/>
          <w:szCs w:val="28"/>
        </w:rPr>
        <w:t>经营管理部主任</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_Toc4971 </w:instrText>
      </w:r>
      <w:r>
        <w:rPr>
          <w:rFonts w:hint="eastAsia"/>
          <w:sz w:val="28"/>
          <w:szCs w:val="28"/>
        </w:rPr>
        <w:fldChar w:fldCharType="separate"/>
      </w:r>
      <w:r>
        <w:rPr>
          <w:rFonts w:hint="eastAsia"/>
          <w:sz w:val="28"/>
          <w:szCs w:val="28"/>
        </w:rPr>
        <w:t>经营管理部核算员</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_Toc4154 </w:instrText>
      </w:r>
      <w:r>
        <w:rPr>
          <w:rFonts w:hint="eastAsia"/>
          <w:sz w:val="28"/>
          <w:szCs w:val="28"/>
        </w:rPr>
        <w:fldChar w:fldCharType="separate"/>
      </w:r>
      <w:r>
        <w:rPr>
          <w:rFonts w:hint="eastAsia"/>
          <w:sz w:val="28"/>
          <w:szCs w:val="28"/>
        </w:rPr>
        <w:t>经营管理部结算员</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_Toc6939 </w:instrText>
      </w:r>
      <w:r>
        <w:rPr>
          <w:rFonts w:hint="eastAsia"/>
          <w:sz w:val="28"/>
          <w:szCs w:val="28"/>
        </w:rPr>
        <w:fldChar w:fldCharType="separate"/>
      </w:r>
      <w:r>
        <w:rPr>
          <w:rFonts w:hint="eastAsia"/>
          <w:sz w:val="28"/>
          <w:szCs w:val="28"/>
        </w:rPr>
        <w:t>经营管理部劳资员</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_Toc28665 </w:instrText>
      </w:r>
      <w:r>
        <w:rPr>
          <w:rFonts w:hint="eastAsia"/>
          <w:sz w:val="28"/>
          <w:szCs w:val="28"/>
        </w:rPr>
        <w:fldChar w:fldCharType="separate"/>
      </w:r>
      <w:r>
        <w:rPr>
          <w:rFonts w:hint="eastAsia"/>
          <w:sz w:val="28"/>
          <w:szCs w:val="28"/>
        </w:rPr>
        <w:t>经营管理部库房采购员</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_Toc25741 </w:instrText>
      </w:r>
      <w:r>
        <w:rPr>
          <w:rFonts w:hint="eastAsia"/>
          <w:sz w:val="28"/>
          <w:szCs w:val="28"/>
        </w:rPr>
        <w:fldChar w:fldCharType="separate"/>
      </w:r>
      <w:r>
        <w:rPr>
          <w:rFonts w:hint="eastAsia"/>
          <w:sz w:val="28"/>
          <w:szCs w:val="28"/>
        </w:rPr>
        <w:t>油气公司生产管理部主任</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_Toc29244 </w:instrText>
      </w:r>
      <w:r>
        <w:rPr>
          <w:rFonts w:hint="eastAsia"/>
          <w:sz w:val="28"/>
          <w:szCs w:val="28"/>
        </w:rPr>
        <w:fldChar w:fldCharType="separate"/>
      </w:r>
      <w:r>
        <w:rPr>
          <w:rFonts w:hint="eastAsia"/>
          <w:sz w:val="28"/>
          <w:szCs w:val="28"/>
        </w:rPr>
        <w:t>油气公司生产管理部副主任</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_Toc30751 </w:instrText>
      </w:r>
      <w:r>
        <w:rPr>
          <w:rFonts w:hint="eastAsia"/>
          <w:sz w:val="28"/>
          <w:szCs w:val="28"/>
        </w:rPr>
        <w:fldChar w:fldCharType="separate"/>
      </w:r>
      <w:r>
        <w:rPr>
          <w:rFonts w:hint="eastAsia"/>
          <w:sz w:val="28"/>
          <w:szCs w:val="28"/>
        </w:rPr>
        <w:t>油气公司设备管理员</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_Toc17939 </w:instrText>
      </w:r>
      <w:r>
        <w:rPr>
          <w:rFonts w:hint="eastAsia"/>
          <w:sz w:val="28"/>
          <w:szCs w:val="28"/>
        </w:rPr>
        <w:fldChar w:fldCharType="separate"/>
      </w:r>
      <w:r>
        <w:rPr>
          <w:rFonts w:hint="eastAsia"/>
          <w:sz w:val="28"/>
          <w:szCs w:val="28"/>
        </w:rPr>
        <w:t>油气公司综合管理员</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shd w:val="clea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_Toc14346 </w:instrText>
      </w:r>
      <w:r>
        <w:rPr>
          <w:rFonts w:hint="eastAsia"/>
          <w:sz w:val="28"/>
          <w:szCs w:val="28"/>
        </w:rPr>
        <w:fldChar w:fldCharType="separate"/>
      </w:r>
      <w:r>
        <w:rPr>
          <w:rFonts w:hint="eastAsia"/>
          <w:sz w:val="28"/>
          <w:szCs w:val="28"/>
        </w:rPr>
        <w:t>油气公司项目部经理</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shd w:val="clea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_Toc7835 </w:instrText>
      </w:r>
      <w:r>
        <w:rPr>
          <w:rFonts w:hint="eastAsia"/>
          <w:sz w:val="28"/>
          <w:szCs w:val="28"/>
        </w:rPr>
        <w:fldChar w:fldCharType="separate"/>
      </w:r>
      <w:r>
        <w:rPr>
          <w:rFonts w:hint="eastAsia"/>
          <w:sz w:val="28"/>
          <w:szCs w:val="28"/>
        </w:rPr>
        <w:t>油气公司项目部副经理</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_Toc1462 </w:instrText>
      </w:r>
      <w:r>
        <w:rPr>
          <w:rFonts w:hint="eastAsia"/>
          <w:sz w:val="28"/>
          <w:szCs w:val="28"/>
        </w:rPr>
        <w:fldChar w:fldCharType="separate"/>
      </w:r>
      <w:r>
        <w:rPr>
          <w:rFonts w:hint="eastAsia"/>
          <w:sz w:val="28"/>
          <w:szCs w:val="28"/>
        </w:rPr>
        <w:t>油气公司队长</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_Toc20334 </w:instrText>
      </w:r>
      <w:r>
        <w:rPr>
          <w:rFonts w:hint="eastAsia"/>
          <w:sz w:val="28"/>
          <w:szCs w:val="28"/>
        </w:rPr>
        <w:fldChar w:fldCharType="separate"/>
      </w:r>
      <w:r>
        <w:rPr>
          <w:rFonts w:hint="eastAsia"/>
          <w:sz w:val="28"/>
          <w:szCs w:val="28"/>
        </w:rPr>
        <w:t>油气公司副队长</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_Toc18140 </w:instrText>
      </w:r>
      <w:r>
        <w:rPr>
          <w:rFonts w:hint="eastAsia"/>
          <w:sz w:val="28"/>
          <w:szCs w:val="28"/>
        </w:rPr>
        <w:fldChar w:fldCharType="separate"/>
      </w:r>
      <w:r>
        <w:rPr>
          <w:rFonts w:hint="eastAsia"/>
          <w:sz w:val="28"/>
          <w:szCs w:val="28"/>
        </w:rPr>
        <w:t>油气公司班长（司钻）</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_Toc11711 </w:instrText>
      </w:r>
      <w:r>
        <w:rPr>
          <w:rFonts w:hint="eastAsia"/>
          <w:sz w:val="28"/>
          <w:szCs w:val="28"/>
        </w:rPr>
        <w:fldChar w:fldCharType="separate"/>
      </w:r>
      <w:r>
        <w:rPr>
          <w:rFonts w:hint="eastAsia"/>
          <w:sz w:val="28"/>
          <w:szCs w:val="28"/>
        </w:rPr>
        <w:t>油气公司井口工</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_Toc28861 </w:instrText>
      </w:r>
      <w:r>
        <w:rPr>
          <w:rFonts w:hint="eastAsia"/>
          <w:sz w:val="28"/>
          <w:szCs w:val="28"/>
        </w:rPr>
        <w:fldChar w:fldCharType="separate"/>
      </w:r>
      <w:r>
        <w:rPr>
          <w:rFonts w:hint="eastAsia"/>
          <w:sz w:val="28"/>
          <w:szCs w:val="28"/>
        </w:rPr>
        <w:t>油气公司场地工</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_Toc25409 </w:instrText>
      </w:r>
      <w:r>
        <w:rPr>
          <w:rFonts w:hint="eastAsia"/>
          <w:sz w:val="28"/>
          <w:szCs w:val="28"/>
        </w:rPr>
        <w:fldChar w:fldCharType="separate"/>
      </w:r>
      <w:r>
        <w:rPr>
          <w:rFonts w:hint="eastAsia"/>
          <w:sz w:val="28"/>
          <w:szCs w:val="28"/>
        </w:rPr>
        <w:t>油气公司操作工</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t>油气公司井架工安全生产责任制</w:t>
      </w:r>
      <w:r>
        <w:rPr>
          <w:rFonts w:hint="eastAsia"/>
          <w:sz w:val="28"/>
          <w:szCs w:val="28"/>
        </w:rPr>
        <w:tab/>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t>油气公司泥浆工安全生产责任制</w:t>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t>油气公司</w:t>
      </w:r>
      <w:r>
        <w:rPr>
          <w:rFonts w:hint="eastAsia"/>
          <w:sz w:val="28"/>
          <w:szCs w:val="28"/>
          <w:lang w:eastAsia="zh-CN"/>
        </w:rPr>
        <w:t>泵</w:t>
      </w:r>
      <w:r>
        <w:rPr>
          <w:rFonts w:hint="eastAsia"/>
          <w:sz w:val="28"/>
          <w:szCs w:val="28"/>
        </w:rPr>
        <w:t>工安全生产责任制</w:t>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t>油气公司试压工安全生产责任制</w:t>
      </w:r>
      <w:r>
        <w:rPr>
          <w:rFonts w:hint="eastAsia"/>
          <w:sz w:val="28"/>
          <w:szCs w:val="28"/>
        </w:rPr>
        <w:tab/>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t>油气公司仪表工安全生产责任制</w:t>
      </w:r>
      <w:r>
        <w:rPr>
          <w:rFonts w:hint="eastAsia"/>
          <w:sz w:val="28"/>
          <w:szCs w:val="28"/>
        </w:rPr>
        <w:tab/>
      </w:r>
    </w:p>
    <w:p>
      <w:pPr>
        <w:pStyle w:val="125"/>
        <w:keepNext w:val="0"/>
        <w:keepLines w:val="0"/>
        <w:pageBreakBefore w:val="0"/>
        <w:widowControl w:val="0"/>
        <w:numPr>
          <w:ilvl w:val="0"/>
          <w:numId w:val="16"/>
        </w:numPr>
        <w:shd w:val="clea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_Toc12777 </w:instrText>
      </w:r>
      <w:r>
        <w:rPr>
          <w:rFonts w:hint="eastAsia"/>
          <w:sz w:val="28"/>
          <w:szCs w:val="28"/>
        </w:rPr>
        <w:fldChar w:fldCharType="separate"/>
      </w:r>
      <w:r>
        <w:rPr>
          <w:rFonts w:hint="eastAsia"/>
          <w:sz w:val="28"/>
          <w:szCs w:val="28"/>
        </w:rPr>
        <w:t>油气公司司机</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_Toc21925 </w:instrText>
      </w:r>
      <w:r>
        <w:rPr>
          <w:rFonts w:hint="eastAsia"/>
          <w:sz w:val="28"/>
          <w:szCs w:val="28"/>
        </w:rPr>
        <w:fldChar w:fldCharType="separate"/>
      </w:r>
      <w:r>
        <w:rPr>
          <w:rFonts w:hint="eastAsia"/>
          <w:sz w:val="28"/>
          <w:szCs w:val="28"/>
        </w:rPr>
        <w:t>综合管理部主任</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_Toc12411 </w:instrText>
      </w:r>
      <w:r>
        <w:rPr>
          <w:rFonts w:hint="eastAsia"/>
          <w:sz w:val="28"/>
          <w:szCs w:val="28"/>
        </w:rPr>
        <w:fldChar w:fldCharType="separate"/>
      </w:r>
      <w:r>
        <w:rPr>
          <w:rFonts w:hint="eastAsia"/>
          <w:sz w:val="28"/>
          <w:szCs w:val="28"/>
        </w:rPr>
        <w:t>综合管理部综合岗</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_Toc12443 </w:instrText>
      </w:r>
      <w:r>
        <w:rPr>
          <w:rFonts w:hint="eastAsia"/>
          <w:sz w:val="28"/>
          <w:szCs w:val="28"/>
        </w:rPr>
        <w:fldChar w:fldCharType="separate"/>
      </w:r>
      <w:r>
        <w:rPr>
          <w:rFonts w:hint="eastAsia"/>
          <w:sz w:val="28"/>
          <w:szCs w:val="28"/>
        </w:rPr>
        <w:t>综合管理部食堂岗</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_Toc2950 </w:instrText>
      </w:r>
      <w:r>
        <w:rPr>
          <w:rFonts w:hint="eastAsia"/>
          <w:sz w:val="28"/>
          <w:szCs w:val="28"/>
        </w:rPr>
        <w:fldChar w:fldCharType="separate"/>
      </w:r>
      <w:r>
        <w:rPr>
          <w:rFonts w:hint="eastAsia"/>
          <w:sz w:val="28"/>
          <w:szCs w:val="28"/>
        </w:rPr>
        <w:t>综合管理部保洁岗</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_Toc340 </w:instrText>
      </w:r>
      <w:r>
        <w:rPr>
          <w:rFonts w:hint="eastAsia"/>
          <w:sz w:val="28"/>
          <w:szCs w:val="28"/>
        </w:rPr>
        <w:fldChar w:fldCharType="separate"/>
      </w:r>
      <w:r>
        <w:rPr>
          <w:rFonts w:hint="eastAsia"/>
          <w:sz w:val="28"/>
          <w:szCs w:val="28"/>
        </w:rPr>
        <w:t>综合管理部维修岗</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_Toc751 </w:instrText>
      </w:r>
      <w:r>
        <w:rPr>
          <w:rFonts w:hint="eastAsia"/>
          <w:sz w:val="28"/>
          <w:szCs w:val="28"/>
        </w:rPr>
        <w:fldChar w:fldCharType="separate"/>
      </w:r>
      <w:r>
        <w:rPr>
          <w:rFonts w:hint="eastAsia"/>
          <w:sz w:val="28"/>
          <w:szCs w:val="28"/>
        </w:rPr>
        <w:t>综合管理部安保岗</w:t>
      </w:r>
      <w:r>
        <w:rPr>
          <w:rFonts w:hint="eastAsia"/>
          <w:sz w:val="28"/>
          <w:szCs w:val="28"/>
          <w:lang w:eastAsia="zh-CN"/>
        </w:rPr>
        <w:t>安全生产责任制</w:t>
      </w:r>
      <w:r>
        <w:rPr>
          <w:rFonts w:hint="eastAsia"/>
          <w:sz w:val="28"/>
          <w:szCs w:val="28"/>
        </w:rPr>
        <w:fldChar w:fldCharType="end"/>
      </w:r>
    </w:p>
    <w:p>
      <w:pPr>
        <w:pStyle w:val="125"/>
        <w:keepNext w:val="0"/>
        <w:keepLines w:val="0"/>
        <w:pageBreakBefore w:val="0"/>
        <w:widowControl w:val="0"/>
        <w:numPr>
          <w:ilvl w:val="0"/>
          <w:numId w:val="16"/>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lang w:val="en-US" w:eastAsia="zh-CN"/>
        </w:rPr>
        <w:t>电工岗位安全生产责任制</w:t>
      </w:r>
    </w:p>
    <w:p>
      <w:pPr>
        <w:pStyle w:val="125"/>
        <w:adjustRightInd w:val="0"/>
        <w:snapToGrid w:val="0"/>
        <w:spacing w:line="360" w:lineRule="auto"/>
        <w:ind w:firstLine="560"/>
        <w:rPr>
          <w:rFonts w:hint="eastAsia"/>
          <w:sz w:val="28"/>
          <w:szCs w:val="28"/>
        </w:rPr>
      </w:pPr>
      <w:r>
        <w:rPr>
          <w:rFonts w:hint="eastAsia"/>
          <w:sz w:val="28"/>
          <w:szCs w:val="28"/>
        </w:rPr>
        <w:t>该公司已经建立了从</w:t>
      </w:r>
      <w:r>
        <w:rPr>
          <w:rFonts w:hint="eastAsia"/>
          <w:sz w:val="28"/>
          <w:szCs w:val="28"/>
          <w:lang w:val="en-US" w:eastAsia="zh-CN"/>
        </w:rPr>
        <w:t>总</w:t>
      </w:r>
      <w:r>
        <w:rPr>
          <w:rFonts w:hint="eastAsia"/>
          <w:sz w:val="28"/>
          <w:szCs w:val="28"/>
        </w:rPr>
        <w:t>经理到一般员工的安全生产责任制，符合</w:t>
      </w:r>
      <w:r>
        <w:rPr>
          <w:rFonts w:hint="default" w:ascii="Times New Roman" w:hAnsi="Times New Roman" w:cs="Times New Roman"/>
          <w:color w:val="auto"/>
          <w:sz w:val="28"/>
          <w:szCs w:val="28"/>
          <w:highlight w:val="none"/>
        </w:rPr>
        <w:t>《中华人民共和国安全生产法》（主席令[2014]第13号</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[20</w:t>
      </w:r>
      <w:r>
        <w:rPr>
          <w:rFonts w:hint="default" w:ascii="Times New Roman" w:hAnsi="Times New Roman" w:cs="Times New Roman"/>
          <w:color w:val="auto"/>
          <w:sz w:val="28"/>
          <w:szCs w:val="28"/>
          <w:highlight w:val="none"/>
          <w:lang w:val="en-US" w:eastAsia="zh-CN"/>
        </w:rPr>
        <w:t>21</w:t>
      </w:r>
      <w:r>
        <w:rPr>
          <w:rFonts w:hint="default" w:ascii="Times New Roman" w:hAnsi="Times New Roman" w:cs="Times New Roman"/>
          <w:color w:val="auto"/>
          <w:sz w:val="28"/>
          <w:szCs w:val="28"/>
          <w:highlight w:val="none"/>
        </w:rPr>
        <w:t>]第</w:t>
      </w:r>
      <w:r>
        <w:rPr>
          <w:rFonts w:hint="default" w:ascii="Times New Roman" w:hAnsi="Times New Roman" w:cs="Times New Roman"/>
          <w:color w:val="auto"/>
          <w:sz w:val="28"/>
          <w:szCs w:val="28"/>
          <w:highlight w:val="none"/>
          <w:lang w:val="en-US" w:eastAsia="zh-CN"/>
        </w:rPr>
        <w:t>88号令修正</w:t>
      </w:r>
      <w:r>
        <w:rPr>
          <w:rFonts w:hint="default" w:ascii="Times New Roman" w:hAnsi="Times New Roman" w:cs="Times New Roman"/>
          <w:color w:val="auto"/>
          <w:sz w:val="28"/>
          <w:szCs w:val="28"/>
          <w:highlight w:val="none"/>
        </w:rPr>
        <w:t>）</w:t>
      </w:r>
      <w:r>
        <w:rPr>
          <w:rFonts w:hint="eastAsia" w:cs="Times New Roman"/>
          <w:color w:val="auto"/>
          <w:sz w:val="28"/>
          <w:szCs w:val="28"/>
          <w:highlight w:val="none"/>
          <w:lang w:val="en-US" w:eastAsia="zh-CN"/>
        </w:rPr>
        <w:t>第二十二条</w:t>
      </w:r>
      <w:r>
        <w:rPr>
          <w:rFonts w:hint="eastAsia" w:cs="Times New Roman"/>
          <w:color w:val="auto"/>
          <w:sz w:val="28"/>
          <w:szCs w:val="28"/>
          <w:highlight w:val="none"/>
          <w:lang w:eastAsia="zh-CN"/>
        </w:rPr>
        <w:t>、</w:t>
      </w:r>
      <w:r>
        <w:rPr>
          <w:rFonts w:hint="eastAsia"/>
          <w:color w:val="auto"/>
          <w:sz w:val="28"/>
          <w:szCs w:val="28"/>
          <w:lang w:val="en-US" w:eastAsia="zh-CN"/>
        </w:rPr>
        <w:t>《山东省安全生产条例》（2021年12月3日山东省第十三届人民代表大会常务委员会第三十二次会议修订）第十六条、</w:t>
      </w:r>
      <w:r>
        <w:rPr>
          <w:rFonts w:hint="eastAsia"/>
          <w:color w:val="auto"/>
          <w:sz w:val="28"/>
          <w:szCs w:val="28"/>
        </w:rPr>
        <w:t>《山东省生产经营单位安全生产主体责任规定》（山东省人民政府令[2018]第311号）中第六条</w:t>
      </w:r>
      <w:r>
        <w:rPr>
          <w:rFonts w:hint="eastAsia"/>
          <w:color w:val="auto"/>
          <w:sz w:val="28"/>
          <w:szCs w:val="28"/>
          <w:lang w:eastAsia="zh-CN"/>
        </w:rPr>
        <w:t>、</w:t>
      </w:r>
      <w:r>
        <w:rPr>
          <w:rFonts w:hint="eastAsia"/>
          <w:color w:val="auto"/>
          <w:sz w:val="28"/>
          <w:szCs w:val="28"/>
          <w:lang w:val="en-US" w:eastAsia="zh-CN"/>
        </w:rPr>
        <w:t>《关于印发山东省生产经营单位全员安全生产责任清单的通知》《鲁安办发〔2021〕50号》</w:t>
      </w:r>
      <w:r>
        <w:rPr>
          <w:rFonts w:hint="eastAsia"/>
          <w:sz w:val="28"/>
          <w:szCs w:val="28"/>
          <w:lang w:val="en-US" w:eastAsia="zh-CN"/>
        </w:rPr>
        <w:t>的要求，</w:t>
      </w:r>
      <w:r>
        <w:rPr>
          <w:rFonts w:hint="eastAsia"/>
          <w:sz w:val="28"/>
          <w:szCs w:val="28"/>
        </w:rPr>
        <w:t>建议企业根据相关规范定期进行修订、完善。</w:t>
      </w:r>
    </w:p>
    <w:p>
      <w:pPr>
        <w:pStyle w:val="5"/>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2.</w:t>
      </w:r>
      <w:r>
        <w:rPr>
          <w:rFonts w:eastAsia="黑体"/>
          <w:b w:val="0"/>
          <w:snapToGrid w:val="0"/>
          <w:kern w:val="0"/>
          <w:sz w:val="28"/>
          <w:szCs w:val="28"/>
        </w:rPr>
        <w:t>5</w:t>
      </w:r>
      <w:r>
        <w:rPr>
          <w:rFonts w:hint="eastAsia" w:eastAsia="黑体"/>
          <w:b w:val="0"/>
          <w:snapToGrid w:val="0"/>
          <w:kern w:val="0"/>
          <w:sz w:val="28"/>
          <w:szCs w:val="28"/>
        </w:rPr>
        <w:t>.</w:t>
      </w:r>
      <w:r>
        <w:rPr>
          <w:rFonts w:eastAsia="黑体"/>
          <w:b w:val="0"/>
          <w:snapToGrid w:val="0"/>
          <w:kern w:val="0"/>
          <w:sz w:val="28"/>
          <w:szCs w:val="28"/>
        </w:rPr>
        <w:t xml:space="preserve">2 </w:t>
      </w:r>
      <w:r>
        <w:rPr>
          <w:rFonts w:hint="eastAsia" w:eastAsia="黑体"/>
          <w:b w:val="0"/>
          <w:snapToGrid w:val="0"/>
          <w:kern w:val="0"/>
          <w:sz w:val="28"/>
          <w:szCs w:val="28"/>
        </w:rPr>
        <w:t>安全管理制度</w:t>
      </w:r>
    </w:p>
    <w:p>
      <w:pPr>
        <w:adjustRightInd w:val="0"/>
        <w:snapToGrid w:val="0"/>
        <w:spacing w:line="360" w:lineRule="auto"/>
        <w:ind w:firstLine="560" w:firstLineChars="200"/>
        <w:rPr>
          <w:sz w:val="28"/>
        </w:rPr>
      </w:pPr>
      <w:r>
        <w:rPr>
          <w:rFonts w:hint="eastAsia"/>
          <w:sz w:val="28"/>
        </w:rPr>
        <w:t>公司制定的安全管理制度有</w:t>
      </w:r>
      <w:r>
        <w:rPr>
          <w:rFonts w:hint="eastAsia"/>
          <w:sz w:val="28"/>
          <w:lang w:eastAsia="zh-CN"/>
        </w:rPr>
        <w:t>（</w:t>
      </w:r>
      <w:r>
        <w:rPr>
          <w:rFonts w:hint="eastAsia"/>
          <w:sz w:val="28"/>
          <w:lang w:val="en-US" w:eastAsia="zh-CN"/>
        </w:rPr>
        <w:t>详见报告附件23</w:t>
      </w:r>
      <w:r>
        <w:rPr>
          <w:rFonts w:hint="eastAsia"/>
          <w:sz w:val="28"/>
          <w:lang w:eastAsia="zh-CN"/>
        </w:rPr>
        <w:t>）</w:t>
      </w:r>
      <w:r>
        <w:rPr>
          <w:rFonts w:hint="eastAsia"/>
          <w:sz w:val="28"/>
        </w:rPr>
        <w:t>：</w:t>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_Toc13845 </w:instrText>
      </w:r>
      <w:r>
        <w:rPr>
          <w:rFonts w:hint="eastAsia"/>
          <w:sz w:val="28"/>
        </w:rPr>
        <w:fldChar w:fldCharType="separate"/>
      </w:r>
      <w:r>
        <w:rPr>
          <w:rFonts w:hint="eastAsia"/>
          <w:sz w:val="28"/>
        </w:rPr>
        <w:t>安全管理规定</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_Toc23725 </w:instrText>
      </w:r>
      <w:r>
        <w:rPr>
          <w:rFonts w:hint="eastAsia"/>
          <w:sz w:val="28"/>
        </w:rPr>
        <w:fldChar w:fldCharType="separate"/>
      </w:r>
      <w:r>
        <w:rPr>
          <w:rFonts w:hint="eastAsia"/>
          <w:sz w:val="28"/>
        </w:rPr>
        <w:t>安全检查制度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_Toc17325 </w:instrText>
      </w:r>
      <w:r>
        <w:rPr>
          <w:rFonts w:hint="eastAsia"/>
          <w:sz w:val="28"/>
        </w:rPr>
        <w:fldChar w:fldCharType="separate"/>
      </w:r>
      <w:r>
        <w:rPr>
          <w:rFonts w:hint="eastAsia"/>
          <w:sz w:val="28"/>
        </w:rPr>
        <w:t>安全生产奖惩制度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_Toc19139 </w:instrText>
      </w:r>
      <w:r>
        <w:rPr>
          <w:rFonts w:hint="eastAsia"/>
          <w:sz w:val="28"/>
        </w:rPr>
        <w:fldChar w:fldCharType="separate"/>
      </w:r>
      <w:r>
        <w:rPr>
          <w:rFonts w:hint="eastAsia"/>
          <w:sz w:val="28"/>
        </w:rPr>
        <w:t>生产安全事故管理制度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_Toc25886 </w:instrText>
      </w:r>
      <w:r>
        <w:rPr>
          <w:rFonts w:hint="eastAsia"/>
          <w:sz w:val="28"/>
        </w:rPr>
        <w:fldChar w:fldCharType="separate"/>
      </w:r>
      <w:r>
        <w:rPr>
          <w:rFonts w:hint="eastAsia"/>
          <w:sz w:val="28"/>
        </w:rPr>
        <w:t>安全生产责任制度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_Toc17329 </w:instrText>
      </w:r>
      <w:r>
        <w:rPr>
          <w:rFonts w:hint="eastAsia"/>
          <w:sz w:val="28"/>
        </w:rPr>
        <w:fldChar w:fldCharType="separate"/>
      </w:r>
      <w:r>
        <w:rPr>
          <w:rFonts w:hint="eastAsia"/>
          <w:sz w:val="28"/>
          <w:lang w:eastAsia="zh-CN"/>
        </w:rPr>
        <w:t>风险分级管控</w:t>
      </w:r>
      <w:r>
        <w:rPr>
          <w:rFonts w:hint="eastAsia"/>
          <w:sz w:val="28"/>
        </w:rPr>
        <w:t>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_Toc26872 </w:instrText>
      </w:r>
      <w:r>
        <w:rPr>
          <w:rFonts w:hint="eastAsia"/>
          <w:sz w:val="28"/>
        </w:rPr>
        <w:fldChar w:fldCharType="separate"/>
      </w:r>
      <w:r>
        <w:rPr>
          <w:rFonts w:hint="eastAsia"/>
          <w:sz w:val="28"/>
        </w:rPr>
        <w:t>事故隐患排查治理制度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_Toc26576 </w:instrText>
      </w:r>
      <w:r>
        <w:rPr>
          <w:rFonts w:hint="eastAsia"/>
          <w:sz w:val="28"/>
        </w:rPr>
        <w:fldChar w:fldCharType="separate"/>
      </w:r>
      <w:r>
        <w:rPr>
          <w:rFonts w:hint="eastAsia"/>
          <w:sz w:val="28"/>
        </w:rPr>
        <w:t>井控安全管理制度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_Toc18991 </w:instrText>
      </w:r>
      <w:r>
        <w:rPr>
          <w:rFonts w:hint="eastAsia"/>
          <w:sz w:val="28"/>
        </w:rPr>
        <w:fldChar w:fldCharType="separate"/>
      </w:r>
      <w:r>
        <w:rPr>
          <w:rFonts w:hint="eastAsia"/>
          <w:sz w:val="28"/>
        </w:rPr>
        <w:t>领导干部带班制度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_Toc17807 </w:instrText>
      </w:r>
      <w:r>
        <w:rPr>
          <w:rFonts w:hint="eastAsia"/>
          <w:sz w:val="28"/>
        </w:rPr>
        <w:fldChar w:fldCharType="separate"/>
      </w:r>
      <w:r>
        <w:rPr>
          <w:rFonts w:hint="eastAsia"/>
          <w:sz w:val="28"/>
        </w:rPr>
        <w:t>领导干部定点联系制度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_Toc28262 </w:instrText>
      </w:r>
      <w:r>
        <w:rPr>
          <w:rFonts w:hint="eastAsia"/>
          <w:sz w:val="28"/>
        </w:rPr>
        <w:fldChar w:fldCharType="separate"/>
      </w:r>
      <w:r>
        <w:rPr>
          <w:rFonts w:hint="eastAsia"/>
          <w:sz w:val="28"/>
        </w:rPr>
        <w:t>消防安全管理制度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_Toc23468 </w:instrText>
      </w:r>
      <w:r>
        <w:rPr>
          <w:rFonts w:hint="eastAsia"/>
          <w:sz w:val="28"/>
        </w:rPr>
        <w:fldChar w:fldCharType="separate"/>
      </w:r>
      <w:r>
        <w:rPr>
          <w:rFonts w:hint="eastAsia"/>
          <w:sz w:val="28"/>
        </w:rPr>
        <w:t>易燃易爆物品防火管理制度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_Toc29285 </w:instrText>
      </w:r>
      <w:r>
        <w:rPr>
          <w:rFonts w:hint="eastAsia"/>
          <w:sz w:val="28"/>
        </w:rPr>
        <w:fldChar w:fldCharType="separate"/>
      </w:r>
      <w:r>
        <w:rPr>
          <w:rFonts w:hint="eastAsia"/>
          <w:sz w:val="28"/>
        </w:rPr>
        <w:t>可燃</w:t>
      </w:r>
      <w:r>
        <w:rPr>
          <w:rFonts w:hint="eastAsia"/>
          <w:sz w:val="28"/>
          <w:lang w:eastAsia="zh-CN"/>
        </w:rPr>
        <w:t>、有毒</w:t>
      </w:r>
      <w:r>
        <w:rPr>
          <w:rFonts w:hint="eastAsia"/>
          <w:sz w:val="28"/>
        </w:rPr>
        <w:t>气体检测报警器安全管理规定</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_Toc4301 </w:instrText>
      </w:r>
      <w:r>
        <w:rPr>
          <w:rFonts w:hint="eastAsia"/>
          <w:sz w:val="28"/>
        </w:rPr>
        <w:fldChar w:fldCharType="separate"/>
      </w:r>
      <w:r>
        <w:rPr>
          <w:rFonts w:hint="eastAsia"/>
          <w:sz w:val="28"/>
        </w:rPr>
        <w:t>安全生产资金投入制度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_Toc21325 </w:instrText>
      </w:r>
      <w:r>
        <w:rPr>
          <w:rFonts w:hint="eastAsia"/>
          <w:sz w:val="28"/>
        </w:rPr>
        <w:fldChar w:fldCharType="separate"/>
      </w:r>
      <w:r>
        <w:rPr>
          <w:rFonts w:hint="eastAsia"/>
          <w:sz w:val="28"/>
        </w:rPr>
        <w:t>隐患治理管理制度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_Toc8787 </w:instrText>
      </w:r>
      <w:r>
        <w:rPr>
          <w:rFonts w:hint="eastAsia"/>
          <w:sz w:val="28"/>
        </w:rPr>
        <w:fldChar w:fldCharType="separate"/>
      </w:r>
      <w:r>
        <w:rPr>
          <w:rFonts w:hint="eastAsia"/>
          <w:sz w:val="28"/>
        </w:rPr>
        <w:t>安全教育培训制度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_Toc25244 </w:instrText>
      </w:r>
      <w:r>
        <w:rPr>
          <w:rFonts w:hint="eastAsia"/>
          <w:sz w:val="28"/>
        </w:rPr>
        <w:fldChar w:fldCharType="separate"/>
      </w:r>
      <w:r>
        <w:rPr>
          <w:rFonts w:hint="eastAsia"/>
          <w:sz w:val="28"/>
        </w:rPr>
        <w:t>安全生产档案管理制度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_Toc1765 </w:instrText>
      </w:r>
      <w:r>
        <w:rPr>
          <w:rFonts w:hint="eastAsia"/>
          <w:sz w:val="28"/>
        </w:rPr>
        <w:fldChar w:fldCharType="separate"/>
      </w:r>
      <w:r>
        <w:rPr>
          <w:rFonts w:hint="eastAsia"/>
          <w:sz w:val="28"/>
        </w:rPr>
        <w:t>安全生产会议制度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_Toc25360 </w:instrText>
      </w:r>
      <w:r>
        <w:rPr>
          <w:rFonts w:hint="eastAsia"/>
          <w:sz w:val="28"/>
        </w:rPr>
        <w:fldChar w:fldCharType="separate"/>
      </w:r>
      <w:r>
        <w:rPr>
          <w:rFonts w:hint="eastAsia"/>
          <w:sz w:val="28"/>
        </w:rPr>
        <w:t>设备安全管理制度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_Toc18988 </w:instrText>
      </w:r>
      <w:r>
        <w:rPr>
          <w:rFonts w:hint="eastAsia"/>
          <w:sz w:val="28"/>
        </w:rPr>
        <w:fldChar w:fldCharType="separate"/>
      </w:r>
      <w:r>
        <w:rPr>
          <w:rFonts w:hint="eastAsia"/>
          <w:sz w:val="28"/>
        </w:rPr>
        <w:t>安全设施管理制度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_Toc21400 </w:instrText>
      </w:r>
      <w:r>
        <w:rPr>
          <w:rFonts w:hint="eastAsia"/>
          <w:sz w:val="28"/>
        </w:rPr>
        <w:fldChar w:fldCharType="separate"/>
      </w:r>
      <w:r>
        <w:rPr>
          <w:rFonts w:hint="eastAsia"/>
          <w:sz w:val="28"/>
        </w:rPr>
        <w:t>特种作业人员管理制度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_Toc31545 </w:instrText>
      </w:r>
      <w:r>
        <w:rPr>
          <w:rFonts w:hint="eastAsia"/>
          <w:sz w:val="28"/>
        </w:rPr>
        <w:fldChar w:fldCharType="separate"/>
      </w:r>
      <w:r>
        <w:rPr>
          <w:rFonts w:hint="eastAsia"/>
          <w:sz w:val="28"/>
        </w:rPr>
        <w:t>劳动防护用品管理制度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_Toc22568 </w:instrText>
      </w:r>
      <w:r>
        <w:rPr>
          <w:rFonts w:hint="eastAsia"/>
          <w:sz w:val="28"/>
        </w:rPr>
        <w:fldChar w:fldCharType="separate"/>
      </w:r>
      <w:r>
        <w:rPr>
          <w:rFonts w:hint="eastAsia"/>
          <w:sz w:val="28"/>
        </w:rPr>
        <w:t>职业病危害预防制度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_Toc15574 </w:instrText>
      </w:r>
      <w:r>
        <w:rPr>
          <w:rFonts w:hint="eastAsia"/>
          <w:sz w:val="28"/>
        </w:rPr>
        <w:fldChar w:fldCharType="separate"/>
      </w:r>
      <w:r>
        <w:rPr>
          <w:rFonts w:hint="eastAsia"/>
          <w:sz w:val="28"/>
        </w:rPr>
        <w:t>职工工伤管理制度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_Toc1805 </w:instrText>
      </w:r>
      <w:r>
        <w:rPr>
          <w:rFonts w:hint="eastAsia"/>
          <w:sz w:val="28"/>
        </w:rPr>
        <w:fldChar w:fldCharType="separate"/>
      </w:r>
      <w:r>
        <w:rPr>
          <w:rFonts w:hint="eastAsia"/>
          <w:sz w:val="28"/>
          <w:lang w:val="en-US" w:eastAsia="zh-CN"/>
        </w:rPr>
        <w:t>临时用电安全</w:t>
      </w:r>
      <w:r>
        <w:rPr>
          <w:rFonts w:hint="eastAsia"/>
          <w:sz w:val="28"/>
        </w:rPr>
        <w:t>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lang w:val="en-US" w:eastAsia="zh-CN"/>
        </w:rPr>
        <w:t>动土作业管理制度</w:t>
      </w:r>
    </w:p>
    <w:p>
      <w:pPr>
        <w:pStyle w:val="125"/>
        <w:numPr>
          <w:ilvl w:val="0"/>
          <w:numId w:val="17"/>
        </w:numPr>
        <w:adjustRightInd w:val="0"/>
        <w:snapToGrid w:val="0"/>
        <w:spacing w:line="360" w:lineRule="auto"/>
        <w:ind w:firstLineChars="0"/>
        <w:rPr>
          <w:sz w:val="28"/>
        </w:rPr>
      </w:pPr>
      <w:r>
        <w:rPr>
          <w:rFonts w:hint="eastAsia"/>
          <w:sz w:val="28"/>
          <w:lang w:val="en-US" w:eastAsia="zh-CN"/>
        </w:rPr>
        <w:t>登高作业安全管理制度</w:t>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_Toc7195 </w:instrText>
      </w:r>
      <w:r>
        <w:rPr>
          <w:rFonts w:hint="eastAsia"/>
          <w:sz w:val="28"/>
        </w:rPr>
        <w:fldChar w:fldCharType="separate"/>
      </w:r>
      <w:r>
        <w:rPr>
          <w:rFonts w:hint="eastAsia"/>
          <w:sz w:val="28"/>
        </w:rPr>
        <w:t>事故报告制度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_Toc3969 </w:instrText>
      </w:r>
      <w:r>
        <w:rPr>
          <w:rFonts w:hint="eastAsia"/>
          <w:sz w:val="28"/>
        </w:rPr>
        <w:fldChar w:fldCharType="separate"/>
      </w:r>
      <w:r>
        <w:rPr>
          <w:rFonts w:hint="eastAsia"/>
          <w:sz w:val="28"/>
        </w:rPr>
        <w:t>应急救援制度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_Toc25997 </w:instrText>
      </w:r>
      <w:r>
        <w:rPr>
          <w:rFonts w:hint="eastAsia"/>
          <w:sz w:val="28"/>
        </w:rPr>
        <w:fldChar w:fldCharType="separate"/>
      </w:r>
      <w:r>
        <w:rPr>
          <w:rFonts w:hint="eastAsia"/>
          <w:sz w:val="28"/>
        </w:rPr>
        <w:t>应急预案管理制度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rPr>
        <w:fldChar w:fldCharType="begin"/>
      </w:r>
      <w:r>
        <w:rPr>
          <w:rFonts w:hint="eastAsia"/>
          <w:sz w:val="28"/>
        </w:rPr>
        <w:instrText xml:space="preserve"> HYPERLINK \l _Toc15076 </w:instrText>
      </w:r>
      <w:r>
        <w:rPr>
          <w:rFonts w:hint="eastAsia"/>
          <w:sz w:val="28"/>
        </w:rPr>
        <w:fldChar w:fldCharType="separate"/>
      </w:r>
      <w:r>
        <w:rPr>
          <w:rFonts w:hint="eastAsia"/>
          <w:sz w:val="28"/>
          <w:lang w:val="zh-CN"/>
        </w:rPr>
        <w:t>承包商、供应商安全管理制度</w:t>
      </w:r>
      <w:r>
        <w:rPr>
          <w:rFonts w:hint="eastAsia"/>
          <w:sz w:val="28"/>
        </w:rPr>
        <w:fldChar w:fldCharType="end"/>
      </w:r>
    </w:p>
    <w:p>
      <w:pPr>
        <w:pStyle w:val="125"/>
        <w:numPr>
          <w:ilvl w:val="0"/>
          <w:numId w:val="17"/>
        </w:numPr>
        <w:adjustRightInd w:val="0"/>
        <w:snapToGrid w:val="0"/>
        <w:spacing w:line="360" w:lineRule="auto"/>
        <w:ind w:firstLineChars="0"/>
        <w:rPr>
          <w:sz w:val="28"/>
        </w:rPr>
      </w:pPr>
      <w:r>
        <w:rPr>
          <w:rFonts w:hint="eastAsia"/>
          <w:sz w:val="28"/>
          <w:szCs w:val="28"/>
          <w:lang w:eastAsia="zh-CN"/>
        </w:rPr>
        <w:t>变更管理制度</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表2</w:t>
      </w:r>
      <w:r>
        <w:rPr>
          <w:rFonts w:hint="eastAsia" w:cs="Times New Roman"/>
          <w:b/>
          <w:bCs/>
          <w:kern w:val="2"/>
          <w:sz w:val="21"/>
          <w:szCs w:val="21"/>
          <w:lang w:val="en-US" w:eastAsia="zh-CN" w:bidi="ar-SA"/>
        </w:rPr>
        <w:t>-4</w:t>
      </w:r>
      <w:r>
        <w:rPr>
          <w:rFonts w:hint="eastAsia" w:ascii="Times New Roman" w:hAnsi="Times New Roman" w:eastAsia="宋体" w:cs="Times New Roman"/>
          <w:b/>
          <w:bCs/>
          <w:kern w:val="2"/>
          <w:sz w:val="21"/>
          <w:szCs w:val="21"/>
          <w:lang w:val="en-US" w:eastAsia="zh-CN" w:bidi="ar-SA"/>
        </w:rPr>
        <w:t xml:space="preserve"> </w:t>
      </w:r>
      <w:r>
        <w:rPr>
          <w:rFonts w:hint="eastAsia" w:cs="Times New Roman"/>
          <w:b/>
          <w:bCs/>
          <w:kern w:val="2"/>
          <w:sz w:val="21"/>
          <w:szCs w:val="21"/>
          <w:lang w:val="en-US" w:eastAsia="zh-CN" w:bidi="ar-SA"/>
        </w:rPr>
        <w:t xml:space="preserve"> </w:t>
      </w:r>
      <w:r>
        <w:rPr>
          <w:rFonts w:hint="eastAsia" w:ascii="Times New Roman" w:hAnsi="Times New Roman" w:eastAsia="宋体" w:cs="Times New Roman"/>
          <w:b/>
          <w:bCs/>
          <w:kern w:val="2"/>
          <w:sz w:val="21"/>
          <w:szCs w:val="21"/>
          <w:lang w:val="en-US" w:eastAsia="zh-CN" w:bidi="ar-SA"/>
        </w:rPr>
        <w:t>制度要求对比一览表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0"/>
        <w:gridCol w:w="4407"/>
        <w:gridCol w:w="3111"/>
        <w:gridCol w:w="5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01"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kern w:val="0"/>
                <w:szCs w:val="21"/>
              </w:rPr>
            </w:pPr>
            <w:r>
              <w:rPr>
                <w:rFonts w:hint="eastAsia" w:ascii="Times New Roman" w:hAnsi="Times New Roman" w:eastAsia="宋体" w:cs="Times New Roman"/>
                <w:b/>
                <w:bCs/>
                <w:kern w:val="0"/>
                <w:szCs w:val="21"/>
              </w:rPr>
              <w:t>序号</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
                <w:bCs/>
                <w:kern w:val="0"/>
                <w:szCs w:val="21"/>
                <w:lang w:eastAsia="zh-CN"/>
              </w:rPr>
            </w:pPr>
            <w:r>
              <w:rPr>
                <w:rFonts w:hint="eastAsia" w:ascii="Times New Roman" w:hAnsi="Times New Roman" w:eastAsia="宋体" w:cs="Times New Roman"/>
                <w:b/>
                <w:bCs/>
                <w:kern w:val="0"/>
                <w:szCs w:val="21"/>
                <w:lang w:eastAsia="zh-CN"/>
              </w:rPr>
              <w:t>《</w:t>
            </w:r>
            <w:r>
              <w:rPr>
                <w:rFonts w:hint="eastAsia" w:ascii="Times New Roman" w:hAnsi="Times New Roman" w:eastAsia="宋体" w:cs="Times New Roman"/>
                <w:b/>
                <w:bCs/>
                <w:kern w:val="0"/>
                <w:szCs w:val="21"/>
              </w:rPr>
              <w:t>非煤矿矿山企业安全生产许可证实施办法》（原国家安全监管总局令第20号，2015年安全监管总局令第78号修正）</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kern w:val="0"/>
                <w:szCs w:val="21"/>
                <w:lang w:val="en-US" w:eastAsia="zh-CN"/>
              </w:rPr>
            </w:pPr>
            <w:r>
              <w:rPr>
                <w:rFonts w:hint="eastAsia" w:ascii="Times New Roman" w:hAnsi="Times New Roman" w:eastAsia="宋体" w:cs="Times New Roman"/>
                <w:b/>
                <w:bCs/>
                <w:kern w:val="0"/>
                <w:szCs w:val="21"/>
                <w:lang w:val="en-US" w:eastAsia="zh-CN"/>
              </w:rPr>
              <w:t>企业制定对应的制度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kern w:val="0"/>
                <w:szCs w:val="21"/>
                <w:lang w:val="en-US" w:eastAsia="zh-CN"/>
              </w:rPr>
            </w:pPr>
            <w:r>
              <w:rPr>
                <w:rFonts w:hint="eastAsia" w:ascii="Times New Roman" w:hAnsi="Times New Roman" w:eastAsia="宋体" w:cs="Times New Roman"/>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安全生产责任制</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安全生产责任制</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2</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安全检查制度</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安全检查制度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3</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职业危害预防制度</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职业危害预防制度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4</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安全教育培训制度</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安全教育培训制度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5</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生产安全事故管理制度</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生产安全事故管理制度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6</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重大危险源监控和重大隐患整改制度</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事故隐患排查治理制度</w:t>
            </w:r>
            <w:r>
              <w:rPr>
                <w:rFonts w:hint="eastAsia" w:cs="Times New Roman"/>
                <w:kern w:val="0"/>
                <w:szCs w:val="21"/>
                <w:lang w:val="en-US" w:eastAsia="zh-CN"/>
              </w:rPr>
              <w:t>、</w:t>
            </w:r>
            <w:bookmarkStart w:id="29" w:name="_Toc12519"/>
            <w:bookmarkStart w:id="30" w:name="_Toc22302"/>
            <w:r>
              <w:rPr>
                <w:rFonts w:hint="eastAsia" w:cs="Times New Roman"/>
                <w:kern w:val="0"/>
                <w:szCs w:val="21"/>
                <w:lang w:val="en-US" w:eastAsia="zh-CN"/>
              </w:rPr>
              <w:t>隐患治理管理制度</w:t>
            </w:r>
            <w:bookmarkEnd w:id="29"/>
            <w:bookmarkEnd w:id="30"/>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7</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设备安全管理制度</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设备安全管理制度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8</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安全生产档案管理制度</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安全生产档案管理制度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9</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安全生产奖惩制度</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安全生产奖惩制度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06"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b/>
                <w:bCs/>
                <w:kern w:val="0"/>
                <w:szCs w:val="21"/>
                <w:lang w:val="en-US" w:eastAsia="zh-CN"/>
              </w:rPr>
              <w:t>序号</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b/>
                <w:bCs/>
                <w:kern w:val="0"/>
                <w:szCs w:val="21"/>
              </w:rPr>
              <w:t>《山东省安全生产条例》（2021年12月3日山东省第十三届人民代表大会常务委员会第三十二次会议修订）</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b/>
                <w:bCs/>
                <w:kern w:val="0"/>
                <w:szCs w:val="21"/>
                <w:lang w:val="en-US" w:eastAsia="zh-CN"/>
              </w:rPr>
              <w:t>企业制定对应的制度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安全生产会议</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安全生产会议制度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2</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安全生产资金投入</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安全生产资金投入制度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3</w:t>
            </w:r>
          </w:p>
        </w:tc>
        <w:tc>
          <w:tcPr>
            <w:tcW w:w="4407" w:type="dxa"/>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安全生产教育培训和特种作业人员管理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安全教育培训制度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4407"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特种作业人员管理制度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4</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劳动防护用品管理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劳动防护用品管理制度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5</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安全设施和设备管理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安全设施管理制度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6</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职业病防治管理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职业危害预防制度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b/>
                <w:bCs/>
                <w:kern w:val="0"/>
                <w:szCs w:val="21"/>
                <w:lang w:val="en-US" w:eastAsia="zh-CN"/>
              </w:rPr>
              <w:t>序号</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b/>
                <w:bCs/>
                <w:kern w:val="0"/>
                <w:szCs w:val="21"/>
              </w:rPr>
              <w:t>《山东省安全生产条例》（2021年12月3日山东省第十三届人民代表大会常务委员会第三十二次会议修订）</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b/>
                <w:bCs/>
                <w:kern w:val="0"/>
                <w:szCs w:val="21"/>
                <w:lang w:val="en-US" w:eastAsia="zh-CN"/>
              </w:rPr>
              <w:t>企业制定对应的制度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Cs w:val="21"/>
                <w:lang w:val="en-US" w:eastAsia="zh-CN"/>
              </w:rPr>
              <w:t>7</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Cs w:val="21"/>
                <w:lang w:val="en-US" w:eastAsia="zh-CN"/>
              </w:rPr>
              <w:t>安全生产检查</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Cs w:val="21"/>
                <w:lang w:val="en-US" w:eastAsia="zh-CN"/>
              </w:rPr>
              <w:t>安全检查制度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8</w:t>
            </w:r>
          </w:p>
        </w:tc>
        <w:tc>
          <w:tcPr>
            <w:tcW w:w="4407" w:type="dxa"/>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危险作业管理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临时用电安全管理制度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4407"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动土作业管理制度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4407"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登高作业安全管理制度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9</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事故隐患排查治理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事故隐患排查治理制度</w:t>
            </w:r>
            <w:r>
              <w:rPr>
                <w:rFonts w:hint="eastAsia" w:cs="Times New Roman"/>
                <w:kern w:val="0"/>
                <w:szCs w:val="21"/>
                <w:lang w:val="en-US" w:eastAsia="zh-CN"/>
              </w:rPr>
              <w:t>、隐患治理管理制度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10</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重大危险源监控管理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不涉及</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11</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安全生产奖惩</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安全生产奖惩制度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12</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事故报告</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事故报告制度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13</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应急救援</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应急救援制度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b/>
                <w:bCs/>
                <w:kern w:val="0"/>
                <w:szCs w:val="21"/>
                <w:lang w:val="en-US" w:eastAsia="zh-CN"/>
              </w:rPr>
              <w:t>序号</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rPr>
            </w:pPr>
            <w:r>
              <w:rPr>
                <w:rFonts w:hint="eastAsia" w:ascii="Times New Roman" w:hAnsi="Times New Roman" w:eastAsia="宋体" w:cs="Times New Roman"/>
                <w:b/>
                <w:bCs/>
                <w:kern w:val="0"/>
                <w:szCs w:val="21"/>
              </w:rPr>
              <w:t>《山东省生产经营单位安全生产主体责任规定》（山东省人民政府令[2018]第311号）</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b/>
                <w:bCs/>
                <w:kern w:val="0"/>
                <w:szCs w:val="21"/>
                <w:lang w:val="en-US" w:eastAsia="zh-CN"/>
              </w:rPr>
              <w:t>企业制定对应的制度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安全生产资金投入</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安全生产资金投入制度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2</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劳动防护用品管理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劳动防护用品管理制度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3</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安全设施和设备管理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安全设施管理制度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4</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安全生产教育和培训</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安全教育培训制度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5</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安全生产检查</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安全检查制度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6</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风险分级管控</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风险分级管控制度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7</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领导现场带班</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领导干部带班制度、领导干部定点联系制度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8</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隐患排查治理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事故隐患排查治理制度</w:t>
            </w:r>
            <w:r>
              <w:rPr>
                <w:rFonts w:hint="eastAsia" w:cs="Times New Roman"/>
                <w:kern w:val="0"/>
                <w:szCs w:val="21"/>
                <w:lang w:val="en-US" w:eastAsia="zh-CN"/>
              </w:rPr>
              <w:t>、隐患治理管理制度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9</w:t>
            </w:r>
          </w:p>
        </w:tc>
        <w:tc>
          <w:tcPr>
            <w:tcW w:w="4407" w:type="dxa"/>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危险作业管理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Cs w:val="21"/>
                <w:lang w:val="en-US" w:eastAsia="zh-CN"/>
              </w:rPr>
              <w:t>临时用电安全管理制度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4407"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Cs w:val="21"/>
                <w:lang w:val="en-US" w:eastAsia="zh-CN"/>
              </w:rPr>
              <w:t>动土作业管理制度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4407"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Cs w:val="21"/>
                <w:lang w:val="en-US" w:eastAsia="zh-CN"/>
              </w:rPr>
              <w:t>登高作业安全管理制度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10</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安全生产奖惩</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安全生产奖惩制度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11</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应急预案管理</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应急预案管理制度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b/>
                <w:bCs/>
                <w:kern w:val="0"/>
                <w:szCs w:val="21"/>
                <w:lang w:val="en-US" w:eastAsia="zh-CN"/>
              </w:rPr>
              <w:t>序号</w:t>
            </w:r>
          </w:p>
        </w:tc>
        <w:tc>
          <w:tcPr>
            <w:tcW w:w="4407"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b/>
                <w:bCs/>
                <w:kern w:val="0"/>
                <w:szCs w:val="21"/>
              </w:rPr>
              <w:t>《山东省生产经营单位安全生产主体责任规定》（山东省人民政府令[2018]第311号）</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b/>
                <w:bCs/>
                <w:kern w:val="0"/>
                <w:szCs w:val="21"/>
                <w:lang w:val="en-US" w:eastAsia="zh-CN"/>
              </w:rPr>
              <w:t>企业制定对应的制度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b/>
                <w:bCs/>
                <w:kern w:val="0"/>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12</w:t>
            </w:r>
          </w:p>
        </w:tc>
        <w:tc>
          <w:tcPr>
            <w:tcW w:w="4407" w:type="dxa"/>
            <w:vMerge w:val="restart"/>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事故报告和事故应急救援</w:t>
            </w: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事故报告制度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0"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4407" w:type="dxa"/>
            <w:vMerge w:val="continue"/>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c>
          <w:tcPr>
            <w:tcW w:w="3111"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应急救援制度</w:t>
            </w:r>
          </w:p>
        </w:tc>
        <w:tc>
          <w:tcPr>
            <w:tcW w:w="554" w:type="dxa"/>
            <w:tcBorders>
              <w:tl2br w:val="nil"/>
              <w:tr2bl w:val="nil"/>
            </w:tcBorders>
            <w:noWrap/>
            <w:vAlign w:val="center"/>
          </w:tcPr>
          <w:p>
            <w:pPr>
              <w:keepNext w:val="0"/>
              <w:keepLines w:val="0"/>
              <w:widowControl/>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kern w:val="0"/>
                <w:szCs w:val="21"/>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jc w:val="both"/>
        <w:textAlignment w:val="auto"/>
        <w:rPr>
          <w:rFonts w:hint="eastAsia" w:ascii="Times New Roman" w:hAnsi="Times New Roman" w:eastAsia="宋体" w:cs="Times New Roman"/>
          <w:kern w:val="2"/>
          <w:sz w:val="28"/>
          <w:szCs w:val="24"/>
          <w:lang w:val="en-US" w:eastAsia="zh-CN" w:bidi="ar-SA"/>
        </w:rPr>
      </w:pPr>
      <w:r>
        <w:rPr>
          <w:rFonts w:hint="eastAsia" w:ascii="Times New Roman" w:hAnsi="Times New Roman" w:eastAsia="宋体" w:cs="Times New Roman"/>
          <w:kern w:val="2"/>
          <w:sz w:val="28"/>
          <w:szCs w:val="24"/>
          <w:lang w:val="en-US" w:eastAsia="zh-CN" w:bidi="ar-SA"/>
        </w:rPr>
        <w:t>该企业目前</w:t>
      </w:r>
      <w:r>
        <w:rPr>
          <w:rFonts w:hint="eastAsia" w:ascii="Times New Roman" w:hAnsi="Times New Roman" w:eastAsia="宋体" w:cs="Times New Roman"/>
          <w:color w:val="auto"/>
          <w:kern w:val="2"/>
          <w:sz w:val="28"/>
          <w:szCs w:val="24"/>
          <w:lang w:val="en-US" w:eastAsia="zh-CN" w:bidi="ar-SA"/>
        </w:rPr>
        <w:t>运行的安全管理制度健全，经相关负责人审核签发，安全管理制度涵盖了《非煤矿矿山企业安全生产许可证实施办法》（原国家安全监管总局令第20号，2015年安全监管总局令第78号修正）第六条、《山东省安全生产条例》（2021年12月3日山东省第十三届人民代表大会常务委员会第三十二次会议修订）第十五条、《山东省生产经营单位安全生产主体责任规定》（山东省人民政府令[2018]第311号）第七条等要求的</w:t>
      </w:r>
      <w:r>
        <w:rPr>
          <w:rFonts w:hint="eastAsia" w:ascii="Times New Roman" w:hAnsi="Times New Roman" w:eastAsia="宋体" w:cs="Times New Roman"/>
          <w:kern w:val="2"/>
          <w:sz w:val="28"/>
          <w:szCs w:val="24"/>
          <w:lang w:val="en-US" w:eastAsia="zh-CN" w:bidi="ar-SA"/>
        </w:rPr>
        <w:t>各项制度，且运行情况良好，建议企业定期更新完善现有安全管理制度。</w:t>
      </w:r>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eastAsia="黑体"/>
          <w:b w:val="0"/>
          <w:snapToGrid w:val="0"/>
          <w:kern w:val="0"/>
          <w:sz w:val="28"/>
          <w:szCs w:val="28"/>
        </w:rPr>
      </w:pPr>
      <w:r>
        <w:rPr>
          <w:rFonts w:hint="eastAsia" w:eastAsia="黑体"/>
          <w:b w:val="0"/>
          <w:snapToGrid w:val="0"/>
          <w:kern w:val="0"/>
          <w:sz w:val="28"/>
          <w:szCs w:val="28"/>
        </w:rPr>
        <w:t>2.</w:t>
      </w:r>
      <w:r>
        <w:rPr>
          <w:rFonts w:eastAsia="黑体"/>
          <w:b w:val="0"/>
          <w:snapToGrid w:val="0"/>
          <w:kern w:val="0"/>
          <w:sz w:val="28"/>
          <w:szCs w:val="28"/>
        </w:rPr>
        <w:t>5</w:t>
      </w:r>
      <w:r>
        <w:rPr>
          <w:rFonts w:hint="eastAsia" w:eastAsia="黑体"/>
          <w:b w:val="0"/>
          <w:snapToGrid w:val="0"/>
          <w:kern w:val="0"/>
          <w:sz w:val="28"/>
          <w:szCs w:val="28"/>
        </w:rPr>
        <w:t>.3</w:t>
      </w:r>
      <w:r>
        <w:rPr>
          <w:rFonts w:eastAsia="黑体"/>
          <w:b w:val="0"/>
          <w:snapToGrid w:val="0"/>
          <w:kern w:val="0"/>
          <w:sz w:val="28"/>
          <w:szCs w:val="28"/>
        </w:rPr>
        <w:t xml:space="preserve"> </w:t>
      </w:r>
      <w:r>
        <w:rPr>
          <w:rFonts w:hint="eastAsia" w:eastAsia="黑体"/>
          <w:b w:val="0"/>
          <w:snapToGrid w:val="0"/>
          <w:kern w:val="0"/>
          <w:sz w:val="28"/>
          <w:szCs w:val="28"/>
        </w:rPr>
        <w:t>操作规程</w:t>
      </w:r>
    </w:p>
    <w:p>
      <w:pPr>
        <w:adjustRightInd w:val="0"/>
        <w:snapToGrid w:val="0"/>
        <w:spacing w:line="360" w:lineRule="auto"/>
        <w:ind w:firstLine="560" w:firstLineChars="200"/>
        <w:rPr>
          <w:rFonts w:hint="eastAsia"/>
          <w:sz w:val="28"/>
        </w:rPr>
      </w:pPr>
      <w:r>
        <w:rPr>
          <w:rFonts w:hint="eastAsia"/>
          <w:sz w:val="28"/>
        </w:rPr>
        <w:t>公司制定有</w:t>
      </w:r>
      <w:bookmarkStart w:id="31" w:name="_Hlk536086749"/>
      <w:r>
        <w:rPr>
          <w:rFonts w:hint="eastAsia"/>
          <w:sz w:val="28"/>
          <w:shd w:val="clear"/>
        </w:rPr>
        <w:t>安全操作规程</w:t>
      </w:r>
      <w:bookmarkEnd w:id="31"/>
      <w:r>
        <w:rPr>
          <w:rFonts w:hint="eastAsia"/>
          <w:sz w:val="28"/>
          <w:shd w:val="clear"/>
          <w:lang w:val="en-US" w:eastAsia="zh-CN"/>
        </w:rPr>
        <w:t>，主要包括以下内容：（</w:t>
      </w:r>
      <w:r>
        <w:rPr>
          <w:rFonts w:hint="eastAsia"/>
          <w:sz w:val="28"/>
          <w:lang w:val="en-US" w:eastAsia="zh-CN"/>
        </w:rPr>
        <w:t>详见报告附件24</w:t>
      </w:r>
      <w:r>
        <w:rPr>
          <w:rFonts w:hint="eastAsia"/>
          <w:sz w:val="28"/>
          <w:lang w:eastAsia="zh-CN"/>
        </w:rPr>
        <w:t>）</w:t>
      </w:r>
      <w:r>
        <w:rPr>
          <w:rFonts w:hint="eastAsia"/>
          <w:sz w:val="28"/>
        </w:rPr>
        <w:t>。</w:t>
      </w:r>
    </w:p>
    <w:p>
      <w:pPr>
        <w:pStyle w:val="51"/>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color w:val="auto"/>
          <w:kern w:val="2"/>
          <w:sz w:val="28"/>
          <w:szCs w:val="24"/>
          <w:shd w:val="clear"/>
          <w:lang w:val="en-US" w:eastAsia="zh-CN" w:bidi="ar-SA"/>
        </w:rPr>
      </w:pPr>
      <w:r>
        <w:rPr>
          <w:rFonts w:hint="eastAsia" w:ascii="Times New Roman" w:hAnsi="Times New Roman" w:eastAsia="宋体" w:cs="Times New Roman"/>
          <w:color w:val="auto"/>
          <w:kern w:val="2"/>
          <w:sz w:val="28"/>
          <w:szCs w:val="24"/>
          <w:shd w:val="clear"/>
          <w:lang w:val="en-US" w:eastAsia="zh-CN" w:bidi="ar-SA"/>
        </w:rPr>
        <w:t>一、岗位人员安全操作规程</w:t>
      </w:r>
    </w:p>
    <w:p>
      <w:pPr>
        <w:pStyle w:val="125"/>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_Toc21273 </w:instrText>
      </w:r>
      <w:r>
        <w:rPr>
          <w:rFonts w:hint="eastAsia"/>
          <w:sz w:val="28"/>
          <w:szCs w:val="28"/>
        </w:rPr>
        <w:fldChar w:fldCharType="separate"/>
      </w:r>
      <w:r>
        <w:rPr>
          <w:rFonts w:hint="eastAsia"/>
          <w:sz w:val="28"/>
          <w:szCs w:val="28"/>
          <w:lang w:eastAsia="zh-CN"/>
        </w:rPr>
        <w:t>班长（司钻）</w:t>
      </w:r>
      <w:r>
        <w:rPr>
          <w:rFonts w:hint="eastAsia"/>
          <w:sz w:val="28"/>
          <w:szCs w:val="28"/>
        </w:rPr>
        <w:t>岗位安全操作规程</w:t>
      </w:r>
      <w:r>
        <w:rPr>
          <w:rFonts w:hint="eastAsia"/>
          <w:sz w:val="28"/>
          <w:szCs w:val="28"/>
        </w:rPr>
        <w:fldChar w:fldCharType="end"/>
      </w:r>
    </w:p>
    <w:p>
      <w:pPr>
        <w:pStyle w:val="125"/>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_Toc248 </w:instrText>
      </w:r>
      <w:r>
        <w:rPr>
          <w:rFonts w:hint="eastAsia"/>
          <w:sz w:val="28"/>
          <w:szCs w:val="28"/>
        </w:rPr>
        <w:fldChar w:fldCharType="separate"/>
      </w:r>
      <w:r>
        <w:rPr>
          <w:rFonts w:hint="eastAsia"/>
          <w:sz w:val="28"/>
          <w:szCs w:val="28"/>
          <w:lang w:eastAsia="zh-CN"/>
        </w:rPr>
        <w:t>井口岗</w:t>
      </w:r>
      <w:r>
        <w:rPr>
          <w:rFonts w:hint="eastAsia"/>
          <w:sz w:val="28"/>
          <w:szCs w:val="28"/>
        </w:rPr>
        <w:t>安全操作规程</w:t>
      </w:r>
      <w:r>
        <w:rPr>
          <w:rFonts w:hint="eastAsia"/>
          <w:sz w:val="28"/>
          <w:szCs w:val="28"/>
        </w:rPr>
        <w:fldChar w:fldCharType="end"/>
      </w:r>
    </w:p>
    <w:p>
      <w:pPr>
        <w:pStyle w:val="125"/>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fldChar w:fldCharType="begin"/>
      </w:r>
      <w:r>
        <w:rPr>
          <w:rFonts w:hint="eastAsia"/>
          <w:sz w:val="28"/>
          <w:szCs w:val="28"/>
          <w:lang w:val="en-US" w:eastAsia="zh-CN"/>
        </w:rPr>
        <w:instrText xml:space="preserve"> HYPERLINK \l _Toc12247 </w:instrText>
      </w:r>
      <w:r>
        <w:rPr>
          <w:rFonts w:hint="eastAsia"/>
          <w:sz w:val="28"/>
          <w:szCs w:val="28"/>
          <w:lang w:val="en-US" w:eastAsia="zh-CN"/>
        </w:rPr>
        <w:fldChar w:fldCharType="separate"/>
      </w:r>
      <w:r>
        <w:rPr>
          <w:rFonts w:hint="eastAsia"/>
          <w:sz w:val="28"/>
          <w:szCs w:val="28"/>
          <w:lang w:val="en-US" w:eastAsia="zh-CN"/>
        </w:rPr>
        <w:t>场地岗安全操作规程</w:t>
      </w:r>
      <w:r>
        <w:rPr>
          <w:rFonts w:hint="eastAsia"/>
          <w:sz w:val="28"/>
          <w:szCs w:val="28"/>
          <w:lang w:val="en-US" w:eastAsia="zh-CN"/>
        </w:rPr>
        <w:fldChar w:fldCharType="end"/>
      </w:r>
    </w:p>
    <w:p>
      <w:pPr>
        <w:pStyle w:val="125"/>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试压工岗位安全操作规程</w:t>
      </w:r>
    </w:p>
    <w:p>
      <w:pPr>
        <w:pStyle w:val="125"/>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技术服务操作工岗位安全操作规程</w:t>
      </w:r>
    </w:p>
    <w:p>
      <w:pPr>
        <w:pStyle w:val="125"/>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井架工安全操作规程</w:t>
      </w:r>
      <w:r>
        <w:rPr>
          <w:rFonts w:hint="eastAsia"/>
          <w:sz w:val="28"/>
          <w:szCs w:val="28"/>
          <w:lang w:val="en-US" w:eastAsia="zh-CN"/>
        </w:rPr>
        <w:tab/>
      </w:r>
    </w:p>
    <w:p>
      <w:pPr>
        <w:pStyle w:val="125"/>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泥浆工安全操作规程</w:t>
      </w:r>
    </w:p>
    <w:p>
      <w:pPr>
        <w:pStyle w:val="125"/>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仪表工安全操作规程</w:t>
      </w:r>
    </w:p>
    <w:p>
      <w:pPr>
        <w:pStyle w:val="125"/>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电工安全操作规程</w:t>
      </w:r>
    </w:p>
    <w:p>
      <w:pPr>
        <w:pStyle w:val="125"/>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泵工安全操作规程</w:t>
      </w:r>
    </w:p>
    <w:p>
      <w:pPr>
        <w:pStyle w:val="125"/>
        <w:keepNext w:val="0"/>
        <w:keepLines w:val="0"/>
        <w:pageBreakBefore w:val="0"/>
        <w:widowControl w:val="0"/>
        <w:numPr>
          <w:ilvl w:val="0"/>
          <w:numId w:val="18"/>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fldChar w:fldCharType="begin"/>
      </w:r>
      <w:r>
        <w:rPr>
          <w:rFonts w:hint="eastAsia"/>
          <w:sz w:val="28"/>
          <w:szCs w:val="28"/>
          <w:lang w:val="en-US" w:eastAsia="zh-CN"/>
        </w:rPr>
        <w:instrText xml:space="preserve"> HYPERLINK \l _Toc22204 </w:instrText>
      </w:r>
      <w:r>
        <w:rPr>
          <w:rFonts w:hint="eastAsia"/>
          <w:sz w:val="28"/>
          <w:szCs w:val="28"/>
          <w:lang w:val="en-US" w:eastAsia="zh-CN"/>
        </w:rPr>
        <w:fldChar w:fldCharType="separate"/>
      </w:r>
      <w:r>
        <w:rPr>
          <w:rFonts w:hint="eastAsia"/>
          <w:sz w:val="28"/>
          <w:szCs w:val="28"/>
          <w:lang w:val="en-US" w:eastAsia="zh-CN"/>
        </w:rPr>
        <w:t>司机岗安全操作规程</w:t>
      </w:r>
      <w:r>
        <w:rPr>
          <w:rFonts w:hint="eastAsia"/>
          <w:sz w:val="28"/>
          <w:szCs w:val="28"/>
          <w:lang w:val="en-US" w:eastAsia="zh-CN"/>
        </w:rPr>
        <w:fldChar w:fldCharType="end"/>
      </w:r>
    </w:p>
    <w:p>
      <w:pPr>
        <w:pStyle w:val="12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textAlignment w:val="auto"/>
        <w:rPr>
          <w:rFonts w:hint="eastAsia" w:ascii="Times New Roman" w:hAnsi="Times New Roman" w:eastAsia="宋体" w:cs="Times New Roman"/>
          <w:color w:val="auto"/>
          <w:kern w:val="2"/>
          <w:sz w:val="28"/>
          <w:szCs w:val="24"/>
          <w:shd w:val="clear"/>
          <w:lang w:val="en-US" w:eastAsia="zh-CN" w:bidi="ar-SA"/>
        </w:rPr>
      </w:pPr>
      <w:r>
        <w:rPr>
          <w:rFonts w:hint="eastAsia" w:ascii="Times New Roman" w:hAnsi="Times New Roman" w:eastAsia="宋体" w:cs="Times New Roman"/>
          <w:color w:val="auto"/>
          <w:kern w:val="2"/>
          <w:sz w:val="28"/>
          <w:szCs w:val="24"/>
          <w:shd w:val="clear"/>
          <w:lang w:val="en-US" w:eastAsia="zh-CN" w:bidi="ar-SA"/>
        </w:rPr>
        <w:t>二、小修作业施工操作规程</w:t>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fldChar w:fldCharType="begin"/>
      </w:r>
      <w:r>
        <w:rPr>
          <w:rFonts w:hint="eastAsia"/>
          <w:sz w:val="28"/>
          <w:szCs w:val="28"/>
          <w:lang w:val="en-US" w:eastAsia="zh-CN"/>
        </w:rPr>
        <w:instrText xml:space="preserve"> HYPERLINK \l _Toc20641 </w:instrText>
      </w:r>
      <w:r>
        <w:rPr>
          <w:rFonts w:hint="eastAsia"/>
          <w:sz w:val="28"/>
          <w:szCs w:val="28"/>
          <w:lang w:val="en-US" w:eastAsia="zh-CN"/>
        </w:rPr>
        <w:fldChar w:fldCharType="separate"/>
      </w:r>
      <w:r>
        <w:rPr>
          <w:rFonts w:hint="eastAsia"/>
          <w:sz w:val="28"/>
          <w:szCs w:val="28"/>
          <w:lang w:val="en-US" w:eastAsia="zh-CN"/>
        </w:rPr>
        <w:t>通井机搬迁操作规程</w:t>
      </w:r>
      <w:r>
        <w:rPr>
          <w:rFonts w:hint="eastAsia"/>
          <w:sz w:val="28"/>
          <w:szCs w:val="28"/>
          <w:lang w:val="en-US" w:eastAsia="zh-CN"/>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_Toc11620 </w:instrText>
      </w:r>
      <w:r>
        <w:rPr>
          <w:rFonts w:hint="eastAsia"/>
          <w:sz w:val="28"/>
          <w:szCs w:val="28"/>
        </w:rPr>
        <w:fldChar w:fldCharType="separate"/>
      </w:r>
      <w:r>
        <w:rPr>
          <w:rFonts w:hint="eastAsia"/>
          <w:sz w:val="28"/>
          <w:szCs w:val="28"/>
        </w:rPr>
        <w:t>修井机搬迁操作规程</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_Toc9973 </w:instrText>
      </w:r>
      <w:r>
        <w:rPr>
          <w:rFonts w:hint="eastAsia"/>
          <w:sz w:val="28"/>
          <w:szCs w:val="28"/>
        </w:rPr>
        <w:fldChar w:fldCharType="separate"/>
      </w:r>
      <w:r>
        <w:rPr>
          <w:rFonts w:hint="eastAsia"/>
          <w:sz w:val="28"/>
          <w:szCs w:val="28"/>
        </w:rPr>
        <w:t>固定式作业井架立放操作规程（通井机）</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_Toc32037 </w:instrText>
      </w:r>
      <w:r>
        <w:rPr>
          <w:rFonts w:hint="eastAsia"/>
          <w:sz w:val="28"/>
          <w:szCs w:val="28"/>
        </w:rPr>
        <w:fldChar w:fldCharType="separate"/>
      </w:r>
      <w:r>
        <w:rPr>
          <w:rFonts w:hint="eastAsia"/>
          <w:sz w:val="28"/>
          <w:szCs w:val="28"/>
        </w:rPr>
        <w:t>修井机立放井架操作规程</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_Toc6812 </w:instrText>
      </w:r>
      <w:r>
        <w:rPr>
          <w:rFonts w:hint="eastAsia"/>
          <w:sz w:val="28"/>
          <w:szCs w:val="28"/>
        </w:rPr>
        <w:fldChar w:fldCharType="separate"/>
      </w:r>
      <w:r>
        <w:rPr>
          <w:rFonts w:hint="eastAsia"/>
          <w:sz w:val="28"/>
          <w:szCs w:val="28"/>
        </w:rPr>
        <w:t>作业搬迁吊装操作规程</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_Toc26637 </w:instrText>
      </w:r>
      <w:r>
        <w:rPr>
          <w:rFonts w:hint="eastAsia"/>
          <w:sz w:val="28"/>
          <w:szCs w:val="28"/>
        </w:rPr>
        <w:fldChar w:fldCharType="separate"/>
      </w:r>
      <w:r>
        <w:rPr>
          <w:rFonts w:hint="eastAsia"/>
          <w:sz w:val="28"/>
          <w:szCs w:val="28"/>
        </w:rPr>
        <w:t>液压钳操作规程</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_Toc15465 </w:instrText>
      </w:r>
      <w:r>
        <w:rPr>
          <w:rFonts w:hint="eastAsia"/>
          <w:sz w:val="28"/>
          <w:szCs w:val="28"/>
        </w:rPr>
        <w:fldChar w:fldCharType="separate"/>
      </w:r>
      <w:r>
        <w:rPr>
          <w:rFonts w:hint="eastAsia"/>
          <w:sz w:val="28"/>
          <w:szCs w:val="28"/>
        </w:rPr>
        <w:t>防喷器安装操作规程</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_Toc16057 </w:instrText>
      </w:r>
      <w:r>
        <w:rPr>
          <w:rFonts w:hint="eastAsia"/>
          <w:sz w:val="28"/>
          <w:szCs w:val="28"/>
        </w:rPr>
        <w:fldChar w:fldCharType="separate"/>
      </w:r>
      <w:r>
        <w:rPr>
          <w:rFonts w:hint="eastAsia"/>
          <w:sz w:val="28"/>
          <w:szCs w:val="28"/>
        </w:rPr>
        <w:t>井口拆装操作规程</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_Toc22863 </w:instrText>
      </w:r>
      <w:r>
        <w:rPr>
          <w:rFonts w:hint="eastAsia"/>
          <w:sz w:val="28"/>
          <w:szCs w:val="28"/>
        </w:rPr>
        <w:fldChar w:fldCharType="separate"/>
      </w:r>
      <w:r>
        <w:rPr>
          <w:rFonts w:hint="eastAsia"/>
          <w:sz w:val="28"/>
          <w:szCs w:val="28"/>
        </w:rPr>
        <w:t>常规修井作业规程－油气井压井、替喷、诱喷</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_Toc1522 </w:instrText>
      </w:r>
      <w:r>
        <w:rPr>
          <w:rFonts w:hint="eastAsia"/>
          <w:sz w:val="28"/>
          <w:szCs w:val="28"/>
        </w:rPr>
        <w:fldChar w:fldCharType="separate"/>
      </w:r>
      <w:r>
        <w:rPr>
          <w:rFonts w:hint="eastAsia"/>
          <w:sz w:val="28"/>
          <w:szCs w:val="28"/>
        </w:rPr>
        <w:t>洗井作业操作规程</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_Toc10246 </w:instrText>
      </w:r>
      <w:r>
        <w:rPr>
          <w:rFonts w:hint="eastAsia"/>
          <w:sz w:val="28"/>
          <w:szCs w:val="28"/>
        </w:rPr>
        <w:fldChar w:fldCharType="separate"/>
      </w:r>
      <w:r>
        <w:rPr>
          <w:rFonts w:hint="eastAsia"/>
          <w:sz w:val="28"/>
          <w:szCs w:val="28"/>
        </w:rPr>
        <w:t>通井作业操作规程</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_Toc12861 </w:instrText>
      </w:r>
      <w:r>
        <w:rPr>
          <w:rFonts w:hint="eastAsia"/>
          <w:sz w:val="28"/>
          <w:szCs w:val="28"/>
        </w:rPr>
        <w:fldChar w:fldCharType="separate"/>
      </w:r>
      <w:r>
        <w:rPr>
          <w:rFonts w:hint="eastAsia"/>
          <w:sz w:val="28"/>
          <w:szCs w:val="28"/>
        </w:rPr>
        <w:t>套管刮削作业操作规程</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_Toc18675 </w:instrText>
      </w:r>
      <w:r>
        <w:rPr>
          <w:rFonts w:hint="eastAsia"/>
          <w:sz w:val="28"/>
          <w:szCs w:val="28"/>
        </w:rPr>
        <w:fldChar w:fldCharType="separate"/>
      </w:r>
      <w:r>
        <w:rPr>
          <w:rFonts w:hint="eastAsia"/>
          <w:sz w:val="28"/>
          <w:szCs w:val="28"/>
        </w:rPr>
        <w:t>起下</w:t>
      </w:r>
      <w:r>
        <w:rPr>
          <w:rFonts w:hint="eastAsia"/>
          <w:sz w:val="28"/>
          <w:szCs w:val="28"/>
          <w:lang w:eastAsia="zh-CN"/>
        </w:rPr>
        <w:t>油管、抽油杆</w:t>
      </w:r>
      <w:r>
        <w:rPr>
          <w:rFonts w:hint="eastAsia"/>
          <w:sz w:val="28"/>
          <w:szCs w:val="28"/>
        </w:rPr>
        <w:t>作业操作规程</w:t>
      </w:r>
      <w:r>
        <w:rPr>
          <w:rFonts w:hint="eastAsia"/>
          <w:sz w:val="28"/>
          <w:szCs w:val="28"/>
        </w:rPr>
        <w:fldChar w:fldCharType="end"/>
      </w:r>
    </w:p>
    <w:p>
      <w:pPr>
        <w:pStyle w:val="125"/>
        <w:keepNext w:val="0"/>
        <w:keepLines w:val="0"/>
        <w:pageBreakBefore w:val="0"/>
        <w:widowControl w:val="0"/>
        <w:numPr>
          <w:ilvl w:val="0"/>
          <w:numId w:val="19"/>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fldChar w:fldCharType="begin"/>
      </w:r>
      <w:r>
        <w:rPr>
          <w:rFonts w:hint="eastAsia"/>
          <w:sz w:val="28"/>
          <w:szCs w:val="28"/>
        </w:rPr>
        <w:instrText xml:space="preserve"> HYPERLINK \l _Toc4274 </w:instrText>
      </w:r>
      <w:r>
        <w:rPr>
          <w:rFonts w:hint="eastAsia"/>
          <w:sz w:val="28"/>
          <w:szCs w:val="28"/>
        </w:rPr>
        <w:fldChar w:fldCharType="separate"/>
      </w:r>
      <w:r>
        <w:rPr>
          <w:rFonts w:hint="eastAsia"/>
          <w:sz w:val="28"/>
          <w:szCs w:val="28"/>
        </w:rPr>
        <w:t>打捞作业操作规程</w:t>
      </w:r>
      <w:r>
        <w:rPr>
          <w:rFonts w:hint="eastAsia"/>
          <w:sz w:val="28"/>
          <w:szCs w:val="28"/>
        </w:rPr>
        <w:fldChar w:fldCharType="end"/>
      </w:r>
    </w:p>
    <w:p>
      <w:pPr>
        <w:pStyle w:val="12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textAlignment w:val="auto"/>
        <w:rPr>
          <w:rFonts w:hint="eastAsia" w:ascii="Times New Roman" w:hAnsi="Times New Roman" w:eastAsia="宋体" w:cs="Times New Roman"/>
          <w:color w:val="auto"/>
          <w:kern w:val="2"/>
          <w:sz w:val="28"/>
          <w:szCs w:val="24"/>
          <w:shd w:val="clear"/>
          <w:lang w:val="en-US" w:eastAsia="zh-CN" w:bidi="ar-SA"/>
        </w:rPr>
      </w:pPr>
      <w:r>
        <w:rPr>
          <w:rFonts w:hint="eastAsia" w:ascii="Times New Roman" w:hAnsi="Times New Roman" w:eastAsia="宋体" w:cs="Times New Roman"/>
          <w:color w:val="auto"/>
          <w:kern w:val="2"/>
          <w:sz w:val="28"/>
          <w:szCs w:val="24"/>
          <w:shd w:val="clear"/>
          <w:lang w:val="en-US" w:eastAsia="zh-CN" w:bidi="ar-SA"/>
        </w:rPr>
        <w:t>三、技术服务类施工操作规程</w:t>
      </w:r>
    </w:p>
    <w:p>
      <w:pPr>
        <w:pStyle w:val="125"/>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lang w:eastAsia="zh-CN"/>
        </w:rPr>
        <w:t>堵漏</w:t>
      </w:r>
      <w:r>
        <w:rPr>
          <w:rFonts w:hint="eastAsia"/>
          <w:sz w:val="28"/>
          <w:szCs w:val="28"/>
        </w:rPr>
        <w:t>作业操作规程</w:t>
      </w:r>
    </w:p>
    <w:p>
      <w:pPr>
        <w:pStyle w:val="125"/>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套管补贴作业操作规程</w:t>
      </w:r>
    </w:p>
    <w:p>
      <w:pPr>
        <w:pStyle w:val="125"/>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fldChar w:fldCharType="begin"/>
      </w:r>
      <w:r>
        <w:rPr>
          <w:rFonts w:hint="eastAsia"/>
          <w:sz w:val="28"/>
          <w:szCs w:val="28"/>
          <w:lang w:val="en-US" w:eastAsia="zh-CN"/>
        </w:rPr>
        <w:instrText xml:space="preserve"> HYPERLINK \l _Toc11919 </w:instrText>
      </w:r>
      <w:r>
        <w:rPr>
          <w:rFonts w:hint="eastAsia"/>
          <w:sz w:val="28"/>
          <w:szCs w:val="28"/>
          <w:lang w:val="en-US" w:eastAsia="zh-CN"/>
        </w:rPr>
        <w:fldChar w:fldCharType="separate"/>
      </w:r>
      <w:r>
        <w:rPr>
          <w:rFonts w:hint="eastAsia"/>
          <w:sz w:val="28"/>
          <w:szCs w:val="28"/>
          <w:lang w:val="en-US" w:eastAsia="zh-CN"/>
        </w:rPr>
        <w:t>防砂作业操作规程</w:t>
      </w:r>
      <w:r>
        <w:rPr>
          <w:rFonts w:hint="eastAsia"/>
          <w:sz w:val="28"/>
          <w:szCs w:val="28"/>
          <w:lang w:val="en-US" w:eastAsia="zh-CN"/>
        </w:rPr>
        <w:fldChar w:fldCharType="end"/>
      </w:r>
    </w:p>
    <w:p>
      <w:pPr>
        <w:pStyle w:val="125"/>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fldChar w:fldCharType="begin"/>
      </w:r>
      <w:r>
        <w:rPr>
          <w:rFonts w:hint="eastAsia"/>
          <w:sz w:val="28"/>
          <w:szCs w:val="28"/>
          <w:lang w:val="en-US" w:eastAsia="zh-CN"/>
        </w:rPr>
        <w:instrText xml:space="preserve"> HYPERLINK \l _Toc28811 </w:instrText>
      </w:r>
      <w:r>
        <w:rPr>
          <w:rFonts w:hint="eastAsia"/>
          <w:sz w:val="28"/>
          <w:szCs w:val="28"/>
          <w:lang w:val="en-US" w:eastAsia="zh-CN"/>
        </w:rPr>
        <w:fldChar w:fldCharType="separate"/>
      </w:r>
      <w:r>
        <w:rPr>
          <w:rFonts w:hint="eastAsia"/>
          <w:sz w:val="28"/>
          <w:szCs w:val="28"/>
          <w:lang w:val="en-US" w:eastAsia="zh-CN"/>
        </w:rPr>
        <w:t>酸化作业操作规程</w:t>
      </w:r>
      <w:r>
        <w:rPr>
          <w:rFonts w:hint="eastAsia"/>
          <w:sz w:val="28"/>
          <w:szCs w:val="28"/>
          <w:lang w:val="en-US" w:eastAsia="zh-CN"/>
        </w:rPr>
        <w:fldChar w:fldCharType="end"/>
      </w:r>
    </w:p>
    <w:p>
      <w:pPr>
        <w:pStyle w:val="125"/>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fldChar w:fldCharType="begin"/>
      </w:r>
      <w:r>
        <w:rPr>
          <w:rFonts w:hint="eastAsia"/>
          <w:sz w:val="28"/>
          <w:szCs w:val="28"/>
          <w:lang w:val="en-US" w:eastAsia="zh-CN"/>
        </w:rPr>
        <w:instrText xml:space="preserve"> HYPERLINK \l _Toc7084 </w:instrText>
      </w:r>
      <w:r>
        <w:rPr>
          <w:rFonts w:hint="eastAsia"/>
          <w:sz w:val="28"/>
          <w:szCs w:val="28"/>
          <w:lang w:val="en-US" w:eastAsia="zh-CN"/>
        </w:rPr>
        <w:fldChar w:fldCharType="separate"/>
      </w:r>
      <w:r>
        <w:rPr>
          <w:rFonts w:hint="eastAsia"/>
          <w:sz w:val="28"/>
          <w:szCs w:val="28"/>
          <w:lang w:val="en-US" w:eastAsia="zh-CN"/>
        </w:rPr>
        <w:t>堵水/调剖施工操作规程</w:t>
      </w:r>
      <w:r>
        <w:rPr>
          <w:rFonts w:hint="eastAsia"/>
          <w:sz w:val="28"/>
          <w:szCs w:val="28"/>
          <w:lang w:val="en-US" w:eastAsia="zh-CN"/>
        </w:rPr>
        <w:fldChar w:fldCharType="end"/>
      </w:r>
    </w:p>
    <w:p>
      <w:pPr>
        <w:pStyle w:val="12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textAlignment w:val="auto"/>
        <w:rPr>
          <w:rFonts w:hint="default"/>
          <w:sz w:val="28"/>
          <w:szCs w:val="28"/>
          <w:lang w:val="en-US" w:eastAsia="zh-CN"/>
        </w:rPr>
      </w:pPr>
      <w:r>
        <w:rPr>
          <w:rFonts w:hint="eastAsia"/>
          <w:sz w:val="28"/>
          <w:szCs w:val="28"/>
          <w:lang w:val="en-US" w:eastAsia="zh-CN"/>
        </w:rPr>
        <w:t>四、井控试压车操作规程</w:t>
      </w:r>
    </w:p>
    <w:p>
      <w:pPr>
        <w:pStyle w:val="12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textAlignment w:val="auto"/>
        <w:rPr>
          <w:rFonts w:hint="eastAsia"/>
          <w:sz w:val="28"/>
          <w:szCs w:val="28"/>
          <w:lang w:val="en-US" w:eastAsia="zh-CN"/>
        </w:rPr>
      </w:pPr>
      <w:r>
        <w:rPr>
          <w:rFonts w:hint="eastAsia"/>
          <w:sz w:val="28"/>
          <w:szCs w:val="28"/>
          <w:lang w:val="en-US" w:eastAsia="zh-CN"/>
        </w:rPr>
        <w:t>五、</w:t>
      </w:r>
      <w:r>
        <w:rPr>
          <w:rFonts w:hint="eastAsia"/>
          <w:sz w:val="28"/>
          <w:szCs w:val="28"/>
          <w:lang w:val="en-US" w:eastAsia="zh-CN"/>
        </w:rPr>
        <w:fldChar w:fldCharType="begin"/>
      </w:r>
      <w:r>
        <w:rPr>
          <w:rFonts w:hint="eastAsia"/>
          <w:sz w:val="28"/>
          <w:szCs w:val="28"/>
          <w:lang w:val="en-US" w:eastAsia="zh-CN"/>
        </w:rPr>
        <w:instrText xml:space="preserve"> HYPERLINK \l _Toc8217 </w:instrText>
      </w:r>
      <w:r>
        <w:rPr>
          <w:rFonts w:hint="eastAsia"/>
          <w:sz w:val="28"/>
          <w:szCs w:val="28"/>
          <w:lang w:val="en-US" w:eastAsia="zh-CN"/>
        </w:rPr>
        <w:fldChar w:fldCharType="separate"/>
      </w:r>
      <w:r>
        <w:rPr>
          <w:rFonts w:hint="eastAsia"/>
          <w:sz w:val="28"/>
          <w:szCs w:val="28"/>
          <w:lang w:val="en-US" w:eastAsia="zh-CN"/>
        </w:rPr>
        <w:t>连续</w:t>
      </w:r>
      <w:r>
        <w:rPr>
          <w:rFonts w:hint="eastAsia"/>
          <w:sz w:val="28"/>
          <w:szCs w:val="28"/>
          <w:lang w:val="en-US" w:eastAsia="zh-CN"/>
        </w:rPr>
        <w:fldChar w:fldCharType="end"/>
      </w:r>
      <w:r>
        <w:rPr>
          <w:rFonts w:hint="eastAsia"/>
          <w:sz w:val="28"/>
          <w:szCs w:val="28"/>
          <w:lang w:val="en-US" w:eastAsia="zh-CN"/>
        </w:rPr>
        <w:t>油管作业操作规程</w:t>
      </w:r>
    </w:p>
    <w:p>
      <w:pPr>
        <w:pStyle w:val="12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textAlignment w:val="auto"/>
        <w:rPr>
          <w:rFonts w:hint="default"/>
          <w:sz w:val="28"/>
          <w:szCs w:val="28"/>
          <w:lang w:val="en-US" w:eastAsia="zh-CN"/>
        </w:rPr>
      </w:pPr>
      <w:r>
        <w:rPr>
          <w:rFonts w:hint="eastAsia"/>
          <w:sz w:val="28"/>
          <w:szCs w:val="28"/>
          <w:lang w:val="en-US" w:eastAsia="zh-CN"/>
        </w:rPr>
        <w:t>六、大修侧钻施工操作规程</w:t>
      </w:r>
    </w:p>
    <w:p>
      <w:pPr>
        <w:pStyle w:val="125"/>
        <w:keepNext w:val="0"/>
        <w:keepLines w:val="0"/>
        <w:pageBreakBefore w:val="0"/>
        <w:widowControl w:val="0"/>
        <w:numPr>
          <w:ilvl w:val="0"/>
          <w:numId w:val="21"/>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接卸方钻杆作业操作规程</w:t>
      </w:r>
    </w:p>
    <w:p>
      <w:pPr>
        <w:pStyle w:val="125"/>
        <w:keepNext w:val="0"/>
        <w:keepLines w:val="0"/>
        <w:pageBreakBefore w:val="0"/>
        <w:widowControl w:val="0"/>
        <w:numPr>
          <w:ilvl w:val="0"/>
          <w:numId w:val="21"/>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起下钻作业操作规程</w:t>
      </w:r>
    </w:p>
    <w:p>
      <w:pPr>
        <w:pStyle w:val="125"/>
        <w:keepNext w:val="0"/>
        <w:keepLines w:val="0"/>
        <w:pageBreakBefore w:val="0"/>
        <w:widowControl w:val="0"/>
        <w:numPr>
          <w:ilvl w:val="0"/>
          <w:numId w:val="21"/>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下斜向器作业操作规程</w:t>
      </w:r>
    </w:p>
    <w:p>
      <w:pPr>
        <w:pStyle w:val="125"/>
        <w:keepNext w:val="0"/>
        <w:keepLines w:val="0"/>
        <w:pageBreakBefore w:val="0"/>
        <w:widowControl w:val="0"/>
        <w:numPr>
          <w:ilvl w:val="0"/>
          <w:numId w:val="21"/>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开窗、修窗作业操作规程</w:t>
      </w:r>
    </w:p>
    <w:p>
      <w:pPr>
        <w:pStyle w:val="125"/>
        <w:keepNext w:val="0"/>
        <w:keepLines w:val="0"/>
        <w:pageBreakBefore w:val="0"/>
        <w:widowControl w:val="0"/>
        <w:numPr>
          <w:ilvl w:val="0"/>
          <w:numId w:val="21"/>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装、卸钻头作业操作规程</w:t>
      </w:r>
    </w:p>
    <w:p>
      <w:pPr>
        <w:pStyle w:val="125"/>
        <w:keepNext w:val="0"/>
        <w:keepLines w:val="0"/>
        <w:pageBreakBefore w:val="0"/>
        <w:widowControl w:val="0"/>
        <w:numPr>
          <w:ilvl w:val="0"/>
          <w:numId w:val="21"/>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钻进接单根作业操作规程</w:t>
      </w:r>
    </w:p>
    <w:p>
      <w:pPr>
        <w:pStyle w:val="125"/>
        <w:keepNext w:val="0"/>
        <w:keepLines w:val="0"/>
        <w:pageBreakBefore w:val="0"/>
        <w:widowControl w:val="0"/>
        <w:numPr>
          <w:ilvl w:val="0"/>
          <w:numId w:val="21"/>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钻进作业操作规程</w:t>
      </w:r>
    </w:p>
    <w:p>
      <w:pPr>
        <w:pStyle w:val="125"/>
        <w:keepNext w:val="0"/>
        <w:keepLines w:val="0"/>
        <w:pageBreakBefore w:val="0"/>
        <w:widowControl w:val="0"/>
        <w:numPr>
          <w:ilvl w:val="0"/>
          <w:numId w:val="21"/>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配合电测作业操作规程</w:t>
      </w:r>
    </w:p>
    <w:p>
      <w:pPr>
        <w:pStyle w:val="125"/>
        <w:keepNext w:val="0"/>
        <w:keepLines w:val="0"/>
        <w:pageBreakBefore w:val="0"/>
        <w:widowControl w:val="0"/>
        <w:numPr>
          <w:ilvl w:val="0"/>
          <w:numId w:val="21"/>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t>下套管固井作业操作规程</w:t>
      </w:r>
    </w:p>
    <w:p>
      <w:pPr>
        <w:pStyle w:val="12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textAlignment w:val="auto"/>
        <w:rPr>
          <w:rFonts w:hint="default"/>
          <w:sz w:val="28"/>
          <w:szCs w:val="28"/>
          <w:lang w:val="en-US" w:eastAsia="zh-CN"/>
        </w:rPr>
      </w:pPr>
      <w:r>
        <w:rPr>
          <w:rFonts w:hint="eastAsia"/>
          <w:sz w:val="28"/>
          <w:szCs w:val="28"/>
          <w:lang w:val="en-US" w:eastAsia="zh-CN"/>
        </w:rPr>
        <w:t>七、通用操作规程</w:t>
      </w:r>
    </w:p>
    <w:p>
      <w:pPr>
        <w:pStyle w:val="125"/>
        <w:keepNext w:val="0"/>
        <w:keepLines w:val="0"/>
        <w:pageBreakBefore w:val="0"/>
        <w:widowControl w:val="0"/>
        <w:numPr>
          <w:ilvl w:val="0"/>
          <w:numId w:val="22"/>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eastAsia="zh-CN"/>
        </w:rPr>
        <w:t>登高作业安全操作规程</w:t>
      </w:r>
    </w:p>
    <w:p>
      <w:pPr>
        <w:pStyle w:val="125"/>
        <w:keepNext w:val="0"/>
        <w:keepLines w:val="0"/>
        <w:pageBreakBefore w:val="0"/>
        <w:widowControl w:val="0"/>
        <w:numPr>
          <w:ilvl w:val="0"/>
          <w:numId w:val="22"/>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eastAsia="zh-CN"/>
        </w:rPr>
      </w:pPr>
      <w:r>
        <w:rPr>
          <w:rFonts w:hint="eastAsia"/>
          <w:sz w:val="28"/>
          <w:szCs w:val="28"/>
          <w:lang w:eastAsia="zh-CN"/>
        </w:rPr>
        <w:fldChar w:fldCharType="begin"/>
      </w:r>
      <w:r>
        <w:rPr>
          <w:rFonts w:hint="eastAsia"/>
          <w:sz w:val="28"/>
          <w:szCs w:val="28"/>
          <w:lang w:eastAsia="zh-CN"/>
        </w:rPr>
        <w:instrText xml:space="preserve"> HYPERLINK \l _Toc8899 </w:instrText>
      </w:r>
      <w:r>
        <w:rPr>
          <w:rFonts w:hint="eastAsia"/>
          <w:sz w:val="28"/>
          <w:szCs w:val="28"/>
          <w:lang w:eastAsia="zh-CN"/>
        </w:rPr>
        <w:fldChar w:fldCharType="separate"/>
      </w:r>
      <w:r>
        <w:rPr>
          <w:rFonts w:hint="eastAsia"/>
          <w:sz w:val="28"/>
          <w:szCs w:val="28"/>
          <w:lang w:eastAsia="zh-CN"/>
        </w:rPr>
        <w:t>动土作业安全操作规程</w:t>
      </w:r>
      <w:r>
        <w:rPr>
          <w:rFonts w:hint="eastAsia"/>
          <w:sz w:val="28"/>
          <w:szCs w:val="28"/>
          <w:lang w:eastAsia="zh-CN"/>
        </w:rPr>
        <w:fldChar w:fldCharType="end"/>
      </w:r>
    </w:p>
    <w:p>
      <w:pPr>
        <w:pStyle w:val="125"/>
        <w:keepNext w:val="0"/>
        <w:keepLines w:val="0"/>
        <w:pageBreakBefore w:val="0"/>
        <w:widowControl w:val="0"/>
        <w:numPr>
          <w:ilvl w:val="0"/>
          <w:numId w:val="22"/>
        </w:numPr>
        <w:kinsoku/>
        <w:wordWrap/>
        <w:overflowPunct/>
        <w:topLinePunct w:val="0"/>
        <w:autoSpaceDE/>
        <w:autoSpaceDN/>
        <w:bidi w:val="0"/>
        <w:adjustRightInd w:val="0"/>
        <w:snapToGrid w:val="0"/>
        <w:spacing w:line="360" w:lineRule="auto"/>
        <w:ind w:left="0" w:leftChars="0" w:firstLine="560" w:firstLineChars="200"/>
        <w:textAlignment w:val="auto"/>
        <w:rPr>
          <w:rFonts w:hint="default"/>
          <w:sz w:val="28"/>
          <w:szCs w:val="28"/>
          <w:lang w:val="en-US" w:eastAsia="zh-CN"/>
        </w:rPr>
      </w:pPr>
      <w:r>
        <w:rPr>
          <w:rFonts w:hint="eastAsia"/>
          <w:sz w:val="28"/>
          <w:szCs w:val="28"/>
          <w:lang w:val="en-US" w:eastAsia="zh-CN"/>
        </w:rPr>
        <w:fldChar w:fldCharType="begin"/>
      </w:r>
      <w:r>
        <w:rPr>
          <w:rFonts w:hint="eastAsia"/>
          <w:sz w:val="28"/>
          <w:szCs w:val="28"/>
          <w:lang w:val="en-US" w:eastAsia="zh-CN"/>
        </w:rPr>
        <w:instrText xml:space="preserve"> HYPERLINK \l _Toc19529 </w:instrText>
      </w:r>
      <w:r>
        <w:rPr>
          <w:rFonts w:hint="eastAsia"/>
          <w:sz w:val="28"/>
          <w:szCs w:val="28"/>
          <w:lang w:val="en-US" w:eastAsia="zh-CN"/>
        </w:rPr>
        <w:fldChar w:fldCharType="separate"/>
      </w:r>
      <w:r>
        <w:rPr>
          <w:rFonts w:hint="eastAsia"/>
          <w:sz w:val="28"/>
          <w:szCs w:val="28"/>
          <w:lang w:val="en-US" w:eastAsia="zh-CN"/>
        </w:rPr>
        <w:t>临时用电安全操作规程</w:t>
      </w:r>
      <w:r>
        <w:rPr>
          <w:rFonts w:hint="eastAsia"/>
          <w:sz w:val="28"/>
          <w:szCs w:val="28"/>
          <w:lang w:val="en-US" w:eastAsia="zh-CN"/>
        </w:rPr>
        <w:fldChar w:fldCharType="end"/>
      </w:r>
    </w:p>
    <w:p>
      <w:pPr>
        <w:tabs>
          <w:tab w:val="left" w:pos="0"/>
        </w:tabs>
        <w:adjustRightInd w:val="0"/>
        <w:snapToGrid w:val="0"/>
        <w:spacing w:line="360" w:lineRule="auto"/>
        <w:ind w:firstLine="560" w:firstLineChars="200"/>
        <w:rPr>
          <w:sz w:val="28"/>
          <w:szCs w:val="28"/>
        </w:rPr>
      </w:pPr>
      <w:r>
        <w:rPr>
          <w:rFonts w:hint="eastAsia"/>
          <w:sz w:val="28"/>
          <w:szCs w:val="28"/>
        </w:rPr>
        <w:t>企业制定的安全操作规程符合</w:t>
      </w:r>
      <w:r>
        <w:rPr>
          <w:rFonts w:hint="eastAsia"/>
          <w:color w:val="auto"/>
          <w:sz w:val="28"/>
          <w:szCs w:val="28"/>
        </w:rPr>
        <w:t>《山东省生产经营单位安全生产主体责任规定》（山东省人民政府令[2018]第311号）中第七条的要</w:t>
      </w:r>
      <w:r>
        <w:rPr>
          <w:rFonts w:hint="eastAsia"/>
          <w:sz w:val="28"/>
          <w:szCs w:val="28"/>
        </w:rPr>
        <w:t>求，且现已执行。建议企业应根据</w:t>
      </w:r>
      <w:r>
        <w:rPr>
          <w:sz w:val="28"/>
          <w:szCs w:val="28"/>
        </w:rPr>
        <w:t>企业的实际情况对其不断修订、完善</w:t>
      </w:r>
      <w:r>
        <w:rPr>
          <w:rFonts w:hint="eastAsia"/>
          <w:sz w:val="28"/>
          <w:szCs w:val="28"/>
        </w:rPr>
        <w:t>。</w:t>
      </w:r>
    </w:p>
    <w:p>
      <w:pPr>
        <w:pStyle w:val="4"/>
        <w:adjustRightInd w:val="0"/>
        <w:snapToGrid w:val="0"/>
        <w:spacing w:before="0" w:after="0" w:line="360" w:lineRule="auto"/>
        <w:rPr>
          <w:rFonts w:ascii="Times New Roman" w:hAnsi="Times New Roman"/>
          <w:b w:val="0"/>
          <w:bCs/>
          <w:szCs w:val="32"/>
        </w:rPr>
      </w:pPr>
      <w:bookmarkStart w:id="32" w:name="_Toc25509"/>
      <w:r>
        <w:rPr>
          <w:rFonts w:hint="eastAsia" w:ascii="Times New Roman" w:hAnsi="Times New Roman"/>
          <w:b w:val="0"/>
          <w:bCs/>
          <w:szCs w:val="32"/>
        </w:rPr>
        <w:t>2.</w:t>
      </w:r>
      <w:r>
        <w:rPr>
          <w:rFonts w:ascii="Times New Roman" w:hAnsi="Times New Roman"/>
          <w:b w:val="0"/>
          <w:bCs/>
          <w:szCs w:val="32"/>
        </w:rPr>
        <w:t xml:space="preserve">6 </w:t>
      </w:r>
      <w:r>
        <w:rPr>
          <w:rFonts w:hint="eastAsia" w:ascii="Times New Roman" w:hAnsi="Times New Roman"/>
          <w:b w:val="0"/>
          <w:bCs/>
          <w:szCs w:val="32"/>
        </w:rPr>
        <w:t>安全投入情况</w:t>
      </w:r>
      <w:bookmarkEnd w:id="32"/>
    </w:p>
    <w:p>
      <w:pPr>
        <w:pStyle w:val="4"/>
        <w:adjustRightInd w:val="0"/>
        <w:snapToGrid w:val="0"/>
        <w:spacing w:before="0" w:after="0" w:line="360" w:lineRule="auto"/>
        <w:rPr>
          <w:rFonts w:hint="eastAsia" w:cs="Times New Roman"/>
          <w:color w:val="auto"/>
          <w:szCs w:val="21"/>
          <w:lang w:val="en-US" w:eastAsia="zh-CN"/>
        </w:rPr>
      </w:pPr>
      <w:bookmarkStart w:id="33" w:name="_Toc2256"/>
      <w:r>
        <w:rPr>
          <w:rFonts w:hint="eastAsia" w:ascii="Times New Roman" w:hAnsi="Times New Roman" w:eastAsia="宋体" w:cs="Times New Roman"/>
          <w:b w:val="0"/>
          <w:kern w:val="2"/>
          <w:sz w:val="28"/>
          <w:szCs w:val="28"/>
          <w:lang w:val="en-US" w:eastAsia="zh-CN" w:bidi="ar-SA"/>
        </w:rPr>
        <w:t>涉及企业机密，不予公开</w:t>
      </w:r>
      <w:r>
        <w:rPr>
          <w:rFonts w:hint="eastAsia" w:cs="Times New Roman"/>
          <w:color w:val="auto"/>
          <w:szCs w:val="21"/>
          <w:lang w:val="en-US" w:eastAsia="zh-CN"/>
        </w:rPr>
        <w:t>。</w:t>
      </w:r>
    </w:p>
    <w:p>
      <w:pPr>
        <w:pStyle w:val="4"/>
        <w:adjustRightInd w:val="0"/>
        <w:snapToGrid w:val="0"/>
        <w:spacing w:before="0" w:after="0" w:line="360" w:lineRule="auto"/>
        <w:rPr>
          <w:rFonts w:ascii="Times New Roman" w:hAnsi="Times New Roman"/>
          <w:b w:val="0"/>
          <w:bCs/>
          <w:szCs w:val="32"/>
        </w:rPr>
      </w:pPr>
      <w:r>
        <w:rPr>
          <w:rFonts w:hint="eastAsia" w:ascii="Times New Roman" w:hAnsi="Times New Roman"/>
          <w:b w:val="0"/>
          <w:bCs/>
          <w:szCs w:val="32"/>
        </w:rPr>
        <w:t>2.</w:t>
      </w:r>
      <w:r>
        <w:rPr>
          <w:rFonts w:ascii="Times New Roman" w:hAnsi="Times New Roman"/>
          <w:b w:val="0"/>
          <w:bCs/>
          <w:szCs w:val="32"/>
        </w:rPr>
        <w:t xml:space="preserve">7 </w:t>
      </w:r>
      <w:r>
        <w:rPr>
          <w:rFonts w:hint="eastAsia" w:ascii="Times New Roman" w:hAnsi="Times New Roman"/>
          <w:b w:val="0"/>
          <w:bCs/>
          <w:szCs w:val="32"/>
        </w:rPr>
        <w:t>安全教育培训及人员持证情况</w:t>
      </w:r>
      <w:bookmarkEnd w:id="33"/>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default"/>
          <w:lang w:val="en-US" w:eastAsia="zh-CN"/>
        </w:rPr>
        <w:t>在安全教育培训方面，</w:t>
      </w:r>
      <w:r>
        <w:rPr>
          <w:rFonts w:hint="eastAsia"/>
          <w:lang w:val="en-US" w:eastAsia="zh-CN"/>
        </w:rPr>
        <w:t>康贝油气</w:t>
      </w:r>
      <w:r>
        <w:rPr>
          <w:rFonts w:hint="default"/>
          <w:lang w:val="en-US" w:eastAsia="zh-CN"/>
        </w:rPr>
        <w:t>公司始终严格执行安全教育培训制度，本着“培训指导于生产，培训服务于生产”的指导思想，坚持“立足实际、突出重点、讲求实效”的工作原则，积极采取各种措施，分层次、分专业有效的开展一系列安全教育培训工作。</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eastAsia"/>
          <w:lang w:val="en-US" w:eastAsia="zh-CN"/>
        </w:rPr>
        <w:t>康贝油气</w:t>
      </w:r>
      <w:r>
        <w:rPr>
          <w:rFonts w:hint="default"/>
          <w:lang w:val="en-US" w:eastAsia="zh-CN"/>
        </w:rPr>
        <w:t>公司针对机关人员</w:t>
      </w:r>
      <w:r>
        <w:rPr>
          <w:rFonts w:hint="eastAsia"/>
          <w:lang w:val="en-US" w:eastAsia="zh-CN"/>
        </w:rPr>
        <w:t>、</w:t>
      </w:r>
      <w:r>
        <w:rPr>
          <w:rFonts w:hint="default"/>
          <w:lang w:val="en-US" w:eastAsia="zh-CN"/>
        </w:rPr>
        <w:t>项目部基层队人员分别制定2021年、2022年安全教育培训计划，并根据计划组织安全教育培训，新上岗的从业人员安全培训时间不少于72学时，每年再培训的时间不少于20学时，符合《生产经营单位安全培训规定》（国家安全监督管理总局令[2006]第3号，2015修订版）第十三条规定</w:t>
      </w:r>
      <w:r>
        <w:rPr>
          <w:rFonts w:hint="eastAsia"/>
          <w:lang w:val="en-US" w:eastAsia="zh-CN"/>
        </w:rPr>
        <w:t>，</w:t>
      </w:r>
      <w:r>
        <w:rPr>
          <w:rFonts w:hint="default"/>
          <w:lang w:val="en-US" w:eastAsia="zh-CN"/>
        </w:rPr>
        <w:t>相关教育培训材料详见报告附件</w:t>
      </w:r>
      <w:r>
        <w:rPr>
          <w:rFonts w:hint="eastAsia"/>
          <w:lang w:val="en-US" w:eastAsia="zh-CN"/>
        </w:rPr>
        <w:t>20</w:t>
      </w:r>
      <w:r>
        <w:rPr>
          <w:rFonts w:hint="default"/>
          <w:lang w:val="en-US" w:eastAsia="zh-CN"/>
        </w:rPr>
        <w:t>。</w:t>
      </w:r>
    </w:p>
    <w:p>
      <w:pPr>
        <w:pStyle w:val="5"/>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 xml:space="preserve">2.7.1 </w:t>
      </w:r>
      <w:r>
        <w:rPr>
          <w:rFonts w:hint="eastAsia" w:eastAsia="黑体"/>
          <w:b w:val="0"/>
          <w:snapToGrid w:val="0"/>
          <w:kern w:val="0"/>
          <w:sz w:val="28"/>
          <w:szCs w:val="28"/>
        </w:rPr>
        <w:t>主要负责人和安全管理人员安全生产知识和管理能力及培训持证情况</w:t>
      </w:r>
    </w:p>
    <w:p>
      <w:pPr>
        <w:adjustRightInd w:val="0"/>
        <w:snapToGrid w:val="0"/>
        <w:spacing w:line="360" w:lineRule="auto"/>
        <w:ind w:firstLine="560" w:firstLineChars="200"/>
        <w:rPr>
          <w:sz w:val="28"/>
          <w:szCs w:val="28"/>
        </w:rPr>
      </w:pPr>
      <w:r>
        <w:rPr>
          <w:rFonts w:hint="eastAsia"/>
          <w:color w:val="auto"/>
          <w:sz w:val="28"/>
          <w:szCs w:val="28"/>
        </w:rPr>
        <w:t>根据《中华人民共和国安全生产法》（主席令[2014]第13号</w:t>
      </w:r>
      <w:r>
        <w:rPr>
          <w:rFonts w:hint="eastAsia"/>
          <w:color w:val="auto"/>
          <w:sz w:val="28"/>
          <w:szCs w:val="28"/>
          <w:lang w:eastAsia="zh-CN"/>
        </w:rPr>
        <w:t>，</w:t>
      </w:r>
      <w:r>
        <w:rPr>
          <w:rFonts w:hint="eastAsia"/>
          <w:color w:val="auto"/>
          <w:sz w:val="28"/>
          <w:szCs w:val="28"/>
        </w:rPr>
        <w:t>[20</w:t>
      </w:r>
      <w:r>
        <w:rPr>
          <w:rFonts w:hint="eastAsia"/>
          <w:color w:val="auto"/>
          <w:sz w:val="28"/>
          <w:szCs w:val="28"/>
          <w:lang w:val="en-US" w:eastAsia="zh-CN"/>
        </w:rPr>
        <w:t>21</w:t>
      </w:r>
      <w:r>
        <w:rPr>
          <w:rFonts w:hint="eastAsia"/>
          <w:color w:val="auto"/>
          <w:sz w:val="28"/>
          <w:szCs w:val="28"/>
        </w:rPr>
        <w:t>]第</w:t>
      </w:r>
      <w:r>
        <w:rPr>
          <w:rFonts w:hint="eastAsia"/>
          <w:color w:val="auto"/>
          <w:sz w:val="28"/>
          <w:szCs w:val="28"/>
          <w:lang w:val="en-US" w:eastAsia="zh-CN"/>
        </w:rPr>
        <w:t>88号令修正</w:t>
      </w:r>
      <w:r>
        <w:rPr>
          <w:rFonts w:hint="eastAsia"/>
          <w:color w:val="auto"/>
          <w:sz w:val="28"/>
          <w:szCs w:val="28"/>
        </w:rPr>
        <w:t>）第二十</w:t>
      </w:r>
      <w:r>
        <w:rPr>
          <w:rFonts w:hint="eastAsia"/>
          <w:color w:val="auto"/>
          <w:sz w:val="28"/>
          <w:szCs w:val="28"/>
          <w:lang w:val="en-US" w:eastAsia="zh-CN"/>
        </w:rPr>
        <w:t>七</w:t>
      </w:r>
      <w:r>
        <w:rPr>
          <w:rFonts w:hint="eastAsia"/>
          <w:color w:val="auto"/>
          <w:sz w:val="28"/>
          <w:szCs w:val="28"/>
        </w:rPr>
        <w:t>条</w:t>
      </w:r>
      <w:r>
        <w:rPr>
          <w:rFonts w:hint="eastAsia"/>
          <w:color w:val="auto"/>
          <w:sz w:val="28"/>
          <w:szCs w:val="28"/>
          <w:lang w:eastAsia="zh-CN"/>
        </w:rPr>
        <w:t>：</w:t>
      </w:r>
      <w:r>
        <w:rPr>
          <w:rFonts w:hint="eastAsia"/>
          <w:color w:val="auto"/>
          <w:sz w:val="28"/>
          <w:szCs w:val="28"/>
        </w:rPr>
        <w:t>“</w:t>
      </w:r>
      <w:r>
        <w:rPr>
          <w:rFonts w:hint="eastAsia"/>
          <w:sz w:val="28"/>
          <w:szCs w:val="28"/>
        </w:rPr>
        <w:t>矿山单位的主要负责人和安全生产管理人员，应当由主管的负有安全生产监督管理职责的部门对其安全生产知识和管理能力考核合格。矿山单位应当有注册安全工程师从事安全生产管理工作</w:t>
      </w:r>
      <w:r>
        <w:rPr>
          <w:rFonts w:hint="eastAsia"/>
          <w:sz w:val="28"/>
          <w:szCs w:val="28"/>
          <w:lang w:eastAsia="zh-CN"/>
        </w:rPr>
        <w:t>”</w:t>
      </w:r>
      <w:r>
        <w:rPr>
          <w:rFonts w:hint="eastAsia"/>
          <w:sz w:val="28"/>
          <w:szCs w:val="28"/>
        </w:rPr>
        <w:t>。</w:t>
      </w:r>
    </w:p>
    <w:p>
      <w:pPr>
        <w:adjustRightInd w:val="0"/>
        <w:snapToGrid w:val="0"/>
        <w:spacing w:line="360" w:lineRule="auto"/>
        <w:ind w:firstLine="560" w:firstLineChars="200"/>
        <w:rPr>
          <w:rFonts w:hint="eastAsia"/>
          <w:sz w:val="28"/>
          <w:szCs w:val="28"/>
        </w:rPr>
      </w:pPr>
      <w:r>
        <w:rPr>
          <w:rFonts w:hint="eastAsia"/>
          <w:color w:val="auto"/>
          <w:sz w:val="28"/>
          <w:szCs w:val="28"/>
          <w:lang w:eastAsia="zh-CN"/>
        </w:rPr>
        <w:t>《生产经营单位安全培训规定》（</w:t>
      </w:r>
      <w:r>
        <w:rPr>
          <w:rFonts w:hint="eastAsia"/>
          <w:color w:val="auto"/>
          <w:sz w:val="28"/>
          <w:szCs w:val="28"/>
          <w:lang w:val="en-US" w:eastAsia="zh-CN"/>
        </w:rPr>
        <w:t>原国家安监总局令第3号，2015年修订</w:t>
      </w:r>
      <w:r>
        <w:rPr>
          <w:rFonts w:hint="eastAsia"/>
          <w:color w:val="auto"/>
          <w:sz w:val="28"/>
          <w:szCs w:val="28"/>
          <w:lang w:eastAsia="zh-CN"/>
        </w:rPr>
        <w:t>）</w:t>
      </w:r>
      <w:r>
        <w:rPr>
          <w:rFonts w:hint="eastAsia"/>
          <w:color w:val="auto"/>
          <w:sz w:val="28"/>
          <w:szCs w:val="28"/>
          <w:lang w:val="en-US" w:eastAsia="zh-CN"/>
        </w:rPr>
        <w:t>第二十四</w:t>
      </w:r>
      <w:r>
        <w:rPr>
          <w:rFonts w:hint="eastAsia"/>
          <w:color w:val="auto"/>
          <w:sz w:val="28"/>
          <w:szCs w:val="28"/>
          <w:lang w:eastAsia="zh-CN"/>
        </w:rPr>
        <w:t>条：</w:t>
      </w:r>
      <w:r>
        <w:rPr>
          <w:rFonts w:hint="eastAsia"/>
          <w:sz w:val="28"/>
          <w:szCs w:val="28"/>
          <w:lang w:eastAsia="zh-CN"/>
        </w:rPr>
        <w:t>“</w:t>
      </w:r>
      <w:r>
        <w:rPr>
          <w:rFonts w:hint="eastAsia"/>
          <w:sz w:val="28"/>
          <w:szCs w:val="28"/>
        </w:rPr>
        <w:t>煤矿、非煤矿山、危险化学品、烟花爆竹、金属冶炼等生产经营单位主要负责人和安全生产管理人员，自任职之日起6个月内，必须经安全生产监管监察部门对其安全生产知识和管理能力考核合格</w:t>
      </w:r>
      <w:r>
        <w:rPr>
          <w:rFonts w:hint="eastAsia"/>
          <w:sz w:val="28"/>
          <w:szCs w:val="28"/>
          <w:lang w:eastAsia="zh-CN"/>
        </w:rPr>
        <w:t>”</w:t>
      </w:r>
      <w:r>
        <w:rPr>
          <w:rFonts w:hint="eastAsia"/>
          <w:sz w:val="28"/>
          <w:szCs w:val="28"/>
        </w:rPr>
        <w:t>。</w:t>
      </w:r>
    </w:p>
    <w:p>
      <w:pPr>
        <w:adjustRightInd w:val="0"/>
        <w:snapToGrid w:val="0"/>
        <w:spacing w:line="360" w:lineRule="auto"/>
        <w:ind w:firstLine="560" w:firstLineChars="200"/>
        <w:rPr>
          <w:rFonts w:hint="eastAsia"/>
          <w:sz w:val="28"/>
          <w:szCs w:val="28"/>
        </w:rPr>
      </w:pPr>
      <w:r>
        <w:rPr>
          <w:rFonts w:hint="eastAsia"/>
          <w:sz w:val="28"/>
          <w:szCs w:val="28"/>
          <w:lang w:eastAsia="zh-CN"/>
        </w:rPr>
        <w:t>胜利油田康贝油气工程有限公司</w:t>
      </w:r>
      <w:r>
        <w:rPr>
          <w:rFonts w:hint="eastAsia"/>
          <w:sz w:val="28"/>
          <w:szCs w:val="28"/>
        </w:rPr>
        <w:t>专职安全管理人员经具有资质的单位培训，并经东营市应急管理局考核合格</w:t>
      </w:r>
      <w:r>
        <w:rPr>
          <w:rFonts w:hint="eastAsia"/>
          <w:sz w:val="28"/>
          <w:szCs w:val="28"/>
          <w:lang w:eastAsia="zh-CN"/>
        </w:rPr>
        <w:t>。</w:t>
      </w:r>
      <w:r>
        <w:rPr>
          <w:rFonts w:hint="eastAsia"/>
          <w:sz w:val="28"/>
          <w:szCs w:val="28"/>
          <w:lang w:val="en-US" w:eastAsia="zh-CN"/>
        </w:rPr>
        <w:t>2022年4月康贝油气公司法定代表人变更为范涛，未取得主要负责人安全管理合格证，评价过程中我单位提出后，康贝油气公司高度重视，</w:t>
      </w:r>
      <w:r>
        <w:rPr>
          <w:rFonts w:hint="eastAsia"/>
          <w:color w:val="auto"/>
          <w:sz w:val="28"/>
          <w:szCs w:val="28"/>
          <w:lang w:val="en-US" w:eastAsia="zh-CN"/>
        </w:rPr>
        <w:t>于6月16日取得主要负责人安全管理合格证</w:t>
      </w:r>
      <w:r>
        <w:rPr>
          <w:rFonts w:hint="eastAsia"/>
          <w:color w:val="0000FF"/>
          <w:sz w:val="28"/>
          <w:szCs w:val="28"/>
          <w:lang w:val="en-US" w:eastAsia="zh-CN"/>
        </w:rPr>
        <w:t>，</w:t>
      </w:r>
      <w:r>
        <w:rPr>
          <w:rFonts w:hint="eastAsia"/>
          <w:sz w:val="28"/>
          <w:szCs w:val="28"/>
        </w:rPr>
        <w:t>人员取证情况见下表</w:t>
      </w:r>
      <w:r>
        <w:rPr>
          <w:rFonts w:hint="eastAsia"/>
          <w:sz w:val="28"/>
          <w:szCs w:val="28"/>
          <w:lang w:eastAsia="zh-CN"/>
        </w:rPr>
        <w:t>，安全管理人员合格证书情况见附件</w:t>
      </w:r>
      <w:r>
        <w:rPr>
          <w:rFonts w:hint="eastAsia"/>
          <w:sz w:val="28"/>
          <w:szCs w:val="28"/>
          <w:lang w:val="en-US" w:eastAsia="zh-CN"/>
        </w:rPr>
        <w:t>7</w:t>
      </w:r>
      <w:r>
        <w:rPr>
          <w:rFonts w:hint="eastAsia"/>
          <w:sz w:val="28"/>
          <w:szCs w:val="28"/>
        </w:rPr>
        <w:t>。另外，公司安全</w:t>
      </w:r>
      <w:r>
        <w:rPr>
          <w:rFonts w:hint="eastAsia"/>
          <w:sz w:val="28"/>
          <w:szCs w:val="28"/>
          <w:lang w:val="en-US" w:eastAsia="zh-CN"/>
        </w:rPr>
        <w:t>总监刘佣经东营区应急管理局备案，</w:t>
      </w:r>
      <w:r>
        <w:rPr>
          <w:rFonts w:hint="eastAsia"/>
          <w:sz w:val="28"/>
          <w:szCs w:val="28"/>
        </w:rPr>
        <w:t>持有</w:t>
      </w:r>
      <w:r>
        <w:rPr>
          <w:rFonts w:hint="eastAsia"/>
          <w:sz w:val="28"/>
          <w:szCs w:val="28"/>
          <w:lang w:val="en-US" w:eastAsia="zh-CN"/>
        </w:rPr>
        <w:t>安全管理人员合格证、</w:t>
      </w:r>
      <w:r>
        <w:rPr>
          <w:rFonts w:hint="eastAsia"/>
          <w:sz w:val="28"/>
          <w:szCs w:val="28"/>
        </w:rPr>
        <w:t>注册安全工程师执业资格证书</w:t>
      </w:r>
      <w:r>
        <w:rPr>
          <w:rFonts w:hint="eastAsia"/>
          <w:sz w:val="28"/>
          <w:szCs w:val="28"/>
          <w:lang w:eastAsia="zh-CN"/>
        </w:rPr>
        <w:t>（</w:t>
      </w:r>
      <w:r>
        <w:rPr>
          <w:rFonts w:hint="eastAsia"/>
          <w:sz w:val="28"/>
          <w:szCs w:val="28"/>
          <w:lang w:val="en-US" w:eastAsia="zh-CN"/>
        </w:rPr>
        <w:t>注册情况，详见报告2.4章节</w:t>
      </w:r>
      <w:r>
        <w:rPr>
          <w:rFonts w:hint="eastAsia"/>
          <w:sz w:val="28"/>
          <w:szCs w:val="28"/>
          <w:lang w:eastAsia="zh-CN"/>
        </w:rPr>
        <w:t>）</w:t>
      </w:r>
      <w:r>
        <w:rPr>
          <w:rFonts w:hint="eastAsia"/>
          <w:sz w:val="28"/>
          <w:szCs w:val="28"/>
        </w:rPr>
        <w:t>，符合《中华人民共和国安全</w:t>
      </w:r>
      <w:bookmarkStart w:id="34" w:name="_Hlk1845950"/>
      <w:r>
        <w:rPr>
          <w:rFonts w:hint="eastAsia"/>
          <w:sz w:val="28"/>
          <w:szCs w:val="28"/>
        </w:rPr>
        <w:t>生产法》（主席令[2014]第13号</w:t>
      </w:r>
      <w:r>
        <w:rPr>
          <w:rFonts w:hint="eastAsia"/>
          <w:sz w:val="28"/>
          <w:szCs w:val="28"/>
          <w:lang w:eastAsia="zh-CN"/>
        </w:rPr>
        <w:t>，</w:t>
      </w:r>
      <w:r>
        <w:rPr>
          <w:rFonts w:hint="eastAsia"/>
          <w:sz w:val="28"/>
          <w:szCs w:val="28"/>
        </w:rPr>
        <w:t>[20</w:t>
      </w:r>
      <w:r>
        <w:rPr>
          <w:rFonts w:hint="eastAsia"/>
          <w:sz w:val="28"/>
          <w:szCs w:val="28"/>
          <w:lang w:val="en-US" w:eastAsia="zh-CN"/>
        </w:rPr>
        <w:t>21</w:t>
      </w:r>
      <w:r>
        <w:rPr>
          <w:rFonts w:hint="eastAsia"/>
          <w:sz w:val="28"/>
          <w:szCs w:val="28"/>
        </w:rPr>
        <w:t>]第</w:t>
      </w:r>
      <w:r>
        <w:rPr>
          <w:rFonts w:hint="eastAsia"/>
          <w:sz w:val="28"/>
          <w:szCs w:val="28"/>
          <w:lang w:val="en-US" w:eastAsia="zh-CN"/>
        </w:rPr>
        <w:t>88号令修正</w:t>
      </w:r>
      <w:r>
        <w:rPr>
          <w:rFonts w:hint="eastAsia"/>
          <w:sz w:val="28"/>
          <w:szCs w:val="28"/>
        </w:rPr>
        <w:t>）第二十</w:t>
      </w:r>
      <w:r>
        <w:rPr>
          <w:rFonts w:hint="eastAsia"/>
          <w:sz w:val="28"/>
          <w:szCs w:val="28"/>
          <w:lang w:val="en-US" w:eastAsia="zh-CN"/>
        </w:rPr>
        <w:t>七</w:t>
      </w:r>
      <w:r>
        <w:rPr>
          <w:rFonts w:hint="eastAsia"/>
          <w:sz w:val="28"/>
          <w:szCs w:val="28"/>
        </w:rPr>
        <w:t>条的相关要求。</w:t>
      </w:r>
    </w:p>
    <w:bookmarkEnd w:id="34"/>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sz w:val="21"/>
          <w:szCs w:val="21"/>
        </w:rPr>
      </w:pPr>
      <w:r>
        <w:rPr>
          <w:rFonts w:hint="eastAsia"/>
          <w:b/>
          <w:bCs/>
          <w:sz w:val="21"/>
          <w:szCs w:val="21"/>
        </w:rPr>
        <w:t>表</w:t>
      </w:r>
      <w:r>
        <w:rPr>
          <w:b/>
          <w:bCs/>
          <w:sz w:val="21"/>
          <w:szCs w:val="21"/>
        </w:rPr>
        <w:t>2</w:t>
      </w:r>
      <w:r>
        <w:rPr>
          <w:rFonts w:hint="eastAsia"/>
          <w:b/>
          <w:bCs/>
          <w:sz w:val="21"/>
          <w:szCs w:val="21"/>
        </w:rPr>
        <w:t>-</w:t>
      </w:r>
      <w:r>
        <w:rPr>
          <w:rFonts w:hint="eastAsia"/>
          <w:b/>
          <w:bCs/>
          <w:sz w:val="21"/>
          <w:szCs w:val="21"/>
          <w:lang w:val="en-US" w:eastAsia="zh-CN"/>
        </w:rPr>
        <w:t>6</w:t>
      </w:r>
      <w:r>
        <w:rPr>
          <w:b/>
          <w:bCs/>
          <w:sz w:val="21"/>
          <w:szCs w:val="21"/>
        </w:rPr>
        <w:t xml:space="preserve"> </w:t>
      </w:r>
      <w:r>
        <w:rPr>
          <w:rFonts w:hint="eastAsia"/>
          <w:b/>
          <w:bCs/>
          <w:sz w:val="21"/>
          <w:szCs w:val="21"/>
          <w:lang w:val="en-US" w:eastAsia="zh-CN"/>
        </w:rPr>
        <w:t xml:space="preserve"> </w:t>
      </w:r>
      <w:r>
        <w:rPr>
          <w:rFonts w:hint="eastAsia"/>
          <w:b/>
          <w:bCs/>
          <w:sz w:val="21"/>
          <w:szCs w:val="21"/>
        </w:rPr>
        <w:t>主要负责人、安全管理人员取证情况一览表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sz w:val="28"/>
          <w:szCs w:val="28"/>
        </w:rPr>
      </w:pPr>
      <w:r>
        <w:rPr>
          <w:rFonts w:hint="eastAsia"/>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8"/>
        </w:rPr>
      </w:pPr>
      <w:r>
        <w:rPr>
          <w:rFonts w:hint="eastAsia"/>
          <w:sz w:val="28"/>
          <w:szCs w:val="28"/>
        </w:rPr>
        <w:t>综上，公司主要负责人和安全管理人员安全生产知识和管理能力，培训持证情况符合相关要求。</w:t>
      </w:r>
    </w:p>
    <w:p>
      <w:pPr>
        <w:pStyle w:val="5"/>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 xml:space="preserve">2.7.2 </w:t>
      </w:r>
      <w:r>
        <w:rPr>
          <w:rFonts w:hint="eastAsia" w:eastAsia="黑体"/>
          <w:b w:val="0"/>
          <w:snapToGrid w:val="0"/>
          <w:kern w:val="0"/>
          <w:sz w:val="28"/>
          <w:szCs w:val="28"/>
          <w:lang w:val="en-US" w:eastAsia="zh-CN"/>
        </w:rPr>
        <w:t>特种作业人员</w:t>
      </w:r>
      <w:r>
        <w:rPr>
          <w:rFonts w:hint="eastAsia" w:eastAsia="黑体"/>
          <w:b w:val="0"/>
          <w:snapToGrid w:val="0"/>
          <w:kern w:val="0"/>
          <w:sz w:val="28"/>
          <w:szCs w:val="28"/>
        </w:rPr>
        <w:t>教育培训及持证情况</w:t>
      </w:r>
    </w:p>
    <w:p>
      <w:pPr>
        <w:adjustRightInd w:val="0"/>
        <w:snapToGrid w:val="0"/>
        <w:spacing w:line="360" w:lineRule="auto"/>
        <w:ind w:firstLine="560" w:firstLineChars="200"/>
        <w:rPr>
          <w:rFonts w:hint="eastAsia"/>
          <w:sz w:val="28"/>
          <w:szCs w:val="28"/>
        </w:rPr>
      </w:pPr>
      <w:r>
        <w:rPr>
          <w:rFonts w:hint="eastAsia"/>
          <w:sz w:val="28"/>
          <w:szCs w:val="28"/>
        </w:rPr>
        <w:t>根据《特种作业人员安全技术培训考核管理规定》（国家安全生产监督管理总局令[2010]第30号，2015修订版）规定的要求：特种作业人员必须经专门的安全技术培训并考核合格，取得《中华人民共和国特种作业操作证》（以下简称特种作业操作证）后，方可上岗作业。</w:t>
      </w:r>
    </w:p>
    <w:p>
      <w:pPr>
        <w:adjustRightInd w:val="0"/>
        <w:snapToGrid w:val="0"/>
        <w:spacing w:line="360" w:lineRule="auto"/>
        <w:ind w:firstLine="560" w:firstLineChars="200"/>
        <w:rPr>
          <w:rFonts w:hint="default"/>
          <w:sz w:val="28"/>
          <w:szCs w:val="28"/>
          <w:lang w:val="en-US" w:eastAsia="zh-CN"/>
        </w:rPr>
      </w:pPr>
      <w:r>
        <w:rPr>
          <w:rFonts w:hint="eastAsia"/>
          <w:sz w:val="28"/>
          <w:szCs w:val="28"/>
        </w:rPr>
        <w:t>目前，</w:t>
      </w:r>
      <w:r>
        <w:rPr>
          <w:rFonts w:hint="eastAsia"/>
          <w:sz w:val="28"/>
          <w:szCs w:val="28"/>
          <w:lang w:eastAsia="zh-CN"/>
        </w:rPr>
        <w:t>胜利油田康贝油气工程有限公司</w:t>
      </w:r>
      <w:r>
        <w:rPr>
          <w:rFonts w:hint="eastAsia"/>
          <w:sz w:val="28"/>
          <w:szCs w:val="28"/>
          <w:lang w:val="en-US" w:eastAsia="zh-CN"/>
        </w:rPr>
        <w:t>制定了《</w:t>
      </w:r>
      <w:r>
        <w:rPr>
          <w:rFonts w:hint="eastAsia"/>
          <w:sz w:val="28"/>
          <w:szCs w:val="28"/>
          <w:lang w:val="en-US" w:eastAsia="zh-CN"/>
        </w:rPr>
        <w:fldChar w:fldCharType="begin"/>
      </w:r>
      <w:r>
        <w:rPr>
          <w:rFonts w:hint="eastAsia"/>
          <w:sz w:val="28"/>
          <w:szCs w:val="28"/>
          <w:lang w:val="en-US" w:eastAsia="zh-CN"/>
        </w:rPr>
        <w:instrText xml:space="preserve"> HYPERLINK \l _Toc21400 </w:instrText>
      </w:r>
      <w:r>
        <w:rPr>
          <w:rFonts w:hint="eastAsia"/>
          <w:sz w:val="28"/>
          <w:szCs w:val="28"/>
          <w:lang w:val="en-US" w:eastAsia="zh-CN"/>
        </w:rPr>
        <w:fldChar w:fldCharType="separate"/>
      </w:r>
      <w:r>
        <w:rPr>
          <w:rFonts w:hint="eastAsia"/>
          <w:sz w:val="28"/>
          <w:szCs w:val="28"/>
          <w:lang w:val="en-US" w:eastAsia="zh-CN"/>
        </w:rPr>
        <w:t>特种作业人员管理制度</w:t>
      </w:r>
      <w:r>
        <w:rPr>
          <w:rFonts w:hint="eastAsia"/>
          <w:sz w:val="28"/>
          <w:szCs w:val="28"/>
          <w:lang w:val="en-US" w:eastAsia="zh-CN"/>
        </w:rPr>
        <w:fldChar w:fldCharType="end"/>
      </w:r>
      <w:r>
        <w:rPr>
          <w:rFonts w:hint="eastAsia"/>
          <w:sz w:val="28"/>
          <w:szCs w:val="28"/>
          <w:lang w:val="en-US" w:eastAsia="zh-CN"/>
        </w:rPr>
        <w:t>》，</w:t>
      </w:r>
      <w:r>
        <w:rPr>
          <w:rFonts w:hint="eastAsia"/>
          <w:sz w:val="28"/>
          <w:szCs w:val="28"/>
        </w:rPr>
        <w:t>从业人员经专门的安全技术培训并考核合格</w:t>
      </w:r>
      <w:r>
        <w:rPr>
          <w:rFonts w:hint="eastAsia"/>
          <w:sz w:val="28"/>
          <w:szCs w:val="28"/>
          <w:lang w:eastAsia="zh-CN"/>
        </w:rPr>
        <w:t>，</w:t>
      </w:r>
      <w:r>
        <w:rPr>
          <w:rFonts w:hint="eastAsia"/>
          <w:sz w:val="28"/>
          <w:szCs w:val="28"/>
          <w:lang w:val="en-US" w:eastAsia="zh-CN"/>
        </w:rPr>
        <w:t>公司涉及的特种作业类型有电工作业、高处作业、石油天然气安全作业（司钻作业），公司特种作业人员清单详见表2-7特种作业人员持证情况一览表，特种作业人员台账及证件扫描件详见报告附件8。</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b/>
          <w:bCs/>
          <w:color w:val="auto"/>
          <w:sz w:val="24"/>
          <w:szCs w:val="28"/>
          <w:lang w:val="en-US" w:eastAsia="zh-CN"/>
        </w:rPr>
      </w:pPr>
      <w:r>
        <w:rPr>
          <w:rFonts w:hint="eastAsia" w:ascii="Times New Roman" w:hAnsi="Times New Roman" w:cs="Times New Roman"/>
          <w:b/>
          <w:bCs/>
          <w:color w:val="auto"/>
          <w:sz w:val="21"/>
          <w:szCs w:val="21"/>
          <w:lang w:val="en-US" w:eastAsia="zh-CN"/>
        </w:rPr>
        <w:t>表2-</w:t>
      </w:r>
      <w:r>
        <w:rPr>
          <w:rFonts w:hint="eastAsia" w:cs="Times New Roman"/>
          <w:b/>
          <w:bCs/>
          <w:color w:val="auto"/>
          <w:sz w:val="21"/>
          <w:szCs w:val="21"/>
          <w:lang w:val="en-US" w:eastAsia="zh-CN"/>
        </w:rPr>
        <w:t>7</w:t>
      </w:r>
      <w:r>
        <w:rPr>
          <w:rFonts w:hint="eastAsia" w:ascii="Times New Roman" w:hAnsi="Times New Roman" w:cs="Times New Roman"/>
          <w:b/>
          <w:bCs/>
          <w:color w:val="auto"/>
          <w:sz w:val="21"/>
          <w:szCs w:val="21"/>
          <w:lang w:val="en-US" w:eastAsia="zh-CN"/>
        </w:rPr>
        <w:t xml:space="preserve">  </w:t>
      </w:r>
      <w:r>
        <w:rPr>
          <w:rFonts w:hint="eastAsia" w:cs="Times New Roman"/>
          <w:b/>
          <w:bCs/>
          <w:color w:val="auto"/>
          <w:sz w:val="21"/>
          <w:szCs w:val="21"/>
          <w:lang w:val="en-US" w:eastAsia="zh-CN"/>
        </w:rPr>
        <w:t>特种作业</w:t>
      </w:r>
      <w:r>
        <w:rPr>
          <w:rFonts w:hint="eastAsia" w:ascii="Times New Roman" w:hAnsi="Times New Roman" w:cs="Times New Roman"/>
          <w:b/>
          <w:bCs/>
          <w:color w:val="auto"/>
          <w:sz w:val="21"/>
          <w:szCs w:val="21"/>
          <w:lang w:val="en-US" w:eastAsia="zh-CN"/>
        </w:rPr>
        <w:t>人员持证情况一览表</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sz w:val="28"/>
          <w:szCs w:val="28"/>
          <w:lang w:eastAsia="zh-CN"/>
        </w:rPr>
      </w:pPr>
      <w:r>
        <w:rPr>
          <w:rFonts w:hint="eastAsia"/>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综上，该公司</w:t>
      </w:r>
      <w:r>
        <w:rPr>
          <w:rFonts w:hint="eastAsia"/>
          <w:sz w:val="28"/>
          <w:szCs w:val="28"/>
        </w:rPr>
        <w:t>特种作业人员</w:t>
      </w:r>
      <w:r>
        <w:rPr>
          <w:rFonts w:hint="eastAsia"/>
          <w:sz w:val="28"/>
          <w:szCs w:val="28"/>
          <w:lang w:val="en-US" w:eastAsia="zh-CN"/>
        </w:rPr>
        <w:t>取证情况满足</w:t>
      </w:r>
      <w:r>
        <w:rPr>
          <w:rFonts w:hint="eastAsia"/>
          <w:sz w:val="28"/>
          <w:szCs w:val="28"/>
        </w:rPr>
        <w:t>《特种作业人员安全技术培训考核管理规定》（国家安全生产监督管理总局令[2010]第30号，2015修订版）</w:t>
      </w:r>
      <w:r>
        <w:rPr>
          <w:rFonts w:hint="eastAsia"/>
          <w:sz w:val="28"/>
          <w:szCs w:val="28"/>
          <w:lang w:val="en-US" w:eastAsia="zh-CN"/>
        </w:rPr>
        <w:t>等相关法律法规要求。</w:t>
      </w:r>
    </w:p>
    <w:p>
      <w:pPr>
        <w:pStyle w:val="5"/>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2.7.</w:t>
      </w:r>
      <w:r>
        <w:rPr>
          <w:rFonts w:hint="eastAsia" w:eastAsia="黑体"/>
          <w:b w:val="0"/>
          <w:snapToGrid w:val="0"/>
          <w:kern w:val="0"/>
          <w:sz w:val="28"/>
          <w:szCs w:val="28"/>
          <w:lang w:val="en-US" w:eastAsia="zh-CN"/>
        </w:rPr>
        <w:t>3</w:t>
      </w:r>
      <w:r>
        <w:rPr>
          <w:rFonts w:eastAsia="黑体"/>
          <w:b w:val="0"/>
          <w:snapToGrid w:val="0"/>
          <w:kern w:val="0"/>
          <w:sz w:val="28"/>
          <w:szCs w:val="28"/>
        </w:rPr>
        <w:t xml:space="preserve"> </w:t>
      </w:r>
      <w:r>
        <w:rPr>
          <w:rFonts w:hint="eastAsia" w:eastAsia="黑体"/>
          <w:b w:val="0"/>
          <w:snapToGrid w:val="0"/>
          <w:kern w:val="0"/>
          <w:sz w:val="28"/>
          <w:szCs w:val="28"/>
          <w:lang w:val="en-US" w:eastAsia="zh-CN"/>
        </w:rPr>
        <w:t>其他从业人员</w:t>
      </w:r>
      <w:r>
        <w:rPr>
          <w:rFonts w:hint="eastAsia" w:eastAsia="黑体"/>
          <w:b w:val="0"/>
          <w:snapToGrid w:val="0"/>
          <w:kern w:val="0"/>
          <w:sz w:val="28"/>
          <w:szCs w:val="28"/>
        </w:rPr>
        <w:t>教育培训及持证情况</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胜利油田康贝油气工程有限公司按照《生产经营单位安全培训规定》</w:t>
      </w:r>
      <w:r>
        <w:rPr>
          <w:rFonts w:hint="eastAsia"/>
          <w:color w:val="auto"/>
          <w:sz w:val="28"/>
          <w:szCs w:val="28"/>
          <w:lang w:val="en-US" w:eastAsia="zh-CN"/>
        </w:rPr>
        <w:t>（原国家安监总局令第3号，2015年修订）第十三条：“煤矿、非煤矿山、危险化学</w:t>
      </w:r>
      <w:r>
        <w:rPr>
          <w:rFonts w:hint="eastAsia"/>
          <w:sz w:val="28"/>
          <w:szCs w:val="28"/>
          <w:lang w:val="en-US" w:eastAsia="zh-CN"/>
        </w:rPr>
        <w:t>品、烟花爆竹、金属冶炼等生产经营单位新上岗的从业人员安全培训时间不得少于72学时，每年再培训的时间不得少于20学时”的要求，新入厂的职工进行了“三级”培训教育，经与企业核实，2022年无转岗人员，新员工的安全教育培训记录详见报告附件20。</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根据山东省、东营市全员安全生产“大学习、大培训、大考试”专项行动要求，康贝油气公司深入推进工作开展，筑牢安全防线，切实提高全体干部职工对安全生产法律、法规、规章、标准、应知应会知识的掌握程度，并将“大学习、大培训、大考试”专项行动培训列入2022年安全教育培训计划，详见报告附件20。</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评价过程中，范涛、刘维晨、刘文涛、秦思维等75人井控证因到期等情况无效，郭树桐、刘维晨、高国钊等</w:t>
      </w:r>
      <w:r>
        <w:rPr>
          <w:rFonts w:hint="eastAsia"/>
          <w:color w:val="auto"/>
          <w:sz w:val="28"/>
          <w:szCs w:val="28"/>
          <w:lang w:val="en-US" w:eastAsia="zh-CN"/>
        </w:rPr>
        <w:t>51人HSE</w:t>
      </w:r>
      <w:r>
        <w:rPr>
          <w:rFonts w:hint="eastAsia"/>
          <w:sz w:val="28"/>
          <w:szCs w:val="28"/>
          <w:shd w:val="clear"/>
          <w:lang w:val="en-US" w:eastAsia="zh-CN"/>
        </w:rPr>
        <w:t>证因到</w:t>
      </w:r>
      <w:r>
        <w:rPr>
          <w:rFonts w:hint="eastAsia"/>
          <w:sz w:val="28"/>
          <w:szCs w:val="28"/>
          <w:lang w:val="en-US" w:eastAsia="zh-CN"/>
        </w:rPr>
        <w:t>期等情况无效，范涛、郭树桐、刘维晨等</w:t>
      </w:r>
      <w:r>
        <w:rPr>
          <w:rFonts w:hint="eastAsia"/>
          <w:color w:val="auto"/>
          <w:sz w:val="28"/>
          <w:szCs w:val="28"/>
          <w:lang w:val="en-US" w:eastAsia="zh-CN"/>
        </w:rPr>
        <w:t>65人</w:t>
      </w:r>
      <w:r>
        <w:rPr>
          <w:rFonts w:hint="eastAsia"/>
          <w:sz w:val="28"/>
          <w:szCs w:val="28"/>
          <w:lang w:val="en-US" w:eastAsia="zh-CN"/>
        </w:rPr>
        <w:t>硫化氢培训合格证因到期等情况无效，胜利油田康贝油气工程有限公司陆续组织生产及安全管理人员进行了培训学习，目前企业生产及安全管理人员、现场作业人员均持有硫化氢防护培训合格证、井控培训合格证和健康安全环境管理培训证书，具体持证情况见下表（表格中带底色部分为培训取证后人员证件信息），证书复印件见附件9。</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sectPr>
          <w:head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cs="Times New Roman"/>
          <w:color w:val="auto"/>
          <w:szCs w:val="21"/>
          <w:lang w:val="en-US" w:eastAsia="zh-CN"/>
        </w:rPr>
        <w:t>涉及企业机密，不予公开。</w:t>
      </w:r>
    </w:p>
    <w:p>
      <w:pPr>
        <w:pStyle w:val="4"/>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ascii="Times New Roman" w:hAnsi="Times New Roman"/>
          <w:b w:val="0"/>
          <w:bCs/>
          <w:szCs w:val="32"/>
        </w:rPr>
      </w:pPr>
      <w:bookmarkStart w:id="35" w:name="_Toc20855"/>
      <w:r>
        <w:rPr>
          <w:rFonts w:hint="eastAsia" w:ascii="Times New Roman" w:hAnsi="Times New Roman"/>
          <w:b w:val="0"/>
          <w:bCs/>
          <w:szCs w:val="32"/>
        </w:rPr>
        <w:t>2.</w:t>
      </w:r>
      <w:r>
        <w:rPr>
          <w:rFonts w:ascii="Times New Roman" w:hAnsi="Times New Roman"/>
          <w:b w:val="0"/>
          <w:bCs/>
          <w:szCs w:val="32"/>
        </w:rPr>
        <w:t xml:space="preserve">8 </w:t>
      </w:r>
      <w:r>
        <w:rPr>
          <w:rFonts w:hint="eastAsia" w:ascii="Times New Roman" w:hAnsi="Times New Roman"/>
          <w:b w:val="0"/>
          <w:bCs/>
          <w:szCs w:val="32"/>
        </w:rPr>
        <w:t>人员保险</w:t>
      </w:r>
      <w:bookmarkEnd w:id="35"/>
    </w:p>
    <w:p>
      <w:pPr>
        <w:adjustRightInd w:val="0"/>
        <w:snapToGrid w:val="0"/>
        <w:spacing w:line="360" w:lineRule="auto"/>
        <w:ind w:firstLine="560" w:firstLineChars="200"/>
        <w:rPr>
          <w:rFonts w:hint="eastAsia"/>
          <w:sz w:val="28"/>
          <w:lang w:val="en-US" w:eastAsia="zh-CN"/>
        </w:rPr>
      </w:pPr>
      <w:r>
        <w:rPr>
          <w:rFonts w:hint="eastAsia"/>
          <w:sz w:val="28"/>
          <w:lang w:val="en-US" w:eastAsia="zh-CN"/>
        </w:rPr>
        <w:t>涉及企业机密，不予公开。</w:t>
      </w:r>
    </w:p>
    <w:p>
      <w:pPr>
        <w:adjustRightInd w:val="0"/>
        <w:snapToGrid w:val="0"/>
        <w:spacing w:line="360" w:lineRule="auto"/>
        <w:ind w:firstLine="560" w:firstLineChars="200"/>
        <w:rPr>
          <w:rFonts w:hint="default"/>
          <w:sz w:val="28"/>
          <w:lang w:val="en-US" w:eastAsia="zh-CN"/>
        </w:rPr>
      </w:pPr>
      <w:r>
        <w:rPr>
          <w:rFonts w:hint="eastAsia"/>
          <w:sz w:val="28"/>
          <w:lang w:val="en-US" w:eastAsia="zh-CN"/>
        </w:rPr>
        <w:t>均已购买安全生产责任险，安全生产责任保险保单、电子批单（变更单）及花名册详见报告附件11。</w:t>
      </w:r>
    </w:p>
    <w:p>
      <w:pPr>
        <w:pStyle w:val="4"/>
        <w:adjustRightInd w:val="0"/>
        <w:snapToGrid w:val="0"/>
        <w:spacing w:before="0" w:after="0" w:line="360" w:lineRule="auto"/>
        <w:rPr>
          <w:rFonts w:ascii="Times New Roman" w:hAnsi="Times New Roman"/>
          <w:b w:val="0"/>
          <w:bCs/>
          <w:szCs w:val="32"/>
        </w:rPr>
      </w:pPr>
      <w:bookmarkStart w:id="36" w:name="_Toc6334"/>
      <w:r>
        <w:rPr>
          <w:rFonts w:hint="eastAsia" w:ascii="Times New Roman" w:hAnsi="Times New Roman"/>
          <w:b w:val="0"/>
          <w:bCs/>
          <w:szCs w:val="32"/>
        </w:rPr>
        <w:t>2.</w:t>
      </w:r>
      <w:r>
        <w:rPr>
          <w:rFonts w:ascii="Times New Roman" w:hAnsi="Times New Roman"/>
          <w:b w:val="0"/>
          <w:bCs/>
          <w:szCs w:val="32"/>
        </w:rPr>
        <w:t xml:space="preserve">9 </w:t>
      </w:r>
      <w:r>
        <w:rPr>
          <w:rFonts w:hint="eastAsia" w:ascii="Times New Roman" w:hAnsi="Times New Roman"/>
          <w:b w:val="0"/>
          <w:bCs/>
          <w:szCs w:val="32"/>
        </w:rPr>
        <w:t>职业危害防护及劳保用品发放</w:t>
      </w:r>
      <w:bookmarkEnd w:id="36"/>
    </w:p>
    <w:p>
      <w:pPr>
        <w:adjustRightInd w:val="0"/>
        <w:snapToGrid w:val="0"/>
        <w:spacing w:line="360" w:lineRule="auto"/>
        <w:ind w:firstLine="560" w:firstLineChars="200"/>
        <w:rPr>
          <w:rFonts w:hint="default"/>
          <w:sz w:val="28"/>
          <w:shd w:val="clear" w:fill="FFC000" w:themeFill="accent4"/>
          <w:lang w:val="en-US" w:eastAsia="zh-CN"/>
        </w:rPr>
      </w:pPr>
      <w:r>
        <w:rPr>
          <w:rFonts w:hint="eastAsia"/>
          <w:sz w:val="28"/>
        </w:rPr>
        <w:t>公司施工作业人员定期进行健康体检，建有员工健康档案。在劳保用品发放方面，按照有关规定的要求，根据岗位特点，按规定向</w:t>
      </w:r>
      <w:r>
        <w:rPr>
          <w:rFonts w:hint="eastAsia"/>
          <w:sz w:val="28"/>
          <w:lang w:val="en-US" w:eastAsia="zh-CN"/>
        </w:rPr>
        <w:t>生产</w:t>
      </w:r>
      <w:r>
        <w:rPr>
          <w:rFonts w:hint="eastAsia"/>
          <w:sz w:val="28"/>
        </w:rPr>
        <w:t>工人发放安全帽、劳保手套、绝缘胶鞋等劳保用品，任何人进入生产现场必须佩戴安全帽，生产人员必须按规定佩戴好劳保用品方可进行施工。</w:t>
      </w:r>
      <w:r>
        <w:rPr>
          <w:rFonts w:hint="eastAsia"/>
          <w:sz w:val="28"/>
          <w:shd w:val="clear"/>
          <w:lang w:val="en-US" w:eastAsia="zh-CN"/>
        </w:rPr>
        <w:t>康贝油气公司个体劳保用品</w:t>
      </w:r>
      <w:r>
        <w:rPr>
          <w:rFonts w:hint="default"/>
          <w:sz w:val="28"/>
          <w:shd w:val="clear"/>
          <w:lang w:eastAsia="zh-CN"/>
        </w:rPr>
        <w:t>配备标准见表</w:t>
      </w:r>
      <w:r>
        <w:rPr>
          <w:rFonts w:hint="default"/>
          <w:sz w:val="28"/>
          <w:shd w:val="clear"/>
          <w:lang w:val="en-US" w:eastAsia="zh-CN"/>
        </w:rPr>
        <w:t>2-</w:t>
      </w:r>
      <w:r>
        <w:rPr>
          <w:rFonts w:hint="eastAsia"/>
          <w:sz w:val="28"/>
          <w:shd w:val="clear"/>
          <w:lang w:val="en-US" w:eastAsia="zh-CN"/>
        </w:rPr>
        <w:t>9，</w:t>
      </w:r>
      <w:r>
        <w:rPr>
          <w:rFonts w:hint="default"/>
          <w:sz w:val="28"/>
          <w:shd w:val="clear"/>
          <w:lang w:eastAsia="zh-CN"/>
        </w:rPr>
        <w:t>劳保用品领用情况见附件</w:t>
      </w:r>
      <w:r>
        <w:rPr>
          <w:rFonts w:hint="eastAsia"/>
          <w:sz w:val="28"/>
          <w:shd w:val="clear"/>
          <w:lang w:val="en-US" w:eastAsia="zh-CN"/>
        </w:rPr>
        <w:t>21</w:t>
      </w:r>
      <w:r>
        <w:rPr>
          <w:rFonts w:hint="default"/>
          <w:sz w:val="28"/>
          <w:shd w:val="clear"/>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eastAsiaTheme="minorEastAsia"/>
          <w:sz w:val="24"/>
          <w:szCs w:val="22"/>
        </w:rPr>
      </w:pPr>
      <w:r>
        <w:rPr>
          <w:rFonts w:hint="eastAsia" w:eastAsiaTheme="minorEastAsia"/>
          <w:b/>
          <w:bCs/>
          <w:sz w:val="21"/>
          <w:szCs w:val="21"/>
        </w:rPr>
        <w:t>表</w:t>
      </w:r>
      <w:r>
        <w:rPr>
          <w:rFonts w:eastAsiaTheme="minorEastAsia"/>
          <w:b/>
          <w:bCs/>
          <w:sz w:val="21"/>
          <w:szCs w:val="21"/>
        </w:rPr>
        <w:t>2-</w:t>
      </w:r>
      <w:r>
        <w:rPr>
          <w:rFonts w:hint="eastAsia" w:eastAsiaTheme="minorEastAsia"/>
          <w:b/>
          <w:bCs/>
          <w:sz w:val="21"/>
          <w:szCs w:val="21"/>
          <w:lang w:val="en-US" w:eastAsia="zh-CN"/>
        </w:rPr>
        <w:t>9  职工个体</w:t>
      </w:r>
      <w:r>
        <w:rPr>
          <w:rFonts w:hint="eastAsia" w:eastAsiaTheme="minorEastAsia"/>
          <w:b/>
          <w:bCs/>
          <w:sz w:val="21"/>
          <w:szCs w:val="21"/>
        </w:rPr>
        <w:t>劳保用品配备标准</w:t>
      </w:r>
    </w:p>
    <w:tbl>
      <w:tblPr>
        <w:tblStyle w:val="277"/>
        <w:tblW w:w="5184" w:type="pct"/>
        <w:tblInd w:w="-18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876"/>
        <w:gridCol w:w="801"/>
        <w:gridCol w:w="793"/>
        <w:gridCol w:w="812"/>
        <w:gridCol w:w="839"/>
        <w:gridCol w:w="877"/>
        <w:gridCol w:w="829"/>
        <w:gridCol w:w="793"/>
        <w:gridCol w:w="775"/>
        <w:gridCol w:w="635"/>
        <w:gridCol w:w="61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blHeader/>
        </w:trPr>
        <w:tc>
          <w:tcPr>
            <w:tcW w:w="507"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z w:val="18"/>
                <w:szCs w:val="18"/>
              </w:rPr>
            </w:pPr>
            <w:r>
              <w:rPr>
                <w:rFonts w:hint="eastAsia" w:asciiTheme="majorEastAsia" w:hAnsiTheme="majorEastAsia" w:eastAsiaTheme="majorEastAsia" w:cstheme="majorEastAsia"/>
                <w:b/>
                <w:bCs/>
                <w:spacing w:val="-1"/>
                <w:sz w:val="18"/>
                <w:szCs w:val="18"/>
              </w:rPr>
              <w:t>作业工种序</w:t>
            </w:r>
            <w:r>
              <w:rPr>
                <w:rFonts w:hint="eastAsia" w:asciiTheme="majorEastAsia" w:hAnsiTheme="majorEastAsia" w:eastAsiaTheme="majorEastAsia" w:cstheme="majorEastAsia"/>
                <w:b/>
                <w:bCs/>
                <w:sz w:val="18"/>
                <w:szCs w:val="18"/>
              </w:rPr>
              <w:t>列</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防静电抗油拒水</w:t>
            </w:r>
            <w:r>
              <w:rPr>
                <w:rFonts w:hint="eastAsia" w:asciiTheme="majorEastAsia" w:hAnsiTheme="majorEastAsia" w:eastAsiaTheme="majorEastAsia" w:cstheme="majorEastAsia"/>
                <w:b/>
                <w:bCs/>
                <w:spacing w:val="-1"/>
                <w:sz w:val="18"/>
                <w:szCs w:val="18"/>
                <w:lang w:eastAsia="zh-CN"/>
              </w:rPr>
              <w:t>工作</w:t>
            </w:r>
            <w:r>
              <w:rPr>
                <w:rFonts w:hint="eastAsia" w:asciiTheme="majorEastAsia" w:hAnsiTheme="majorEastAsia" w:eastAsiaTheme="majorEastAsia" w:cstheme="majorEastAsia"/>
                <w:b/>
                <w:bCs/>
                <w:spacing w:val="-1"/>
                <w:sz w:val="18"/>
                <w:szCs w:val="18"/>
              </w:rPr>
              <w:t>服</w:t>
            </w:r>
          </w:p>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（夏）</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防静电抗油拒水</w:t>
            </w:r>
            <w:r>
              <w:rPr>
                <w:rFonts w:hint="eastAsia" w:asciiTheme="majorEastAsia" w:hAnsiTheme="majorEastAsia" w:eastAsiaTheme="majorEastAsia" w:cstheme="majorEastAsia"/>
                <w:b/>
                <w:bCs/>
                <w:spacing w:val="-1"/>
                <w:sz w:val="18"/>
                <w:szCs w:val="18"/>
                <w:lang w:eastAsia="zh-CN"/>
              </w:rPr>
              <w:t>工作</w:t>
            </w:r>
            <w:r>
              <w:rPr>
                <w:rFonts w:hint="eastAsia" w:asciiTheme="majorEastAsia" w:hAnsiTheme="majorEastAsia" w:eastAsiaTheme="majorEastAsia" w:cstheme="majorEastAsia"/>
                <w:b/>
                <w:bCs/>
                <w:spacing w:val="-1"/>
                <w:sz w:val="18"/>
                <w:szCs w:val="18"/>
              </w:rPr>
              <w:t>服</w:t>
            </w:r>
          </w:p>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lang w:eastAsia="zh-CN"/>
              </w:rPr>
            </w:pPr>
            <w:r>
              <w:rPr>
                <w:rFonts w:hint="eastAsia" w:asciiTheme="majorEastAsia" w:hAnsiTheme="majorEastAsia" w:eastAsiaTheme="majorEastAsia" w:cstheme="majorEastAsia"/>
                <w:b/>
                <w:bCs/>
                <w:spacing w:val="-1"/>
                <w:sz w:val="18"/>
                <w:szCs w:val="18"/>
              </w:rPr>
              <w:t>（春秋</w:t>
            </w:r>
            <w:r>
              <w:rPr>
                <w:rFonts w:hint="eastAsia" w:asciiTheme="majorEastAsia" w:hAnsiTheme="majorEastAsia" w:eastAsiaTheme="majorEastAsia" w:cstheme="majorEastAsia"/>
                <w:b/>
                <w:bCs/>
                <w:spacing w:val="-1"/>
                <w:sz w:val="18"/>
                <w:szCs w:val="18"/>
                <w:lang w:eastAsia="zh-CN"/>
              </w:rPr>
              <w:t>）</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防静电抗油拒水</w:t>
            </w:r>
            <w:r>
              <w:rPr>
                <w:rFonts w:hint="eastAsia" w:asciiTheme="majorEastAsia" w:hAnsiTheme="majorEastAsia" w:eastAsiaTheme="majorEastAsia" w:cstheme="majorEastAsia"/>
                <w:b/>
                <w:bCs/>
                <w:spacing w:val="-1"/>
                <w:sz w:val="18"/>
                <w:szCs w:val="18"/>
                <w:lang w:eastAsia="zh-CN"/>
              </w:rPr>
              <w:t>工作</w:t>
            </w:r>
            <w:r>
              <w:rPr>
                <w:rFonts w:hint="eastAsia" w:asciiTheme="majorEastAsia" w:hAnsiTheme="majorEastAsia" w:eastAsiaTheme="majorEastAsia" w:cstheme="majorEastAsia"/>
                <w:b/>
                <w:bCs/>
                <w:spacing w:val="-1"/>
                <w:sz w:val="18"/>
                <w:szCs w:val="18"/>
              </w:rPr>
              <w:t>服</w:t>
            </w:r>
          </w:p>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w:t>
            </w:r>
            <w:r>
              <w:rPr>
                <w:rFonts w:hint="eastAsia" w:asciiTheme="majorEastAsia" w:hAnsiTheme="majorEastAsia" w:eastAsiaTheme="majorEastAsia" w:cstheme="majorEastAsia"/>
                <w:b/>
                <w:bCs/>
                <w:spacing w:val="-1"/>
                <w:sz w:val="18"/>
                <w:szCs w:val="18"/>
                <w:lang w:eastAsia="zh-CN"/>
              </w:rPr>
              <w:t>冬</w:t>
            </w:r>
            <w:r>
              <w:rPr>
                <w:rFonts w:hint="eastAsia" w:asciiTheme="majorEastAsia" w:hAnsiTheme="majorEastAsia" w:eastAsiaTheme="majorEastAsia" w:cstheme="majorEastAsia"/>
                <w:b/>
                <w:bCs/>
                <w:spacing w:val="-1"/>
                <w:sz w:val="18"/>
                <w:szCs w:val="18"/>
              </w:rPr>
              <w:t>）</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防砸滑耐油单</w:t>
            </w:r>
            <w:r>
              <w:rPr>
                <w:rFonts w:hint="eastAsia" w:asciiTheme="majorEastAsia" w:hAnsiTheme="majorEastAsia" w:eastAsiaTheme="majorEastAsia" w:cstheme="majorEastAsia"/>
                <w:b/>
                <w:bCs/>
                <w:spacing w:val="-1"/>
                <w:sz w:val="18"/>
                <w:szCs w:val="18"/>
                <w:lang w:eastAsia="zh-CN"/>
              </w:rPr>
              <w:t>安全</w:t>
            </w:r>
            <w:r>
              <w:rPr>
                <w:rFonts w:hint="eastAsia" w:asciiTheme="majorEastAsia" w:hAnsiTheme="majorEastAsia" w:eastAsiaTheme="majorEastAsia" w:cstheme="majorEastAsia"/>
                <w:b/>
                <w:bCs/>
                <w:spacing w:val="-1"/>
                <w:sz w:val="18"/>
                <w:szCs w:val="18"/>
              </w:rPr>
              <w:t>鞋</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防砸滑耐油防寒</w:t>
            </w:r>
            <w:r>
              <w:rPr>
                <w:rFonts w:hint="eastAsia" w:asciiTheme="majorEastAsia" w:hAnsiTheme="majorEastAsia" w:eastAsiaTheme="majorEastAsia" w:cstheme="majorEastAsia"/>
                <w:b/>
                <w:bCs/>
                <w:spacing w:val="-1"/>
                <w:sz w:val="18"/>
                <w:szCs w:val="18"/>
                <w:lang w:eastAsia="zh-CN"/>
              </w:rPr>
              <w:t>安全</w:t>
            </w:r>
            <w:r>
              <w:rPr>
                <w:rFonts w:hint="eastAsia" w:asciiTheme="majorEastAsia" w:hAnsiTheme="majorEastAsia" w:eastAsiaTheme="majorEastAsia" w:cstheme="majorEastAsia"/>
                <w:b/>
                <w:bCs/>
                <w:spacing w:val="-1"/>
                <w:sz w:val="18"/>
                <w:szCs w:val="18"/>
              </w:rPr>
              <w:t>鞋</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安全帽</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防寒安全帽</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防</w:t>
            </w:r>
            <w:r>
              <w:rPr>
                <w:rFonts w:hint="eastAsia" w:asciiTheme="majorEastAsia" w:hAnsiTheme="majorEastAsia" w:eastAsiaTheme="majorEastAsia" w:cstheme="majorEastAsia"/>
                <w:b/>
                <w:bCs/>
                <w:spacing w:val="-1"/>
                <w:sz w:val="18"/>
                <w:szCs w:val="18"/>
                <w:lang w:eastAsia="zh-CN"/>
              </w:rPr>
              <w:t>护</w:t>
            </w:r>
            <w:r>
              <w:rPr>
                <w:rFonts w:hint="eastAsia" w:asciiTheme="majorEastAsia" w:hAnsiTheme="majorEastAsia" w:eastAsiaTheme="majorEastAsia" w:cstheme="majorEastAsia"/>
                <w:b/>
                <w:bCs/>
                <w:spacing w:val="-1"/>
                <w:sz w:val="18"/>
                <w:szCs w:val="18"/>
              </w:rPr>
              <w:t>手套</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耳塞</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耳罩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blHeader/>
        </w:trPr>
        <w:tc>
          <w:tcPr>
            <w:tcW w:w="507"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heme="majorEastAsia" w:hAnsiTheme="majorEastAsia" w:eastAsiaTheme="majorEastAsia" w:cstheme="majorEastAsia"/>
                <w:b/>
                <w:bCs/>
                <w:sz w:val="18"/>
                <w:szCs w:val="18"/>
              </w:rPr>
            </w:pP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月/套</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月/套</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月/套</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月/双</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月/双</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月/顶</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月/顶</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副</w:t>
            </w:r>
            <w:r>
              <w:rPr>
                <w:rFonts w:hint="eastAsia" w:asciiTheme="majorEastAsia" w:hAnsiTheme="majorEastAsia" w:eastAsiaTheme="majorEastAsia" w:cstheme="majorEastAsia"/>
                <w:b/>
                <w:bCs/>
                <w:spacing w:val="-1"/>
                <w:sz w:val="18"/>
                <w:szCs w:val="18"/>
                <w:lang w:val="en-US" w:eastAsia="zh-CN"/>
              </w:rPr>
              <w:t>/</w:t>
            </w:r>
            <w:r>
              <w:rPr>
                <w:rFonts w:hint="eastAsia" w:asciiTheme="majorEastAsia" w:hAnsiTheme="majorEastAsia" w:eastAsiaTheme="majorEastAsia" w:cstheme="majorEastAsia"/>
                <w:b/>
                <w:bCs/>
                <w:spacing w:val="-1"/>
                <w:sz w:val="18"/>
                <w:szCs w:val="18"/>
                <w:lang w:eastAsia="zh-CN"/>
              </w:rPr>
              <w:t>月</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rPr>
              <w:t>月/副</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b/>
                <w:bCs/>
                <w:spacing w:val="-1"/>
                <w:sz w:val="18"/>
                <w:szCs w:val="18"/>
              </w:rPr>
            </w:pPr>
            <w:r>
              <w:rPr>
                <w:rFonts w:hint="eastAsia" w:asciiTheme="majorEastAsia" w:hAnsiTheme="majorEastAsia" w:eastAsiaTheme="majorEastAsia" w:cstheme="majorEastAsia"/>
                <w:b/>
                <w:bCs/>
                <w:spacing w:val="-1"/>
                <w:sz w:val="18"/>
                <w:szCs w:val="18"/>
                <w:lang w:eastAsia="zh-CN"/>
              </w:rPr>
              <w:t>月</w:t>
            </w:r>
            <w:r>
              <w:rPr>
                <w:rFonts w:hint="eastAsia" w:asciiTheme="majorEastAsia" w:hAnsiTheme="majorEastAsia" w:eastAsiaTheme="majorEastAsia" w:cstheme="majorEastAsia"/>
                <w:b/>
                <w:bCs/>
                <w:spacing w:val="-1"/>
                <w:sz w:val="18"/>
                <w:szCs w:val="18"/>
              </w:rPr>
              <w:t>/副</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default" w:asciiTheme="majorEastAsia" w:hAnsiTheme="majorEastAsia" w:eastAsiaTheme="majorEastAsia" w:cstheme="majorEastAsia"/>
                <w:spacing w:val="-1"/>
                <w:sz w:val="18"/>
                <w:szCs w:val="18"/>
                <w:lang w:val="en-US" w:eastAsia="zh-CN"/>
              </w:rPr>
            </w:pPr>
            <w:r>
              <w:rPr>
                <w:rFonts w:hint="eastAsia" w:asciiTheme="majorEastAsia" w:hAnsiTheme="majorEastAsia" w:eastAsiaTheme="majorEastAsia" w:cstheme="majorEastAsia"/>
                <w:spacing w:val="-1"/>
                <w:sz w:val="18"/>
                <w:szCs w:val="18"/>
                <w:lang w:val="en-US" w:eastAsia="zh-CN"/>
              </w:rPr>
              <w:t>队长</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color w:val="auto"/>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bidi="ar-SA"/>
              </w:rPr>
            </w:pPr>
            <w:r>
              <w:rPr>
                <w:rFonts w:hint="eastAsia" w:asciiTheme="majorEastAsia" w:hAnsiTheme="majorEastAsia" w:eastAsiaTheme="majorEastAsia" w:cstheme="majorEastAsia"/>
                <w:color w:val="auto"/>
                <w:spacing w:val="-1"/>
                <w:sz w:val="18"/>
                <w:szCs w:val="18"/>
                <w:highlight w:val="none"/>
                <w:lang w:val="en-US" w:eastAsia="zh-CN"/>
              </w:rPr>
              <w:t>4</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default" w:asciiTheme="majorEastAsia" w:hAnsiTheme="majorEastAsia" w:eastAsiaTheme="majorEastAsia" w:cstheme="majorEastAsia"/>
                <w:spacing w:val="-1"/>
                <w:sz w:val="18"/>
                <w:szCs w:val="18"/>
                <w:lang w:val="en-US" w:eastAsia="zh-CN"/>
              </w:rPr>
            </w:pPr>
            <w:r>
              <w:rPr>
                <w:rFonts w:hint="eastAsia" w:asciiTheme="majorEastAsia" w:hAnsiTheme="majorEastAsia" w:eastAsiaTheme="majorEastAsia" w:cstheme="majorEastAsia"/>
                <w:spacing w:val="-1"/>
                <w:sz w:val="18"/>
                <w:szCs w:val="18"/>
                <w:lang w:val="en-US" w:eastAsia="zh-CN"/>
              </w:rPr>
              <w:t>副队长</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color w:val="auto"/>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bidi="ar-SA"/>
              </w:rPr>
            </w:pPr>
            <w:r>
              <w:rPr>
                <w:rFonts w:hint="eastAsia" w:asciiTheme="majorEastAsia" w:hAnsiTheme="majorEastAsia" w:eastAsiaTheme="majorEastAsia" w:cstheme="majorEastAsia"/>
                <w:color w:val="auto"/>
                <w:spacing w:val="-1"/>
                <w:sz w:val="18"/>
                <w:szCs w:val="18"/>
                <w:highlight w:val="none"/>
                <w:lang w:val="en-US" w:eastAsia="zh-CN"/>
              </w:rPr>
              <w:t>4</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default" w:asciiTheme="majorEastAsia" w:hAnsiTheme="majorEastAsia" w:eastAsiaTheme="majorEastAsia" w:cstheme="majorEastAsia"/>
                <w:spacing w:val="-1"/>
                <w:sz w:val="18"/>
                <w:szCs w:val="18"/>
                <w:lang w:val="en-US" w:eastAsia="zh-CN"/>
              </w:rPr>
            </w:pPr>
            <w:r>
              <w:rPr>
                <w:rFonts w:hint="eastAsia" w:asciiTheme="majorEastAsia" w:hAnsiTheme="majorEastAsia" w:eastAsiaTheme="majorEastAsia" w:cstheme="majorEastAsia"/>
                <w:spacing w:val="-1"/>
                <w:sz w:val="18"/>
                <w:szCs w:val="18"/>
                <w:lang w:val="en-US" w:eastAsia="zh-CN"/>
              </w:rPr>
              <w:t>班长</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color w:val="auto"/>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bidi="ar-SA"/>
              </w:rPr>
            </w:pPr>
            <w:r>
              <w:rPr>
                <w:rFonts w:hint="eastAsia" w:asciiTheme="majorEastAsia" w:hAnsiTheme="majorEastAsia" w:eastAsiaTheme="majorEastAsia" w:cstheme="majorEastAsia"/>
                <w:color w:val="auto"/>
                <w:spacing w:val="-1"/>
                <w:sz w:val="18"/>
                <w:szCs w:val="18"/>
                <w:highlight w:val="none"/>
                <w:lang w:val="en-US" w:eastAsia="zh-CN"/>
              </w:rPr>
              <w:t>4</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kern w:val="2"/>
                <w:sz w:val="18"/>
                <w:szCs w:val="18"/>
                <w:lang w:val="en-US" w:eastAsia="zh-CN" w:bidi="ar-SA"/>
              </w:rPr>
            </w:pPr>
            <w:r>
              <w:rPr>
                <w:rFonts w:hint="eastAsia" w:asciiTheme="majorEastAsia" w:hAnsiTheme="majorEastAsia" w:eastAsiaTheme="majorEastAsia" w:cstheme="majorEastAsia"/>
                <w:spacing w:val="-1"/>
                <w:sz w:val="18"/>
                <w:szCs w:val="18"/>
                <w:lang w:val="en-US" w:eastAsia="zh-CN"/>
              </w:rPr>
              <w:t>井口工</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color w:val="auto"/>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bidi="ar-SA"/>
              </w:rPr>
            </w:pPr>
            <w:r>
              <w:rPr>
                <w:rFonts w:hint="eastAsia" w:asciiTheme="majorEastAsia" w:hAnsiTheme="majorEastAsia" w:eastAsiaTheme="majorEastAsia" w:cstheme="majorEastAsia"/>
                <w:color w:val="auto"/>
                <w:spacing w:val="-1"/>
                <w:sz w:val="18"/>
                <w:szCs w:val="18"/>
                <w:highlight w:val="none"/>
                <w:lang w:val="en-US" w:eastAsia="zh-CN"/>
              </w:rPr>
              <w:t>4</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3</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bidi="ar-SA"/>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lang w:val="en-US" w:eastAsia="zh-CN"/>
              </w:rPr>
            </w:pPr>
            <w:r>
              <w:rPr>
                <w:rFonts w:hint="eastAsia" w:asciiTheme="majorEastAsia" w:hAnsiTheme="majorEastAsia" w:eastAsiaTheme="majorEastAsia" w:cstheme="majorEastAsia"/>
                <w:spacing w:val="-1"/>
                <w:sz w:val="18"/>
                <w:szCs w:val="18"/>
                <w:lang w:val="en-US" w:eastAsia="zh-CN"/>
              </w:rPr>
              <w:t>场地工</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4</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lang w:eastAsia="zh-CN"/>
              </w:rPr>
            </w:pPr>
            <w:r>
              <w:rPr>
                <w:rFonts w:hint="eastAsia" w:asciiTheme="majorEastAsia" w:hAnsiTheme="majorEastAsia" w:eastAsiaTheme="majorEastAsia" w:cstheme="majorEastAsia"/>
                <w:spacing w:val="-1"/>
                <w:sz w:val="18"/>
                <w:szCs w:val="18"/>
                <w:lang w:eastAsia="zh-CN"/>
              </w:rPr>
              <w:t>操作工</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4</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lang w:eastAsia="zh-CN"/>
              </w:rPr>
            </w:pPr>
            <w:r>
              <w:rPr>
                <w:rFonts w:hint="eastAsia" w:asciiTheme="majorEastAsia" w:hAnsiTheme="majorEastAsia" w:eastAsiaTheme="majorEastAsia" w:cstheme="majorEastAsia"/>
                <w:spacing w:val="-1"/>
                <w:sz w:val="18"/>
                <w:szCs w:val="18"/>
                <w:lang w:eastAsia="zh-CN"/>
              </w:rPr>
              <w:t>井架工</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4</w:t>
            </w:r>
          </w:p>
        </w:tc>
        <w:tc>
          <w:tcPr>
            <w:tcW w:w="6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w:t>
            </w:r>
          </w:p>
        </w:tc>
        <w:tc>
          <w:tcPr>
            <w:tcW w:w="6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lang w:eastAsia="zh-CN"/>
              </w:rPr>
            </w:pPr>
            <w:r>
              <w:rPr>
                <w:rFonts w:hint="eastAsia" w:asciiTheme="majorEastAsia" w:hAnsiTheme="majorEastAsia" w:eastAsiaTheme="majorEastAsia" w:cstheme="majorEastAsia"/>
                <w:spacing w:val="-1"/>
                <w:sz w:val="18"/>
                <w:szCs w:val="18"/>
                <w:lang w:eastAsia="zh-CN"/>
              </w:rPr>
              <w:t>泥浆工</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12</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rPr>
            </w:pPr>
            <w:r>
              <w:rPr>
                <w:rFonts w:hint="eastAsia" w:asciiTheme="majorEastAsia" w:hAnsiTheme="majorEastAsia" w:eastAsiaTheme="majorEastAsia" w:cstheme="majorEastAsia"/>
                <w:snapToGrid w:val="0"/>
                <w:color w:val="auto"/>
                <w:spacing w:val="-1"/>
                <w:kern w:val="0"/>
                <w:sz w:val="18"/>
                <w:szCs w:val="18"/>
                <w:highlight w:val="none"/>
                <w:lang w:val="en-US" w:eastAsia="zh-CN"/>
              </w:rPr>
              <w:t>4</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tabs>
                <w:tab w:val="left" w:pos="600"/>
              </w:tabs>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lang w:val="en-US" w:eastAsia="zh-CN"/>
              </w:rPr>
            </w:pPr>
            <w:r>
              <w:rPr>
                <w:rFonts w:hint="eastAsia" w:asciiTheme="majorEastAsia" w:hAnsiTheme="majorEastAsia" w:eastAsiaTheme="majorEastAsia" w:cstheme="majorEastAsia"/>
                <w:spacing w:val="-1"/>
                <w:sz w:val="18"/>
                <w:szCs w:val="18"/>
                <w:lang w:val="en-US" w:eastAsia="zh-CN"/>
              </w:rPr>
              <w:t>泵工</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rPr>
            </w:pPr>
            <w:r>
              <w:rPr>
                <w:rFonts w:hint="eastAsia" w:asciiTheme="majorEastAsia" w:hAnsiTheme="majorEastAsia" w:eastAsiaTheme="majorEastAsia" w:cstheme="majorEastAsia"/>
                <w:snapToGrid w:val="0"/>
                <w:color w:val="auto"/>
                <w:spacing w:val="-1"/>
                <w:kern w:val="0"/>
                <w:sz w:val="18"/>
                <w:szCs w:val="18"/>
                <w:highlight w:val="none"/>
                <w:lang w:val="en-US" w:eastAsia="zh-CN"/>
              </w:rPr>
              <w:t>4</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tabs>
                <w:tab w:val="left" w:pos="600"/>
              </w:tabs>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lang w:val="en-US" w:eastAsia="zh-CN"/>
              </w:rPr>
            </w:pPr>
            <w:r>
              <w:rPr>
                <w:rFonts w:hint="eastAsia" w:asciiTheme="majorEastAsia" w:hAnsiTheme="majorEastAsia" w:eastAsiaTheme="majorEastAsia" w:cstheme="majorEastAsia"/>
                <w:spacing w:val="-1"/>
                <w:sz w:val="18"/>
                <w:szCs w:val="18"/>
                <w:lang w:val="en-US" w:eastAsia="zh-CN"/>
              </w:rPr>
              <w:t>试压工</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color w:val="auto"/>
                <w:spacing w:val="-1"/>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rPr>
            </w:pPr>
            <w:r>
              <w:rPr>
                <w:rFonts w:hint="eastAsia" w:asciiTheme="majorEastAsia" w:hAnsiTheme="majorEastAsia" w:eastAsiaTheme="majorEastAsia" w:cstheme="majorEastAsia"/>
                <w:snapToGrid w:val="0"/>
                <w:color w:val="auto"/>
                <w:spacing w:val="-1"/>
                <w:kern w:val="0"/>
                <w:sz w:val="18"/>
                <w:szCs w:val="18"/>
                <w:highlight w:val="none"/>
                <w:lang w:val="en-US" w:eastAsia="zh-CN"/>
              </w:rPr>
              <w:t>4</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lang w:eastAsia="zh-CN"/>
              </w:rPr>
            </w:pPr>
            <w:r>
              <w:rPr>
                <w:rFonts w:hint="eastAsia" w:asciiTheme="majorEastAsia" w:hAnsiTheme="majorEastAsia" w:eastAsiaTheme="majorEastAsia" w:cstheme="majorEastAsia"/>
                <w:spacing w:val="-1"/>
                <w:sz w:val="18"/>
                <w:szCs w:val="18"/>
                <w:lang w:eastAsia="zh-CN"/>
              </w:rPr>
              <w:t>仪表工</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4</w:t>
            </w:r>
          </w:p>
        </w:tc>
        <w:tc>
          <w:tcPr>
            <w:tcW w:w="63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w:t>
            </w:r>
          </w:p>
        </w:tc>
        <w:tc>
          <w:tcPr>
            <w:tcW w:w="61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pacing w:val="-1"/>
                <w:sz w:val="18"/>
                <w:szCs w:val="18"/>
                <w:lang w:eastAsia="zh-CN"/>
              </w:rPr>
            </w:pPr>
            <w:r>
              <w:rPr>
                <w:rFonts w:hint="eastAsia" w:asciiTheme="majorEastAsia" w:hAnsiTheme="majorEastAsia" w:eastAsiaTheme="majorEastAsia" w:cstheme="majorEastAsia"/>
                <w:spacing w:val="-1"/>
                <w:sz w:val="18"/>
                <w:szCs w:val="18"/>
                <w:lang w:eastAsia="zh-CN"/>
              </w:rPr>
              <w:t>电工</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rPr>
            </w:pPr>
            <w:r>
              <w:rPr>
                <w:rFonts w:hint="eastAsia" w:asciiTheme="majorEastAsia" w:hAnsiTheme="majorEastAsia" w:eastAsiaTheme="majorEastAsia" w:cstheme="majorEastAsia"/>
                <w:color w:val="auto"/>
                <w:spacing w:val="-1"/>
                <w:sz w:val="18"/>
                <w:szCs w:val="18"/>
                <w:highlight w:val="none"/>
                <w:lang w:val="en-US" w:eastAsia="zh-CN"/>
              </w:rPr>
              <w:t>/</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napToGrid w:val="0"/>
                <w:color w:val="000000"/>
                <w:spacing w:val="-1"/>
                <w:kern w:val="0"/>
                <w:sz w:val="18"/>
                <w:szCs w:val="18"/>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eastAsia="zh-CN"/>
              </w:rPr>
            </w:pPr>
            <w:r>
              <w:rPr>
                <w:rFonts w:hint="eastAsia" w:asciiTheme="majorEastAsia" w:hAnsiTheme="majorEastAsia" w:eastAsiaTheme="majorEastAsia" w:cstheme="majorEastAsia"/>
                <w:spacing w:val="-1"/>
                <w:sz w:val="18"/>
                <w:szCs w:val="18"/>
                <w:lang w:eastAsia="zh-CN"/>
              </w:rPr>
              <w:t>安全管理人员</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24</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30</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auto"/>
                <w:spacing w:val="-1"/>
                <w:kern w:val="0"/>
                <w:sz w:val="18"/>
                <w:szCs w:val="18"/>
                <w:highlight w:val="none"/>
                <w:lang w:val="en-US" w:eastAsia="zh-CN"/>
              </w:rPr>
            </w:pPr>
            <w:r>
              <w:rPr>
                <w:rFonts w:hint="eastAsia" w:asciiTheme="majorEastAsia" w:hAnsiTheme="majorEastAsia" w:eastAsiaTheme="majorEastAsia" w:cstheme="majorEastAsia"/>
                <w:snapToGrid w:val="0"/>
                <w:color w:val="auto"/>
                <w:spacing w:val="-1"/>
                <w:kern w:val="0"/>
                <w:sz w:val="18"/>
                <w:szCs w:val="18"/>
                <w:highlight w:val="none"/>
                <w:lang w:val="en-US" w:eastAsia="zh-CN"/>
              </w:rPr>
              <w:t>4</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3</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highlight w:val="none"/>
                <w:lang w:val="en-US" w:eastAsia="zh-CN"/>
              </w:rPr>
            </w:pPr>
            <w:r>
              <w:rPr>
                <w:rFonts w:hint="eastAsia" w:asciiTheme="majorEastAsia" w:hAnsiTheme="majorEastAsia" w:eastAsiaTheme="majorEastAsia" w:cstheme="majorEastAsia"/>
                <w:spacing w:val="-1"/>
                <w:sz w:val="18"/>
                <w:szCs w:val="18"/>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eastAsia="zh-CN"/>
              </w:rPr>
            </w:pPr>
            <w:r>
              <w:rPr>
                <w:rFonts w:hint="eastAsia" w:asciiTheme="majorEastAsia" w:hAnsiTheme="majorEastAsia" w:eastAsiaTheme="majorEastAsia" w:cstheme="majorEastAsia"/>
                <w:spacing w:val="-1"/>
                <w:sz w:val="18"/>
                <w:szCs w:val="18"/>
                <w:lang w:eastAsia="zh-CN"/>
              </w:rPr>
              <w:t>驾驶员</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val="en-US" w:eastAsia="zh-CN"/>
              </w:rPr>
            </w:pPr>
            <w:r>
              <w:rPr>
                <w:rFonts w:hint="eastAsia" w:asciiTheme="majorEastAsia" w:hAnsiTheme="majorEastAsia" w:eastAsiaTheme="majorEastAsia" w:cstheme="majorEastAsia"/>
                <w:spacing w:val="-1"/>
                <w:sz w:val="18"/>
                <w:szCs w:val="18"/>
                <w:lang w:val="en-US" w:eastAsia="zh-CN"/>
              </w:rPr>
              <w:t>12</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val="en-US" w:eastAsia="zh-CN"/>
              </w:rPr>
            </w:pPr>
            <w:r>
              <w:rPr>
                <w:rFonts w:hint="eastAsia" w:asciiTheme="majorEastAsia" w:hAnsiTheme="majorEastAsia" w:eastAsiaTheme="majorEastAsia" w:cstheme="majorEastAsia"/>
                <w:spacing w:val="-1"/>
                <w:sz w:val="18"/>
                <w:szCs w:val="18"/>
                <w:lang w:val="en-US" w:eastAsia="zh-CN"/>
              </w:rPr>
              <w:t>24</w:t>
            </w:r>
          </w:p>
        </w:tc>
        <w:tc>
          <w:tcPr>
            <w:tcW w:w="46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val="en-US" w:eastAsia="zh-CN"/>
              </w:rPr>
            </w:pPr>
            <w:r>
              <w:rPr>
                <w:rFonts w:hint="eastAsia" w:asciiTheme="majorEastAsia" w:hAnsiTheme="majorEastAsia" w:eastAsiaTheme="majorEastAsia" w:cstheme="majorEastAsia"/>
                <w:spacing w:val="-1"/>
                <w:sz w:val="18"/>
                <w:szCs w:val="18"/>
                <w:lang w:val="en-US" w:eastAsia="zh-CN"/>
              </w:rPr>
              <w:t>36</w:t>
            </w:r>
          </w:p>
        </w:tc>
        <w:tc>
          <w:tcPr>
            <w:tcW w:w="485"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val="en-US" w:eastAsia="zh-CN"/>
              </w:rPr>
            </w:pPr>
            <w:r>
              <w:rPr>
                <w:rFonts w:hint="eastAsia" w:asciiTheme="majorEastAsia" w:hAnsiTheme="majorEastAsia" w:eastAsiaTheme="majorEastAsia" w:cstheme="majorEastAsia"/>
                <w:snapToGrid w:val="0"/>
                <w:color w:val="000000"/>
                <w:spacing w:val="-1"/>
                <w:kern w:val="0"/>
                <w:sz w:val="18"/>
                <w:szCs w:val="18"/>
                <w:lang w:val="en-US" w:eastAsia="zh-CN"/>
              </w:rPr>
              <w:t>/</w:t>
            </w:r>
          </w:p>
        </w:tc>
        <w:tc>
          <w:tcPr>
            <w:tcW w:w="50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val="en-US" w:eastAsia="zh-CN"/>
              </w:rPr>
            </w:pPr>
            <w:r>
              <w:rPr>
                <w:rFonts w:hint="eastAsia" w:asciiTheme="majorEastAsia" w:hAnsiTheme="majorEastAsia" w:eastAsiaTheme="majorEastAsia" w:cstheme="majorEastAsia"/>
                <w:snapToGrid w:val="0"/>
                <w:color w:val="000000"/>
                <w:spacing w:val="-1"/>
                <w:kern w:val="0"/>
                <w:sz w:val="18"/>
                <w:szCs w:val="18"/>
                <w:lang w:val="en-US" w:eastAsia="zh-CN"/>
              </w:rPr>
              <w:t>/</w:t>
            </w:r>
          </w:p>
        </w:tc>
        <w:tc>
          <w:tcPr>
            <w:tcW w:w="4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val="en-US" w:eastAsia="zh-CN"/>
              </w:rPr>
            </w:pPr>
            <w:r>
              <w:rPr>
                <w:rFonts w:hint="eastAsia" w:asciiTheme="majorEastAsia" w:hAnsiTheme="majorEastAsia" w:eastAsiaTheme="majorEastAsia" w:cstheme="majorEastAsia"/>
                <w:snapToGrid w:val="0"/>
                <w:color w:val="000000"/>
                <w:spacing w:val="-1"/>
                <w:kern w:val="0"/>
                <w:sz w:val="18"/>
                <w:szCs w:val="18"/>
                <w:lang w:val="en-US" w:eastAsia="zh-CN"/>
              </w:rPr>
              <w:t>/</w:t>
            </w:r>
          </w:p>
        </w:tc>
        <w:tc>
          <w:tcPr>
            <w:tcW w:w="45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val="en-US" w:eastAsia="zh-CN"/>
              </w:rPr>
            </w:pPr>
            <w:r>
              <w:rPr>
                <w:rFonts w:hint="eastAsia" w:asciiTheme="majorEastAsia" w:hAnsiTheme="majorEastAsia" w:eastAsiaTheme="majorEastAsia" w:cstheme="majorEastAsia"/>
                <w:snapToGrid w:val="0"/>
                <w:color w:val="000000"/>
                <w:spacing w:val="-1"/>
                <w:kern w:val="0"/>
                <w:sz w:val="18"/>
                <w:szCs w:val="18"/>
                <w:lang w:val="en-US" w:eastAsia="zh-CN"/>
              </w:rPr>
              <w:t>/</w:t>
            </w:r>
          </w:p>
        </w:tc>
        <w:tc>
          <w:tcPr>
            <w:tcW w:w="44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val="en-US" w:eastAsia="zh-CN"/>
              </w:rPr>
            </w:pPr>
            <w:r>
              <w:rPr>
                <w:rFonts w:hint="eastAsia" w:asciiTheme="majorEastAsia" w:hAnsiTheme="majorEastAsia" w:eastAsiaTheme="majorEastAsia" w:cstheme="majorEastAsia"/>
                <w:snapToGrid w:val="0"/>
                <w:color w:val="000000"/>
                <w:spacing w:val="-1"/>
                <w:kern w:val="0"/>
                <w:sz w:val="18"/>
                <w:szCs w:val="18"/>
                <w:lang w:val="en-US" w:eastAsia="zh-CN"/>
              </w:rPr>
              <w:t>/</w:t>
            </w:r>
          </w:p>
        </w:tc>
        <w:tc>
          <w:tcPr>
            <w:tcW w:w="3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val="en-US" w:eastAsia="zh-CN"/>
              </w:rPr>
            </w:pPr>
            <w:r>
              <w:rPr>
                <w:rFonts w:hint="eastAsia" w:asciiTheme="majorEastAsia" w:hAnsiTheme="majorEastAsia" w:eastAsiaTheme="majorEastAsia" w:cstheme="majorEastAsia"/>
                <w:spacing w:val="-1"/>
                <w:sz w:val="18"/>
                <w:szCs w:val="18"/>
                <w:lang w:val="en-US" w:eastAsia="zh-CN"/>
              </w:rPr>
              <w:t>/</w:t>
            </w:r>
          </w:p>
        </w:tc>
        <w:tc>
          <w:tcPr>
            <w:tcW w:w="35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before="52" w:line="240" w:lineRule="auto"/>
              <w:jc w:val="center"/>
              <w:textAlignment w:val="auto"/>
              <w:rPr>
                <w:rFonts w:hint="eastAsia" w:asciiTheme="majorEastAsia" w:hAnsiTheme="majorEastAsia" w:eastAsiaTheme="majorEastAsia" w:cstheme="majorEastAsia"/>
                <w:snapToGrid w:val="0"/>
                <w:color w:val="000000"/>
                <w:spacing w:val="-1"/>
                <w:kern w:val="0"/>
                <w:sz w:val="18"/>
                <w:szCs w:val="18"/>
                <w:lang w:val="en-US" w:eastAsia="zh-CN"/>
              </w:rPr>
            </w:pPr>
            <w:r>
              <w:rPr>
                <w:rFonts w:hint="eastAsia" w:asciiTheme="majorEastAsia" w:hAnsiTheme="majorEastAsia" w:eastAsiaTheme="majorEastAsia" w:cstheme="majorEastAsia"/>
                <w:snapToGrid w:val="0"/>
                <w:color w:val="000000"/>
                <w:spacing w:val="-1"/>
                <w:kern w:val="0"/>
                <w:sz w:val="18"/>
                <w:szCs w:val="18"/>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52" w:beforeAutospacing="0" w:after="0" w:afterAutospacing="0" w:line="240" w:lineRule="auto"/>
              <w:ind w:left="0" w:leftChars="0" w:right="0" w:rightChars="0"/>
              <w:jc w:val="center"/>
              <w:textAlignment w:val="auto"/>
              <w:rPr>
                <w:rFonts w:hint="eastAsia" w:ascii="宋体" w:hAnsi="宋体" w:eastAsia="宋体" w:cs="宋体"/>
                <w:snapToGrid w:val="0"/>
                <w:color w:val="000000"/>
                <w:spacing w:val="-1"/>
                <w:kern w:val="2"/>
                <w:sz w:val="18"/>
                <w:szCs w:val="18"/>
                <w:lang w:val="en-US" w:eastAsia="zh-CN" w:bidi="ar"/>
              </w:rPr>
            </w:pPr>
            <w:r>
              <w:rPr>
                <w:rFonts w:hint="eastAsia" w:ascii="宋体" w:hAnsi="宋体" w:eastAsia="宋体" w:cs="宋体"/>
                <w:snapToGrid w:val="0"/>
                <w:color w:val="000000"/>
                <w:spacing w:val="-1"/>
                <w:kern w:val="2"/>
                <w:sz w:val="18"/>
                <w:szCs w:val="18"/>
                <w:lang w:val="en-US" w:eastAsia="zh-CN" w:bidi="ar"/>
              </w:rPr>
              <w:t>其他人员</w:t>
            </w:r>
          </w:p>
        </w:tc>
        <w:tc>
          <w:tcPr>
            <w:tcW w:w="463"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52" w:beforeAutospacing="0" w:after="0" w:afterAutospacing="0" w:line="240" w:lineRule="auto"/>
              <w:ind w:left="0" w:leftChars="0" w:right="0" w:rightChars="0"/>
              <w:jc w:val="center"/>
              <w:textAlignment w:val="auto"/>
              <w:rPr>
                <w:rFonts w:hint="eastAsia" w:ascii="宋体" w:hAnsi="宋体" w:eastAsia="宋体" w:cs="宋体"/>
                <w:snapToGrid w:val="0"/>
                <w:color w:val="000000"/>
                <w:spacing w:val="-1"/>
                <w:kern w:val="0"/>
                <w:sz w:val="18"/>
                <w:szCs w:val="18"/>
                <w:lang w:val="en-US" w:eastAsia="zh-CN" w:bidi="ar-SA"/>
              </w:rPr>
            </w:pPr>
            <w:r>
              <w:rPr>
                <w:rFonts w:hint="eastAsia" w:ascii="宋体" w:hAnsi="宋体" w:eastAsia="宋体" w:cs="宋体"/>
                <w:snapToGrid w:val="0"/>
                <w:color w:val="000000"/>
                <w:spacing w:val="-1"/>
                <w:kern w:val="2"/>
                <w:sz w:val="18"/>
                <w:szCs w:val="18"/>
                <w:lang w:val="en-US" w:eastAsia="zh-CN" w:bidi="ar"/>
              </w:rPr>
              <w:t>12</w:t>
            </w:r>
          </w:p>
        </w:tc>
        <w:tc>
          <w:tcPr>
            <w:tcW w:w="45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52" w:beforeAutospacing="0" w:after="0" w:afterAutospacing="0" w:line="240" w:lineRule="auto"/>
              <w:ind w:left="0" w:leftChars="0" w:right="0" w:rightChars="0"/>
              <w:jc w:val="center"/>
              <w:textAlignment w:val="auto"/>
              <w:rPr>
                <w:rFonts w:hint="eastAsia" w:ascii="宋体" w:hAnsi="宋体" w:eastAsia="宋体" w:cs="宋体"/>
                <w:snapToGrid w:val="0"/>
                <w:color w:val="000000"/>
                <w:spacing w:val="-1"/>
                <w:kern w:val="0"/>
                <w:sz w:val="18"/>
                <w:szCs w:val="18"/>
                <w:lang w:val="en-US" w:eastAsia="zh-CN" w:bidi="ar-SA"/>
              </w:rPr>
            </w:pPr>
            <w:r>
              <w:rPr>
                <w:rFonts w:hint="eastAsia" w:ascii="宋体" w:hAnsi="宋体" w:eastAsia="宋体" w:cs="宋体"/>
                <w:snapToGrid w:val="0"/>
                <w:color w:val="000000"/>
                <w:spacing w:val="-1"/>
                <w:kern w:val="2"/>
                <w:sz w:val="18"/>
                <w:szCs w:val="18"/>
                <w:lang w:val="en-US" w:eastAsia="zh-CN" w:bidi="ar"/>
              </w:rPr>
              <w:t>24</w:t>
            </w:r>
          </w:p>
        </w:tc>
        <w:tc>
          <w:tcPr>
            <w:tcW w:w="46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52" w:beforeAutospacing="0" w:after="0" w:afterAutospacing="0" w:line="240" w:lineRule="auto"/>
              <w:ind w:left="0" w:leftChars="0" w:right="0" w:rightChars="0"/>
              <w:jc w:val="center"/>
              <w:textAlignment w:val="auto"/>
              <w:rPr>
                <w:rFonts w:hint="eastAsia" w:ascii="宋体" w:hAnsi="宋体" w:eastAsia="宋体" w:cs="宋体"/>
                <w:snapToGrid w:val="0"/>
                <w:color w:val="000000"/>
                <w:spacing w:val="-1"/>
                <w:kern w:val="0"/>
                <w:sz w:val="18"/>
                <w:szCs w:val="18"/>
                <w:lang w:val="en-US" w:eastAsia="zh-CN" w:bidi="ar-SA"/>
              </w:rPr>
            </w:pPr>
            <w:r>
              <w:rPr>
                <w:rFonts w:hint="eastAsia" w:ascii="宋体" w:hAnsi="宋体" w:eastAsia="宋体" w:cs="宋体"/>
                <w:snapToGrid w:val="0"/>
                <w:color w:val="000000"/>
                <w:spacing w:val="-1"/>
                <w:kern w:val="2"/>
                <w:sz w:val="18"/>
                <w:szCs w:val="18"/>
                <w:lang w:val="en-US" w:eastAsia="zh-CN" w:bidi="ar"/>
              </w:rPr>
              <w:t>36</w:t>
            </w:r>
          </w:p>
        </w:tc>
        <w:tc>
          <w:tcPr>
            <w:tcW w:w="48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52" w:beforeAutospacing="0" w:after="0" w:afterAutospacing="0" w:line="240" w:lineRule="auto"/>
              <w:ind w:left="0" w:leftChars="0" w:right="0" w:rightChars="0"/>
              <w:jc w:val="center"/>
              <w:textAlignment w:val="auto"/>
              <w:rPr>
                <w:rFonts w:hint="eastAsia" w:ascii="宋体" w:hAnsi="宋体" w:eastAsia="宋体" w:cs="宋体"/>
                <w:snapToGrid w:val="0"/>
                <w:color w:val="000000"/>
                <w:spacing w:val="-1"/>
                <w:kern w:val="0"/>
                <w:sz w:val="18"/>
                <w:szCs w:val="18"/>
                <w:lang w:val="en-US" w:eastAsia="zh-CN" w:bidi="ar-SA"/>
              </w:rPr>
            </w:pPr>
            <w:r>
              <w:rPr>
                <w:rFonts w:hint="eastAsia" w:ascii="宋体" w:hAnsi="宋体" w:eastAsia="宋体" w:cs="宋体"/>
                <w:snapToGrid w:val="0"/>
                <w:color w:val="000000"/>
                <w:spacing w:val="-1"/>
                <w:kern w:val="2"/>
                <w:sz w:val="18"/>
                <w:szCs w:val="18"/>
                <w:lang w:val="en-US" w:eastAsia="zh-CN" w:bidi="ar"/>
              </w:rPr>
              <w:t>12</w:t>
            </w:r>
          </w:p>
        </w:tc>
        <w:tc>
          <w:tcPr>
            <w:tcW w:w="50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52" w:beforeAutospacing="0" w:after="0" w:afterAutospacing="0" w:line="240" w:lineRule="auto"/>
              <w:ind w:left="0" w:leftChars="0" w:right="0" w:rightChars="0"/>
              <w:jc w:val="center"/>
              <w:textAlignment w:val="auto"/>
              <w:rPr>
                <w:rFonts w:hint="eastAsia" w:ascii="宋体" w:hAnsi="宋体" w:eastAsia="宋体" w:cs="宋体"/>
                <w:snapToGrid w:val="0"/>
                <w:color w:val="000000"/>
                <w:spacing w:val="-1"/>
                <w:kern w:val="0"/>
                <w:sz w:val="18"/>
                <w:szCs w:val="18"/>
                <w:lang w:val="en-US" w:eastAsia="zh-CN" w:bidi="ar-SA"/>
              </w:rPr>
            </w:pPr>
            <w:r>
              <w:rPr>
                <w:rFonts w:hint="eastAsia" w:ascii="宋体" w:hAnsi="宋体" w:eastAsia="宋体" w:cs="宋体"/>
                <w:snapToGrid w:val="0"/>
                <w:color w:val="000000"/>
                <w:spacing w:val="-1"/>
                <w:kern w:val="2"/>
                <w:sz w:val="18"/>
                <w:szCs w:val="18"/>
                <w:lang w:val="en-US" w:eastAsia="zh-CN" w:bidi="ar"/>
              </w:rPr>
              <w:t>24</w:t>
            </w:r>
          </w:p>
        </w:tc>
        <w:tc>
          <w:tcPr>
            <w:tcW w:w="47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52" w:beforeAutospacing="0" w:after="0" w:afterAutospacing="0" w:line="240" w:lineRule="auto"/>
              <w:ind w:left="0" w:leftChars="0" w:right="0" w:rightChars="0"/>
              <w:jc w:val="center"/>
              <w:textAlignment w:val="auto"/>
              <w:rPr>
                <w:rFonts w:hint="eastAsia" w:ascii="宋体" w:hAnsi="宋体" w:eastAsia="宋体" w:cs="宋体"/>
                <w:snapToGrid w:val="0"/>
                <w:color w:val="000000"/>
                <w:spacing w:val="-1"/>
                <w:kern w:val="0"/>
                <w:sz w:val="18"/>
                <w:szCs w:val="18"/>
                <w:lang w:val="en-US" w:eastAsia="zh-CN" w:bidi="ar-SA"/>
              </w:rPr>
            </w:pPr>
            <w:r>
              <w:rPr>
                <w:rFonts w:hint="eastAsia" w:ascii="宋体" w:hAnsi="宋体" w:eastAsia="宋体" w:cs="宋体"/>
                <w:snapToGrid w:val="0"/>
                <w:color w:val="000000"/>
                <w:spacing w:val="-1"/>
                <w:kern w:val="2"/>
                <w:sz w:val="18"/>
                <w:szCs w:val="18"/>
                <w:lang w:val="en-US" w:eastAsia="zh-CN" w:bidi="ar"/>
              </w:rPr>
              <w:t>30</w:t>
            </w:r>
          </w:p>
        </w:tc>
        <w:tc>
          <w:tcPr>
            <w:tcW w:w="45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52" w:beforeAutospacing="0" w:after="0" w:afterAutospacing="0" w:line="240" w:lineRule="auto"/>
              <w:ind w:left="0" w:leftChars="0" w:right="0" w:rightChars="0"/>
              <w:jc w:val="center"/>
              <w:textAlignment w:val="auto"/>
              <w:rPr>
                <w:rFonts w:hint="eastAsia" w:ascii="宋体" w:hAnsi="宋体" w:eastAsia="宋体" w:cs="宋体"/>
                <w:snapToGrid w:val="0"/>
                <w:color w:val="000000"/>
                <w:spacing w:val="-1"/>
                <w:kern w:val="0"/>
                <w:sz w:val="18"/>
                <w:szCs w:val="18"/>
                <w:lang w:val="en-US" w:eastAsia="zh-CN" w:bidi="ar-SA"/>
              </w:rPr>
            </w:pPr>
            <w:r>
              <w:rPr>
                <w:rFonts w:hint="eastAsia" w:ascii="宋体" w:hAnsi="宋体" w:eastAsia="宋体" w:cs="宋体"/>
                <w:snapToGrid w:val="0"/>
                <w:color w:val="000000"/>
                <w:spacing w:val="-1"/>
                <w:kern w:val="2"/>
                <w:sz w:val="18"/>
                <w:szCs w:val="18"/>
                <w:lang w:val="en-US" w:eastAsia="zh-CN" w:bidi="ar"/>
              </w:rPr>
              <w:t>30</w:t>
            </w:r>
          </w:p>
        </w:tc>
        <w:tc>
          <w:tcPr>
            <w:tcW w:w="44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52" w:beforeAutospacing="0" w:after="0" w:afterAutospacing="0" w:line="240" w:lineRule="auto"/>
              <w:ind w:left="0" w:leftChars="0" w:right="0" w:rightChars="0"/>
              <w:jc w:val="center"/>
              <w:textAlignment w:val="auto"/>
              <w:rPr>
                <w:rFonts w:hint="eastAsia" w:ascii="宋体" w:hAnsi="宋体" w:eastAsia="宋体" w:cs="宋体"/>
                <w:snapToGrid w:val="0"/>
                <w:color w:val="000000"/>
                <w:spacing w:val="-1"/>
                <w:kern w:val="0"/>
                <w:sz w:val="18"/>
                <w:szCs w:val="18"/>
                <w:lang w:val="en-US" w:eastAsia="zh-CN" w:bidi="ar-SA"/>
              </w:rPr>
            </w:pPr>
            <w:r>
              <w:rPr>
                <w:rFonts w:hint="eastAsia" w:ascii="宋体" w:hAnsi="宋体" w:eastAsia="宋体" w:cs="宋体"/>
                <w:snapToGrid w:val="0"/>
                <w:color w:val="000000"/>
                <w:spacing w:val="-1"/>
                <w:kern w:val="2"/>
                <w:sz w:val="18"/>
                <w:szCs w:val="18"/>
                <w:lang w:val="en-US" w:eastAsia="zh-CN" w:bidi="ar"/>
              </w:rPr>
              <w:t>4</w:t>
            </w:r>
          </w:p>
        </w:tc>
        <w:tc>
          <w:tcPr>
            <w:tcW w:w="367"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52" w:beforeAutospacing="0" w:after="0" w:afterAutospacing="0" w:line="240" w:lineRule="auto"/>
              <w:ind w:left="0" w:leftChars="0" w:right="0" w:rightChars="0"/>
              <w:jc w:val="center"/>
              <w:textAlignment w:val="auto"/>
              <w:rPr>
                <w:rFonts w:hint="eastAsia" w:ascii="宋体" w:hAnsi="宋体" w:eastAsia="宋体" w:cs="宋体"/>
                <w:snapToGrid w:val="0"/>
                <w:color w:val="000000"/>
                <w:spacing w:val="-1"/>
                <w:kern w:val="0"/>
                <w:sz w:val="18"/>
                <w:szCs w:val="18"/>
                <w:lang w:val="en-US" w:eastAsia="zh-CN" w:bidi="ar-SA"/>
              </w:rPr>
            </w:pPr>
            <w:r>
              <w:rPr>
                <w:rFonts w:hint="eastAsia" w:ascii="宋体" w:hAnsi="宋体" w:eastAsia="宋体" w:cs="宋体"/>
                <w:snapToGrid w:val="0"/>
                <w:color w:val="000000"/>
                <w:spacing w:val="-1"/>
                <w:kern w:val="2"/>
                <w:sz w:val="18"/>
                <w:szCs w:val="18"/>
                <w:lang w:val="en-US" w:eastAsia="zh-CN" w:bidi="ar"/>
              </w:rPr>
              <w:t>/</w:t>
            </w:r>
          </w:p>
        </w:tc>
        <w:tc>
          <w:tcPr>
            <w:tcW w:w="354"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52" w:beforeAutospacing="0" w:after="0" w:afterAutospacing="0" w:line="240" w:lineRule="auto"/>
              <w:ind w:left="0" w:leftChars="0" w:right="0" w:rightChars="0"/>
              <w:jc w:val="center"/>
              <w:textAlignment w:val="auto"/>
              <w:rPr>
                <w:rFonts w:hint="eastAsia" w:ascii="宋体" w:hAnsi="宋体" w:eastAsia="宋体" w:cs="宋体"/>
                <w:snapToGrid w:val="0"/>
                <w:color w:val="000000"/>
                <w:spacing w:val="-1"/>
                <w:kern w:val="0"/>
                <w:sz w:val="18"/>
                <w:szCs w:val="18"/>
                <w:lang w:val="en-US" w:eastAsia="zh-CN" w:bidi="ar-SA"/>
              </w:rPr>
            </w:pPr>
            <w:r>
              <w:rPr>
                <w:rFonts w:hint="eastAsia" w:ascii="宋体" w:hAnsi="宋体" w:eastAsia="宋体" w:cs="宋体"/>
                <w:snapToGrid w:val="0"/>
                <w:color w:val="000000"/>
                <w:spacing w:val="-1"/>
                <w:kern w:val="0"/>
                <w:sz w:val="18"/>
                <w:szCs w:val="18"/>
                <w:lang w:val="en-US" w:eastAsia="zh-CN" w:bidi="ar"/>
              </w:rPr>
              <w:t>/</w:t>
            </w:r>
          </w:p>
        </w:tc>
      </w:tr>
    </w:tbl>
    <w:p>
      <w:pPr>
        <w:keepNext w:val="0"/>
        <w:keepLines w:val="0"/>
        <w:pageBreakBefore w:val="0"/>
        <w:widowControl w:val="0"/>
        <w:shd w:val="clear"/>
        <w:kinsoku/>
        <w:wordWrap/>
        <w:overflowPunct/>
        <w:topLinePunct w:val="0"/>
        <w:autoSpaceDE/>
        <w:autoSpaceDN/>
        <w:bidi w:val="0"/>
        <w:adjustRightInd w:val="0"/>
        <w:snapToGrid w:val="0"/>
        <w:spacing w:line="360" w:lineRule="auto"/>
        <w:ind w:firstLine="420" w:firstLineChars="200"/>
        <w:textAlignment w:val="auto"/>
        <w:rPr>
          <w:rFonts w:hint="default" w:eastAsia="宋体"/>
          <w:sz w:val="21"/>
          <w:szCs w:val="21"/>
          <w:lang w:val="en-US" w:eastAsia="zh-CN"/>
        </w:rPr>
      </w:pPr>
      <w:r>
        <w:rPr>
          <w:rFonts w:hint="eastAsia"/>
          <w:sz w:val="21"/>
          <w:szCs w:val="21"/>
          <w:lang w:val="en-US" w:eastAsia="zh-CN"/>
        </w:rPr>
        <w:t>注：“/”表示不配备</w:t>
      </w:r>
    </w:p>
    <w:p>
      <w:pPr>
        <w:keepNext w:val="0"/>
        <w:keepLines w:val="0"/>
        <w:pageBreakBefore w:val="0"/>
        <w:widowControl w:val="0"/>
        <w:shd w:val="clear"/>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康贝油气公司为各基层队配备有正压式空气呼吸器、安全带、绝缘手套绝缘鞋（电工作业时使用）等个体防护用品，该公司按照各岗位存在的危险、有害因素配备了相应的个体防护用品及应急救援器材，空气呼吸器配备情况详见表2-10康贝油气正压式空气呼吸器及气瓶情况一览表，应急救援器材详见报告第2.11.4节事故应急救援器材、设备的配备情况。</w:t>
      </w:r>
    </w:p>
    <w:p>
      <w:pPr>
        <w:keepNext w:val="0"/>
        <w:keepLines w:val="0"/>
        <w:pageBreakBefore w:val="0"/>
        <w:widowControl w:val="0"/>
        <w:shd w:val="clear"/>
        <w:kinsoku/>
        <w:wordWrap/>
        <w:overflowPunct/>
        <w:topLinePunct w:val="0"/>
        <w:autoSpaceDE/>
        <w:autoSpaceDN/>
        <w:bidi w:val="0"/>
        <w:adjustRightInd w:val="0"/>
        <w:snapToGrid w:val="0"/>
        <w:spacing w:line="360" w:lineRule="auto"/>
        <w:ind w:firstLine="560" w:firstLineChars="200"/>
        <w:textAlignment w:val="auto"/>
        <w:rPr>
          <w:rFonts w:hint="eastAsia"/>
          <w:sz w:val="28"/>
          <w:szCs w:val="28"/>
        </w:rPr>
      </w:pPr>
      <w:r>
        <w:rPr>
          <w:rFonts w:hint="eastAsia"/>
          <w:sz w:val="28"/>
          <w:szCs w:val="28"/>
          <w:lang w:val="en-US" w:eastAsia="zh-CN"/>
        </w:rPr>
        <w:t>综上，</w:t>
      </w:r>
      <w:r>
        <w:rPr>
          <w:rFonts w:hint="eastAsia"/>
          <w:sz w:val="28"/>
          <w:szCs w:val="28"/>
        </w:rPr>
        <w:t>从业人员劳动</w:t>
      </w:r>
      <w:r>
        <w:rPr>
          <w:rFonts w:hint="eastAsia"/>
          <w:sz w:val="28"/>
          <w:szCs w:val="28"/>
          <w:lang w:eastAsia="zh-CN"/>
        </w:rPr>
        <w:t>、</w:t>
      </w:r>
      <w:r>
        <w:rPr>
          <w:rFonts w:hint="eastAsia"/>
          <w:sz w:val="28"/>
          <w:szCs w:val="28"/>
          <w:lang w:val="en-US" w:eastAsia="zh-CN"/>
        </w:rPr>
        <w:t>个体</w:t>
      </w:r>
      <w:r>
        <w:rPr>
          <w:rFonts w:hint="eastAsia"/>
          <w:sz w:val="28"/>
          <w:szCs w:val="28"/>
        </w:rPr>
        <w:t>防护用品的配备符合《个体防护装备配备规范第2部分：石油、化工、天然气》（GB39800.2-2020）</w:t>
      </w:r>
      <w:r>
        <w:rPr>
          <w:rFonts w:hint="eastAsia"/>
          <w:sz w:val="28"/>
          <w:szCs w:val="28"/>
          <w:lang w:eastAsia="zh-CN"/>
        </w:rPr>
        <w:t>、《</w:t>
      </w:r>
      <w:r>
        <w:rPr>
          <w:rFonts w:hint="eastAsia"/>
          <w:sz w:val="28"/>
          <w:szCs w:val="28"/>
        </w:rPr>
        <w:t>石油天然气作业场所劳动防护用品配备规范</w:t>
      </w:r>
      <w:r>
        <w:rPr>
          <w:rFonts w:hint="eastAsia"/>
          <w:sz w:val="28"/>
          <w:szCs w:val="28"/>
          <w:lang w:eastAsia="zh-CN"/>
        </w:rPr>
        <w:t>》（SY/T6524</w:t>
      </w:r>
      <w:r>
        <w:rPr>
          <w:rFonts w:hint="eastAsia"/>
          <w:sz w:val="28"/>
          <w:szCs w:val="28"/>
          <w:lang w:val="en-US" w:eastAsia="zh-CN"/>
        </w:rPr>
        <w:t>-</w:t>
      </w:r>
      <w:r>
        <w:rPr>
          <w:rFonts w:hint="eastAsia"/>
          <w:sz w:val="28"/>
          <w:szCs w:val="28"/>
          <w:lang w:eastAsia="zh-CN"/>
        </w:rPr>
        <w:t>2017）、《山东省劳动防护用品配备标准》（DB37/T1922-2011）</w:t>
      </w:r>
      <w:r>
        <w:rPr>
          <w:rFonts w:hint="eastAsia"/>
          <w:sz w:val="28"/>
          <w:szCs w:val="28"/>
        </w:rPr>
        <w:t>的要求，可以满足日常劳保需要。</w:t>
      </w:r>
    </w:p>
    <w:p>
      <w:pPr>
        <w:pStyle w:val="4"/>
        <w:adjustRightInd w:val="0"/>
        <w:snapToGrid w:val="0"/>
        <w:spacing w:before="0" w:after="0" w:line="360" w:lineRule="auto"/>
        <w:rPr>
          <w:rFonts w:hint="eastAsia" w:ascii="Times New Roman" w:hAnsi="Times New Roman"/>
          <w:b w:val="0"/>
          <w:bCs/>
          <w:szCs w:val="32"/>
          <w:lang w:val="en-US" w:eastAsia="zh-CN"/>
        </w:rPr>
      </w:pPr>
      <w:bookmarkStart w:id="37" w:name="_Toc16932"/>
      <w:r>
        <w:rPr>
          <w:rFonts w:hint="eastAsia" w:ascii="Times New Roman" w:hAnsi="Times New Roman"/>
          <w:b w:val="0"/>
          <w:bCs/>
          <w:szCs w:val="32"/>
          <w:lang w:val="en-US" w:eastAsia="zh-CN"/>
        </w:rPr>
        <w:t>2.10 设备设施检测、检验情况</w:t>
      </w:r>
      <w:bookmarkEnd w:id="37"/>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sz w:val="28"/>
          <w:szCs w:val="28"/>
        </w:rPr>
      </w:pPr>
      <w:r>
        <w:rPr>
          <w:rFonts w:hint="eastAsia"/>
          <w:sz w:val="28"/>
          <w:szCs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both"/>
        <w:textAlignment w:val="auto"/>
        <w:rPr>
          <w:rFonts w:hint="eastAsia"/>
          <w:sz w:val="28"/>
          <w:szCs w:val="28"/>
          <w:lang w:val="en-US" w:eastAsia="zh-CN"/>
        </w:rPr>
      </w:pPr>
      <w:r>
        <w:rPr>
          <w:rFonts w:hint="eastAsia"/>
          <w:sz w:val="28"/>
          <w:szCs w:val="28"/>
        </w:rPr>
        <w:t>综上，</w:t>
      </w:r>
      <w:r>
        <w:rPr>
          <w:rFonts w:hint="eastAsia"/>
          <w:sz w:val="28"/>
          <w:szCs w:val="28"/>
          <w:lang w:val="en-US" w:eastAsia="zh-CN"/>
        </w:rPr>
        <w:t>康贝油气公司已对井架底座、吊环吊卡等危险性大的设备设施，旋塞阀、防喷器等井控设备设施，安全阀、压力表、空呼、硫化报警仪等安全设备设施进行了定期检测检验，设备设施检测检验</w:t>
      </w:r>
      <w:r>
        <w:rPr>
          <w:rFonts w:hint="eastAsia"/>
          <w:sz w:val="28"/>
          <w:szCs w:val="28"/>
        </w:rPr>
        <w:t>情况符合《石油钻、修井用吊具安全技术检验规范》</w:t>
      </w:r>
      <w:r>
        <w:rPr>
          <w:rFonts w:hint="eastAsia"/>
          <w:sz w:val="28"/>
          <w:szCs w:val="28"/>
          <w:lang w:eastAsia="zh-CN"/>
        </w:rPr>
        <w:t>（</w:t>
      </w:r>
      <w:r>
        <w:rPr>
          <w:rFonts w:hint="eastAsia"/>
          <w:sz w:val="28"/>
          <w:szCs w:val="28"/>
        </w:rPr>
        <w:t>SY/T6605-2018</w:t>
      </w:r>
      <w:r>
        <w:rPr>
          <w:rFonts w:hint="eastAsia"/>
          <w:sz w:val="28"/>
          <w:szCs w:val="28"/>
          <w:lang w:eastAsia="zh-CN"/>
        </w:rPr>
        <w:t>）、</w:t>
      </w:r>
      <w:r>
        <w:rPr>
          <w:rFonts w:hint="eastAsia"/>
          <w:sz w:val="28"/>
          <w:szCs w:val="28"/>
        </w:rPr>
        <w:t>《石油钻机和修井机井架承载能力检测评定方法及分级规范</w:t>
      </w:r>
      <w:r>
        <w:rPr>
          <w:rFonts w:hint="eastAsia"/>
          <w:sz w:val="28"/>
          <w:szCs w:val="28"/>
          <w:lang w:eastAsia="zh-CN"/>
        </w:rPr>
        <w:t>》（</w:t>
      </w:r>
      <w:r>
        <w:rPr>
          <w:rFonts w:hint="eastAsia"/>
          <w:sz w:val="28"/>
          <w:szCs w:val="28"/>
        </w:rPr>
        <w:t>SY/T6326-201</w:t>
      </w:r>
      <w:r>
        <w:rPr>
          <w:rFonts w:hint="eastAsia"/>
          <w:sz w:val="28"/>
          <w:szCs w:val="28"/>
          <w:lang w:val="en-US" w:eastAsia="zh-CN"/>
        </w:rPr>
        <w:t>9</w:t>
      </w:r>
      <w:r>
        <w:rPr>
          <w:rFonts w:hint="eastAsia"/>
          <w:sz w:val="28"/>
          <w:szCs w:val="28"/>
          <w:lang w:eastAsia="zh-CN"/>
        </w:rPr>
        <w:t>）、</w:t>
      </w:r>
      <w:r>
        <w:rPr>
          <w:rFonts w:hint="eastAsia"/>
          <w:sz w:val="28"/>
          <w:szCs w:val="28"/>
        </w:rPr>
        <w:t>《硫化氢环境人身防护规范》</w:t>
      </w:r>
      <w:r>
        <w:rPr>
          <w:rFonts w:hint="eastAsia"/>
          <w:sz w:val="28"/>
          <w:szCs w:val="28"/>
          <w:lang w:eastAsia="zh-CN"/>
        </w:rPr>
        <w:t>（</w:t>
      </w:r>
      <w:r>
        <w:rPr>
          <w:rFonts w:hint="eastAsia"/>
          <w:sz w:val="28"/>
          <w:szCs w:val="28"/>
        </w:rPr>
        <w:t>SY/T6277-2017</w:t>
      </w:r>
      <w:r>
        <w:rPr>
          <w:rFonts w:hint="eastAsia"/>
          <w:sz w:val="28"/>
          <w:szCs w:val="28"/>
          <w:lang w:eastAsia="zh-CN"/>
        </w:rPr>
        <w:t>）</w:t>
      </w:r>
      <w:r>
        <w:rPr>
          <w:rFonts w:hint="eastAsia"/>
          <w:sz w:val="28"/>
          <w:szCs w:val="28"/>
          <w:lang w:val="en-US" w:eastAsia="zh-CN"/>
        </w:rPr>
        <w:t>的配备要求，其</w:t>
      </w:r>
      <w:r>
        <w:rPr>
          <w:rFonts w:hint="eastAsia"/>
          <w:sz w:val="28"/>
          <w:szCs w:val="28"/>
        </w:rPr>
        <w:t>检测报告</w:t>
      </w:r>
      <w:r>
        <w:rPr>
          <w:rFonts w:hint="eastAsia"/>
          <w:sz w:val="28"/>
          <w:szCs w:val="28"/>
          <w:lang w:val="en-US" w:eastAsia="zh-CN"/>
        </w:rPr>
        <w:t>详见报告附件16</w:t>
      </w:r>
      <w:r>
        <w:rPr>
          <w:rFonts w:hint="default" w:ascii="Times New Roman" w:hAnsi="Times New Roman" w:cs="Times New Roman"/>
          <w:sz w:val="28"/>
          <w:szCs w:val="28"/>
          <w:lang w:val="en-US" w:eastAsia="zh-CN"/>
        </w:rPr>
        <w:t>~</w:t>
      </w:r>
      <w:r>
        <w:rPr>
          <w:rFonts w:hint="eastAsia"/>
          <w:sz w:val="28"/>
          <w:szCs w:val="28"/>
          <w:lang w:val="en-US" w:eastAsia="zh-CN"/>
        </w:rPr>
        <w:t>18。针对修井机整机检测评估分级报告结论中设备存在的其他问题，企业进行了隐患的整改，并形成整改记录台账。</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lang w:val="en-US" w:eastAsia="zh-CN"/>
        </w:rPr>
        <w:t>根据《钻修井井场雷电防护规范》（</w:t>
      </w:r>
      <w:r>
        <w:rPr>
          <w:rFonts w:hint="eastAsia" w:ascii="Times New Roman" w:hAnsi="Times New Roman" w:eastAsia="宋体" w:cs="Times New Roman"/>
          <w:color w:val="auto"/>
          <w:kern w:val="2"/>
          <w:sz w:val="28"/>
          <w:szCs w:val="28"/>
          <w:lang w:val="en-US" w:eastAsia="zh-CN" w:bidi="ar-SA"/>
        </w:rPr>
        <w:t>SY/T7386</w:t>
      </w:r>
      <w:r>
        <w:rPr>
          <w:rFonts w:hint="eastAsia" w:cs="Times New Roman"/>
          <w:color w:val="auto"/>
          <w:kern w:val="2"/>
          <w:sz w:val="28"/>
          <w:szCs w:val="28"/>
          <w:lang w:val="en-US" w:eastAsia="zh-CN" w:bidi="ar-SA"/>
        </w:rPr>
        <w:t>-</w:t>
      </w:r>
      <w:r>
        <w:rPr>
          <w:rFonts w:hint="eastAsia" w:ascii="Times New Roman" w:hAnsi="Times New Roman" w:eastAsia="宋体" w:cs="Times New Roman"/>
          <w:color w:val="auto"/>
          <w:kern w:val="2"/>
          <w:sz w:val="28"/>
          <w:szCs w:val="28"/>
          <w:lang w:val="en-US" w:eastAsia="zh-CN" w:bidi="ar-SA"/>
        </w:rPr>
        <w:t>2017</w:t>
      </w:r>
      <w:r>
        <w:rPr>
          <w:rFonts w:hint="eastAsia"/>
          <w:lang w:val="en-US" w:eastAsia="zh-CN"/>
        </w:rPr>
        <w:t>），胜利油田康贝油气工程有限公司对井架进行了防雷检测，检测结论均为：合格。防雷检测台账及检测报告见报告附件26。</w:t>
      </w:r>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b w:val="0"/>
          <w:bCs/>
          <w:szCs w:val="32"/>
        </w:rPr>
      </w:pPr>
      <w:bookmarkStart w:id="38" w:name="_Toc24432"/>
      <w:r>
        <w:rPr>
          <w:rFonts w:hint="eastAsia" w:ascii="Times New Roman" w:hAnsi="Times New Roman"/>
          <w:b w:val="0"/>
          <w:bCs/>
          <w:szCs w:val="32"/>
        </w:rPr>
        <w:t>2.</w:t>
      </w:r>
      <w:r>
        <w:rPr>
          <w:rFonts w:ascii="Times New Roman" w:hAnsi="Times New Roman"/>
          <w:b w:val="0"/>
          <w:bCs/>
          <w:szCs w:val="32"/>
        </w:rPr>
        <w:t>1</w:t>
      </w:r>
      <w:r>
        <w:rPr>
          <w:rFonts w:hint="eastAsia" w:ascii="Times New Roman" w:hAnsi="Times New Roman"/>
          <w:b w:val="0"/>
          <w:bCs/>
          <w:szCs w:val="32"/>
          <w:lang w:val="en-US" w:eastAsia="zh-CN"/>
        </w:rPr>
        <w:t>1</w:t>
      </w:r>
      <w:r>
        <w:rPr>
          <w:rFonts w:ascii="Times New Roman" w:hAnsi="Times New Roman"/>
          <w:b w:val="0"/>
          <w:bCs/>
          <w:szCs w:val="32"/>
        </w:rPr>
        <w:t xml:space="preserve"> </w:t>
      </w:r>
      <w:r>
        <w:rPr>
          <w:rFonts w:hint="eastAsia" w:ascii="Times New Roman" w:hAnsi="Times New Roman"/>
          <w:b w:val="0"/>
          <w:bCs/>
          <w:szCs w:val="32"/>
        </w:rPr>
        <w:t>事故应急救援预案及演练</w:t>
      </w:r>
      <w:bookmarkEnd w:id="38"/>
    </w:p>
    <w:p>
      <w:pPr>
        <w:pStyle w:val="5"/>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2.1</w:t>
      </w:r>
      <w:r>
        <w:rPr>
          <w:rFonts w:hint="eastAsia" w:eastAsia="黑体"/>
          <w:b w:val="0"/>
          <w:snapToGrid w:val="0"/>
          <w:kern w:val="0"/>
          <w:sz w:val="28"/>
          <w:szCs w:val="28"/>
          <w:lang w:val="en-US" w:eastAsia="zh-CN"/>
        </w:rPr>
        <w:t>1</w:t>
      </w:r>
      <w:r>
        <w:rPr>
          <w:rFonts w:eastAsia="黑体"/>
          <w:b w:val="0"/>
          <w:snapToGrid w:val="0"/>
          <w:kern w:val="0"/>
          <w:sz w:val="28"/>
          <w:szCs w:val="28"/>
        </w:rPr>
        <w:t xml:space="preserve">.1 </w:t>
      </w:r>
      <w:r>
        <w:rPr>
          <w:rFonts w:hint="eastAsia" w:eastAsia="黑体"/>
          <w:b w:val="0"/>
          <w:snapToGrid w:val="0"/>
          <w:kern w:val="0"/>
          <w:sz w:val="28"/>
          <w:szCs w:val="28"/>
        </w:rPr>
        <w:t>事故应急救援预案的编制情况</w:t>
      </w:r>
    </w:p>
    <w:p>
      <w:pPr>
        <w:adjustRightInd w:val="0"/>
        <w:snapToGrid w:val="0"/>
        <w:spacing w:line="360" w:lineRule="auto"/>
        <w:ind w:firstLine="560" w:firstLineChars="200"/>
        <w:rPr>
          <w:rFonts w:hint="eastAsia" w:eastAsia="宋体"/>
          <w:sz w:val="28"/>
          <w:lang w:eastAsia="zh-CN"/>
        </w:rPr>
      </w:pPr>
      <w:r>
        <w:rPr>
          <w:rFonts w:hint="eastAsia"/>
          <w:sz w:val="28"/>
          <w:szCs w:val="28"/>
        </w:rPr>
        <w:t>为最大程度的预防和控制各类重大安全和环境事故的发生，最大限度的减少各类事故所造成的危害、损失以及社会影响和环境影响，</w:t>
      </w:r>
      <w:r>
        <w:rPr>
          <w:rFonts w:hint="eastAsia"/>
          <w:sz w:val="28"/>
          <w:szCs w:val="28"/>
          <w:lang w:eastAsia="zh-CN"/>
        </w:rPr>
        <w:t>胜利油田康贝油气工程有限公司</w:t>
      </w:r>
      <w:r>
        <w:rPr>
          <w:rFonts w:hint="eastAsia"/>
          <w:sz w:val="28"/>
          <w:szCs w:val="28"/>
        </w:rPr>
        <w:t>编制了《</w:t>
      </w:r>
      <w:r>
        <w:rPr>
          <w:rFonts w:hint="eastAsia"/>
          <w:sz w:val="28"/>
          <w:szCs w:val="28"/>
          <w:lang w:eastAsia="zh-CN"/>
        </w:rPr>
        <w:t>胜利油田康贝油气工程有限公司</w:t>
      </w:r>
      <w:r>
        <w:rPr>
          <w:rFonts w:hint="eastAsia"/>
          <w:sz w:val="28"/>
          <w:szCs w:val="28"/>
        </w:rPr>
        <w:t>生产安全事故应急预案》，</w:t>
      </w:r>
      <w:r>
        <w:rPr>
          <w:rFonts w:hint="eastAsia"/>
          <w:color w:val="auto"/>
          <w:sz w:val="28"/>
          <w:szCs w:val="28"/>
        </w:rPr>
        <w:t>公司应急预案已于</w:t>
      </w:r>
      <w:r>
        <w:rPr>
          <w:color w:val="auto"/>
          <w:sz w:val="28"/>
          <w:szCs w:val="28"/>
        </w:rPr>
        <w:t>20</w:t>
      </w:r>
      <w:r>
        <w:rPr>
          <w:rFonts w:hint="eastAsia"/>
          <w:color w:val="auto"/>
          <w:sz w:val="28"/>
          <w:szCs w:val="28"/>
          <w:lang w:val="en-US" w:eastAsia="zh-CN"/>
        </w:rPr>
        <w:t>22</w:t>
      </w:r>
      <w:r>
        <w:rPr>
          <w:rFonts w:hint="eastAsia"/>
          <w:color w:val="auto"/>
          <w:sz w:val="28"/>
          <w:szCs w:val="28"/>
        </w:rPr>
        <w:t>年</w:t>
      </w:r>
      <w:r>
        <w:rPr>
          <w:rFonts w:hint="eastAsia"/>
          <w:color w:val="auto"/>
          <w:sz w:val="28"/>
          <w:szCs w:val="28"/>
          <w:lang w:val="en-US" w:eastAsia="zh-CN"/>
        </w:rPr>
        <w:t>4</w:t>
      </w:r>
      <w:r>
        <w:rPr>
          <w:rFonts w:hint="eastAsia"/>
          <w:color w:val="auto"/>
          <w:sz w:val="28"/>
          <w:szCs w:val="28"/>
        </w:rPr>
        <w:t>月</w:t>
      </w:r>
      <w:r>
        <w:rPr>
          <w:rFonts w:hint="eastAsia"/>
          <w:color w:val="auto"/>
          <w:sz w:val="28"/>
          <w:szCs w:val="28"/>
          <w:lang w:val="en-US" w:eastAsia="zh-CN"/>
        </w:rPr>
        <w:t>30</w:t>
      </w:r>
      <w:r>
        <w:rPr>
          <w:rFonts w:hint="eastAsia"/>
          <w:color w:val="auto"/>
          <w:sz w:val="28"/>
          <w:szCs w:val="28"/>
        </w:rPr>
        <w:t>日在</w:t>
      </w:r>
      <w:r>
        <w:rPr>
          <w:rFonts w:hint="eastAsia"/>
          <w:color w:val="auto"/>
          <w:sz w:val="28"/>
          <w:szCs w:val="28"/>
          <w:lang w:val="en-US" w:eastAsia="zh-CN"/>
        </w:rPr>
        <w:t>东营</w:t>
      </w:r>
      <w:r>
        <w:rPr>
          <w:rFonts w:hint="eastAsia"/>
          <w:color w:val="auto"/>
          <w:sz w:val="28"/>
          <w:szCs w:val="28"/>
        </w:rPr>
        <w:t>区应急管理局备案（备案编号：37050</w:t>
      </w:r>
      <w:r>
        <w:rPr>
          <w:rFonts w:hint="eastAsia"/>
          <w:color w:val="auto"/>
          <w:sz w:val="28"/>
          <w:szCs w:val="28"/>
          <w:lang w:val="en-US" w:eastAsia="zh-CN"/>
        </w:rPr>
        <w:t>1</w:t>
      </w:r>
      <w:r>
        <w:rPr>
          <w:rFonts w:hint="eastAsia"/>
          <w:color w:val="auto"/>
          <w:sz w:val="28"/>
          <w:szCs w:val="28"/>
        </w:rPr>
        <w:t>-20</w:t>
      </w:r>
      <w:r>
        <w:rPr>
          <w:rFonts w:hint="eastAsia"/>
          <w:color w:val="auto"/>
          <w:sz w:val="28"/>
          <w:szCs w:val="28"/>
          <w:lang w:val="en-US" w:eastAsia="zh-CN"/>
        </w:rPr>
        <w:t>22</w:t>
      </w:r>
      <w:r>
        <w:rPr>
          <w:rFonts w:hint="eastAsia"/>
          <w:color w:val="auto"/>
          <w:sz w:val="28"/>
          <w:szCs w:val="28"/>
        </w:rPr>
        <w:t>-</w:t>
      </w:r>
      <w:r>
        <w:rPr>
          <w:rFonts w:hint="eastAsia"/>
          <w:color w:val="auto"/>
          <w:sz w:val="28"/>
          <w:szCs w:val="28"/>
          <w:lang w:val="en-US" w:eastAsia="zh-CN"/>
        </w:rPr>
        <w:t>1061</w:t>
      </w:r>
      <w:r>
        <w:rPr>
          <w:rFonts w:hint="eastAsia"/>
          <w:color w:val="auto"/>
          <w:sz w:val="28"/>
          <w:szCs w:val="28"/>
        </w:rPr>
        <w:t>），</w:t>
      </w:r>
      <w:r>
        <w:rPr>
          <w:rFonts w:hint="eastAsia"/>
          <w:sz w:val="28"/>
        </w:rPr>
        <w:t>详见附件</w:t>
      </w:r>
      <w:r>
        <w:rPr>
          <w:sz w:val="28"/>
        </w:rPr>
        <w:t>1</w:t>
      </w:r>
      <w:r>
        <w:rPr>
          <w:rFonts w:hint="eastAsia"/>
          <w:sz w:val="28"/>
          <w:lang w:val="en-US" w:eastAsia="zh-CN"/>
        </w:rPr>
        <w:t>2</w:t>
      </w:r>
      <w:r>
        <w:rPr>
          <w:rFonts w:hint="eastAsia"/>
          <w:sz w:val="28"/>
        </w:rPr>
        <w:t>。该应急预案包括综合应急预案、专项应急预案、现场处置方案，</w:t>
      </w:r>
      <w:r>
        <w:rPr>
          <w:rFonts w:hint="eastAsia"/>
          <w:sz w:val="28"/>
          <w:lang w:val="en-US" w:eastAsia="zh-CN"/>
        </w:rPr>
        <w:t>专项</w:t>
      </w:r>
      <w:r>
        <w:rPr>
          <w:rFonts w:hint="eastAsia"/>
          <w:sz w:val="28"/>
        </w:rPr>
        <w:t>应急预案</w:t>
      </w:r>
      <w:r>
        <w:rPr>
          <w:rFonts w:hint="eastAsia"/>
          <w:sz w:val="28"/>
          <w:lang w:val="en-US" w:eastAsia="zh-CN"/>
        </w:rPr>
        <w:t>包括：井喷失控事故专项应急预案、自然灾害事故专项应急预案；现场处置方案</w:t>
      </w:r>
      <w:r>
        <w:rPr>
          <w:rFonts w:hint="eastAsia"/>
          <w:sz w:val="28"/>
        </w:rPr>
        <w:t>包括：井涌\硫化氢泄露现场处置方案</w:t>
      </w:r>
      <w:r>
        <w:rPr>
          <w:rFonts w:hint="eastAsia"/>
          <w:sz w:val="28"/>
          <w:lang w:eastAsia="zh-CN"/>
        </w:rPr>
        <w:t>、</w:t>
      </w:r>
      <w:r>
        <w:rPr>
          <w:rFonts w:hint="eastAsia"/>
          <w:sz w:val="28"/>
        </w:rPr>
        <w:t>井口高压管线刺漏现场处置方案</w:t>
      </w:r>
      <w:r>
        <w:rPr>
          <w:rFonts w:hint="eastAsia"/>
          <w:sz w:val="28"/>
          <w:lang w:eastAsia="zh-CN"/>
        </w:rPr>
        <w:t>、</w:t>
      </w:r>
      <w:r>
        <w:rPr>
          <w:rFonts w:hint="eastAsia"/>
          <w:sz w:val="28"/>
        </w:rPr>
        <w:t>人身伤害现场处置方案</w:t>
      </w:r>
      <w:r>
        <w:rPr>
          <w:rFonts w:hint="eastAsia"/>
          <w:sz w:val="28"/>
          <w:lang w:eastAsia="zh-CN"/>
        </w:rPr>
        <w:t>、</w:t>
      </w:r>
      <w:r>
        <w:rPr>
          <w:rFonts w:hint="eastAsia"/>
          <w:sz w:val="28"/>
        </w:rPr>
        <w:t>触电事故现场处置方案</w:t>
      </w:r>
      <w:r>
        <w:rPr>
          <w:rFonts w:hint="eastAsia"/>
          <w:sz w:val="28"/>
          <w:lang w:eastAsia="zh-CN"/>
        </w:rPr>
        <w:t>、</w:t>
      </w:r>
      <w:r>
        <w:rPr>
          <w:rFonts w:hint="eastAsia"/>
          <w:sz w:val="28"/>
        </w:rPr>
        <w:t>火灾事故现场处置方案</w:t>
      </w:r>
      <w:r>
        <w:rPr>
          <w:rFonts w:hint="eastAsia"/>
          <w:sz w:val="28"/>
          <w:lang w:eastAsia="zh-CN"/>
        </w:rPr>
        <w:t>、</w:t>
      </w:r>
      <w:r>
        <w:rPr>
          <w:rFonts w:hint="eastAsia"/>
          <w:sz w:val="28"/>
        </w:rPr>
        <w:t>中毒和窒息事故现场处置方案</w:t>
      </w:r>
      <w:r>
        <w:rPr>
          <w:rFonts w:hint="eastAsia"/>
          <w:sz w:val="28"/>
          <w:lang w:eastAsia="zh-CN"/>
        </w:rPr>
        <w:t>。</w:t>
      </w:r>
    </w:p>
    <w:p>
      <w:pPr>
        <w:pStyle w:val="5"/>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2.1</w:t>
      </w:r>
      <w:r>
        <w:rPr>
          <w:rFonts w:hint="eastAsia" w:eastAsia="黑体"/>
          <w:b w:val="0"/>
          <w:snapToGrid w:val="0"/>
          <w:kern w:val="0"/>
          <w:sz w:val="28"/>
          <w:szCs w:val="28"/>
          <w:lang w:val="en-US" w:eastAsia="zh-CN"/>
        </w:rPr>
        <w:t>1</w:t>
      </w:r>
      <w:r>
        <w:rPr>
          <w:rFonts w:eastAsia="黑体"/>
          <w:b w:val="0"/>
          <w:snapToGrid w:val="0"/>
          <w:kern w:val="0"/>
          <w:sz w:val="28"/>
          <w:szCs w:val="28"/>
        </w:rPr>
        <w:t xml:space="preserve">.2 </w:t>
      </w:r>
      <w:r>
        <w:rPr>
          <w:rFonts w:hint="eastAsia" w:eastAsia="黑体"/>
          <w:b w:val="0"/>
          <w:snapToGrid w:val="0"/>
          <w:kern w:val="0"/>
          <w:sz w:val="28"/>
          <w:szCs w:val="28"/>
        </w:rPr>
        <w:t>事故应急救援组织的建立和人员的配备情况</w:t>
      </w:r>
    </w:p>
    <w:p>
      <w:pPr>
        <w:adjustRightInd w:val="0"/>
        <w:snapToGrid w:val="0"/>
        <w:spacing w:line="360" w:lineRule="auto"/>
        <w:ind w:firstLine="560" w:firstLineChars="200"/>
        <w:rPr>
          <w:sz w:val="28"/>
          <w:szCs w:val="28"/>
        </w:rPr>
      </w:pPr>
      <w:r>
        <w:rPr>
          <w:rFonts w:hint="eastAsia"/>
          <w:sz w:val="28"/>
          <w:szCs w:val="28"/>
          <w:lang w:eastAsia="zh-CN"/>
        </w:rPr>
        <w:t>胜利油田康贝油气工程有限公司</w:t>
      </w:r>
      <w:r>
        <w:rPr>
          <w:rFonts w:hint="eastAsia"/>
          <w:sz w:val="28"/>
          <w:szCs w:val="28"/>
        </w:rPr>
        <w:t>成立了由总经理</w:t>
      </w:r>
      <w:r>
        <w:rPr>
          <w:rFonts w:hint="eastAsia"/>
          <w:sz w:val="28"/>
          <w:szCs w:val="28"/>
          <w:lang w:eastAsia="zh-CN"/>
        </w:rPr>
        <w:t>范涛</w:t>
      </w:r>
      <w:r>
        <w:rPr>
          <w:rFonts w:hint="eastAsia"/>
          <w:sz w:val="28"/>
          <w:szCs w:val="28"/>
        </w:rPr>
        <w:t>任总指挥</w:t>
      </w:r>
      <w:r>
        <w:rPr>
          <w:rFonts w:hint="eastAsia"/>
          <w:sz w:val="28"/>
          <w:szCs w:val="28"/>
          <w:lang w:eastAsia="zh-CN"/>
        </w:rPr>
        <w:t>、</w:t>
      </w:r>
      <w:r>
        <w:rPr>
          <w:rFonts w:hint="eastAsia"/>
          <w:sz w:val="28"/>
          <w:szCs w:val="28"/>
          <w:lang w:val="en-US" w:eastAsia="zh-CN"/>
        </w:rPr>
        <w:t>安全总监为副总指挥</w:t>
      </w:r>
      <w:r>
        <w:rPr>
          <w:rFonts w:hint="eastAsia"/>
          <w:sz w:val="28"/>
          <w:szCs w:val="28"/>
        </w:rPr>
        <w:t>的应急领导机构</w:t>
      </w:r>
      <w:r>
        <w:rPr>
          <w:rFonts w:hint="eastAsia"/>
          <w:sz w:val="28"/>
          <w:szCs w:val="28"/>
          <w:lang w:val="en-US" w:eastAsia="zh-CN"/>
        </w:rPr>
        <w:t>，应急救援指挥部下设应急管理办公室，安全总监担任办公室主任，副主任7人，设抢险组、信息联络组、后勤保障组、监测警戒组、技术组等应急救援小组，</w:t>
      </w:r>
      <w:r>
        <w:rPr>
          <w:rFonts w:hint="eastAsia"/>
          <w:sz w:val="28"/>
          <w:szCs w:val="28"/>
        </w:rPr>
        <w:t>确保发生重大事故时，以应急领导机构为核心，负责公司应急求援工作的组织和指挥。事故应急救援预案规定了演练计划，能满足该生产设施应急救援要求。</w:t>
      </w:r>
    </w:p>
    <w:p>
      <w:pPr>
        <w:pStyle w:val="5"/>
        <w:adjustRightInd w:val="0"/>
        <w:snapToGrid w:val="0"/>
        <w:spacing w:before="0" w:after="0" w:line="360" w:lineRule="auto"/>
        <w:rPr>
          <w:rFonts w:eastAsia="黑体"/>
          <w:b w:val="0"/>
          <w:snapToGrid w:val="0"/>
          <w:kern w:val="0"/>
          <w:sz w:val="28"/>
          <w:szCs w:val="28"/>
        </w:rPr>
      </w:pPr>
      <w:r>
        <w:rPr>
          <w:rFonts w:eastAsia="黑体"/>
          <w:b w:val="0"/>
          <w:snapToGrid w:val="0"/>
          <w:kern w:val="0"/>
          <w:sz w:val="28"/>
          <w:szCs w:val="28"/>
        </w:rPr>
        <w:t>2.1</w:t>
      </w:r>
      <w:r>
        <w:rPr>
          <w:rFonts w:hint="eastAsia" w:eastAsia="黑体"/>
          <w:b w:val="0"/>
          <w:snapToGrid w:val="0"/>
          <w:kern w:val="0"/>
          <w:sz w:val="28"/>
          <w:szCs w:val="28"/>
          <w:lang w:val="en-US" w:eastAsia="zh-CN"/>
        </w:rPr>
        <w:t>1</w:t>
      </w:r>
      <w:r>
        <w:rPr>
          <w:rFonts w:eastAsia="黑体"/>
          <w:b w:val="0"/>
          <w:snapToGrid w:val="0"/>
          <w:kern w:val="0"/>
          <w:sz w:val="28"/>
          <w:szCs w:val="28"/>
        </w:rPr>
        <w:t xml:space="preserve">.3 </w:t>
      </w:r>
      <w:r>
        <w:rPr>
          <w:rFonts w:hint="eastAsia" w:eastAsia="黑体"/>
          <w:b w:val="0"/>
          <w:snapToGrid w:val="0"/>
          <w:kern w:val="0"/>
          <w:sz w:val="28"/>
          <w:szCs w:val="28"/>
        </w:rPr>
        <w:t>事故应急救援预案的演练情况</w:t>
      </w:r>
    </w:p>
    <w:p>
      <w:pPr>
        <w:adjustRightInd w:val="0"/>
        <w:snapToGrid w:val="0"/>
        <w:spacing w:line="360" w:lineRule="auto"/>
        <w:ind w:firstLine="560" w:firstLineChars="200"/>
        <w:rPr>
          <w:rFonts w:hint="default" w:eastAsia="宋体"/>
          <w:sz w:val="28"/>
          <w:szCs w:val="28"/>
          <w:lang w:val="en-US" w:eastAsia="zh-CN"/>
        </w:rPr>
      </w:pPr>
      <w:r>
        <w:rPr>
          <w:rFonts w:hint="eastAsia"/>
          <w:sz w:val="28"/>
          <w:szCs w:val="28"/>
          <w:lang w:eastAsia="zh-CN"/>
        </w:rPr>
        <w:t>胜利油田康贝油气工程有限公司</w:t>
      </w:r>
      <w:r>
        <w:rPr>
          <w:rFonts w:hint="eastAsia"/>
          <w:sz w:val="28"/>
          <w:szCs w:val="28"/>
        </w:rPr>
        <w:t>根据公司制定的事故应急预案演练要求和计划进行了事故应急演练，并对演练过程进行了记录演练完成后进行了演练效果评价。</w:t>
      </w:r>
      <w:r>
        <w:rPr>
          <w:rFonts w:hint="eastAsia"/>
          <w:sz w:val="28"/>
          <w:szCs w:val="28"/>
          <w:lang w:val="en-US" w:eastAsia="zh-CN"/>
        </w:rPr>
        <w:t>2021年应急演练情况统计表（现场处置方案选取胜采项目部为例）如下表：</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4"/>
          <w:szCs w:val="28"/>
        </w:rPr>
      </w:pPr>
      <w:r>
        <w:rPr>
          <w:rFonts w:hint="eastAsia"/>
          <w:b/>
          <w:bCs/>
          <w:sz w:val="21"/>
          <w:szCs w:val="21"/>
        </w:rPr>
        <w:t>表</w:t>
      </w:r>
      <w:r>
        <w:rPr>
          <w:b/>
          <w:bCs/>
          <w:sz w:val="21"/>
          <w:szCs w:val="21"/>
        </w:rPr>
        <w:t>2</w:t>
      </w:r>
      <w:r>
        <w:rPr>
          <w:rFonts w:hint="eastAsia"/>
          <w:b/>
          <w:bCs/>
          <w:sz w:val="21"/>
          <w:szCs w:val="21"/>
        </w:rPr>
        <w:t>-</w:t>
      </w:r>
      <w:r>
        <w:rPr>
          <w:rFonts w:hint="eastAsia"/>
          <w:b/>
          <w:bCs/>
          <w:sz w:val="21"/>
          <w:szCs w:val="21"/>
          <w:lang w:val="en-US" w:eastAsia="zh-CN"/>
        </w:rPr>
        <w:t>12  2021年</w:t>
      </w:r>
      <w:r>
        <w:rPr>
          <w:rFonts w:hint="eastAsia"/>
          <w:b/>
          <w:bCs/>
          <w:sz w:val="21"/>
          <w:szCs w:val="21"/>
        </w:rPr>
        <w:t>应急演练情况一览表</w:t>
      </w:r>
    </w:p>
    <w:tbl>
      <w:tblPr>
        <w:tblStyle w:val="52"/>
        <w:tblW w:w="833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455"/>
        <w:gridCol w:w="2224"/>
        <w:gridCol w:w="1928"/>
        <w:gridCol w:w="20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序号</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演练时间</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演练地点</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演练人员</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预案名称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336"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专项应急预案演练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1</w:t>
            </w:r>
          </w:p>
        </w:tc>
        <w:tc>
          <w:tcPr>
            <w:tcW w:w="145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2021.6.24</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ST3-3X177井</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胜采项目部侧钻1队</w:t>
            </w:r>
          </w:p>
        </w:tc>
        <w:tc>
          <w:tcPr>
            <w:tcW w:w="2028"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自然灾害事故专项应急预案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p>
        </w:tc>
        <w:tc>
          <w:tcPr>
            <w:tcW w:w="145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CQC4-8-X313</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小修9队</w:t>
            </w:r>
          </w:p>
        </w:tc>
        <w:tc>
          <w:tcPr>
            <w:tcW w:w="2028"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p>
        </w:tc>
        <w:tc>
          <w:tcPr>
            <w:tcW w:w="145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公司会议室</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应急救援组</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自然灾害事故专项应急预案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2021.12.24</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ST3-6XN176井</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胜采项目部作业12队、14队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井喷失控事故专项处置演练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8336" w:type="dxa"/>
            <w:gridSpan w:val="5"/>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现场处置方案演练记录（胜采项目部）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3</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2021.1.14</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WZT826-P57井</w:t>
            </w:r>
            <w:r>
              <w:rPr>
                <w:rFonts w:hint="eastAsia" w:ascii="Times New Roman" w:hAnsi="Times New Roman" w:eastAsia="宋体" w:cs="Times New Roman"/>
                <w:sz w:val="18"/>
                <w:szCs w:val="21"/>
                <w:lang w:val="en-US" w:eastAsia="zh-CN"/>
              </w:rPr>
              <w:tab/>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胜采项目部作业12队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井涌/硫化氢泄露现场处置演练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4</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2021.2.19</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ST3-3X707井</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胜采项目部作业16队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井口、高压管线刺漏现场处置演练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5</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2021.3.16</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ST3-9X282井</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胜采项目部作业14队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人身伤害现场处置演练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6</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2021.4.13</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XTKD32-12X11井</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胜采项目部作业15队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触电事故现场处置演练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7</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2021.5.20</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ST3-2-40井</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胜采项目部作业13队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火灾事故现场处置演练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8</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2021.6.9</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ST3-4-13井</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胜采项目部大修1队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中毒和窒息事故现场处置演练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9</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2021.7.20</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ST3-6-139井</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胜采项目部作业14队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井涌/硫化氢泄露现场处置演练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10</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2021.8.17</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STT128X307</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胜采项目部作业15队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井口、高压管线刺漏现场处置演练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11</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2021.9.21</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STT128X58</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胜采项目部作业16队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人身伤害现场处置演练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12</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2021.10.22</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STT128X72井</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胜采项目部作业12队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触电事故现场处置演练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13</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2021.11.15</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ST3-2-409井</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胜采项目部大修1队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火灾事故现场处置演练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14</w:t>
            </w:r>
          </w:p>
        </w:tc>
        <w:tc>
          <w:tcPr>
            <w:tcW w:w="145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2021.12.8</w:t>
            </w:r>
          </w:p>
        </w:tc>
        <w:tc>
          <w:tcPr>
            <w:tcW w:w="222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STT142-15井</w:t>
            </w:r>
          </w:p>
        </w:tc>
        <w:tc>
          <w:tcPr>
            <w:tcW w:w="19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胜采项目部作业13队</w:t>
            </w:r>
          </w:p>
        </w:tc>
        <w:tc>
          <w:tcPr>
            <w:tcW w:w="2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z w:val="18"/>
                <w:szCs w:val="21"/>
                <w:lang w:val="en-US" w:eastAsia="zh-CN"/>
              </w:rPr>
            </w:pPr>
            <w:r>
              <w:rPr>
                <w:rFonts w:hint="eastAsia" w:ascii="Times New Roman" w:hAnsi="Times New Roman" w:eastAsia="宋体" w:cs="Times New Roman"/>
                <w:sz w:val="18"/>
                <w:szCs w:val="21"/>
                <w:lang w:val="en-US" w:eastAsia="zh-CN"/>
              </w:rPr>
              <w:t>中毒和窒息事故现场处置演练</w:t>
            </w:r>
          </w:p>
        </w:tc>
      </w:tr>
    </w:tbl>
    <w:p>
      <w:pPr>
        <w:pStyle w:val="2"/>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highlight w:val="none"/>
          <w:lang w:val="en-US" w:eastAsia="zh-CN"/>
        </w:rPr>
      </w:pPr>
      <w:r>
        <w:rPr>
          <w:rFonts w:hint="eastAsia"/>
          <w:highlight w:val="none"/>
          <w:lang w:val="en-US" w:eastAsia="zh-CN"/>
        </w:rPr>
        <w:t>2022年企业制定有应急演练计划，计划如下表：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cs="Times New Roman"/>
          <w:color w:val="auto"/>
          <w:szCs w:val="21"/>
          <w:lang w:val="en-US" w:eastAsia="zh-CN"/>
        </w:rPr>
        <w:t>涉及企业机密，不予公开。</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1"/>
        <w:textAlignment w:val="auto"/>
        <w:rPr>
          <w:rFonts w:hint="default"/>
          <w:shd w:val="clear" w:fill="ED7D31" w:themeFill="accent2"/>
          <w:lang w:val="en-US" w:eastAsia="zh-CN"/>
        </w:rPr>
      </w:pPr>
      <w:r>
        <w:rPr>
          <w:rFonts w:hint="eastAsia"/>
          <w:lang w:val="en-US" w:eastAsia="zh-CN"/>
        </w:rPr>
        <w:t>根据</w:t>
      </w:r>
      <w:r>
        <w:rPr>
          <w:rFonts w:hint="default"/>
          <w:lang w:val="en-US" w:eastAsia="zh-CN"/>
        </w:rPr>
        <w:t>《山东省生产安全事故应急办法》（省政府341号令）第十三条：高危和人员密集单位应当每半年至少组织1次综合或者专项应急预案演练，每2年对所有专项应急预案至少组织1次演练，每半年对所有现场处置方案至少组织1次演练。公司</w:t>
      </w:r>
      <w:r>
        <w:rPr>
          <w:rFonts w:hint="eastAsia"/>
          <w:lang w:val="en-US" w:eastAsia="zh-CN"/>
        </w:rPr>
        <w:t>2021年、2022年1-2月现场处置方案应急演练频次不足，评价过程中我公司提出意见建议后，胜利油田康贝油气工程有限公司立即组织各部门对应急演练组织频次进行调整，并按调整后计划进行演练。</w:t>
      </w:r>
    </w:p>
    <w:p>
      <w:pPr>
        <w:pStyle w:val="5"/>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eastAsia="黑体"/>
          <w:b w:val="0"/>
          <w:snapToGrid w:val="0"/>
          <w:kern w:val="0"/>
          <w:sz w:val="28"/>
          <w:szCs w:val="28"/>
        </w:rPr>
      </w:pPr>
      <w:r>
        <w:rPr>
          <w:rFonts w:eastAsia="黑体"/>
          <w:b w:val="0"/>
          <w:snapToGrid w:val="0"/>
          <w:kern w:val="0"/>
          <w:sz w:val="28"/>
          <w:szCs w:val="28"/>
        </w:rPr>
        <w:t>2.1</w:t>
      </w:r>
      <w:r>
        <w:rPr>
          <w:rFonts w:hint="eastAsia" w:eastAsia="黑体"/>
          <w:b w:val="0"/>
          <w:snapToGrid w:val="0"/>
          <w:kern w:val="0"/>
          <w:sz w:val="28"/>
          <w:szCs w:val="28"/>
          <w:lang w:val="en-US" w:eastAsia="zh-CN"/>
        </w:rPr>
        <w:t>1</w:t>
      </w:r>
      <w:r>
        <w:rPr>
          <w:rFonts w:eastAsia="黑体"/>
          <w:b w:val="0"/>
          <w:snapToGrid w:val="0"/>
          <w:kern w:val="0"/>
          <w:sz w:val="28"/>
          <w:szCs w:val="28"/>
        </w:rPr>
        <w:t xml:space="preserve">.4 </w:t>
      </w:r>
      <w:r>
        <w:rPr>
          <w:rFonts w:hint="eastAsia" w:eastAsia="黑体"/>
          <w:b w:val="0"/>
          <w:snapToGrid w:val="0"/>
          <w:kern w:val="0"/>
          <w:sz w:val="28"/>
          <w:szCs w:val="28"/>
        </w:rPr>
        <w:t>事故应急救援器材、设备的配备情况</w:t>
      </w:r>
    </w:p>
    <w:p>
      <w:pPr>
        <w:adjustRightInd w:val="0"/>
        <w:snapToGrid w:val="0"/>
        <w:spacing w:line="360" w:lineRule="auto"/>
        <w:ind w:firstLine="560" w:firstLineChars="200"/>
        <w:rPr>
          <w:sz w:val="28"/>
          <w:szCs w:val="28"/>
        </w:rPr>
      </w:pPr>
      <w:r>
        <w:rPr>
          <w:rFonts w:hint="eastAsia"/>
          <w:sz w:val="28"/>
          <w:szCs w:val="28"/>
        </w:rPr>
        <w:t>该公司按照各岗位存在的危险、有害因素配备了相应的劳动防护用品及应急救援器材，其相关应急救援器材配备情况见下表：</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bCs/>
          <w:sz w:val="21"/>
          <w:szCs w:val="21"/>
        </w:rPr>
      </w:pPr>
      <w:r>
        <w:rPr>
          <w:rFonts w:hint="eastAsia"/>
          <w:b/>
          <w:bCs/>
          <w:sz w:val="21"/>
          <w:szCs w:val="21"/>
        </w:rPr>
        <w:t>表2-1</w:t>
      </w:r>
      <w:r>
        <w:rPr>
          <w:rFonts w:hint="eastAsia"/>
          <w:b/>
          <w:bCs/>
          <w:sz w:val="21"/>
          <w:szCs w:val="21"/>
          <w:lang w:val="en-US" w:eastAsia="zh-CN"/>
        </w:rPr>
        <w:t xml:space="preserve">5  </w:t>
      </w:r>
      <w:r>
        <w:rPr>
          <w:rFonts w:hint="eastAsia"/>
          <w:b/>
          <w:bCs/>
          <w:sz w:val="21"/>
          <w:szCs w:val="21"/>
        </w:rPr>
        <w:t>应急器材配备情况一览表</w:t>
      </w:r>
    </w:p>
    <w:tbl>
      <w:tblPr>
        <w:tblStyle w:val="52"/>
        <w:tblW w:w="8392" w:type="dxa"/>
        <w:tblInd w:w="9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Layout w:type="autofit"/>
        <w:tblCellMar>
          <w:top w:w="0" w:type="dxa"/>
          <w:left w:w="108" w:type="dxa"/>
          <w:bottom w:w="0" w:type="dxa"/>
          <w:right w:w="108" w:type="dxa"/>
        </w:tblCellMar>
      </w:tblPr>
      <w:tblGrid>
        <w:gridCol w:w="496"/>
        <w:gridCol w:w="902"/>
        <w:gridCol w:w="1398"/>
        <w:gridCol w:w="435"/>
        <w:gridCol w:w="600"/>
        <w:gridCol w:w="363"/>
        <w:gridCol w:w="256"/>
        <w:gridCol w:w="450"/>
        <w:gridCol w:w="692"/>
        <w:gridCol w:w="1398"/>
        <w:gridCol w:w="409"/>
        <w:gridCol w:w="496"/>
        <w:gridCol w:w="49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3" w:hRule="atLeast"/>
          <w:tblHeader/>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rPr>
            </w:pPr>
            <w:r>
              <w:rPr>
                <w:rFonts w:hint="eastAsia"/>
                <w:b/>
                <w:bCs/>
                <w:sz w:val="21"/>
                <w:szCs w:val="21"/>
                <w:highlight w:val="none"/>
                <w:lang w:val="en-US" w:eastAsia="zh-CN"/>
              </w:rPr>
              <w:t>序号</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rPr>
            </w:pPr>
            <w:r>
              <w:rPr>
                <w:rFonts w:hint="eastAsia"/>
                <w:b/>
                <w:bCs/>
                <w:sz w:val="21"/>
                <w:szCs w:val="21"/>
                <w:highlight w:val="none"/>
                <w:lang w:val="en-US" w:eastAsia="zh-CN"/>
              </w:rPr>
              <w:t>名称及规格</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rPr>
            </w:pPr>
            <w:r>
              <w:rPr>
                <w:rFonts w:hint="eastAsia"/>
                <w:b/>
                <w:bCs/>
                <w:sz w:val="21"/>
                <w:szCs w:val="21"/>
                <w:highlight w:val="none"/>
                <w:lang w:val="en-US" w:eastAsia="zh-CN"/>
              </w:rPr>
              <w:t>单位</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rPr>
            </w:pPr>
            <w:r>
              <w:rPr>
                <w:rFonts w:hint="eastAsia"/>
                <w:b/>
                <w:bCs/>
                <w:sz w:val="21"/>
                <w:szCs w:val="21"/>
                <w:highlight w:val="none"/>
                <w:lang w:val="en-US" w:eastAsia="zh-CN"/>
              </w:rPr>
              <w:t>数量</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rPr>
            </w:pPr>
            <w:r>
              <w:rPr>
                <w:rFonts w:hint="eastAsia"/>
                <w:b/>
                <w:bCs/>
                <w:sz w:val="21"/>
                <w:szCs w:val="21"/>
                <w:highlight w:val="none"/>
                <w:lang w:val="en-US" w:eastAsia="zh-CN"/>
              </w:rPr>
              <w:t>序号</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rPr>
            </w:pPr>
            <w:r>
              <w:rPr>
                <w:rFonts w:hint="eastAsia"/>
                <w:b/>
                <w:bCs/>
                <w:sz w:val="21"/>
                <w:szCs w:val="21"/>
                <w:highlight w:val="none"/>
                <w:lang w:val="en-US" w:eastAsia="zh-CN"/>
              </w:rPr>
              <w:t>名称及规格</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rPr>
            </w:pPr>
            <w:r>
              <w:rPr>
                <w:rFonts w:hint="eastAsia"/>
                <w:b/>
                <w:bCs/>
                <w:sz w:val="21"/>
                <w:szCs w:val="21"/>
                <w:highlight w:val="none"/>
                <w:lang w:val="en-US" w:eastAsia="zh-CN"/>
              </w:rPr>
              <w:t>单位</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b/>
                <w:bCs/>
                <w:sz w:val="21"/>
                <w:szCs w:val="21"/>
                <w:highlight w:val="none"/>
              </w:rPr>
            </w:pPr>
            <w:r>
              <w:rPr>
                <w:rFonts w:hint="eastAsia"/>
                <w:b/>
                <w:bCs/>
                <w:sz w:val="21"/>
                <w:szCs w:val="21"/>
                <w:highlight w:val="none"/>
                <w:lang w:val="en-US" w:eastAsia="zh-CN"/>
              </w:rPr>
              <w:t>数量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450" w:type="dxa"/>
            <w:gridSpan w:val="7"/>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sz w:val="21"/>
                <w:szCs w:val="21"/>
                <w:highlight w:val="none"/>
              </w:rPr>
            </w:pPr>
            <w:r>
              <w:rPr>
                <w:rFonts w:hint="eastAsia"/>
                <w:b/>
                <w:bCs/>
                <w:sz w:val="21"/>
                <w:szCs w:val="21"/>
                <w:highlight w:val="none"/>
                <w:lang w:val="en-US" w:eastAsia="zh-CN"/>
              </w:rPr>
              <w:t>一、人身保护类</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49</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36mm单口死扳手（铜）</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防喷雨衣裤（塑料）</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20</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50</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46mm滚珠扳手</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银色防火衣（裤、帽、手套）</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51</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36mm滚珠扳手</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蓝色消防服（裤、帽、手套）</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10</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52</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小榔头（铜）</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红工衣</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15</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53</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链钳</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安全帽</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15</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54</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Ф48管钳（铜）</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工鞋（42、43、44各5双）</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双</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15</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55</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Ф36管钳（铜）</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雨鞋</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双</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15</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56</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Ф24管钳（铜）</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蓝色雨衣</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15</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57</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断线钳</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9</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红色雨衣</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15</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58</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旋塞阀</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sz w:val="21"/>
                <w:szCs w:val="21"/>
                <w:highlight w:val="none"/>
                <w:lang w:eastAsia="zh-CN"/>
              </w:rPr>
            </w:pPr>
            <w:r>
              <w:rPr>
                <w:rFonts w:hint="eastAsia"/>
                <w:sz w:val="21"/>
                <w:szCs w:val="21"/>
                <w:highlight w:val="none"/>
                <w:lang w:eastAsia="zh-CN"/>
              </w:rPr>
              <w:t>个</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10</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警戒带</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盒</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10</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59</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Ф73防顶卡盘</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11</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毛巾</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条</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100</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60</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Ф89防顶卡盘</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12</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防毒口罩</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20</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61</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Ф114防顶卡盘</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13</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护耳器</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10</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62</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套管本体抢喷装置</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14</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护耳塞</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对</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35</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63</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Ф140套管短节0.5m</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根</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15</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双挂钩全身式安全带</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副</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64</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Ф140套管短节1.0m</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根</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16</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棉手套</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副</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80</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65</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Ф140套管短节2.0m</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根</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17</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胶布</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副</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66</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Ф178套管短节0.5m</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根</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18</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绝缘手套</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副</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67</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Ф178套管短节1.0m</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根</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19</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长袖手套</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副</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w:t>
            </w:r>
          </w:p>
        </w:tc>
        <w:tc>
          <w:tcPr>
            <w:tcW w:w="3942" w:type="dxa"/>
            <w:gridSpan w:val="6"/>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sz w:val="21"/>
                <w:szCs w:val="21"/>
                <w:highlight w:val="none"/>
              </w:rPr>
            </w:pPr>
            <w:r>
              <w:rPr>
                <w:rFonts w:hint="eastAsia"/>
                <w:b/>
                <w:bCs/>
                <w:sz w:val="21"/>
                <w:szCs w:val="21"/>
                <w:highlight w:val="none"/>
                <w:lang w:val="en-US" w:eastAsia="zh-CN"/>
              </w:rPr>
              <w:t>四、配件类</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20</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可燃气体报警仪</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只</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sz w:val="21"/>
                <w:szCs w:val="21"/>
                <w:highlight w:val="none"/>
              </w:rPr>
            </w:pPr>
            <w:r>
              <w:rPr>
                <w:rFonts w:hint="eastAsia"/>
                <w:sz w:val="21"/>
                <w:szCs w:val="21"/>
                <w:highlight w:val="none"/>
                <w:lang w:val="en-US" w:eastAsia="zh-CN"/>
              </w:rPr>
              <w:t>3</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68</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铁撬杠</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90"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21</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4合1气体检测仪</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只</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sz w:val="21"/>
                <w:szCs w:val="21"/>
                <w:highlight w:val="none"/>
              </w:rPr>
            </w:pPr>
            <w:r>
              <w:rPr>
                <w:rFonts w:hint="eastAsia"/>
                <w:sz w:val="21"/>
                <w:szCs w:val="21"/>
                <w:highlight w:val="none"/>
                <w:lang w:val="en-US" w:eastAsia="zh-CN"/>
              </w:rPr>
              <w:t>2</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69</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加力杠22mm长1.0-3.0米</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22</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正压式空气呼吸器</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只</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sz w:val="21"/>
                <w:szCs w:val="21"/>
                <w:highlight w:val="none"/>
              </w:rPr>
            </w:pPr>
            <w:r>
              <w:rPr>
                <w:rFonts w:hint="eastAsia"/>
                <w:sz w:val="21"/>
                <w:szCs w:val="21"/>
                <w:highlight w:val="none"/>
                <w:lang w:val="en-US" w:eastAsia="zh-CN"/>
              </w:rPr>
              <w:t>6</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70</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活动弯头</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450" w:type="dxa"/>
            <w:gridSpan w:val="7"/>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sz w:val="21"/>
                <w:szCs w:val="21"/>
                <w:highlight w:val="none"/>
              </w:rPr>
            </w:pPr>
            <w:r>
              <w:rPr>
                <w:rFonts w:hint="eastAsia"/>
                <w:b/>
                <w:bCs/>
                <w:sz w:val="21"/>
                <w:szCs w:val="21"/>
                <w:highlight w:val="none"/>
                <w:lang w:val="en-US" w:eastAsia="zh-CN"/>
              </w:rPr>
              <w:t>二、小件用具类</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71</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由壬</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9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23</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灭火器8公斤（2）、35公斤（1）</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只</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72</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油管大小头Ф89*Ф73（双公）</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24</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棕绳</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捆</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73</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油管大小头Ф73*Ф60（双公）</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9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25</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消防铁锨</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74</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250井口（下法兰+四通+悬挂器+上法兰）</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26</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防火帽（汽车用）</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16</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75</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大四通（上法兰面点焊钢圈）</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27</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防爆手电</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76</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井口上法兰（点焊普通钢圈）</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28</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照明电线（2相）</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捆</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77</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250闸门（点焊小钢圈）</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29</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锯弓、锯条</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盒</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78</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底法兰（点焊钢圈）</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30</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钢丝钳、尖嘴钳</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79</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底法兰（点焊钢圈）</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31</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棉纱</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包</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80</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异型大钢圈（250×350）</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32</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钢丝刷</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12</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81</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井口大钢圈（250）</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33</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大起子（各种）</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82</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井口螺丝</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条</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34</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黑板+白粉笔</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块</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83</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卡箍螺丝</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条</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35</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轻便发电机</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84</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卡箍头</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450" w:type="dxa"/>
            <w:gridSpan w:val="7"/>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sz w:val="21"/>
                <w:szCs w:val="21"/>
                <w:highlight w:val="none"/>
              </w:rPr>
            </w:pPr>
            <w:r>
              <w:rPr>
                <w:rFonts w:hint="eastAsia"/>
                <w:b/>
                <w:bCs/>
                <w:sz w:val="21"/>
                <w:szCs w:val="21"/>
                <w:highlight w:val="none"/>
                <w:lang w:val="en-US" w:eastAsia="zh-CN"/>
              </w:rPr>
              <w:t>三、抢喷工具类</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85</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三通</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36</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大榔头（铁）</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86</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小四通</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37</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大榔头（铜）</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87</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73油管短节50-60mm</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根</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38</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撬杠（铜）</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c>
          <w:tcPr>
            <w:tcW w:w="3942" w:type="dxa"/>
            <w:gridSpan w:val="6"/>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五、其他</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39</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活动扳手（铜24mm）</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88</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Ф89短节*0.60米</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根</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40</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活动扳手（铜36mm）</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89</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Ф73油管节箍</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41</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活动扳手（铁12mm）</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90</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Ф89油管节箍</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42</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井口死扳手（单头铁）</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91</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悬挂器Ф89+Ф73</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43</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卡箍死扳手（单头铁）</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92</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加长井口螺丝</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条</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44</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46mm梅花扳手（铜）</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2</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93</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加长卡箍螺丝</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条</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45</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36mm梅花扳手（铜）</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94</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备用10米长19mm、22mm绳套</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根</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46</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46mm活动扳手（铜）</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3</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95</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各类绳卡</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个</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47</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46mm单口死扳手（铜）</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96</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HK-4型套管闸门更换装置</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48</w:t>
            </w:r>
          </w:p>
        </w:tc>
        <w:tc>
          <w:tcPr>
            <w:tcW w:w="2735"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扳手</w:t>
            </w:r>
          </w:p>
        </w:tc>
        <w:tc>
          <w:tcPr>
            <w:tcW w:w="60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把</w:t>
            </w:r>
          </w:p>
        </w:tc>
        <w:tc>
          <w:tcPr>
            <w:tcW w:w="619"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c>
          <w:tcPr>
            <w:tcW w:w="450"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97</w:t>
            </w:r>
          </w:p>
        </w:tc>
        <w:tc>
          <w:tcPr>
            <w:tcW w:w="2499"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HK-3型抢装防喷装置及附带专用车</w:t>
            </w:r>
          </w:p>
        </w:tc>
        <w:tc>
          <w:tcPr>
            <w:tcW w:w="496"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套</w:t>
            </w:r>
          </w:p>
        </w:tc>
        <w:tc>
          <w:tcPr>
            <w:tcW w:w="497"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rPr>
            </w:pPr>
            <w:r>
              <w:rPr>
                <w:rFonts w:hint="eastAsia"/>
                <w:sz w:val="21"/>
                <w:szCs w:val="21"/>
                <w:highlight w:val="none"/>
                <w:lang w:val="en-US" w:eastAsia="zh-CN"/>
              </w:rPr>
              <w:t>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285" w:hRule="atLeast"/>
        </w:trPr>
        <w:tc>
          <w:tcPr>
            <w:tcW w:w="1398" w:type="dxa"/>
            <w:gridSpan w:val="2"/>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lang w:val="en-US" w:eastAsia="zh-CN"/>
              </w:rPr>
            </w:pPr>
            <w:r>
              <w:rPr>
                <w:rFonts w:hint="eastAsia"/>
                <w:sz w:val="21"/>
                <w:szCs w:val="21"/>
                <w:highlight w:val="none"/>
                <w:lang w:val="en-US" w:eastAsia="zh-CN"/>
              </w:rPr>
              <w:t>存放位置</w:t>
            </w:r>
          </w:p>
        </w:tc>
        <w:tc>
          <w:tcPr>
            <w:tcW w:w="1398"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lang w:val="en-US" w:eastAsia="zh-CN"/>
              </w:rPr>
            </w:pPr>
            <w:r>
              <w:rPr>
                <w:rFonts w:hint="eastAsia"/>
                <w:sz w:val="21"/>
                <w:szCs w:val="21"/>
                <w:highlight w:val="none"/>
                <w:lang w:val="en-US" w:eastAsia="zh-CN"/>
              </w:rPr>
              <w:t>公司院内</w:t>
            </w:r>
          </w:p>
        </w:tc>
        <w:tc>
          <w:tcPr>
            <w:tcW w:w="1398"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lang w:val="en-US" w:eastAsia="zh-CN"/>
              </w:rPr>
            </w:pPr>
            <w:r>
              <w:rPr>
                <w:rFonts w:hint="eastAsia"/>
                <w:sz w:val="21"/>
                <w:szCs w:val="21"/>
                <w:highlight w:val="none"/>
                <w:lang w:val="en-US" w:eastAsia="zh-CN"/>
              </w:rPr>
              <w:t>责任人</w:t>
            </w:r>
          </w:p>
        </w:tc>
        <w:tc>
          <w:tcPr>
            <w:tcW w:w="1398"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lang w:val="en-US" w:eastAsia="zh-CN"/>
              </w:rPr>
            </w:pPr>
            <w:r>
              <w:rPr>
                <w:rFonts w:hint="eastAsia"/>
                <w:lang w:val="en-US" w:eastAsia="zh-CN"/>
              </w:rPr>
              <w:t>郭树桐</w:t>
            </w:r>
          </w:p>
        </w:tc>
        <w:tc>
          <w:tcPr>
            <w:tcW w:w="1398" w:type="dxa"/>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lang w:val="en-US" w:eastAsia="zh-CN"/>
              </w:rPr>
            </w:pPr>
            <w:r>
              <w:rPr>
                <w:rFonts w:hint="eastAsia"/>
                <w:lang w:val="en-US" w:eastAsia="zh-CN"/>
              </w:rPr>
              <w:t>联系方式</w:t>
            </w:r>
          </w:p>
        </w:tc>
        <w:tc>
          <w:tcPr>
            <w:tcW w:w="1402" w:type="dxa"/>
            <w:gridSpan w:val="3"/>
            <w:tcBorders>
              <w:tl2br w:val="nil"/>
              <w:tr2bl w:val="nil"/>
            </w:tcBorders>
            <w:shd w:val="clear" w:color="auto" w:fill="FFFFFF"/>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sz w:val="21"/>
                <w:szCs w:val="21"/>
                <w:highlight w:val="none"/>
                <w:lang w:val="en-US" w:eastAsia="zh-CN"/>
              </w:rPr>
            </w:pPr>
            <w:r>
              <w:rPr>
                <w:rFonts w:hint="eastAsia"/>
                <w:lang w:val="en-US" w:eastAsia="zh-CN"/>
              </w:rPr>
              <w:t>18605469291</w:t>
            </w:r>
          </w:p>
        </w:tc>
      </w:tr>
    </w:tbl>
    <w:p>
      <w:pPr>
        <w:pStyle w:val="2"/>
        <w:keepNext w:val="0"/>
        <w:keepLines w:val="0"/>
        <w:pageBreakBefore w:val="0"/>
        <w:widowControl w:val="0"/>
        <w:kinsoku/>
        <w:wordWrap/>
        <w:overflowPunct/>
        <w:topLinePunct w:val="0"/>
        <w:autoSpaceDE/>
        <w:autoSpaceDN/>
        <w:bidi w:val="0"/>
        <w:adjustRightInd w:val="0"/>
        <w:snapToGrid w:val="0"/>
        <w:spacing w:before="157" w:beforeLines="50" w:line="240" w:lineRule="auto"/>
        <w:ind w:left="0" w:leftChars="0" w:firstLine="0" w:firstLineChars="0"/>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b/>
          <w:bCs/>
          <w:sz w:val="21"/>
          <w:szCs w:val="21"/>
        </w:rPr>
        <w:t>表2-1</w:t>
      </w:r>
      <w:r>
        <w:rPr>
          <w:rFonts w:hint="eastAsia"/>
          <w:b/>
          <w:bCs/>
          <w:sz w:val="21"/>
          <w:szCs w:val="21"/>
          <w:lang w:val="en-US" w:eastAsia="zh-CN"/>
        </w:rPr>
        <w:t xml:space="preserve">6  </w:t>
      </w:r>
      <w:r>
        <w:rPr>
          <w:rFonts w:hint="eastAsia" w:ascii="Times New Roman" w:hAnsi="Times New Roman" w:eastAsia="宋体" w:cs="Times New Roman"/>
          <w:b/>
          <w:bCs/>
          <w:color w:val="auto"/>
          <w:kern w:val="2"/>
          <w:sz w:val="21"/>
          <w:szCs w:val="21"/>
          <w:lang w:val="en-US" w:eastAsia="zh-CN" w:bidi="ar-SA"/>
        </w:rPr>
        <w:t>现场</w:t>
      </w:r>
      <w:r>
        <w:rPr>
          <w:rFonts w:hint="eastAsia" w:cs="Times New Roman"/>
          <w:b/>
          <w:bCs/>
          <w:color w:val="auto"/>
          <w:kern w:val="2"/>
          <w:sz w:val="21"/>
          <w:szCs w:val="21"/>
          <w:lang w:val="en-US" w:eastAsia="zh-CN" w:bidi="ar-SA"/>
        </w:rPr>
        <w:t>队伍消防</w:t>
      </w:r>
      <w:r>
        <w:rPr>
          <w:rFonts w:hint="eastAsia" w:ascii="Times New Roman" w:hAnsi="Times New Roman" w:eastAsia="宋体" w:cs="Times New Roman"/>
          <w:b/>
          <w:bCs/>
          <w:color w:val="auto"/>
          <w:kern w:val="2"/>
          <w:sz w:val="21"/>
          <w:szCs w:val="21"/>
          <w:lang w:val="en-US" w:eastAsia="zh-CN" w:bidi="ar-SA"/>
        </w:rPr>
        <w:t>物资配备</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sz w:val="28"/>
          <w:szCs w:val="28"/>
          <w:highlight w:val="none"/>
        </w:rPr>
      </w:pPr>
      <w:r>
        <w:rPr>
          <w:rFonts w:hint="eastAsia"/>
          <w:sz w:val="28"/>
          <w:szCs w:val="28"/>
          <w:highlight w:val="none"/>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eastAsia="黑体"/>
          <w:bCs/>
          <w:sz w:val="32"/>
          <w:szCs w:val="32"/>
          <w:highlight w:val="yellow"/>
        </w:rPr>
      </w:pPr>
      <w:r>
        <w:rPr>
          <w:rFonts w:hint="eastAsia"/>
          <w:sz w:val="28"/>
          <w:szCs w:val="28"/>
          <w:highlight w:val="none"/>
        </w:rPr>
        <w:t>公司应急器材的配备能够满足事故应急救援的要求，企业制定了生产安全事故管理制度</w:t>
      </w:r>
      <w:r>
        <w:rPr>
          <w:rFonts w:hint="eastAsia"/>
          <w:sz w:val="28"/>
          <w:szCs w:val="28"/>
          <w:highlight w:val="none"/>
          <w:lang w:eastAsia="zh-CN"/>
        </w:rPr>
        <w:t>、</w:t>
      </w:r>
      <w:bookmarkStart w:id="39" w:name="_Toc19960"/>
      <w:r>
        <w:rPr>
          <w:rFonts w:hint="eastAsia"/>
          <w:sz w:val="28"/>
          <w:szCs w:val="28"/>
          <w:highlight w:val="none"/>
          <w:lang w:eastAsia="zh-CN"/>
        </w:rPr>
        <w:t>事故报告制度</w:t>
      </w:r>
      <w:bookmarkEnd w:id="39"/>
      <w:r>
        <w:rPr>
          <w:rFonts w:hint="eastAsia"/>
          <w:sz w:val="28"/>
          <w:szCs w:val="28"/>
          <w:highlight w:val="none"/>
          <w:lang w:eastAsia="zh-CN"/>
        </w:rPr>
        <w:t>、</w:t>
      </w:r>
      <w:bookmarkStart w:id="40" w:name="_Toc10852"/>
      <w:bookmarkStart w:id="41" w:name="_Toc3968"/>
      <w:bookmarkStart w:id="42" w:name="_Toc168"/>
      <w:r>
        <w:rPr>
          <w:rFonts w:hint="eastAsia"/>
          <w:sz w:val="28"/>
          <w:szCs w:val="28"/>
          <w:highlight w:val="none"/>
          <w:lang w:eastAsia="zh-CN"/>
        </w:rPr>
        <w:t>应急救援制度</w:t>
      </w:r>
      <w:bookmarkEnd w:id="40"/>
      <w:bookmarkEnd w:id="41"/>
      <w:bookmarkEnd w:id="42"/>
      <w:r>
        <w:rPr>
          <w:rFonts w:hint="eastAsia"/>
          <w:sz w:val="28"/>
          <w:szCs w:val="28"/>
          <w:highlight w:val="none"/>
          <w:lang w:eastAsia="zh-CN"/>
        </w:rPr>
        <w:t>等安全管理制度</w:t>
      </w:r>
      <w:r>
        <w:rPr>
          <w:rFonts w:hint="eastAsia"/>
          <w:sz w:val="28"/>
          <w:szCs w:val="28"/>
          <w:highlight w:val="none"/>
        </w:rPr>
        <w:t>，并定期组织相关人员对国内外同类企业的安全事故进行学习，总结经验，不断提高企业人员技术及应急能力。</w:t>
      </w:r>
    </w:p>
    <w:p>
      <w:pPr>
        <w:pStyle w:val="4"/>
        <w:adjustRightInd w:val="0"/>
        <w:snapToGrid w:val="0"/>
        <w:spacing w:before="0" w:after="0" w:line="360" w:lineRule="auto"/>
        <w:rPr>
          <w:rFonts w:ascii="Times New Roman" w:hAnsi="Times New Roman"/>
          <w:b w:val="0"/>
          <w:bCs/>
          <w:szCs w:val="32"/>
        </w:rPr>
      </w:pPr>
      <w:bookmarkStart w:id="43" w:name="_Toc13703"/>
      <w:r>
        <w:rPr>
          <w:rFonts w:ascii="Times New Roman" w:hAnsi="Times New Roman"/>
          <w:b w:val="0"/>
          <w:bCs/>
          <w:szCs w:val="32"/>
        </w:rPr>
        <w:t>2.1</w:t>
      </w:r>
      <w:r>
        <w:rPr>
          <w:rFonts w:hint="eastAsia" w:ascii="Times New Roman" w:hAnsi="Times New Roman"/>
          <w:b w:val="0"/>
          <w:bCs/>
          <w:szCs w:val="32"/>
          <w:lang w:val="en-US" w:eastAsia="zh-CN"/>
        </w:rPr>
        <w:t>2</w:t>
      </w:r>
      <w:r>
        <w:rPr>
          <w:rFonts w:hint="eastAsia" w:ascii="Times New Roman" w:hAnsi="Times New Roman"/>
          <w:b w:val="0"/>
          <w:bCs/>
          <w:szCs w:val="32"/>
        </w:rPr>
        <w:t>安全生产标准化及双重预防体系的建设、运行情况</w:t>
      </w:r>
      <w:bookmarkEnd w:id="43"/>
    </w:p>
    <w:p>
      <w:pPr>
        <w:adjustRightInd w:val="0"/>
        <w:snapToGrid w:val="0"/>
        <w:spacing w:line="360" w:lineRule="auto"/>
        <w:ind w:firstLine="560" w:firstLineChars="200"/>
        <w:rPr>
          <w:rFonts w:hint="eastAsia"/>
          <w:sz w:val="28"/>
          <w:szCs w:val="28"/>
        </w:rPr>
      </w:pPr>
      <w:r>
        <w:rPr>
          <w:rFonts w:hint="eastAsia"/>
          <w:sz w:val="28"/>
          <w:szCs w:val="28"/>
          <w:lang w:val="zh-CN"/>
        </w:rPr>
        <w:t>胜利油田康贝油气工程有限公司根据GB/T 33000-2016《企业安全生产标准化基本规范》、AQ 2037-2012《石油行业安全生产标准化导则》、AQ 2041-2012《石油行业安全生产标准化井下作业实施规范》、</w:t>
      </w:r>
      <w:r>
        <w:rPr>
          <w:rFonts w:hint="eastAsia"/>
          <w:sz w:val="28"/>
          <w:szCs w:val="28"/>
        </w:rPr>
        <w:t>DB37/T2972-2017</w:t>
      </w:r>
      <w:r>
        <w:rPr>
          <w:rFonts w:hint="eastAsia"/>
          <w:sz w:val="28"/>
          <w:szCs w:val="28"/>
          <w:lang w:val="zh-CN"/>
        </w:rPr>
        <w:t>《非煤矿山企业安全生产风险分级管控体系细则》和</w:t>
      </w:r>
      <w:r>
        <w:rPr>
          <w:rFonts w:hint="eastAsia"/>
          <w:sz w:val="28"/>
          <w:szCs w:val="28"/>
        </w:rPr>
        <w:t>DB37/T3013-2017</w:t>
      </w:r>
      <w:r>
        <w:rPr>
          <w:rFonts w:hint="eastAsia"/>
          <w:sz w:val="28"/>
          <w:szCs w:val="28"/>
          <w:lang w:val="zh-CN"/>
        </w:rPr>
        <w:t>《非煤矿山企业生产安全事故隐患排查治理体系细则》的要求，建立安全生产标准化和“双体系”，公司成立了以法人为组长的安全生产标准化及“双体系”运行工作领导小组。参加了东营市应急管理局组织的安全生产标准化、“双体系”等专项培训，公司于</w:t>
      </w:r>
      <w:r>
        <w:rPr>
          <w:rFonts w:hint="eastAsia"/>
          <w:sz w:val="28"/>
          <w:szCs w:val="28"/>
        </w:rPr>
        <w:t>2016年</w:t>
      </w:r>
      <w:r>
        <w:rPr>
          <w:rFonts w:hint="eastAsia"/>
          <w:sz w:val="28"/>
          <w:szCs w:val="28"/>
          <w:lang w:eastAsia="zh-CN"/>
        </w:rPr>
        <w:t>、</w:t>
      </w:r>
      <w:r>
        <w:rPr>
          <w:rFonts w:hint="eastAsia"/>
          <w:sz w:val="28"/>
          <w:szCs w:val="28"/>
          <w:lang w:val="en-US" w:eastAsia="zh-CN"/>
        </w:rPr>
        <w:t>2019年</w:t>
      </w:r>
      <w:r>
        <w:rPr>
          <w:rFonts w:hint="eastAsia"/>
          <w:sz w:val="28"/>
          <w:szCs w:val="28"/>
          <w:lang w:val="zh-CN"/>
        </w:rPr>
        <w:t>取得安全生产标准化二级证书</w:t>
      </w:r>
      <w:r>
        <w:rPr>
          <w:rFonts w:hint="eastAsia"/>
          <w:sz w:val="28"/>
          <w:szCs w:val="28"/>
        </w:rPr>
        <w:t>。</w:t>
      </w:r>
    </w:p>
    <w:p>
      <w:pPr>
        <w:adjustRightInd w:val="0"/>
        <w:snapToGrid w:val="0"/>
        <w:spacing w:line="360" w:lineRule="auto"/>
        <w:ind w:firstLine="560" w:firstLineChars="200"/>
        <w:rPr>
          <w:sz w:val="28"/>
          <w:szCs w:val="28"/>
        </w:rPr>
      </w:pPr>
      <w:r>
        <w:rPr>
          <w:rFonts w:hint="eastAsia"/>
          <w:sz w:val="28"/>
          <w:szCs w:val="28"/>
          <w:lang w:val="en-US" w:eastAsia="zh-CN"/>
        </w:rPr>
        <w:t>该</w:t>
      </w:r>
      <w:r>
        <w:rPr>
          <w:rFonts w:hint="eastAsia"/>
          <w:sz w:val="28"/>
          <w:szCs w:val="28"/>
          <w:lang w:val="zh-CN"/>
        </w:rPr>
        <w:t>公司</w:t>
      </w:r>
      <w:r>
        <w:rPr>
          <w:rFonts w:hint="eastAsia"/>
          <w:sz w:val="28"/>
          <w:szCs w:val="28"/>
        </w:rPr>
        <w:t>编制有《风险分级管控清单》和《隐患排查治理清单》，</w:t>
      </w:r>
      <w:r>
        <w:rPr>
          <w:rFonts w:hint="eastAsia"/>
          <w:sz w:val="28"/>
          <w:szCs w:val="28"/>
          <w:lang w:val="en-US" w:eastAsia="zh-CN"/>
        </w:rPr>
        <w:t>识别了753个</w:t>
      </w:r>
      <w:r>
        <w:rPr>
          <w:rFonts w:hint="eastAsia"/>
          <w:sz w:val="28"/>
          <w:szCs w:val="28"/>
        </w:rPr>
        <w:t>风险点，</w:t>
      </w:r>
      <w:r>
        <w:rPr>
          <w:rFonts w:hint="eastAsia"/>
          <w:sz w:val="28"/>
          <w:szCs w:val="28"/>
          <w:lang w:val="en-US" w:eastAsia="zh-CN"/>
        </w:rPr>
        <w:t>744</w:t>
      </w:r>
      <w:r>
        <w:rPr>
          <w:rFonts w:hint="eastAsia"/>
          <w:sz w:val="28"/>
          <w:szCs w:val="28"/>
        </w:rPr>
        <w:t>项四级危险源，</w:t>
      </w:r>
      <w:r>
        <w:rPr>
          <w:rFonts w:hint="eastAsia"/>
          <w:sz w:val="28"/>
          <w:szCs w:val="28"/>
          <w:lang w:val="en-US" w:eastAsia="zh-CN"/>
        </w:rPr>
        <w:t>9项</w:t>
      </w:r>
      <w:r>
        <w:rPr>
          <w:rFonts w:hint="eastAsia"/>
          <w:sz w:val="28"/>
          <w:szCs w:val="28"/>
        </w:rPr>
        <w:t>三级危险源</w:t>
      </w:r>
      <w:r>
        <w:rPr>
          <w:rFonts w:hint="eastAsia"/>
          <w:sz w:val="28"/>
          <w:szCs w:val="28"/>
          <w:lang w:val="en-US" w:eastAsia="zh-CN"/>
        </w:rPr>
        <w:t>，</w:t>
      </w:r>
      <w:r>
        <w:rPr>
          <w:rFonts w:hint="eastAsia"/>
          <w:sz w:val="28"/>
          <w:szCs w:val="28"/>
        </w:rPr>
        <w:t>无一级、二级</w:t>
      </w:r>
      <w:r>
        <w:rPr>
          <w:rFonts w:hint="eastAsia"/>
          <w:sz w:val="28"/>
          <w:szCs w:val="28"/>
          <w:lang w:eastAsia="zh-CN"/>
        </w:rPr>
        <w:t>危险源</w:t>
      </w:r>
      <w:r>
        <w:rPr>
          <w:rFonts w:hint="eastAsia"/>
          <w:sz w:val="28"/>
          <w:szCs w:val="28"/>
        </w:rPr>
        <w:t>，目前公司“双体系”工作有效运行。</w:t>
      </w:r>
    </w:p>
    <w:p>
      <w:pPr>
        <w:pStyle w:val="4"/>
        <w:adjustRightInd w:val="0"/>
        <w:snapToGrid w:val="0"/>
        <w:spacing w:before="0" w:after="0" w:line="360" w:lineRule="auto"/>
        <w:rPr>
          <w:rFonts w:hint="default" w:ascii="Times New Roman" w:hAnsi="Times New Roman"/>
          <w:b w:val="0"/>
          <w:bCs/>
          <w:szCs w:val="32"/>
          <w:lang w:val="en-US" w:eastAsia="zh-CN"/>
        </w:rPr>
      </w:pPr>
      <w:bookmarkStart w:id="44" w:name="_Toc31230"/>
      <w:r>
        <w:rPr>
          <w:rFonts w:hint="eastAsia" w:ascii="Times New Roman" w:hAnsi="Times New Roman"/>
          <w:b w:val="0"/>
          <w:bCs/>
          <w:szCs w:val="32"/>
          <w:lang w:val="en-US" w:eastAsia="zh-CN"/>
        </w:rPr>
        <w:t>2.13 承包商管理</w:t>
      </w:r>
      <w:bookmarkEnd w:id="44"/>
    </w:p>
    <w:p>
      <w:pPr>
        <w:pStyle w:val="1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s="Times New Roman"/>
          <w:smallCaps w:val="0"/>
          <w:sz w:val="28"/>
          <w:szCs w:val="28"/>
          <w:lang w:val="en-US" w:eastAsia="zh-CN"/>
        </w:rPr>
      </w:pPr>
      <w:r>
        <w:rPr>
          <w:rFonts w:hint="eastAsia" w:cs="Times New Roman"/>
          <w:smallCaps w:val="0"/>
          <w:sz w:val="28"/>
          <w:szCs w:val="28"/>
          <w:lang w:val="en-US" w:eastAsia="zh-CN"/>
        </w:rPr>
        <w:t>康贝</w:t>
      </w:r>
      <w:r>
        <w:rPr>
          <w:rFonts w:hint="eastAsia" w:ascii="Times New Roman" w:hAnsi="Times New Roman" w:cs="Times New Roman"/>
          <w:smallCaps w:val="0"/>
          <w:sz w:val="28"/>
          <w:szCs w:val="28"/>
          <w:lang w:val="en-US" w:eastAsia="zh-CN"/>
        </w:rPr>
        <w:t>油气公司2022年目前在用承包商共计</w:t>
      </w:r>
      <w:r>
        <w:rPr>
          <w:rFonts w:hint="eastAsia" w:cs="Times New Roman"/>
          <w:smallCaps w:val="0"/>
          <w:sz w:val="28"/>
          <w:szCs w:val="28"/>
          <w:lang w:val="en-US" w:eastAsia="zh-CN"/>
        </w:rPr>
        <w:t>2</w:t>
      </w:r>
      <w:r>
        <w:rPr>
          <w:rFonts w:hint="eastAsia" w:ascii="Times New Roman" w:hAnsi="Times New Roman" w:cs="Times New Roman"/>
          <w:smallCaps w:val="0"/>
          <w:sz w:val="28"/>
          <w:szCs w:val="28"/>
          <w:lang w:val="en-US" w:eastAsia="zh-CN"/>
        </w:rPr>
        <w:t>家，</w:t>
      </w:r>
      <w:r>
        <w:rPr>
          <w:rFonts w:hint="eastAsia" w:cs="Times New Roman"/>
          <w:smallCaps w:val="0"/>
          <w:sz w:val="28"/>
          <w:szCs w:val="28"/>
          <w:lang w:val="en-US" w:eastAsia="zh-CN"/>
        </w:rPr>
        <w:t>其中</w:t>
      </w:r>
      <w:r>
        <w:rPr>
          <w:rFonts w:hint="eastAsia" w:ascii="Times New Roman" w:hAnsi="Times New Roman" w:cs="Times New Roman"/>
          <w:smallCaps w:val="0"/>
          <w:sz w:val="28"/>
          <w:szCs w:val="28"/>
          <w:lang w:val="en-US" w:eastAsia="zh-CN"/>
        </w:rPr>
        <w:t>东营文博建筑安装工程有限公司</w:t>
      </w:r>
      <w:r>
        <w:rPr>
          <w:rFonts w:hint="eastAsia" w:cs="Times New Roman"/>
          <w:smallCaps w:val="0"/>
          <w:sz w:val="28"/>
          <w:szCs w:val="28"/>
          <w:lang w:val="en-US" w:eastAsia="zh-CN"/>
        </w:rPr>
        <w:t>为</w:t>
      </w:r>
      <w:r>
        <w:rPr>
          <w:rFonts w:hint="eastAsia" w:ascii="Times New Roman" w:hAnsi="Times New Roman" w:cs="Times New Roman"/>
          <w:smallCaps w:val="0"/>
          <w:sz w:val="28"/>
          <w:szCs w:val="28"/>
          <w:lang w:val="en-US" w:eastAsia="zh-CN"/>
        </w:rPr>
        <w:t>现场施工</w:t>
      </w:r>
      <w:r>
        <w:rPr>
          <w:rFonts w:hint="eastAsia" w:cs="Times New Roman"/>
          <w:smallCaps w:val="0"/>
          <w:sz w:val="28"/>
          <w:szCs w:val="28"/>
          <w:lang w:val="en-US" w:eastAsia="zh-CN"/>
        </w:rPr>
        <w:t>、搬家</w:t>
      </w:r>
      <w:r>
        <w:rPr>
          <w:rFonts w:hint="eastAsia" w:ascii="Times New Roman" w:hAnsi="Times New Roman" w:cs="Times New Roman"/>
          <w:smallCaps w:val="0"/>
          <w:sz w:val="28"/>
          <w:szCs w:val="28"/>
          <w:lang w:val="en-US" w:eastAsia="zh-CN"/>
        </w:rPr>
        <w:t>类</w:t>
      </w:r>
      <w:r>
        <w:rPr>
          <w:rFonts w:hint="eastAsia" w:cs="Times New Roman"/>
          <w:smallCaps w:val="0"/>
          <w:sz w:val="28"/>
          <w:szCs w:val="28"/>
          <w:lang w:val="en-US" w:eastAsia="zh-CN"/>
        </w:rPr>
        <w:t>承包商，提供吊车、地锚机、挖掘机、自备吊等现场施工、搬家的服务；利津县恒通物流有限责任公司为搬家类承包商，提供吊车、自备吊、平板、卡车、地锚机等搬家的服务</w:t>
      </w:r>
      <w:r>
        <w:rPr>
          <w:rFonts w:hint="eastAsia" w:ascii="Times New Roman" w:hAnsi="Times New Roman" w:cs="Times New Roman"/>
          <w:smallCaps w:val="0"/>
          <w:sz w:val="28"/>
          <w:szCs w:val="28"/>
          <w:lang w:val="en-US" w:eastAsia="zh-CN"/>
        </w:rPr>
        <w:t>。业务部门和使用单根据使用需求，通过就近施工的原则，开展单独审核的方式</w:t>
      </w:r>
      <w:r>
        <w:rPr>
          <w:rFonts w:hint="eastAsia" w:cs="Times New Roman"/>
          <w:smallCaps w:val="0"/>
          <w:sz w:val="28"/>
          <w:szCs w:val="28"/>
          <w:lang w:val="en-US" w:eastAsia="zh-CN"/>
        </w:rPr>
        <w:t>确定</w:t>
      </w:r>
      <w:r>
        <w:rPr>
          <w:rFonts w:hint="eastAsia" w:ascii="Times New Roman" w:hAnsi="Times New Roman" w:cs="Times New Roman"/>
          <w:smallCaps w:val="0"/>
          <w:sz w:val="28"/>
          <w:szCs w:val="28"/>
          <w:lang w:val="en-US" w:eastAsia="zh-CN"/>
        </w:rPr>
        <w:t>资质齐全的承包商</w:t>
      </w:r>
      <w:r>
        <w:rPr>
          <w:rFonts w:hint="eastAsia" w:cs="Times New Roman"/>
          <w:smallCaps w:val="0"/>
          <w:sz w:val="28"/>
          <w:szCs w:val="28"/>
          <w:lang w:val="en-US" w:eastAsia="zh-CN"/>
        </w:rPr>
        <w:t>。康贝油气公司建立有承包商管理制度，定期组织承包商进行培训学习，并考核，</w:t>
      </w:r>
      <w:r>
        <w:rPr>
          <w:rFonts w:hint="eastAsia" w:ascii="Times New Roman" w:hAnsi="Times New Roman" w:cs="Times New Roman"/>
          <w:smallCaps w:val="0"/>
          <w:sz w:val="28"/>
          <w:szCs w:val="28"/>
          <w:lang w:val="en-US" w:eastAsia="zh-CN"/>
        </w:rPr>
        <w:t>对承包商的资质和设备进行审核检查。</w:t>
      </w:r>
      <w:r>
        <w:rPr>
          <w:rFonts w:hint="eastAsia" w:cs="Times New Roman"/>
          <w:smallCaps w:val="0"/>
          <w:sz w:val="28"/>
          <w:szCs w:val="28"/>
          <w:lang w:val="en-US" w:eastAsia="zh-CN"/>
        </w:rPr>
        <w:t>承包商列表、资质及检查内容详见报告附件27。</w:t>
      </w:r>
    </w:p>
    <w:p>
      <w:pPr>
        <w:keepNext w:val="0"/>
        <w:keepLines w:val="0"/>
        <w:widowControl w:val="0"/>
        <w:adjustRightInd w:val="0"/>
        <w:snapToGrid w:val="0"/>
        <w:spacing w:before="0" w:after="0" w:line="360" w:lineRule="auto"/>
        <w:jc w:val="both"/>
        <w:outlineLvl w:val="1"/>
        <w:rPr>
          <w:rFonts w:hint="default" w:ascii="Times New Roman" w:hAnsi="Times New Roman" w:eastAsia="黑体" w:cs="Times New Roman"/>
          <w:b w:val="0"/>
          <w:bCs/>
          <w:color w:val="000000" w:themeColor="text1"/>
          <w:kern w:val="2"/>
          <w:sz w:val="32"/>
          <w:szCs w:val="32"/>
          <w:lang w:val="en-US" w:eastAsia="zh-CN" w:bidi="ar-SA"/>
          <w14:textFill>
            <w14:solidFill>
              <w14:schemeClr w14:val="tx1"/>
            </w14:solidFill>
          </w14:textFill>
        </w:rPr>
      </w:pPr>
      <w:bookmarkStart w:id="45" w:name="_Toc9817"/>
      <w:bookmarkStart w:id="46" w:name="_Toc27799"/>
      <w:r>
        <w:rPr>
          <w:rFonts w:hint="default" w:ascii="Times New Roman" w:hAnsi="Times New Roman" w:eastAsia="黑体" w:cs="Times New Roman"/>
          <w:b w:val="0"/>
          <w:bCs/>
          <w:color w:val="000000" w:themeColor="text1"/>
          <w:kern w:val="2"/>
          <w:sz w:val="32"/>
          <w:szCs w:val="32"/>
          <w:lang w:val="en-US" w:eastAsia="zh-CN" w:bidi="ar-SA"/>
          <w14:textFill>
            <w14:solidFill>
              <w14:schemeClr w14:val="tx1"/>
            </w14:solidFill>
          </w14:textFill>
        </w:rPr>
        <w:t>2.1</w:t>
      </w:r>
      <w:r>
        <w:rPr>
          <w:rFonts w:hint="eastAsia" w:ascii="Times New Roman" w:hAnsi="Times New Roman" w:eastAsia="黑体" w:cs="Times New Roman"/>
          <w:b w:val="0"/>
          <w:bCs/>
          <w:color w:val="000000" w:themeColor="text1"/>
          <w:kern w:val="2"/>
          <w:sz w:val="32"/>
          <w:szCs w:val="32"/>
          <w:lang w:val="en-US" w:eastAsia="zh-CN" w:bidi="ar-SA"/>
          <w14:textFill>
            <w14:solidFill>
              <w14:schemeClr w14:val="tx1"/>
            </w14:solidFill>
          </w14:textFill>
        </w:rPr>
        <w:t>4</w:t>
      </w:r>
      <w:r>
        <w:rPr>
          <w:rFonts w:hint="default" w:ascii="Times New Roman" w:hAnsi="Times New Roman" w:eastAsia="黑体" w:cs="Times New Roman"/>
          <w:b w:val="0"/>
          <w:bCs/>
          <w:color w:val="000000" w:themeColor="text1"/>
          <w:kern w:val="2"/>
          <w:sz w:val="32"/>
          <w:szCs w:val="32"/>
          <w:lang w:val="en-US" w:eastAsia="zh-CN" w:bidi="ar-SA"/>
          <w14:textFill>
            <w14:solidFill>
              <w14:schemeClr w14:val="tx1"/>
            </w14:solidFill>
          </w14:textFill>
        </w:rPr>
        <w:t xml:space="preserve"> 危险作业安全管理</w:t>
      </w:r>
      <w:bookmarkEnd w:id="45"/>
      <w:bookmarkEnd w:id="46"/>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mallCaps w:val="0"/>
          <w:kern w:val="2"/>
          <w:sz w:val="28"/>
          <w:szCs w:val="28"/>
          <w:lang w:val="en-US" w:eastAsia="zh-CN" w:bidi="ar-SA"/>
        </w:rPr>
      </w:pPr>
      <w:r>
        <w:rPr>
          <w:rFonts w:hint="eastAsia" w:ascii="Times New Roman" w:hAnsi="Times New Roman" w:eastAsia="宋体" w:cs="Times New Roman"/>
          <w:smallCaps w:val="0"/>
          <w:kern w:val="2"/>
          <w:sz w:val="28"/>
          <w:szCs w:val="28"/>
          <w:lang w:val="en-US" w:eastAsia="zh-CN" w:bidi="ar-SA"/>
        </w:rPr>
        <w:t>康贝油气公司</w:t>
      </w:r>
      <w:r>
        <w:rPr>
          <w:rFonts w:hint="default" w:ascii="Times New Roman" w:hAnsi="Times New Roman" w:eastAsia="宋体" w:cs="Times New Roman"/>
          <w:smallCaps w:val="0"/>
          <w:kern w:val="2"/>
          <w:sz w:val="28"/>
          <w:szCs w:val="28"/>
          <w:lang w:val="en-US" w:eastAsia="zh-CN" w:bidi="ar-SA"/>
        </w:rPr>
        <w:t>涉及危险作业项目包含临时用电作业、高处作业</w:t>
      </w:r>
      <w:r>
        <w:rPr>
          <w:rFonts w:hint="eastAsia" w:ascii="Times New Roman" w:hAnsi="Times New Roman" w:eastAsia="宋体" w:cs="Times New Roman"/>
          <w:smallCaps w:val="0"/>
          <w:kern w:val="2"/>
          <w:sz w:val="28"/>
          <w:szCs w:val="28"/>
          <w:lang w:val="en-US" w:eastAsia="zh-CN" w:bidi="ar-SA"/>
        </w:rPr>
        <w:t>、动土作业</w:t>
      </w:r>
      <w:r>
        <w:rPr>
          <w:rFonts w:hint="default" w:ascii="Times New Roman" w:hAnsi="Times New Roman" w:eastAsia="宋体" w:cs="Times New Roman"/>
          <w:smallCaps w:val="0"/>
          <w:kern w:val="2"/>
          <w:sz w:val="28"/>
          <w:szCs w:val="28"/>
          <w:lang w:val="en-US" w:eastAsia="zh-CN" w:bidi="ar-SA"/>
        </w:rPr>
        <w:t>。</w:t>
      </w:r>
      <w:r>
        <w:rPr>
          <w:rFonts w:hint="eastAsia" w:ascii="Times New Roman" w:hAnsi="Times New Roman" w:eastAsia="宋体" w:cs="Times New Roman"/>
          <w:smallCaps w:val="0"/>
          <w:kern w:val="2"/>
          <w:sz w:val="28"/>
          <w:szCs w:val="28"/>
          <w:lang w:val="en-US" w:eastAsia="zh-CN" w:bidi="ar-SA"/>
        </w:rPr>
        <w:t>企业制定有《</w:t>
      </w:r>
      <w:r>
        <w:rPr>
          <w:rFonts w:hint="eastAsia" w:ascii="Times New Roman" w:hAnsi="Times New Roman" w:eastAsia="宋体" w:cs="Times New Roman"/>
          <w:smallCaps w:val="0"/>
          <w:kern w:val="2"/>
          <w:sz w:val="28"/>
          <w:szCs w:val="28"/>
          <w:lang w:val="en-US" w:eastAsia="zh-CN" w:bidi="ar-SA"/>
        </w:rPr>
        <w:fldChar w:fldCharType="begin"/>
      </w:r>
      <w:r>
        <w:rPr>
          <w:rFonts w:hint="eastAsia" w:ascii="Times New Roman" w:hAnsi="Times New Roman" w:eastAsia="宋体" w:cs="Times New Roman"/>
          <w:smallCaps w:val="0"/>
          <w:kern w:val="2"/>
          <w:sz w:val="28"/>
          <w:szCs w:val="28"/>
          <w:lang w:val="en-US" w:eastAsia="zh-CN" w:bidi="ar-SA"/>
        </w:rPr>
        <w:instrText xml:space="preserve"> HYPERLINK \l _Toc1805 </w:instrText>
      </w:r>
      <w:r>
        <w:rPr>
          <w:rFonts w:hint="eastAsia" w:ascii="Times New Roman" w:hAnsi="Times New Roman" w:eastAsia="宋体" w:cs="Times New Roman"/>
          <w:smallCaps w:val="0"/>
          <w:kern w:val="2"/>
          <w:sz w:val="28"/>
          <w:szCs w:val="28"/>
          <w:lang w:val="en-US" w:eastAsia="zh-CN" w:bidi="ar-SA"/>
        </w:rPr>
        <w:fldChar w:fldCharType="separate"/>
      </w:r>
      <w:r>
        <w:rPr>
          <w:rFonts w:hint="eastAsia" w:ascii="Times New Roman" w:hAnsi="Times New Roman" w:eastAsia="宋体" w:cs="Times New Roman"/>
          <w:smallCaps w:val="0"/>
          <w:kern w:val="2"/>
          <w:sz w:val="28"/>
          <w:szCs w:val="28"/>
          <w:lang w:val="en-US" w:eastAsia="zh-CN" w:bidi="ar-SA"/>
        </w:rPr>
        <w:t>临时用电安全管理制度</w:t>
      </w:r>
      <w:r>
        <w:rPr>
          <w:rFonts w:hint="eastAsia" w:ascii="Times New Roman" w:hAnsi="Times New Roman" w:eastAsia="宋体" w:cs="Times New Roman"/>
          <w:smallCaps w:val="0"/>
          <w:kern w:val="2"/>
          <w:sz w:val="28"/>
          <w:szCs w:val="28"/>
          <w:lang w:val="en-US" w:eastAsia="zh-CN" w:bidi="ar-SA"/>
        </w:rPr>
        <w:fldChar w:fldCharType="end"/>
      </w:r>
      <w:r>
        <w:rPr>
          <w:rFonts w:hint="eastAsia" w:ascii="Times New Roman" w:hAnsi="Times New Roman" w:eastAsia="宋体" w:cs="Times New Roman"/>
          <w:smallCaps w:val="0"/>
          <w:kern w:val="2"/>
          <w:sz w:val="28"/>
          <w:szCs w:val="28"/>
          <w:lang w:val="en-US" w:eastAsia="zh-CN" w:bidi="ar-SA"/>
        </w:rPr>
        <w:t>》、《动土作业管理制度》、《登高作业安全管理制度》，按照“谁的业务谁申请”“风险管控最有利”和“谁签字谁负责、谁审批谁负责”的原则，由企业确定作业许可证办理人员，基层单位专业技术人员提出申请。基层单位组织相关单位针对作业内容开展 JSA，分析作业过程存在的安全风险，制定相应风险防控措施，并在作业许可证中进行确认。作业前，开票人应组织相关专业人员将风险防控措施向监护人、作业人员进行安全交底。</w:t>
      </w:r>
    </w:p>
    <w:p>
      <w:pPr>
        <w:adjustRightInd w:val="0"/>
        <w:snapToGrid w:val="0"/>
        <w:spacing w:line="360" w:lineRule="auto"/>
        <w:outlineLvl w:val="1"/>
        <w:rPr>
          <w:rFonts w:hint="default" w:ascii="Times New Roman" w:hAnsi="Times New Roman" w:eastAsia="黑体" w:cs="Times New Roman"/>
          <w:color w:val="000000" w:themeColor="text1"/>
          <w:sz w:val="32"/>
          <w:szCs w:val="32"/>
          <w14:textFill>
            <w14:solidFill>
              <w14:schemeClr w14:val="tx1"/>
            </w14:solidFill>
          </w14:textFill>
        </w:rPr>
      </w:pPr>
      <w:bookmarkStart w:id="47" w:name="_Toc26243"/>
      <w:bookmarkStart w:id="48" w:name="_Toc2616"/>
      <w:r>
        <w:rPr>
          <w:rFonts w:hint="default" w:ascii="Times New Roman" w:hAnsi="Times New Roman" w:eastAsia="黑体" w:cs="Times New Roman"/>
          <w:color w:val="000000" w:themeColor="text1"/>
          <w:sz w:val="32"/>
          <w:szCs w:val="32"/>
          <w14:textFill>
            <w14:solidFill>
              <w14:schemeClr w14:val="tx1"/>
            </w14:solidFill>
          </w14:textFill>
        </w:rPr>
        <w:t>2.1</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5</w:t>
      </w:r>
      <w:r>
        <w:rPr>
          <w:rFonts w:hint="default" w:ascii="Times New Roman" w:hAnsi="Times New Roman" w:eastAsia="黑体" w:cs="Times New Roman"/>
          <w:color w:val="000000" w:themeColor="text1"/>
          <w:sz w:val="32"/>
          <w:szCs w:val="32"/>
          <w14:textFill>
            <w14:solidFill>
              <w14:schemeClr w14:val="tx1"/>
            </w14:solidFill>
          </w14:textFill>
        </w:rPr>
        <w:t xml:space="preserve"> 变更安全管理</w:t>
      </w:r>
      <w:bookmarkEnd w:id="47"/>
      <w:bookmarkEnd w:id="48"/>
    </w:p>
    <w:p>
      <w:pPr>
        <w:adjustRightInd w:val="0"/>
        <w:snapToGrid w:val="0"/>
        <w:spacing w:line="360" w:lineRule="auto"/>
        <w:ind w:firstLine="560" w:firstLineChars="200"/>
        <w:rPr>
          <w:rFonts w:hint="default" w:ascii="Times New Roman" w:hAnsi="Times New Roman" w:eastAsia="宋体" w:cs="Times New Roman"/>
          <w:color w:val="auto"/>
          <w:sz w:val="28"/>
          <w:szCs w:val="28"/>
        </w:rPr>
      </w:pPr>
      <w:r>
        <w:rPr>
          <w:rFonts w:hint="eastAsia" w:ascii="Times New Roman" w:hAnsi="Times New Roman" w:eastAsia="宋体" w:cs="Times New Roman"/>
          <w:smallCaps w:val="0"/>
          <w:kern w:val="2"/>
          <w:sz w:val="28"/>
          <w:szCs w:val="28"/>
          <w:lang w:val="en-US" w:eastAsia="zh-CN" w:bidi="ar-SA"/>
        </w:rPr>
        <w:t>康贝油气公司</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公司制定了《变更管理制度》，该制度规定了生产过程中工艺技术、设备设施、管理、人员的变更类型，明确了变更申请、变更实施、变更</w:t>
      </w:r>
      <w:r>
        <w:rPr>
          <w:rFonts w:hint="eastAsia" w:cs="Times New Roman"/>
          <w:color w:val="000000" w:themeColor="text1"/>
          <w:sz w:val="28"/>
          <w:szCs w:val="28"/>
          <w:lang w:val="en-US" w:eastAsia="zh-CN"/>
          <w14:textFill>
            <w14:solidFill>
              <w14:schemeClr w14:val="tx1"/>
            </w14:solidFill>
          </w14:textFill>
        </w:rPr>
        <w:t>验收</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等变更程序。</w:t>
      </w:r>
      <w:r>
        <w:rPr>
          <w:rFonts w:hint="eastAsia" w:ascii="Times New Roman" w:hAnsi="Times New Roman" w:eastAsia="宋体" w:cs="Times New Roman"/>
          <w:color w:val="auto"/>
          <w:sz w:val="28"/>
          <w:szCs w:val="28"/>
          <w:lang w:val="en-US" w:eastAsia="zh-CN"/>
        </w:rPr>
        <w:t>本次评价期间，发现企业未根据《变更管理制度》针对生产过程中的相关变更履行变更程序，建议企业在以后的安全生产管理过程中严格执行《变更管理制度》，并保存相关变更记录和资料。</w:t>
      </w:r>
    </w:p>
    <w:p>
      <w:pPr>
        <w:adjustRightInd w:val="0"/>
        <w:snapToGrid w:val="0"/>
        <w:spacing w:line="360" w:lineRule="auto"/>
        <w:outlineLvl w:val="1"/>
        <w:rPr>
          <w:rFonts w:hint="default" w:ascii="Times New Roman" w:hAnsi="Times New Roman" w:eastAsia="黑体" w:cs="Times New Roman"/>
          <w:color w:val="000000" w:themeColor="text1"/>
          <w:sz w:val="32"/>
          <w:szCs w:val="32"/>
          <w14:textFill>
            <w14:solidFill>
              <w14:schemeClr w14:val="tx1"/>
            </w14:solidFill>
          </w14:textFill>
        </w:rPr>
      </w:pPr>
      <w:bookmarkStart w:id="49" w:name="_Toc24887"/>
      <w:bookmarkStart w:id="50" w:name="_Toc1607"/>
      <w:r>
        <w:rPr>
          <w:rFonts w:hint="default" w:ascii="Times New Roman" w:hAnsi="Times New Roman" w:eastAsia="黑体" w:cs="Times New Roman"/>
          <w:color w:val="000000" w:themeColor="text1"/>
          <w:sz w:val="32"/>
          <w:szCs w:val="32"/>
          <w14:textFill>
            <w14:solidFill>
              <w14:schemeClr w14:val="tx1"/>
            </w14:solidFill>
          </w14:textFill>
        </w:rPr>
        <w:t>2.1</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6</w:t>
      </w:r>
      <w:r>
        <w:rPr>
          <w:rFonts w:hint="default" w:ascii="Times New Roman" w:hAnsi="Times New Roman" w:eastAsia="黑体" w:cs="Times New Roman"/>
          <w:color w:val="000000" w:themeColor="text1"/>
          <w:sz w:val="32"/>
          <w:szCs w:val="32"/>
          <w14:textFill>
            <w14:solidFill>
              <w14:schemeClr w14:val="tx1"/>
            </w14:solidFill>
          </w14:textFill>
        </w:rPr>
        <w:t xml:space="preserve"> </w:t>
      </w:r>
      <w:r>
        <w:rPr>
          <w:rFonts w:hint="eastAsia" w:eastAsia="黑体" w:cs="Times New Roman"/>
          <w:color w:val="000000" w:themeColor="text1"/>
          <w:sz w:val="32"/>
          <w:szCs w:val="32"/>
          <w:lang w:val="en-US" w:eastAsia="zh-CN"/>
          <w14:textFill>
            <w14:solidFill>
              <w14:schemeClr w14:val="tx1"/>
            </w14:solidFill>
          </w14:textFill>
        </w:rPr>
        <w:t>井控及交叉作业</w:t>
      </w:r>
      <w:r>
        <w:rPr>
          <w:rFonts w:hint="default" w:ascii="Times New Roman" w:hAnsi="Times New Roman" w:eastAsia="黑体" w:cs="Times New Roman"/>
          <w:color w:val="000000" w:themeColor="text1"/>
          <w:sz w:val="32"/>
          <w:szCs w:val="32"/>
          <w14:textFill>
            <w14:solidFill>
              <w14:schemeClr w14:val="tx1"/>
            </w14:solidFill>
          </w14:textFill>
        </w:rPr>
        <w:t>管理</w:t>
      </w:r>
      <w:bookmarkEnd w:id="49"/>
    </w:p>
    <w:p>
      <w:pPr>
        <w:pStyle w:val="4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left"/>
        <w:textAlignment w:val="baseline"/>
        <w:rPr>
          <w:rFonts w:hint="eastAsia" w:ascii="宋体" w:hAnsi="宋体" w:eastAsia="宋体" w:cs="宋体"/>
          <w:i w:val="0"/>
          <w:iCs w:val="0"/>
          <w:caps w:val="0"/>
          <w:color w:val="auto"/>
          <w:spacing w:val="0"/>
          <w:sz w:val="28"/>
          <w:szCs w:val="28"/>
          <w:highlight w:val="none"/>
          <w:shd w:val="clear" w:fill="FFFFFF"/>
          <w:vertAlign w:val="baseline"/>
        </w:rPr>
      </w:pPr>
      <w:r>
        <w:rPr>
          <w:rFonts w:hint="eastAsia" w:ascii="宋体" w:hAnsi="宋体" w:eastAsia="宋体" w:cs="宋体"/>
          <w:i w:val="0"/>
          <w:iCs w:val="0"/>
          <w:caps w:val="0"/>
          <w:color w:val="auto"/>
          <w:spacing w:val="0"/>
          <w:sz w:val="28"/>
          <w:szCs w:val="28"/>
          <w:highlight w:val="none"/>
          <w:shd w:val="clear" w:fill="FFFFFF"/>
          <w:vertAlign w:val="baseline"/>
        </w:rPr>
        <w:t>按照“分级管理”原则，</w:t>
      </w:r>
      <w:r>
        <w:rPr>
          <w:rFonts w:hint="eastAsia" w:ascii="宋体" w:hAnsi="宋体" w:eastAsia="宋体" w:cs="宋体"/>
          <w:i w:val="0"/>
          <w:iCs w:val="0"/>
          <w:caps w:val="0"/>
          <w:color w:val="auto"/>
          <w:spacing w:val="0"/>
          <w:sz w:val="28"/>
          <w:szCs w:val="28"/>
          <w:highlight w:val="none"/>
          <w:shd w:val="clear" w:fill="FFFFFF"/>
          <w:vertAlign w:val="baseline"/>
          <w:lang w:eastAsia="zh-CN"/>
        </w:rPr>
        <w:t>公司成立以主要要负责人为第一责任人的井控工作领导小组，作业现场</w:t>
      </w:r>
      <w:r>
        <w:rPr>
          <w:rFonts w:hint="eastAsia" w:ascii="宋体" w:hAnsi="宋体" w:eastAsia="宋体" w:cs="宋体"/>
          <w:i w:val="0"/>
          <w:iCs w:val="0"/>
          <w:caps w:val="0"/>
          <w:color w:val="auto"/>
          <w:spacing w:val="0"/>
          <w:sz w:val="28"/>
          <w:szCs w:val="28"/>
          <w:highlight w:val="none"/>
          <w:shd w:val="clear" w:fill="FFFFFF"/>
          <w:vertAlign w:val="baseline"/>
        </w:rPr>
        <w:t>成立由队长为组长的井控领导小组，交叉作业或联合作业现场，成立主要作业单位为组长、业主与相关单位参加的现场井控领导小组。</w:t>
      </w:r>
    </w:p>
    <w:p>
      <w:pPr>
        <w:pStyle w:val="4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560" w:firstLineChars="200"/>
        <w:jc w:val="left"/>
        <w:textAlignment w:val="baseline"/>
        <w:rPr>
          <w:rFonts w:hint="eastAsia" w:ascii="宋体" w:hAnsi="宋体" w:eastAsia="宋体" w:cs="宋体"/>
          <w:i w:val="0"/>
          <w:iCs w:val="0"/>
          <w:caps w:val="0"/>
          <w:color w:val="auto"/>
          <w:spacing w:val="0"/>
          <w:sz w:val="28"/>
          <w:szCs w:val="28"/>
          <w:highlight w:val="none"/>
          <w:shd w:val="clear" w:fill="FFFFFF"/>
          <w:vertAlign w:val="baseline"/>
        </w:rPr>
      </w:pPr>
      <w:r>
        <w:rPr>
          <w:rFonts w:hint="eastAsia" w:ascii="宋体" w:hAnsi="宋体" w:eastAsia="宋体" w:cs="宋体"/>
          <w:i w:val="0"/>
          <w:iCs w:val="0"/>
          <w:caps w:val="0"/>
          <w:color w:val="auto"/>
          <w:spacing w:val="0"/>
          <w:sz w:val="28"/>
          <w:szCs w:val="28"/>
          <w:highlight w:val="none"/>
          <w:shd w:val="clear" w:fill="FFFFFF"/>
          <w:vertAlign w:val="baseline"/>
        </w:rPr>
        <w:t>井控工作按照“谁主管，谁负责”的原则，各级井控工作领导小组及成员部门均负有井控工作责任。各级主管领导、管理人员和相关岗位操作人员应接受井控技术和H</w:t>
      </w:r>
      <w:r>
        <w:rPr>
          <w:rFonts w:hint="eastAsia" w:ascii="宋体" w:hAnsi="宋体" w:eastAsia="宋体" w:cs="宋体"/>
          <w:i w:val="0"/>
          <w:iCs w:val="0"/>
          <w:caps w:val="0"/>
          <w:color w:val="auto"/>
          <w:spacing w:val="0"/>
          <w:sz w:val="28"/>
          <w:szCs w:val="28"/>
          <w:highlight w:val="none"/>
          <w:shd w:val="clear" w:fill="FFFFFF"/>
          <w:vertAlign w:val="subscript"/>
        </w:rPr>
        <w:t>2</w:t>
      </w:r>
      <w:r>
        <w:rPr>
          <w:rFonts w:hint="eastAsia" w:ascii="宋体" w:hAnsi="宋体" w:eastAsia="宋体" w:cs="宋体"/>
          <w:i w:val="0"/>
          <w:iCs w:val="0"/>
          <w:caps w:val="0"/>
          <w:color w:val="auto"/>
          <w:spacing w:val="0"/>
          <w:sz w:val="28"/>
          <w:szCs w:val="28"/>
          <w:highlight w:val="none"/>
          <w:shd w:val="clear" w:fill="FFFFFF"/>
          <w:vertAlign w:val="baseline"/>
        </w:rPr>
        <w:t>S防护技术培训，并取得“井控培训合格证”和“H</w:t>
      </w:r>
      <w:r>
        <w:rPr>
          <w:rFonts w:hint="eastAsia" w:ascii="宋体" w:hAnsi="宋体" w:eastAsia="宋体" w:cs="宋体"/>
          <w:i w:val="0"/>
          <w:iCs w:val="0"/>
          <w:caps w:val="0"/>
          <w:color w:val="auto"/>
          <w:spacing w:val="0"/>
          <w:sz w:val="28"/>
          <w:szCs w:val="28"/>
          <w:highlight w:val="none"/>
          <w:shd w:val="clear" w:fill="FFFFFF"/>
          <w:vertAlign w:val="subscript"/>
        </w:rPr>
        <w:t>2</w:t>
      </w:r>
      <w:r>
        <w:rPr>
          <w:rFonts w:hint="eastAsia" w:ascii="宋体" w:hAnsi="宋体" w:eastAsia="宋体" w:cs="宋体"/>
          <w:i w:val="0"/>
          <w:iCs w:val="0"/>
          <w:caps w:val="0"/>
          <w:color w:val="auto"/>
          <w:spacing w:val="0"/>
          <w:sz w:val="28"/>
          <w:szCs w:val="28"/>
          <w:highlight w:val="none"/>
          <w:shd w:val="clear" w:fill="FFFFFF"/>
          <w:vertAlign w:val="baseline"/>
        </w:rPr>
        <w:t>S防护技术培训证书”。</w:t>
      </w:r>
      <w:r>
        <w:rPr>
          <w:rFonts w:hint="eastAsia" w:ascii="宋体" w:hAnsi="宋体" w:eastAsia="宋体" w:cs="宋体"/>
          <w:i w:val="0"/>
          <w:iCs w:val="0"/>
          <w:caps w:val="0"/>
          <w:color w:val="auto"/>
          <w:spacing w:val="0"/>
          <w:sz w:val="28"/>
          <w:szCs w:val="28"/>
          <w:highlight w:val="none"/>
          <w:shd w:val="clear" w:fill="FFFFFF"/>
          <w:vertAlign w:val="baseline"/>
          <w:lang w:eastAsia="zh-CN"/>
        </w:rPr>
        <w:t>公司</w:t>
      </w:r>
      <w:r>
        <w:rPr>
          <w:rFonts w:hint="eastAsia" w:ascii="宋体" w:hAnsi="宋体" w:eastAsia="宋体" w:cs="宋体"/>
          <w:i w:val="0"/>
          <w:iCs w:val="0"/>
          <w:caps w:val="0"/>
          <w:color w:val="auto"/>
          <w:spacing w:val="0"/>
          <w:sz w:val="28"/>
          <w:szCs w:val="28"/>
          <w:highlight w:val="none"/>
          <w:shd w:val="clear" w:fill="FFFFFF"/>
          <w:vertAlign w:val="baseline"/>
        </w:rPr>
        <w:t>井控设备</w:t>
      </w:r>
      <w:r>
        <w:rPr>
          <w:rFonts w:hint="eastAsia" w:ascii="宋体" w:hAnsi="宋体" w:eastAsia="宋体" w:cs="宋体"/>
          <w:i w:val="0"/>
          <w:iCs w:val="0"/>
          <w:caps w:val="0"/>
          <w:color w:val="auto"/>
          <w:spacing w:val="0"/>
          <w:sz w:val="28"/>
          <w:szCs w:val="28"/>
          <w:highlight w:val="none"/>
          <w:shd w:val="clear" w:fill="FFFFFF"/>
          <w:vertAlign w:val="baseline"/>
          <w:lang w:eastAsia="zh-CN"/>
        </w:rPr>
        <w:t>送</w:t>
      </w:r>
      <w:r>
        <w:rPr>
          <w:rFonts w:hint="eastAsia" w:ascii="宋体" w:hAnsi="宋体" w:eastAsia="宋体" w:cs="宋体"/>
          <w:i w:val="0"/>
          <w:iCs w:val="0"/>
          <w:caps w:val="0"/>
          <w:color w:val="auto"/>
          <w:spacing w:val="0"/>
          <w:sz w:val="28"/>
          <w:szCs w:val="28"/>
          <w:highlight w:val="none"/>
          <w:shd w:val="clear" w:fill="FFFFFF"/>
          <w:vertAlign w:val="baseline"/>
        </w:rPr>
        <w:t>专业</w:t>
      </w:r>
      <w:r>
        <w:rPr>
          <w:rFonts w:hint="eastAsia" w:ascii="宋体" w:hAnsi="宋体" w:eastAsia="宋体" w:cs="宋体"/>
          <w:i w:val="0"/>
          <w:iCs w:val="0"/>
          <w:caps w:val="0"/>
          <w:color w:val="auto"/>
          <w:spacing w:val="0"/>
          <w:sz w:val="28"/>
          <w:szCs w:val="28"/>
          <w:highlight w:val="none"/>
          <w:shd w:val="clear" w:fill="FFFFFF"/>
          <w:vertAlign w:val="baseline"/>
          <w:lang w:eastAsia="zh-CN"/>
        </w:rPr>
        <w:t>具备资质</w:t>
      </w:r>
      <w:r>
        <w:rPr>
          <w:rFonts w:hint="eastAsia" w:ascii="宋体" w:hAnsi="宋体" w:eastAsia="宋体" w:cs="宋体"/>
          <w:i w:val="0"/>
          <w:iCs w:val="0"/>
          <w:caps w:val="0"/>
          <w:color w:val="auto"/>
          <w:spacing w:val="0"/>
          <w:sz w:val="28"/>
          <w:szCs w:val="28"/>
          <w:highlight w:val="none"/>
          <w:shd w:val="clear" w:fill="FFFFFF"/>
          <w:vertAlign w:val="baseline"/>
        </w:rPr>
        <w:t>检验维修机构</w:t>
      </w:r>
      <w:r>
        <w:rPr>
          <w:rFonts w:hint="eastAsia" w:cs="宋体"/>
          <w:i w:val="0"/>
          <w:iCs w:val="0"/>
          <w:caps w:val="0"/>
          <w:color w:val="auto"/>
          <w:spacing w:val="0"/>
          <w:sz w:val="28"/>
          <w:szCs w:val="28"/>
          <w:highlight w:val="none"/>
          <w:shd w:val="clear" w:fill="FFFFFF"/>
          <w:vertAlign w:val="baseline"/>
          <w:lang w:eastAsia="zh-CN"/>
        </w:rPr>
        <w:t>，</w:t>
      </w:r>
      <w:r>
        <w:rPr>
          <w:rFonts w:hint="eastAsia" w:ascii="宋体" w:hAnsi="宋体" w:eastAsia="宋体" w:cs="宋体"/>
          <w:i w:val="0"/>
          <w:iCs w:val="0"/>
          <w:caps w:val="0"/>
          <w:color w:val="auto"/>
          <w:spacing w:val="0"/>
          <w:sz w:val="28"/>
          <w:szCs w:val="28"/>
          <w:highlight w:val="none"/>
          <w:shd w:val="clear" w:fill="FFFFFF"/>
          <w:vertAlign w:val="baseline"/>
        </w:rPr>
        <w:t>检验维修严格执行相关标准、制度。</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ascii="宋体" w:hAnsi="宋体" w:eastAsia="宋体" w:cs="宋体"/>
          <w:i w:val="0"/>
          <w:iCs w:val="0"/>
          <w:caps w:val="0"/>
          <w:color w:val="auto"/>
          <w:spacing w:val="0"/>
          <w:kern w:val="0"/>
          <w:sz w:val="28"/>
          <w:szCs w:val="28"/>
          <w:highlight w:val="none"/>
          <w:shd w:val="clear" w:fill="FFFFFF"/>
          <w:vertAlign w:val="baseline"/>
          <w:lang w:val="en-US" w:eastAsia="zh-CN" w:bidi="ar-SA"/>
        </w:rPr>
      </w:pPr>
      <w:r>
        <w:rPr>
          <w:rFonts w:hint="eastAsia" w:ascii="宋体" w:hAnsi="宋体" w:eastAsia="宋体" w:cs="宋体"/>
          <w:i w:val="0"/>
          <w:iCs w:val="0"/>
          <w:caps w:val="0"/>
          <w:color w:val="auto"/>
          <w:spacing w:val="0"/>
          <w:kern w:val="0"/>
          <w:sz w:val="28"/>
          <w:szCs w:val="28"/>
          <w:highlight w:val="none"/>
          <w:shd w:val="clear" w:fill="FFFFFF"/>
          <w:vertAlign w:val="baseline"/>
          <w:lang w:val="en-US" w:eastAsia="zh-CN" w:bidi="ar-SA"/>
        </w:rPr>
        <w:t>存在交叉作业施工的由各二级单位相关牵头部门或各管理区组织施工及施工配合单位现场负责人参加安全协调会</w:t>
      </w:r>
      <w:r>
        <w:rPr>
          <w:rFonts w:hint="eastAsia" w:ascii="宋体" w:hAnsi="宋体" w:cs="宋体"/>
          <w:i w:val="0"/>
          <w:iCs w:val="0"/>
          <w:caps w:val="0"/>
          <w:color w:val="auto"/>
          <w:spacing w:val="0"/>
          <w:kern w:val="0"/>
          <w:sz w:val="28"/>
          <w:szCs w:val="28"/>
          <w:highlight w:val="none"/>
          <w:shd w:val="clear" w:fill="FFFFFF"/>
          <w:vertAlign w:val="baseline"/>
          <w:lang w:val="en-US" w:eastAsia="zh-CN" w:bidi="ar-SA"/>
        </w:rPr>
        <w:t>，</w:t>
      </w:r>
      <w:r>
        <w:rPr>
          <w:rFonts w:hint="eastAsia" w:ascii="宋体" w:hAnsi="宋体" w:eastAsia="宋体" w:cs="宋体"/>
          <w:i w:val="0"/>
          <w:iCs w:val="0"/>
          <w:caps w:val="0"/>
          <w:color w:val="auto"/>
          <w:spacing w:val="0"/>
          <w:kern w:val="0"/>
          <w:sz w:val="28"/>
          <w:szCs w:val="28"/>
          <w:highlight w:val="none"/>
          <w:shd w:val="clear" w:fill="FFFFFF"/>
          <w:vertAlign w:val="baseline"/>
          <w:lang w:val="en-US" w:eastAsia="zh-CN" w:bidi="ar-SA"/>
        </w:rPr>
        <w:t>强调施工双方职责，进行技术交底。</w:t>
      </w:r>
      <w:r>
        <w:rPr>
          <w:rFonts w:hint="eastAsia" w:ascii="宋体" w:hAnsi="宋体" w:cs="宋体"/>
          <w:i w:val="0"/>
          <w:iCs w:val="0"/>
          <w:caps w:val="0"/>
          <w:color w:val="auto"/>
          <w:spacing w:val="0"/>
          <w:kern w:val="0"/>
          <w:sz w:val="28"/>
          <w:szCs w:val="28"/>
          <w:highlight w:val="none"/>
          <w:shd w:val="clear" w:fill="FFFFFF"/>
          <w:vertAlign w:val="baseline"/>
          <w:lang w:val="en-US" w:eastAsia="zh-CN" w:bidi="ar-SA"/>
        </w:rPr>
        <w:t>交叉作业施工安全协调、技术交底记录单详见报告附件</w:t>
      </w:r>
      <w:r>
        <w:rPr>
          <w:rFonts w:hint="default" w:ascii="Times New Roman" w:hAnsi="Times New Roman" w:cs="Times New Roman"/>
          <w:i w:val="0"/>
          <w:iCs w:val="0"/>
          <w:caps w:val="0"/>
          <w:color w:val="auto"/>
          <w:spacing w:val="0"/>
          <w:kern w:val="0"/>
          <w:sz w:val="28"/>
          <w:szCs w:val="28"/>
          <w:highlight w:val="none"/>
          <w:shd w:val="clear" w:fill="FFFFFF"/>
          <w:vertAlign w:val="baseline"/>
          <w:lang w:val="en-US" w:eastAsia="zh-CN" w:bidi="ar-SA"/>
        </w:rPr>
        <w:t>28</w:t>
      </w:r>
      <w:r>
        <w:rPr>
          <w:rFonts w:hint="eastAsia" w:ascii="宋体" w:hAnsi="宋体" w:cs="宋体"/>
          <w:i w:val="0"/>
          <w:iCs w:val="0"/>
          <w:caps w:val="0"/>
          <w:color w:val="auto"/>
          <w:spacing w:val="0"/>
          <w:kern w:val="0"/>
          <w:sz w:val="28"/>
          <w:szCs w:val="28"/>
          <w:highlight w:val="none"/>
          <w:shd w:val="clear" w:fill="FFFFFF"/>
          <w:vertAlign w:val="baseline"/>
          <w:lang w:val="en-US" w:eastAsia="zh-CN" w:bidi="ar-SA"/>
        </w:rPr>
        <w:t>。</w:t>
      </w:r>
    </w:p>
    <w:p>
      <w:pPr>
        <w:adjustRightInd w:val="0"/>
        <w:snapToGrid w:val="0"/>
        <w:spacing w:line="360" w:lineRule="auto"/>
        <w:outlineLvl w:val="1"/>
        <w:rPr>
          <w:rFonts w:hint="default" w:ascii="Times New Roman" w:hAnsi="Times New Roman" w:eastAsia="黑体" w:cs="Times New Roman"/>
          <w:color w:val="000000" w:themeColor="text1"/>
          <w:sz w:val="32"/>
          <w:szCs w:val="32"/>
          <w14:textFill>
            <w14:solidFill>
              <w14:schemeClr w14:val="tx1"/>
            </w14:solidFill>
          </w14:textFill>
        </w:rPr>
      </w:pPr>
      <w:bookmarkStart w:id="51" w:name="_Toc23569"/>
      <w:r>
        <w:rPr>
          <w:rFonts w:hint="default" w:ascii="Times New Roman" w:hAnsi="Times New Roman" w:eastAsia="黑体" w:cs="Times New Roman"/>
          <w:color w:val="000000" w:themeColor="text1"/>
          <w:sz w:val="32"/>
          <w:szCs w:val="32"/>
          <w14:textFill>
            <w14:solidFill>
              <w14:schemeClr w14:val="tx1"/>
            </w14:solidFill>
          </w14:textFill>
        </w:rPr>
        <w:t>2.1</w:t>
      </w:r>
      <w:r>
        <w:rPr>
          <w:rFonts w:hint="eastAsia" w:eastAsia="黑体" w:cs="Times New Roman"/>
          <w:color w:val="000000" w:themeColor="text1"/>
          <w:sz w:val="32"/>
          <w:szCs w:val="32"/>
          <w:lang w:val="en-US" w:eastAsia="zh-CN"/>
          <w14:textFill>
            <w14:solidFill>
              <w14:schemeClr w14:val="tx1"/>
            </w14:solidFill>
          </w14:textFill>
        </w:rPr>
        <w:t>7</w:t>
      </w:r>
      <w:r>
        <w:rPr>
          <w:rFonts w:hint="default" w:ascii="Times New Roman" w:hAnsi="Times New Roman" w:eastAsia="黑体" w:cs="Times New Roman"/>
          <w:color w:val="000000" w:themeColor="text1"/>
          <w:sz w:val="32"/>
          <w:szCs w:val="32"/>
          <w14:textFill>
            <w14:solidFill>
              <w14:schemeClr w14:val="tx1"/>
            </w14:solidFill>
          </w14:textFill>
        </w:rPr>
        <w:t xml:space="preserve"> 生产安全事故管理</w:t>
      </w:r>
      <w:bookmarkEnd w:id="50"/>
      <w:bookmarkEnd w:id="51"/>
    </w:p>
    <w:p>
      <w:pPr>
        <w:adjustRightInd w:val="0"/>
        <w:snapToGrid w:val="0"/>
        <w:spacing w:line="360" w:lineRule="auto"/>
        <w:ind w:firstLine="560" w:firstLineChars="200"/>
        <w:rPr>
          <w:rFonts w:hint="default"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smallCaps w:val="0"/>
          <w:kern w:val="2"/>
          <w:sz w:val="28"/>
          <w:szCs w:val="28"/>
          <w:lang w:val="en-US" w:eastAsia="zh-CN" w:bidi="ar-SA"/>
        </w:rPr>
        <w:t>康贝油气公司</w:t>
      </w:r>
      <w:r>
        <w:rPr>
          <w:rFonts w:hint="default" w:ascii="Times New Roman" w:hAnsi="Times New Roman" w:eastAsia="宋体" w:cs="Times New Roman"/>
          <w:color w:val="000000" w:themeColor="text1"/>
          <w:sz w:val="28"/>
          <w:szCs w:val="28"/>
          <w14:textFill>
            <w14:solidFill>
              <w14:schemeClr w14:val="tx1"/>
            </w14:solidFill>
          </w14:textFill>
        </w:rPr>
        <w:t>制定了《生产安全事故管理制度》，该制度明确了事故等级，规定了事故报告、事故调查处理的要求，凡事故发生后必须按“四不放过”的原则进行处理，同时拟定预防措施，杜绝类似事故发生。经查询东营市人民政府政府信息公开目录《东营市2022年安全生产事故调查情况》、《东营市2021年安全生产事故调查情况》及东营区政务公开信息-安全生产事故调查报告，均未查询到2021及2022年该企业生产安全事故信息。</w:t>
      </w:r>
    </w:p>
    <w:p>
      <w:pPr>
        <w:pStyle w:val="15"/>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cs="Times New Roman"/>
          <w:smallCaps w:val="0"/>
          <w:sz w:val="28"/>
          <w:szCs w:val="28"/>
          <w:lang w:val="en-US" w:eastAsia="zh-CN"/>
        </w:rPr>
      </w:pPr>
    </w:p>
    <w:p>
      <w:pPr>
        <w:adjustRightInd w:val="0"/>
        <w:snapToGrid w:val="0"/>
        <w:spacing w:line="360" w:lineRule="auto"/>
        <w:ind w:firstLine="560" w:firstLineChars="200"/>
        <w:rPr>
          <w:sz w:val="28"/>
          <w:szCs w:val="28"/>
        </w:rPr>
      </w:pPr>
    </w:p>
    <w:p>
      <w:pPr>
        <w:widowControl/>
        <w:jc w:val="left"/>
        <w:rPr>
          <w:sz w:val="28"/>
          <w:szCs w:val="28"/>
        </w:rPr>
      </w:pPr>
      <w:r>
        <w:rPr>
          <w:sz w:val="28"/>
          <w:szCs w:val="28"/>
        </w:rPr>
        <w:br w:type="page"/>
      </w:r>
    </w:p>
    <w:p>
      <w:pPr>
        <w:keepNext/>
        <w:adjustRightInd w:val="0"/>
        <w:snapToGrid w:val="0"/>
        <w:spacing w:line="360" w:lineRule="auto"/>
        <w:jc w:val="center"/>
        <w:outlineLvl w:val="0"/>
        <w:rPr>
          <w:rFonts w:eastAsia="楷体_GB2312"/>
          <w:b/>
          <w:sz w:val="36"/>
          <w:szCs w:val="36"/>
        </w:rPr>
      </w:pPr>
      <w:bookmarkStart w:id="52" w:name="_Toc447782514"/>
      <w:bookmarkStart w:id="53" w:name="_Toc5363"/>
      <w:r>
        <w:rPr>
          <w:rFonts w:hint="eastAsia" w:eastAsia="楷体_GB2312"/>
          <w:b/>
          <w:sz w:val="36"/>
          <w:szCs w:val="36"/>
        </w:rPr>
        <w:t>3 主要危险、有害因素分析</w:t>
      </w:r>
      <w:bookmarkEnd w:id="52"/>
      <w:bookmarkEnd w:id="53"/>
    </w:p>
    <w:p>
      <w:pPr>
        <w:pStyle w:val="4"/>
        <w:adjustRightInd w:val="0"/>
        <w:snapToGrid w:val="0"/>
        <w:spacing w:before="0" w:after="0" w:line="360" w:lineRule="auto"/>
        <w:rPr>
          <w:rFonts w:ascii="Times New Roman" w:hAnsi="Times New Roman"/>
          <w:b w:val="0"/>
          <w:bCs/>
          <w:szCs w:val="32"/>
        </w:rPr>
      </w:pPr>
      <w:bookmarkStart w:id="54" w:name="_Toc447782515"/>
      <w:bookmarkStart w:id="55" w:name="_Toc276394620"/>
      <w:bookmarkStart w:id="56" w:name="_Toc13101"/>
      <w:bookmarkStart w:id="57" w:name="_Toc248650008"/>
      <w:bookmarkStart w:id="58" w:name="_Toc291144364"/>
      <w:r>
        <w:rPr>
          <w:rFonts w:hint="eastAsia" w:ascii="Times New Roman" w:hAnsi="Times New Roman"/>
          <w:b w:val="0"/>
          <w:bCs/>
          <w:szCs w:val="32"/>
        </w:rPr>
        <w:t>3.1 主要危险有害物质分析</w:t>
      </w:r>
      <w:bookmarkEnd w:id="54"/>
      <w:bookmarkEnd w:id="55"/>
      <w:bookmarkEnd w:id="56"/>
      <w:bookmarkEnd w:id="57"/>
      <w:bookmarkEnd w:id="58"/>
    </w:p>
    <w:p>
      <w:pPr>
        <w:adjustRightInd w:val="0"/>
        <w:snapToGrid w:val="0"/>
        <w:spacing w:line="360" w:lineRule="auto"/>
        <w:ind w:firstLine="560" w:firstLineChars="200"/>
        <w:rPr>
          <w:sz w:val="28"/>
        </w:rPr>
      </w:pPr>
      <w:r>
        <w:rPr>
          <w:rFonts w:hint="eastAsia"/>
          <w:sz w:val="28"/>
          <w:szCs w:val="28"/>
          <w:lang w:eastAsia="zh-CN"/>
        </w:rPr>
        <w:t>胜利油田康贝油气工程有限公司</w:t>
      </w:r>
      <w:r>
        <w:rPr>
          <w:rFonts w:hint="eastAsia"/>
          <w:sz w:val="28"/>
          <w:szCs w:val="28"/>
        </w:rPr>
        <w:t>井下作业小修作业、大修作业、</w:t>
      </w:r>
      <w:r>
        <w:rPr>
          <w:rFonts w:hint="eastAsia"/>
          <w:sz w:val="28"/>
          <w:szCs w:val="28"/>
          <w:lang w:val="en-US" w:eastAsia="zh-CN"/>
        </w:rPr>
        <w:t>侧钻、</w:t>
      </w:r>
      <w:r>
        <w:rPr>
          <w:rFonts w:hint="eastAsia"/>
          <w:sz w:val="28"/>
          <w:szCs w:val="28"/>
          <w:lang w:eastAsia="zh-CN"/>
        </w:rPr>
        <w:t>连续油管作业、酸化、防砂、堵水/调剖、特殊工艺技术服务（套管补贴）、井下</w:t>
      </w:r>
      <w:r>
        <w:rPr>
          <w:rFonts w:hint="eastAsia"/>
          <w:sz w:val="28"/>
          <w:szCs w:val="28"/>
        </w:rPr>
        <w:t>复杂情况处</w:t>
      </w:r>
      <w:r>
        <w:rPr>
          <w:rFonts w:hint="eastAsia"/>
          <w:sz w:val="28"/>
          <w:szCs w:val="28"/>
          <w:lang w:eastAsia="zh-CN"/>
        </w:rPr>
        <w:t>理（打捞、堵漏）、现</w:t>
      </w:r>
      <w:r>
        <w:rPr>
          <w:rFonts w:hint="eastAsia"/>
          <w:sz w:val="28"/>
          <w:szCs w:val="28"/>
        </w:rPr>
        <w:t>场试压作业项目，作业过程中涉及的主要危险、有害物质有原油、天然气、硫化氢、二氧化硫、化学助剂、柴油、</w:t>
      </w:r>
      <w:r>
        <w:rPr>
          <w:rFonts w:hint="eastAsia"/>
          <w:sz w:val="28"/>
          <w:szCs w:val="28"/>
          <w:lang w:val="en-US" w:eastAsia="zh-CN"/>
        </w:rPr>
        <w:t>盐酸、复合酸</w:t>
      </w:r>
      <w:r>
        <w:rPr>
          <w:rFonts w:hint="eastAsia"/>
          <w:sz w:val="28"/>
          <w:szCs w:val="28"/>
        </w:rPr>
        <w:t>等。主要危险、有害物质的危险、危害特性如下：</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 xml:space="preserve">3.1.1 </w:t>
      </w:r>
      <w:r>
        <w:rPr>
          <w:rFonts w:eastAsia="黑体"/>
          <w:bCs/>
          <w:snapToGrid w:val="0"/>
          <w:kern w:val="0"/>
          <w:sz w:val="28"/>
          <w:szCs w:val="28"/>
        </w:rPr>
        <w:t>原油</w:t>
      </w:r>
    </w:p>
    <w:p>
      <w:pPr>
        <w:adjustRightInd w:val="0"/>
        <w:snapToGrid w:val="0"/>
        <w:spacing w:line="360" w:lineRule="auto"/>
        <w:ind w:firstLine="560" w:firstLineChars="200"/>
        <w:rPr>
          <w:sz w:val="28"/>
          <w:szCs w:val="28"/>
        </w:rPr>
      </w:pPr>
      <w:r>
        <w:rPr>
          <w:rFonts w:hint="eastAsia"/>
          <w:sz w:val="28"/>
          <w:szCs w:val="28"/>
          <w:lang w:val="en-US" w:eastAsia="zh-CN"/>
        </w:rPr>
        <w:t>小修作业、大修作业、连续油管、特殊工艺技术服务（套管补贴）、井下复杂情况处理（打捞、堵漏）等作业施工中涉及危险有害物质原油。</w:t>
      </w:r>
      <w:r>
        <w:rPr>
          <w:rFonts w:hint="eastAsia"/>
          <w:sz w:val="28"/>
          <w:szCs w:val="28"/>
        </w:rPr>
        <w:t>原油是由各种烃类组成的一种复杂混合物，含有少量硫、氮、氧有机物及微量金属。外观是一种流动和半流动的粘稠液体，颜色大部分是暗色的（从褐色至深黑色），具有一定的火灾危险性。</w:t>
      </w:r>
    </w:p>
    <w:p>
      <w:pPr>
        <w:adjustRightInd w:val="0"/>
        <w:snapToGrid w:val="0"/>
        <w:spacing w:line="360" w:lineRule="auto"/>
        <w:ind w:firstLine="560" w:firstLineChars="200"/>
        <w:rPr>
          <w:sz w:val="28"/>
          <w:szCs w:val="28"/>
        </w:rPr>
      </w:pPr>
      <w:r>
        <w:rPr>
          <w:rFonts w:hint="eastAsia"/>
          <w:sz w:val="28"/>
          <w:szCs w:val="28"/>
        </w:rPr>
        <w:t>原油的主要危险有害特性见下表。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rPr>
      </w:pPr>
      <w:r>
        <w:rPr>
          <w:rFonts w:hint="eastAsia"/>
          <w:b/>
          <w:bCs/>
          <w:sz w:val="21"/>
          <w:szCs w:val="21"/>
        </w:rPr>
        <w:t xml:space="preserve">表3-1 </w:t>
      </w:r>
      <w:r>
        <w:rPr>
          <w:rFonts w:hint="eastAsia"/>
          <w:b/>
          <w:bCs/>
          <w:sz w:val="21"/>
          <w:szCs w:val="21"/>
          <w:lang w:val="en-US" w:eastAsia="zh-CN"/>
        </w:rPr>
        <w:t xml:space="preserve"> </w:t>
      </w:r>
      <w:r>
        <w:rPr>
          <w:rFonts w:hint="eastAsia"/>
          <w:b/>
          <w:bCs/>
          <w:sz w:val="21"/>
          <w:szCs w:val="21"/>
        </w:rPr>
        <w:t>原油主要危险有害特性一览表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2003"/>
        <w:gridCol w:w="1190"/>
        <w:gridCol w:w="1133"/>
        <w:gridCol w:w="709"/>
        <w:gridCol w:w="569"/>
        <w:gridCol w:w="937"/>
        <w:gridCol w:w="137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标识</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中文名</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原油</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CAS</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8002-05-9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分子式</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lang w:val="en-US" w:eastAsia="zh-CN"/>
              </w:rPr>
              <w:t>危化品序</w:t>
            </w:r>
            <w:r>
              <w:rPr>
                <w:rFonts w:hint="eastAsia" w:ascii="Times New Roman" w:hAnsi="Times New Roman" w:cs="Times New Roman"/>
                <w:szCs w:val="21"/>
              </w:rPr>
              <w:t>号</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1967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分子量</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UN编号</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1267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理化性质</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外观性状</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红色、红棕色或黑色有绿色荧光的稠厚性油状液体。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主要用途</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可分离出多种有机原料，如汽油，苯、煤油、沥青等。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溶解性</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不溶于水，溶于多数有机溶剂。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熔点（℃）</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6</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燃烧热（kJ/mol</w:t>
            </w:r>
            <w:r>
              <w:rPr>
                <w:rFonts w:hint="default" w:ascii="Times New Roman" w:hAnsi="Times New Roman" w:cs="Times New Roman"/>
                <w:szCs w:val="21"/>
              </w:rPr>
              <w:t>）</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沸点（℃）</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自常温至500℃以上</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饱和蒸气压（kPa）</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相对密度（水=1）</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0.78～0.97</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临界温度（℃）</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相对密度（空气=1）</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临界压力（MPa）</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燃烧爆炸危险性</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zCs w:val="21"/>
                <w:lang w:eastAsia="zh-CN"/>
              </w:rPr>
            </w:pPr>
            <w:r>
              <w:rPr>
                <w:rFonts w:hint="eastAsia" w:ascii="Times New Roman" w:hAnsi="Times New Roman" w:cs="Times New Roman"/>
                <w:szCs w:val="21"/>
              </w:rPr>
              <w:t>燃烧性</w:t>
            </w:r>
            <w:r>
              <w:rPr>
                <w:rFonts w:hint="eastAsia" w:ascii="Times New Roman" w:hAnsi="Times New Roman" w:cs="Times New Roman"/>
                <w:szCs w:val="21"/>
                <w:lang w:eastAsia="zh-CN"/>
              </w:rPr>
              <w:t>：</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可燃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危险特性</w:t>
            </w:r>
          </w:p>
        </w:tc>
        <w:tc>
          <w:tcPr>
            <w:tcW w:w="2885" w:type="dxa"/>
            <w:gridSpan w:val="3"/>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其蒸气与空气形成爆炸性混合物，遇明火、高热能引起燃烧爆炸。与氧化剂能发生强烈反应，若遇高热，容器内压增大，有开裂和爆炸的危险。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建规火险分级</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无资料</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885"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闪点（℃）</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无资料</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885"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引燃温度（℃）</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350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885"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爆炸下限（V/%）</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1.1</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885"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爆炸上限（V/%）</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8.7</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燃烧（分解）产物</w:t>
            </w:r>
          </w:p>
        </w:tc>
        <w:tc>
          <w:tcPr>
            <w:tcW w:w="2885" w:type="dxa"/>
            <w:gridSpan w:val="3"/>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稳定性</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宋体"/>
                <w:szCs w:val="21"/>
              </w:rPr>
            </w:pPr>
            <w:r>
              <w:rPr>
                <w:rFonts w:hint="default" w:ascii="Times New Roman" w:hAnsi="Times New Roman" w:cs="宋体"/>
                <w:szCs w:val="21"/>
              </w:rPr>
              <w:t>灭火方法</w:t>
            </w:r>
          </w:p>
        </w:tc>
        <w:tc>
          <w:tcPr>
            <w:tcW w:w="3594"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聚合危害</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不能出现</w:t>
            </w:r>
          </w:p>
        </w:tc>
        <w:tc>
          <w:tcPr>
            <w:tcW w:w="2411"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禁忌物</w:t>
            </w:r>
          </w:p>
        </w:tc>
        <w:tc>
          <w:tcPr>
            <w:tcW w:w="2316"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强氧化剂。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包装与储运</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Cs w:val="21"/>
              </w:rPr>
              <w:t>危险货物包装标志</w:t>
            </w:r>
          </w:p>
        </w:tc>
        <w:tc>
          <w:tcPr>
            <w:tcW w:w="1190"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Cs w:val="21"/>
              </w:rPr>
              <w:t>7</w:t>
            </w:r>
          </w:p>
        </w:tc>
        <w:tc>
          <w:tcPr>
            <w:tcW w:w="3348"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包装类别</w:t>
            </w:r>
          </w:p>
        </w:tc>
        <w:tc>
          <w:tcPr>
            <w:tcW w:w="137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zCs w:val="21"/>
                <w:lang w:eastAsia="zh-CN"/>
              </w:rPr>
            </w:pPr>
            <w:r>
              <w:rPr>
                <w:rFonts w:hint="eastAsia" w:ascii="Times New Roman" w:hAnsi="Times New Roman" w:cs="Times New Roman"/>
                <w:szCs w:val="21"/>
              </w:rPr>
              <w:t>储运注意事项</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储存于阴凉、通风仓间内。远寓火种、热源。仓温不宜超过30℃。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3m/s），且有接地装置，防止静电积聚。搬运时要轻装轻卸，防止包装及容器损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毒性与健康危害性</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接触限值</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毒性</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LD</w:t>
            </w:r>
            <w:r>
              <w:rPr>
                <w:rFonts w:hint="eastAsia" w:ascii="Times New Roman" w:hAnsi="Times New Roman" w:cs="Times New Roman"/>
                <w:szCs w:val="21"/>
                <w:vertAlign w:val="subscript"/>
              </w:rPr>
              <w:t>50</w:t>
            </w:r>
            <w:r>
              <w:rPr>
                <w:rFonts w:hint="eastAsia" w:ascii="Times New Roman" w:hAnsi="Times New Roman" w:cs="Times New Roman"/>
                <w:szCs w:val="21"/>
                <w:lang w:eastAsia="zh-CN"/>
              </w:rPr>
              <w:t>：</w:t>
            </w:r>
            <w:r>
              <w:rPr>
                <w:rFonts w:hint="eastAsia" w:ascii="Times New Roman" w:hAnsi="Times New Roman" w:cs="Times New Roman"/>
                <w:szCs w:val="21"/>
              </w:rPr>
              <w:t>500～5000mg/kg（哺乳动物吸入）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健康危害</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原油蒸气可引起眼及上呼吸道刺激症状，如浓度过高，几分钟即可引起呼吸困难、紫绀等缺氧症状。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侵入途径</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吸入 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急救</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皮肤接触</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脱去污染的衣着，用肥皂水及清水彻底冲洗。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眼睛接触</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立即提起眼睑，用流动清水冲洗。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吸入</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迅速脱离现场至空气新鲜处。注意保暖，呼吸困难时给输氧。呼吸停止时，立即进行人工呼吸。就医。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食入</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误服者给充分漱口、饮水，就医。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防护措施</w:t>
            </w: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工程控制</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呼吸系统防护</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高浓度环境中，应该佩带防毒口罩。必要时建议佩带自给式呼吸器。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眼睛防护</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防护服</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穿相应的防护服。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手防护</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0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其它</w:t>
            </w:r>
          </w:p>
        </w:tc>
        <w:tc>
          <w:tcPr>
            <w:tcW w:w="591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工作现场严禁吸烟。工作后，淋浴更衣。注意个人清洁卫生。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泄漏处置</w:t>
            </w:r>
          </w:p>
        </w:tc>
        <w:tc>
          <w:tcPr>
            <w:tcW w:w="7920"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kern w:val="0"/>
          <w:sz w:val="28"/>
          <w:szCs w:val="28"/>
        </w:rPr>
      </w:pPr>
      <w:r>
        <w:rPr>
          <w:rFonts w:hint="eastAsia" w:eastAsia="黑体"/>
          <w:bCs/>
          <w:snapToGrid w:val="0"/>
          <w:kern w:val="0"/>
          <w:sz w:val="28"/>
          <w:szCs w:val="28"/>
        </w:rPr>
        <w:t>3.1.2 天然气</w:t>
      </w:r>
    </w:p>
    <w:p>
      <w:pPr>
        <w:adjustRightInd w:val="0"/>
        <w:snapToGrid w:val="0"/>
        <w:spacing w:line="360" w:lineRule="auto"/>
        <w:ind w:firstLine="560" w:firstLineChars="200"/>
        <w:rPr>
          <w:sz w:val="28"/>
          <w:szCs w:val="28"/>
        </w:rPr>
      </w:pPr>
      <w:r>
        <w:rPr>
          <w:rFonts w:hint="eastAsia"/>
          <w:sz w:val="28"/>
          <w:szCs w:val="28"/>
          <w:lang w:val="en-US" w:eastAsia="zh-CN"/>
        </w:rPr>
        <w:t>小修作业、大修作业、连续油管、特殊工艺技术服务（套管补贴）、井下复杂情况处理（打捞、堵漏）等作业施工中涉及危险有害物质天然气。</w:t>
      </w:r>
      <w:r>
        <w:rPr>
          <w:rFonts w:hint="eastAsia"/>
          <w:sz w:val="28"/>
          <w:szCs w:val="28"/>
        </w:rPr>
        <w:t>天然气的成分主要为低分子量的烷烃（如甲烷、乙烷）组成的混合物，不含硫化氢，其他成分含量低。根据《石油天然气工程设计防火规范》（GB50183-2004），一般天然气的火灾危险性类别为甲</w:t>
      </w:r>
      <w:r>
        <w:rPr>
          <w:rFonts w:hint="eastAsia"/>
          <w:sz w:val="28"/>
          <w:szCs w:val="28"/>
          <w:vertAlign w:val="subscript"/>
        </w:rPr>
        <w:t>B</w:t>
      </w:r>
      <w:r>
        <w:rPr>
          <w:rFonts w:hint="eastAsia"/>
          <w:sz w:val="28"/>
          <w:szCs w:val="28"/>
        </w:rPr>
        <w:t>类，属易燃、易爆性物质。其爆炸极限范围较宽，一旦泄漏，很容易与空气形成爆炸性气体混合物，遇火源极易发生燃爆。</w:t>
      </w:r>
    </w:p>
    <w:p>
      <w:pPr>
        <w:adjustRightInd w:val="0"/>
        <w:snapToGrid w:val="0"/>
        <w:spacing w:line="360" w:lineRule="auto"/>
        <w:ind w:firstLine="560" w:firstLineChars="200"/>
        <w:rPr>
          <w:sz w:val="28"/>
          <w:szCs w:val="28"/>
        </w:rPr>
      </w:pPr>
      <w:r>
        <w:rPr>
          <w:rFonts w:hint="eastAsia"/>
          <w:sz w:val="28"/>
          <w:szCs w:val="28"/>
        </w:rPr>
        <w:t>天然气的主要成分均属无毒、低毒或微毒，主要侵入途径是呼吸道、皮肤和眼睛。高浓度吸入会造成不同程度的伤害，皮肤、眼睛接触会引起刺激症状。有的低浓度长时间接触可引起神经衰弱症状。空气中浓度增加会使氧气含量降低，达到一定浓度时，会导致缺氧窒息。</w:t>
      </w:r>
    </w:p>
    <w:p>
      <w:pPr>
        <w:adjustRightInd w:val="0"/>
        <w:snapToGrid w:val="0"/>
        <w:spacing w:line="360" w:lineRule="auto"/>
        <w:ind w:firstLine="560" w:firstLineChars="200"/>
        <w:rPr>
          <w:sz w:val="28"/>
          <w:szCs w:val="28"/>
        </w:rPr>
      </w:pPr>
      <w:r>
        <w:rPr>
          <w:rFonts w:hint="eastAsia"/>
          <w:sz w:val="28"/>
          <w:szCs w:val="28"/>
        </w:rPr>
        <w:t>天然气中甲烷含量可达80%以上，甲烷的主要危险有害特性见下表。</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rPr>
      </w:pPr>
      <w:r>
        <w:rPr>
          <w:rFonts w:hint="eastAsia"/>
          <w:b/>
          <w:bCs/>
          <w:sz w:val="21"/>
          <w:szCs w:val="21"/>
        </w:rPr>
        <w:t xml:space="preserve">表3-2 </w:t>
      </w:r>
      <w:r>
        <w:rPr>
          <w:rFonts w:hint="eastAsia"/>
          <w:b/>
          <w:bCs/>
          <w:sz w:val="21"/>
          <w:szCs w:val="21"/>
          <w:lang w:val="en-US" w:eastAsia="zh-CN"/>
        </w:rPr>
        <w:t xml:space="preserve"> </w:t>
      </w:r>
      <w:r>
        <w:rPr>
          <w:rFonts w:hint="eastAsia"/>
          <w:b/>
          <w:bCs/>
          <w:sz w:val="21"/>
          <w:szCs w:val="21"/>
        </w:rPr>
        <w:t>甲烷主要危险有害特性一览表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954"/>
        <w:gridCol w:w="1239"/>
        <w:gridCol w:w="1133"/>
        <w:gridCol w:w="709"/>
        <w:gridCol w:w="284"/>
        <w:gridCol w:w="885"/>
        <w:gridCol w:w="17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标识</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中文名</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甲烷</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CAS</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74-82-8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分子式</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CH</w:t>
            </w:r>
            <w:r>
              <w:rPr>
                <w:rFonts w:hint="eastAsia" w:ascii="Times New Roman" w:hAnsi="Times New Roman" w:cs="Times New Roman"/>
                <w:szCs w:val="21"/>
                <w:vertAlign w:val="subscript"/>
              </w:rPr>
              <w:t>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lang w:val="en-US" w:eastAsia="zh-CN"/>
              </w:rPr>
              <w:t>危化品序</w:t>
            </w:r>
            <w:r>
              <w:rPr>
                <w:rFonts w:hint="eastAsia" w:ascii="Times New Roman" w:hAnsi="Times New Roman" w:cs="Times New Roman"/>
                <w:szCs w:val="21"/>
              </w:rPr>
              <w:t>号</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1188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分子量</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16.04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UN编号</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1971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理化性质</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外观性状</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无色无臭气体。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主要用途</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用作燃料和用于炭黑、氢、乙炔、甲醛等的制造。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溶解性</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微溶于水，溶于乙醇、乙醚。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熔点（℃）</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-182.5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燃烧热（kJ/mol</w:t>
            </w:r>
            <w:r>
              <w:rPr>
                <w:rFonts w:hint="default" w:ascii="Times New Roman" w:hAnsi="Times New Roman" w:cs="Times New Roman"/>
                <w:szCs w:val="21"/>
              </w:rPr>
              <w:t>）</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889.5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沸点（℃）</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-161.5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饱和蒸气压（kPa）</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53.32/-168.8℃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相对密度（水=1）</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0.42/-164℃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临界温度（℃）</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-82.6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相对密度</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（空气=1）</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0.55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临界压力（MPa）</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4.59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燃烧爆炸危险性</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zCs w:val="21"/>
                <w:lang w:eastAsia="zh-CN"/>
              </w:rPr>
            </w:pPr>
            <w:r>
              <w:rPr>
                <w:rFonts w:hint="eastAsia" w:ascii="Times New Roman" w:hAnsi="Times New Roman" w:cs="Times New Roman"/>
                <w:szCs w:val="21"/>
              </w:rPr>
              <w:t>燃烧性</w:t>
            </w:r>
            <w:r>
              <w:rPr>
                <w:rFonts w:hint="eastAsia" w:ascii="Times New Roman" w:hAnsi="Times New Roman" w:cs="Times New Roman"/>
                <w:szCs w:val="21"/>
                <w:lang w:eastAsia="zh-CN"/>
              </w:rPr>
              <w:t>：</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易燃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危险特性</w:t>
            </w:r>
          </w:p>
        </w:tc>
        <w:tc>
          <w:tcPr>
            <w:tcW w:w="2886" w:type="dxa"/>
            <w:gridSpan w:val="3"/>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与空气混合能形成爆炸性混合物，遇明火、高热能引起燃烧爆炸。与氟、氯等能发生剧烈的化学反应。若遇高热，容器内压增大，有开裂和爆炸的危险。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建规火险分级</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甲</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886"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闪点（℃）</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-188</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886"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引燃温度（℃）</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538</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886"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爆炸下限（V/%）</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5.3</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2886" w:type="dxa"/>
            <w:gridSpan w:val="3"/>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爆炸上限（V/%）</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燃烧（分解）产物</w:t>
            </w:r>
          </w:p>
        </w:tc>
        <w:tc>
          <w:tcPr>
            <w:tcW w:w="2886" w:type="dxa"/>
            <w:gridSpan w:val="3"/>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稳定性</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宋体"/>
                <w:szCs w:val="21"/>
              </w:rPr>
            </w:pPr>
            <w:r>
              <w:rPr>
                <w:rFonts w:hint="default" w:ascii="Times New Roman" w:hAnsi="Times New Roman" w:cs="宋体"/>
                <w:szCs w:val="21"/>
              </w:rPr>
              <w:t>灭火方法</w:t>
            </w:r>
          </w:p>
        </w:tc>
        <w:tc>
          <w:tcPr>
            <w:tcW w:w="3595"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切断气源。若不能立即切断气源，则不允许熄灭正在燃烧的气体。喷水冷却容器，可能的话将容器从火场移至空旷处。雾状水、泡沫、二氧化碳。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聚合危害</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不能出现</w:t>
            </w:r>
          </w:p>
        </w:tc>
        <w:tc>
          <w:tcPr>
            <w:tcW w:w="2126"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禁忌物</w:t>
            </w:r>
          </w:p>
        </w:tc>
        <w:tc>
          <w:tcPr>
            <w:tcW w:w="260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强氧化剂、氟、氯。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包装与储运</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szCs w:val="21"/>
              </w:rPr>
              <w:t>危险货物包装标志</w:t>
            </w:r>
          </w:p>
        </w:tc>
        <w:tc>
          <w:tcPr>
            <w:tcW w:w="1239"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cs="Times New Roman"/>
                <w:szCs w:val="21"/>
              </w:rPr>
              <w:t>4</w:t>
            </w:r>
          </w:p>
        </w:tc>
        <w:tc>
          <w:tcPr>
            <w:tcW w:w="3011"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包装类别</w:t>
            </w:r>
          </w:p>
        </w:tc>
        <w:tc>
          <w:tcPr>
            <w:tcW w:w="171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szCs w:val="21"/>
                <w:lang w:eastAsia="zh-CN"/>
              </w:rPr>
            </w:pPr>
            <w:r>
              <w:rPr>
                <w:rFonts w:hint="eastAsia" w:ascii="Times New Roman" w:hAnsi="Times New Roman" w:cs="Times New Roman"/>
                <w:szCs w:val="21"/>
              </w:rPr>
              <w:t>储运注意事项</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易燃压缩气体。储存于阴凉、通风仓间内。仓温不宜超过30℃。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毒性与健康危害性</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接触限值</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苏联MAC</w:t>
            </w:r>
            <w:r>
              <w:rPr>
                <w:rFonts w:hint="eastAsia" w:ascii="Times New Roman" w:hAnsi="Times New Roman" w:cs="Times New Roman"/>
                <w:szCs w:val="21"/>
                <w:lang w:eastAsia="zh-CN"/>
              </w:rPr>
              <w:t>：</w:t>
            </w:r>
            <w:r>
              <w:rPr>
                <w:rFonts w:hint="eastAsia" w:ascii="Times New Roman" w:hAnsi="Times New Roman" w:cs="Times New Roman"/>
                <w:szCs w:val="21"/>
              </w:rPr>
              <w:t>300mg/m</w:t>
            </w:r>
            <w:r>
              <w:rPr>
                <w:rFonts w:hint="eastAsia" w:ascii="Times New Roman" w:hAnsi="Times New Roman" w:cs="Times New Roman"/>
                <w:szCs w:val="21"/>
                <w:vertAlign w:val="superscript"/>
              </w:rPr>
              <w:t>3</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美国TWA</w:t>
            </w:r>
            <w:r>
              <w:rPr>
                <w:rFonts w:hint="eastAsia" w:ascii="Times New Roman" w:hAnsi="Times New Roman" w:cs="Times New Roman"/>
                <w:szCs w:val="21"/>
                <w:lang w:eastAsia="zh-CN"/>
              </w:rPr>
              <w:t>：</w:t>
            </w:r>
            <w:r>
              <w:rPr>
                <w:rFonts w:hint="eastAsia" w:ascii="Times New Roman" w:hAnsi="Times New Roman" w:cs="Times New Roman"/>
                <w:szCs w:val="21"/>
              </w:rPr>
              <w:t>ACGIH窒息性气体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毒性</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健康危害</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空气中甲烷浓度过高，能使人窒息。当空气中甲烷达25～30％时，可引起头痛、头晕、乏力、注意力不集中、呼吸和心跳加速、精细动作障碍等，甚至因缺氧而窒息、昏迷。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侵入途径</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急救</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皮肤接触</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若有冻伤，就医治疗。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眼睛接触</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吸入</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迅速脱离现场至空气新鲜处。注意保暖，呼吸困难时给输氧。呼吸及心跳停止者立即进行人工呼吸和心脏按压术。就医。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食入</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szCs w:val="21"/>
              </w:rPr>
            </w:pPr>
            <w:r>
              <w:rPr>
                <w:rFonts w:hint="eastAsia" w:ascii="Times New Roman" w:hAnsi="Times New Roman" w:cs="Times New Roman"/>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防护措施</w:t>
            </w: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工程控制</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生产过程密闭，全面通风。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呼吸系统防护</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高浓度环境中，佩带供气式呼吸器。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眼睛防护</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一般不需特殊防护，高浓度接触时可戴安全防护眼镜。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防护服</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穿工作服。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手防护</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一般不需特殊防护，高浓度接触时可戴防护手套。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p>
        </w:tc>
        <w:tc>
          <w:tcPr>
            <w:tcW w:w="195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其它</w:t>
            </w:r>
          </w:p>
        </w:tc>
        <w:tc>
          <w:tcPr>
            <w:tcW w:w="5967" w:type="dxa"/>
            <w:gridSpan w:val="6"/>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工作现场严禁吸烟。避免长期反复接触。进入罐或其它高浓度区作业，须有人监护。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szCs w:val="21"/>
              </w:rPr>
            </w:pPr>
            <w:r>
              <w:rPr>
                <w:rFonts w:hint="eastAsia" w:ascii="Times New Roman" w:hAnsi="Times New Roman" w:cs="Times New Roman"/>
                <w:szCs w:val="21"/>
              </w:rPr>
              <w:t>泄漏处置</w:t>
            </w:r>
          </w:p>
        </w:tc>
        <w:tc>
          <w:tcPr>
            <w:tcW w:w="7921"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ascii="Times New Roman" w:hAnsi="Times New Roman" w:cs="Times New Roman"/>
                <w:szCs w:val="21"/>
              </w:rPr>
            </w:pPr>
            <w:r>
              <w:rPr>
                <w:rFonts w:hint="eastAsia" w:ascii="Times New Roman" w:hAnsi="Times New Roman" w:cs="Times New Roman"/>
                <w:szCs w:val="21"/>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kern w:val="0"/>
          <w:sz w:val="28"/>
          <w:szCs w:val="28"/>
        </w:rPr>
      </w:pPr>
      <w:r>
        <w:rPr>
          <w:rFonts w:hint="eastAsia" w:eastAsia="黑体"/>
          <w:bCs/>
          <w:snapToGrid w:val="0"/>
          <w:kern w:val="0"/>
          <w:sz w:val="28"/>
          <w:szCs w:val="28"/>
        </w:rPr>
        <w:t>3.1.3 硫化氢</w:t>
      </w:r>
    </w:p>
    <w:p>
      <w:pPr>
        <w:adjustRightInd w:val="0"/>
        <w:snapToGrid w:val="0"/>
        <w:spacing w:line="360" w:lineRule="auto"/>
        <w:ind w:firstLine="560" w:firstLineChars="200"/>
        <w:rPr>
          <w:sz w:val="28"/>
          <w:szCs w:val="28"/>
        </w:rPr>
      </w:pPr>
      <w:r>
        <w:rPr>
          <w:rFonts w:hint="eastAsia"/>
          <w:sz w:val="28"/>
          <w:szCs w:val="28"/>
          <w:lang w:val="en-US" w:eastAsia="zh-CN"/>
        </w:rPr>
        <w:t>该公司井下作业的各种作业类型均涉及危险有害物质硫化氢。</w:t>
      </w:r>
      <w:r>
        <w:rPr>
          <w:rFonts w:hint="eastAsia"/>
          <w:sz w:val="28"/>
          <w:szCs w:val="28"/>
        </w:rPr>
        <w:t>硫化氢（H</w:t>
      </w:r>
      <w:r>
        <w:rPr>
          <w:rFonts w:hint="eastAsia"/>
          <w:sz w:val="28"/>
          <w:szCs w:val="28"/>
          <w:vertAlign w:val="subscript"/>
        </w:rPr>
        <w:t>2</w:t>
      </w:r>
      <w:r>
        <w:rPr>
          <w:rFonts w:hint="eastAsia"/>
          <w:sz w:val="28"/>
          <w:szCs w:val="28"/>
        </w:rPr>
        <w:t>S）是硫的氢化物中最简单的一种。常温时硫化氢是一种无色有臭鸡蛋气味的剧毒气体，应在通风处进行使用必须采取防护措施。</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8"/>
          <w:szCs w:val="28"/>
        </w:rPr>
      </w:pPr>
      <w:r>
        <w:rPr>
          <w:rFonts w:hint="eastAsia"/>
          <w:b/>
          <w:bCs/>
          <w:sz w:val="21"/>
          <w:szCs w:val="21"/>
        </w:rPr>
        <w:t>表3-3</w:t>
      </w:r>
      <w:r>
        <w:rPr>
          <w:rFonts w:hint="eastAsia"/>
          <w:b/>
          <w:bCs/>
          <w:sz w:val="21"/>
          <w:szCs w:val="21"/>
          <w:lang w:val="en-US" w:eastAsia="zh-CN"/>
        </w:rPr>
        <w:t xml:space="preserve"> </w:t>
      </w:r>
      <w:r>
        <w:rPr>
          <w:rFonts w:hint="eastAsia"/>
          <w:b/>
          <w:bCs/>
          <w:sz w:val="21"/>
          <w:szCs w:val="21"/>
        </w:rPr>
        <w:t xml:space="preserve"> 硫化氢主要危险有害特性一览表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2"/>
        <w:gridCol w:w="1773"/>
        <w:gridCol w:w="1420"/>
        <w:gridCol w:w="1133"/>
        <w:gridCol w:w="709"/>
        <w:gridCol w:w="142"/>
        <w:gridCol w:w="851"/>
        <w:gridCol w:w="1134"/>
        <w:gridCol w:w="75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硫化氢</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7783-06-4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H</w:t>
            </w:r>
            <w:r>
              <w:rPr>
                <w:rFonts w:hint="default"/>
                <w:szCs w:val="21"/>
                <w:vertAlign w:val="subscript"/>
              </w:rPr>
              <w:t>2</w:t>
            </w:r>
            <w:r>
              <w:rPr>
                <w:rFonts w:hint="default"/>
                <w:szCs w:val="21"/>
              </w:rPr>
              <w:t>S</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szCs w:val="21"/>
              </w:rPr>
            </w:pPr>
            <w:r>
              <w:rPr>
                <w:rFonts w:hint="eastAsia"/>
                <w:szCs w:val="21"/>
                <w:lang w:val="en-US" w:eastAsia="zh-CN"/>
              </w:rPr>
              <w:t>危化品序</w:t>
            </w:r>
            <w:r>
              <w:rPr>
                <w:rFonts w:hint="eastAsia"/>
                <w:szCs w:val="21"/>
              </w:rPr>
              <w:t>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szCs w:val="21"/>
              </w:rPr>
            </w:pPr>
            <w:r>
              <w:rPr>
                <w:rFonts w:hint="eastAsia"/>
                <w:szCs w:val="21"/>
                <w:lang w:val="en-US" w:eastAsia="zh-CN"/>
              </w:rPr>
              <w:t>1289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34.08</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1053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外观性状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无色、有恶臭的气体。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主要用途</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用于化学分析如鉴定金属离子。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溶解性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-85.5</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燃烧热（kJ/mol</w:t>
            </w:r>
            <w:r>
              <w:rPr>
                <w:rFonts w:hint="default"/>
                <w:szCs w:val="21"/>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-60.4</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2026.5（25.5℃）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100.4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w:t>
            </w:r>
          </w:p>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1.19</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临界压力（MPa）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9.01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易燃</w:t>
            </w:r>
          </w:p>
        </w:tc>
        <w:tc>
          <w:tcPr>
            <w:tcW w:w="1842"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易燃，与空气混合能形成爆炸性混合物，遇明火、高热能引起燃烧爆炸。与浓硝酸、发烟硝酸或其它强氧化剂剧烈反应，发生爆炸。气体比空气重，能在较低处扩散到相当远的地方，遇火源会着火回燃。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甲</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260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4.0</w:t>
            </w:r>
          </w:p>
        </w:tc>
        <w:tc>
          <w:tcPr>
            <w:tcW w:w="1842"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46.0</w:t>
            </w:r>
          </w:p>
        </w:tc>
        <w:tc>
          <w:tcPr>
            <w:tcW w:w="1842"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氧化硫。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szCs w:val="21"/>
              </w:rPr>
            </w:pPr>
            <w:r>
              <w:rPr>
                <w:rFonts w:hint="default" w:cs="宋体"/>
                <w:szCs w:val="21"/>
              </w:rPr>
              <w:t>灭火方法</w:t>
            </w:r>
          </w:p>
        </w:tc>
        <w:tc>
          <w:tcPr>
            <w:tcW w:w="3595"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消防人员必须穿全身防火防毒服，在上风向灭火。切断气源。若不能切断气源，则不允许熄灭泄漏处的火焰。喷水冷却容器，可能的话将容器从火场移至空旷处。灭火剂：雾状水、抗溶性泡沫、干粉。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不能出现</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禁忌物</w:t>
            </w:r>
          </w:p>
        </w:tc>
        <w:tc>
          <w:tcPr>
            <w:tcW w:w="274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强氧化剂、碱类。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危险性类别</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第2.1 类易燃气体</w:t>
            </w:r>
          </w:p>
        </w:tc>
        <w:tc>
          <w:tcPr>
            <w:tcW w:w="198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危险货物包装标志</w:t>
            </w: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1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包装类别</w:t>
            </w:r>
          </w:p>
        </w:tc>
        <w:tc>
          <w:tcPr>
            <w:tcW w:w="759"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O52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储运注意事项：</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储存注意事项：</w:t>
            </w:r>
            <w:r>
              <w:rPr>
                <w:rFonts w:hint="eastAsia"/>
                <w:szCs w:val="21"/>
              </w:rPr>
              <w:tab/>
            </w:r>
            <w:r>
              <w:rPr>
                <w:rFonts w:hint="eastAsia"/>
                <w:szCs w:val="21"/>
              </w:rPr>
              <w:t>储存于阴凉、通风的库房。远离火种、热源。库温不宜超过30℃。保持容器密封。应与氧化剂、碱类分开存放，切忌混储。采用防爆型照明、通风设施。禁止使用易产生火花的机械设备和工具。储区应备有泄漏应急处理设备。</w:t>
            </w:r>
          </w:p>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运输注意事项：</w:t>
            </w:r>
            <w:r>
              <w:rPr>
                <w:rFonts w:hint="eastAsia"/>
                <w:szCs w:val="21"/>
              </w:rPr>
              <w:tab/>
            </w:r>
            <w:r>
              <w:rPr>
                <w:rFonts w:hint="eastAsia"/>
                <w:szCs w:val="21"/>
              </w:rPr>
              <w:t>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接触限值</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中国MAC（mg/m</w:t>
            </w:r>
            <w:r>
              <w:rPr>
                <w:rFonts w:hint="eastAsia"/>
                <w:szCs w:val="21"/>
                <w:vertAlign w:val="superscript"/>
              </w:rPr>
              <w:t>3</w:t>
            </w:r>
            <w:r>
              <w:rPr>
                <w:rFonts w:hint="eastAsia"/>
                <w:szCs w:val="21"/>
              </w:rPr>
              <w:t>）：10</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中国TLV（mg/m</w:t>
            </w:r>
            <w:r>
              <w:rPr>
                <w:rFonts w:hint="eastAsia"/>
                <w:szCs w:val="21"/>
                <w:vertAlign w:val="superscript"/>
              </w:rPr>
              <w:t>3</w:t>
            </w:r>
            <w:r>
              <w:rPr>
                <w:rFonts w:hint="eastAsia"/>
                <w:szCs w:val="21"/>
              </w:rPr>
              <w:t>）：15（10ppm）</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前苏联MAC（mg/m</w:t>
            </w:r>
            <w:r>
              <w:rPr>
                <w:rFonts w:hint="eastAsia"/>
                <w:szCs w:val="21"/>
                <w:vertAlign w:val="superscript"/>
              </w:rPr>
              <w:t>3</w:t>
            </w:r>
            <w:r>
              <w:rPr>
                <w:rFonts w:hint="eastAsia"/>
                <w:szCs w:val="21"/>
              </w:rPr>
              <w:t>）：10</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TLVTN：OSHA 20ppm，28mg/m</w:t>
            </w:r>
            <w:r>
              <w:rPr>
                <w:rFonts w:hint="eastAsia"/>
                <w:szCs w:val="21"/>
                <w:vertAlign w:val="superscript"/>
              </w:rPr>
              <w:t>3</w:t>
            </w:r>
            <w:r>
              <w:rPr>
                <w:rFonts w:hint="eastAsia"/>
                <w:szCs w:val="21"/>
              </w:rPr>
              <w:t>[上限值]; ACGIH 10ppm，14mg/m</w:t>
            </w:r>
            <w:r>
              <w:rPr>
                <w:rFonts w:hint="eastAsia"/>
                <w:szCs w:val="21"/>
                <w:vertAlign w:val="superscript"/>
              </w:rPr>
              <w:t>3</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TLVWN：ACGIH 15ppm，21mg/m</w:t>
            </w:r>
            <w:r>
              <w:rPr>
                <w:rFonts w:hint="eastAsia"/>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LC50：618 mg/m</w:t>
            </w:r>
            <w:r>
              <w:rPr>
                <w:rFonts w:hint="eastAsia"/>
                <w:szCs w:val="21"/>
                <w:vertAlign w:val="superscript"/>
              </w:rPr>
              <w:t>3</w:t>
            </w:r>
            <w:r>
              <w:rPr>
                <w:rFonts w:hint="eastAsia"/>
                <w:szCs w:val="21"/>
              </w:rPr>
              <w:t>（大鼠吸入）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健康危害</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本品是强烈的神经毒物，对粘膜有强烈刺激作用。 急性中毒：短期内吸入高浓度硫化氢后出现流泪、眼痛、眼内异物感、畏光、视物模糊、流涕、咽喉部灼热感、咳嗽、胸闷、头痛、头晕、乏力、意识模糊等。部分患者可有心肌损害。重者可出现脑水肿、肺水肿。极高浓度（1000mg/m3 以上）时可在数秒钟内突然昏迷，呼吸和心跳骤停，发生闪电型死亡。高浓度接触眼结膜发生水肿和角膜溃疡。 长期低浓度接触，引起神经衰弱综合征和植物神经功能紊乱。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侵入途径</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接触、吸入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皮肤接触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眼睛接触</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立即提起眼睑，用大量流动清水或生理盐水彻底冲洗至少15分钟。就医。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吸入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食入</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工程控制</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严加密闭，提供充分的局部排风和全面通风。提供安全淋浴和洗眼设备。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呼吸系统防护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空气中浓度超标时，佩戴过滤式防毒面具（半面罩）。紧急事态抢救或撤离时，建议佩戴氧气呼吸器或空气呼吸器。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戴化学安全防护眼镜。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防护服</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穿防静电工作服。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手防护</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戴防化学品手套。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其它</w:t>
            </w:r>
          </w:p>
        </w:tc>
        <w:tc>
          <w:tcPr>
            <w:tcW w:w="6148"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工作现场禁止吸烟、进食和饮水。工作完毕，淋浴更衣。及时换洗工作服。作业人员应学会自救互救。进入罐、限制性空间或其它高浓度区作业，须有人监护。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2"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泄漏处置</w:t>
            </w:r>
          </w:p>
        </w:tc>
        <w:tc>
          <w:tcPr>
            <w:tcW w:w="7921"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迅速撤离泄漏污染区人员至上风处，并立即进行隔离，小泄漏时隔离150m，大泄漏时隔离300m，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kern w:val="0"/>
          <w:sz w:val="28"/>
          <w:szCs w:val="28"/>
        </w:rPr>
      </w:pPr>
      <w:r>
        <w:rPr>
          <w:rFonts w:hint="eastAsia" w:eastAsia="黑体"/>
          <w:bCs/>
          <w:snapToGrid w:val="0"/>
          <w:kern w:val="0"/>
          <w:sz w:val="28"/>
          <w:szCs w:val="28"/>
        </w:rPr>
        <w:t>3.1.4 二氧化硫</w:t>
      </w:r>
    </w:p>
    <w:p>
      <w:pPr>
        <w:adjustRightInd w:val="0"/>
        <w:snapToGrid w:val="0"/>
        <w:spacing w:line="360" w:lineRule="auto"/>
        <w:ind w:firstLine="560" w:firstLineChars="200"/>
        <w:rPr>
          <w:sz w:val="28"/>
          <w:szCs w:val="28"/>
        </w:rPr>
      </w:pPr>
      <w:r>
        <w:rPr>
          <w:rFonts w:hint="eastAsia"/>
          <w:sz w:val="28"/>
          <w:szCs w:val="28"/>
          <w:lang w:val="en-US" w:eastAsia="zh-CN"/>
        </w:rPr>
        <w:t>该公司井下作业的各种作业类型均涉及危险有害物质二氧化硫。</w:t>
      </w:r>
      <w:r>
        <w:rPr>
          <w:rFonts w:hint="eastAsia"/>
          <w:sz w:val="28"/>
          <w:szCs w:val="28"/>
        </w:rPr>
        <w:t>二氧化硫是最常见的硫氧化物。无色气体，有强烈刺激性气味。大气主要污染物之一。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rPr>
      </w:pPr>
      <w:r>
        <w:rPr>
          <w:rFonts w:hint="eastAsia"/>
          <w:b/>
          <w:bCs/>
          <w:sz w:val="21"/>
          <w:szCs w:val="21"/>
        </w:rPr>
        <w:t xml:space="preserve">表3-4 </w:t>
      </w:r>
      <w:r>
        <w:rPr>
          <w:rFonts w:hint="eastAsia"/>
          <w:b/>
          <w:bCs/>
          <w:sz w:val="21"/>
          <w:szCs w:val="21"/>
          <w:lang w:val="en-US" w:eastAsia="zh-CN"/>
        </w:rPr>
        <w:t xml:space="preserve"> </w:t>
      </w:r>
      <w:r>
        <w:rPr>
          <w:rFonts w:hint="eastAsia"/>
          <w:b/>
          <w:bCs/>
          <w:sz w:val="21"/>
          <w:szCs w:val="21"/>
        </w:rPr>
        <w:t>二氧化硫主要危险有害特性一览表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1"/>
        <w:gridCol w:w="1773"/>
        <w:gridCol w:w="1420"/>
        <w:gridCol w:w="1133"/>
        <w:gridCol w:w="710"/>
        <w:gridCol w:w="142"/>
        <w:gridCol w:w="851"/>
        <w:gridCol w:w="1276"/>
        <w:gridCol w:w="6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二氧化硫</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7446-09-5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SO</w:t>
            </w:r>
            <w:r>
              <w:rPr>
                <w:rFonts w:hint="default"/>
                <w:szCs w:val="21"/>
                <w:vertAlign w:val="subscript"/>
              </w:rPr>
              <w:t>2</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szCs w:val="21"/>
              </w:rPr>
            </w:pPr>
            <w:r>
              <w:rPr>
                <w:rFonts w:hint="eastAsia"/>
                <w:szCs w:val="21"/>
                <w:lang w:val="en-US" w:eastAsia="zh-CN"/>
              </w:rPr>
              <w:t>危化品序</w:t>
            </w:r>
            <w:r>
              <w:rPr>
                <w:rFonts w:hint="eastAsia"/>
                <w:szCs w:val="21"/>
              </w:rPr>
              <w:t>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szCs w:val="21"/>
              </w:rPr>
            </w:pPr>
            <w:r>
              <w:rPr>
                <w:rFonts w:hint="eastAsia"/>
                <w:szCs w:val="21"/>
                <w:lang w:val="en-US" w:eastAsia="zh-CN"/>
              </w:rPr>
              <w:t>639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64.06</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1079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外观性状</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无色气体，特臭。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主要用途</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用于制造硫酸和保险粉等。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溶解性</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溶于水、乙醇。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-75.5</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燃烧热（kJ/mol</w:t>
            </w:r>
            <w:r>
              <w:rPr>
                <w:rFonts w:hint="default"/>
                <w:szCs w:val="21"/>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-10</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338.42（21.1℃）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1.43</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157.8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2.26</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临界压力（MPa）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7.87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不燃</w:t>
            </w:r>
          </w:p>
        </w:tc>
        <w:tc>
          <w:tcPr>
            <w:tcW w:w="1843"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不燃。若遇高热，容器内压增大，有开裂和爆炸的危险。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戊</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无意义</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氧化硫。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cs="宋体"/>
                <w:szCs w:val="21"/>
              </w:rPr>
            </w:pPr>
            <w:r>
              <w:rPr>
                <w:rFonts w:hint="default" w:cs="宋体"/>
                <w:szCs w:val="21"/>
              </w:rPr>
              <w:t>灭火方法</w:t>
            </w:r>
          </w:p>
        </w:tc>
        <w:tc>
          <w:tcPr>
            <w:tcW w:w="3596"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本品不燃。消防人员必须佩戴过滤式防毒面具（全面罩）或隔离式呼吸器、穿全身防火防毒服，在上风向灭火。切断气源。喷水冷却容器，可能的话将容器从火场移至空旷处。灭火剂：雾状水、泡沫、二氧化碳。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不能出现</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禁忌物</w:t>
            </w:r>
          </w:p>
        </w:tc>
        <w:tc>
          <w:tcPr>
            <w:tcW w:w="274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强还原剂、强氧化剂、易燃或可燃物。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危险性类别</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第2.3 类</w:t>
            </w:r>
          </w:p>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有毒气体</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危险货物包装标志</w:t>
            </w: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2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包装类别</w:t>
            </w:r>
          </w:p>
        </w:tc>
        <w:tc>
          <w:tcPr>
            <w:tcW w:w="61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O52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储运注意事项：</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储存注意事项：</w:t>
            </w:r>
            <w:r>
              <w:rPr>
                <w:rFonts w:hint="eastAsia"/>
                <w:szCs w:val="21"/>
              </w:rPr>
              <w:tab/>
            </w:r>
            <w:r>
              <w:rPr>
                <w:rFonts w:hint="eastAsia"/>
                <w:szCs w:val="21"/>
              </w:rPr>
              <w:t>储存于阴凉、通风的库房。远离火种、热源。库温不宜超过30℃。应与易（可）燃物、氧化剂、还原剂、食用化学品分开存放，切忌混储。储区应备有泄漏应急处理设备。</w:t>
            </w:r>
          </w:p>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运输注意事项：</w:t>
            </w:r>
            <w:r>
              <w:rPr>
                <w:rFonts w:hint="eastAsia"/>
                <w:szCs w:val="21"/>
              </w:rPr>
              <w:tab/>
            </w:r>
            <w:r>
              <w:rPr>
                <w:rFonts w:hint="eastAsia"/>
                <w:szCs w:val="21"/>
              </w:rPr>
              <w:t>本品铁路运输时限使用耐压液化气企业自备罐车装运，装运前需报有关部门批准。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严禁与易燃物或可燃物、氧化剂、还原剂、食用化学品等混装混运。夏季应早晚运输，防止日光曝晒。公路运输时要按规定路线行驶，禁止在居民区和人口稠密区停留。铁路运输时要禁止溜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接触限值</w:t>
            </w:r>
          </w:p>
        </w:tc>
        <w:tc>
          <w:tcPr>
            <w:tcW w:w="6149" w:type="dxa"/>
            <w:gridSpan w:val="7"/>
            <w:vAlign w:val="center"/>
          </w:tcPr>
          <w:p>
            <w:pPr>
              <w:keepNext w:val="0"/>
              <w:keepLines w:val="0"/>
              <w:suppressLineNumbers w:val="0"/>
              <w:adjustRightInd w:val="0"/>
              <w:snapToGrid w:val="0"/>
              <w:spacing w:before="20" w:beforeAutospacing="0" w:after="20" w:afterAutospacing="0"/>
              <w:ind w:left="0" w:right="0"/>
              <w:rPr>
                <w:rFonts w:hint="default"/>
                <w:szCs w:val="21"/>
              </w:rPr>
            </w:pPr>
            <w:r>
              <w:rPr>
                <w:rFonts w:hint="eastAsia"/>
                <w:szCs w:val="21"/>
              </w:rPr>
              <w:t>中国TLV（mg/m</w:t>
            </w:r>
            <w:r>
              <w:rPr>
                <w:rFonts w:hint="eastAsia"/>
                <w:szCs w:val="21"/>
                <w:vertAlign w:val="superscript"/>
              </w:rPr>
              <w:t>3</w:t>
            </w:r>
            <w:r>
              <w:rPr>
                <w:rFonts w:hint="eastAsia"/>
                <w:szCs w:val="21"/>
              </w:rPr>
              <w:t>）：5.4（2ppm）</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前苏联MAC（mg/m</w:t>
            </w:r>
            <w:r>
              <w:rPr>
                <w:rFonts w:hint="eastAsia"/>
                <w:szCs w:val="21"/>
                <w:vertAlign w:val="superscript"/>
              </w:rPr>
              <w:t>3</w:t>
            </w:r>
            <w:r>
              <w:rPr>
                <w:rFonts w:hint="eastAsia"/>
                <w:szCs w:val="21"/>
              </w:rPr>
              <w:t>）：10</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TLVTN：OSHA 5ppm，13mg/m</w:t>
            </w:r>
            <w:r>
              <w:rPr>
                <w:rFonts w:hint="eastAsia"/>
                <w:szCs w:val="21"/>
                <w:vertAlign w:val="superscript"/>
              </w:rPr>
              <w:t>3</w:t>
            </w:r>
            <w:r>
              <w:rPr>
                <w:rFonts w:hint="eastAsia"/>
                <w:szCs w:val="21"/>
              </w:rPr>
              <w:t>; ACGIH 2ppm，5.2mg/m</w:t>
            </w:r>
            <w:r>
              <w:rPr>
                <w:rFonts w:hint="eastAsia"/>
                <w:szCs w:val="21"/>
                <w:vertAlign w:val="superscript"/>
              </w:rPr>
              <w:t>3</w:t>
            </w:r>
          </w:p>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TLVWN：ACGIH 5ppm，13mg/m</w:t>
            </w:r>
            <w:r>
              <w:rPr>
                <w:rFonts w:hint="eastAsia"/>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LC50：6600mg/m3，1小时（大鼠吸入）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健康危害</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易被湿润的粘膜表面吸收生成亚硫酸、硫酸。对眼及呼吸道粘膜有强烈的刺激作用。大量吸入可引起肺水肿、喉水肿、声带痉挛而致窒息。 急性中毒：轻度中毒时，发生流泪、畏光、咳嗽，咽、喉灼痛等；严重中毒可在数小时内发生肺水肿；极高浓度吸入可引起反射性声门痉挛而致窒息。皮肤或眼接触发生炎症或灼伤。 慢性影响：长期低浓度接触，可有头痛、头昏、乏力等全身症状以及慢性鼻炎、咽喉炎、支气管炎、嗅觉及味觉减退等。少数工人有牙齿酸蚀症。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侵入途径</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接触、吸入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皮肤接触</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立即脱去污染的衣着，用大量流动清水冲洗。就医。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眼睛接触</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提起眼睑，用流动清水或生理盐水冲洗。就医。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吸入</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食入</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工程控制</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严加密闭，提供充分的局部排风和全面通风。提供安全淋浴和洗眼设备。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呼吸系统防护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空气中浓度超标时，佩戴自吸过滤式防毒面具（全面罩）。紧急事态抢救或撤离时，建议佩戴正压自给式呼吸器。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呼吸系统防护中已作防护。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防护服</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穿聚乙烯防毒服。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手防护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戴橡胶手套。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其它</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工作现场禁止吸烟、进食和饮水。工作完毕，淋浴更衣。保持良好的卫生习惯。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0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泄漏处置</w:t>
            </w:r>
          </w:p>
        </w:tc>
        <w:tc>
          <w:tcPr>
            <w:tcW w:w="7922"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迅速撤离泄漏污染区人员至上风处，并立即进行隔离，小泄漏时隔离150m，大泄漏时隔离450m，严格限制出入。建议应急处理人员戴自给正压式呼吸器，穿防毒服。从上风处进入现场。尽可能切断泄漏源。用工业覆盖层或吸附/ 吸收剂盖住泄漏点附近的下水道等地方，防止气体进入。合理通风，加速扩散。喷雾状水稀释、溶解。构筑围堤或挖坑收容产生的大量废水。如有可能，用一捉捕器使气体通过次氯酸钠溶液。漏气容器要妥善处理，修复、检验后再用。</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kern w:val="0"/>
          <w:sz w:val="28"/>
          <w:szCs w:val="28"/>
        </w:rPr>
      </w:pPr>
      <w:r>
        <w:rPr>
          <w:rFonts w:hint="eastAsia" w:eastAsia="黑体"/>
          <w:bCs/>
          <w:snapToGrid w:val="0"/>
          <w:kern w:val="0"/>
          <w:sz w:val="28"/>
          <w:szCs w:val="28"/>
        </w:rPr>
        <w:t>3.1.5 柴油</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8"/>
        </w:rPr>
      </w:pPr>
      <w:r>
        <w:rPr>
          <w:rFonts w:hint="eastAsia"/>
          <w:sz w:val="28"/>
          <w:szCs w:val="28"/>
          <w:lang w:val="en-US" w:eastAsia="zh-CN"/>
        </w:rPr>
        <w:t>该公司井下作业的各种作业类型均涉及危险有害物质柴油。</w:t>
      </w:r>
      <w:r>
        <w:rPr>
          <w:rFonts w:hint="eastAsia"/>
          <w:sz w:val="28"/>
          <w:szCs w:val="28"/>
        </w:rPr>
        <w:t>轻质石油产品，复杂烃类（碳原子数约10～22）混合物。为柴油机燃料。主要由原油蒸馏、催化裂化、热裂化、加氢裂化、石油焦化等过程生产的柴油馏分调配而成；也可由页岩油加工和煤液化制取。分为轻柴油（沸点范围约180～370℃）和重柴油（沸点范围约350～410℃）两大类。</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rPr>
      </w:pPr>
      <w:r>
        <w:rPr>
          <w:rFonts w:hint="eastAsia"/>
          <w:b/>
          <w:bCs/>
          <w:sz w:val="21"/>
          <w:szCs w:val="21"/>
        </w:rPr>
        <w:t>表3-5  柴油主要危险有害特性一览表</w:t>
      </w:r>
    </w:p>
    <w:tbl>
      <w:tblPr>
        <w:tblStyle w:val="52"/>
        <w:tblW w:w="852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1"/>
        <w:gridCol w:w="1773"/>
        <w:gridCol w:w="1420"/>
        <w:gridCol w:w="1133"/>
        <w:gridCol w:w="710"/>
        <w:gridCol w:w="142"/>
        <w:gridCol w:w="851"/>
        <w:gridCol w:w="1276"/>
        <w:gridCol w:w="6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标识</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中文名</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柴油</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CAS</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szCs w:val="21"/>
              </w:rPr>
            </w:pPr>
            <w:r>
              <w:rPr>
                <w:rFonts w:hint="eastAsia"/>
                <w:szCs w:val="21"/>
                <w:lang w:val="en-US" w:eastAsia="zh-CN"/>
              </w:rPr>
              <w:t>危化品序</w:t>
            </w:r>
            <w:r>
              <w:rPr>
                <w:rFonts w:hint="eastAsia"/>
                <w:szCs w:val="21"/>
              </w:rPr>
              <w:t>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szCs w:val="21"/>
                <w:lang w:val="en-US"/>
              </w:rPr>
            </w:pPr>
            <w:r>
              <w:rPr>
                <w:rFonts w:hint="eastAsia"/>
                <w:szCs w:val="21"/>
                <w:lang w:val="en-US" w:eastAsia="zh-CN"/>
              </w:rPr>
              <w:t>1674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分子量</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UN编号</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理化性质</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外观性状</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稍有粘性的棕色液体。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主要用途</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用作柴油机的燃料。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溶解性</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熔点（℃）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-18</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燃烧热（kJ/mol</w:t>
            </w:r>
            <w:r>
              <w:rPr>
                <w:rFonts w:hint="default"/>
                <w:szCs w:val="21"/>
              </w:rPr>
              <w:t>）</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沸点（℃）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282-338</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饱和蒸气压（kPa）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相对密度（水=1）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0.87-0.9</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临界温度（℃）</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相对密度（空气=1）</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临界压力（MPa）</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燃烧爆炸危险性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易燃</w:t>
            </w:r>
          </w:p>
        </w:tc>
        <w:tc>
          <w:tcPr>
            <w:tcW w:w="1843" w:type="dxa"/>
            <w:gridSpan w:val="2"/>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危险特性</w:t>
            </w:r>
          </w:p>
        </w:tc>
        <w:tc>
          <w:tcPr>
            <w:tcW w:w="2886" w:type="dxa"/>
            <w:gridSpan w:val="4"/>
            <w:vMerge w:val="restart"/>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遇明火、高热或与氧化剂接触，有引起燃烧爆炸的危险。若遇高热，容器内压增大，有开裂和爆炸的危险。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建规火险分级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乙</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闪点（℃）</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38</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引燃温度（℃）</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257</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爆炸下限（V/%）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3" w:type="dxa"/>
            <w:gridSpan w:val="2"/>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2886" w:type="dxa"/>
            <w:gridSpan w:val="4"/>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爆炸上限（V/%）</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843" w:type="dxa"/>
            <w:gridSpan w:val="2"/>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燃烧（分解）产物</w:t>
            </w:r>
          </w:p>
        </w:tc>
        <w:tc>
          <w:tcPr>
            <w:tcW w:w="2886" w:type="dxa"/>
            <w:gridSpan w:val="4"/>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一氧化碳、二氧化碳。·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稳定性</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稳定</w:t>
            </w:r>
          </w:p>
        </w:tc>
        <w:tc>
          <w:tcPr>
            <w:tcW w:w="113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灭火方法</w:t>
            </w:r>
          </w:p>
        </w:tc>
        <w:tc>
          <w:tcPr>
            <w:tcW w:w="3596" w:type="dxa"/>
            <w:gridSpan w:val="5"/>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聚合危害</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不能出现</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禁忌物</w:t>
            </w:r>
          </w:p>
        </w:tc>
        <w:tc>
          <w:tcPr>
            <w:tcW w:w="2744"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强氧化剂、卤素。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包装与储运</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危险性类别</w:t>
            </w:r>
          </w:p>
        </w:tc>
        <w:tc>
          <w:tcPr>
            <w:tcW w:w="142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985" w:type="dxa"/>
            <w:gridSpan w:val="3"/>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危险货物包装标志</w:t>
            </w:r>
          </w:p>
        </w:tc>
        <w:tc>
          <w:tcPr>
            <w:tcW w:w="85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无资料</w:t>
            </w:r>
          </w:p>
        </w:tc>
        <w:tc>
          <w:tcPr>
            <w:tcW w:w="1276"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包装类别</w:t>
            </w:r>
          </w:p>
        </w:tc>
        <w:tc>
          <w:tcPr>
            <w:tcW w:w="61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default"/>
                <w:szCs w:val="21"/>
              </w:rPr>
              <w:t>Z01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1470" w:right="0" w:hanging="1470" w:hangingChars="700"/>
              <w:jc w:val="center"/>
              <w:rPr>
                <w:rFonts w:hint="default"/>
                <w:szCs w:val="21"/>
              </w:rPr>
            </w:pPr>
            <w:r>
              <w:rPr>
                <w:rFonts w:hint="eastAsia"/>
                <w:szCs w:val="21"/>
              </w:rPr>
              <w:t>储运注意事项：</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储存注意事项：储存于阴凉、通风的库房。远离火种、热源。应与氧化剂、卤素分开存放，切忌混储。采用防爆型照明、通风设施。禁止使用易产生火花的机械设备和工具。储区应备有泄漏应急处理设备和合适的收容材料。</w:t>
            </w:r>
          </w:p>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运输注意事项：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公路运输时要按规定路线行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毒性与健康危害性</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接触限值</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毒性</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无资料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健康危害</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皮肤接触可为主要吸收途径，可致急性肾脏损害。柴油可引起接触性皮炎、油性痤疮。吸入其雾滴或液体呛入可引起吸入性肺炎。能经胎盘进入胎儿血中。柴油废气可引起眼、鼻刺激症状，头晕及头痛。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侵入途径</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接触、吸入、食入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急救</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皮肤接触</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立即脱去污染的衣着，用肥皂水和清水彻底冲洗皮肤。就医。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眼睛接触</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提起眼睑，用流动清水或生理盐水冲洗。就医。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吸入</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迅速脱离现场至空气新鲜处。保持呼吸道通畅。如呼吸困难，给输氧。如呼吸停止，立即进行人工呼吸。就医。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食入</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rPr>
            </w:pPr>
            <w:r>
              <w:rPr>
                <w:rFonts w:hint="eastAsia"/>
                <w:szCs w:val="21"/>
              </w:rPr>
              <w:t>尽快彻底洗胃。就医。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防护措施</w:t>
            </w: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工程控制</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密闭操作，注意通风。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呼吸系统防护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空气中浓度超标时，建议佩戴自吸过滤式防毒面具（半面罩）。紧急事态抢救或撤离时，应该佩戴空气呼吸器。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眼睛防护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戴化学安全防护眼镜。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防护服</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穿一般作业防护服。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手防护</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戴橡胶耐油手套。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p>
        </w:tc>
        <w:tc>
          <w:tcPr>
            <w:tcW w:w="177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其它</w:t>
            </w:r>
          </w:p>
        </w:tc>
        <w:tc>
          <w:tcPr>
            <w:tcW w:w="6149" w:type="dxa"/>
            <w:gridSpan w:val="7"/>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工作现场严禁吸烟。避免长期反复接触。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01"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泄漏处置</w:t>
            </w:r>
          </w:p>
        </w:tc>
        <w:tc>
          <w:tcPr>
            <w:tcW w:w="7922" w:type="dxa"/>
            <w:gridSpan w:val="8"/>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szCs w:val="21"/>
              </w:rPr>
            </w:pPr>
            <w:r>
              <w:rPr>
                <w:rFonts w:hint="eastAsia"/>
                <w:szCs w:val="21"/>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kern w:val="0"/>
          <w:sz w:val="28"/>
          <w:szCs w:val="28"/>
        </w:rPr>
      </w:pPr>
      <w:r>
        <w:rPr>
          <w:rFonts w:hint="eastAsia" w:eastAsia="黑体"/>
          <w:bCs/>
          <w:snapToGrid w:val="0"/>
          <w:kern w:val="0"/>
          <w:sz w:val="28"/>
          <w:szCs w:val="28"/>
        </w:rPr>
        <w:t>3.1.</w:t>
      </w:r>
      <w:r>
        <w:rPr>
          <w:rFonts w:eastAsia="黑体"/>
          <w:bCs/>
          <w:snapToGrid w:val="0"/>
          <w:kern w:val="0"/>
          <w:sz w:val="28"/>
          <w:szCs w:val="28"/>
        </w:rPr>
        <w:t>6</w:t>
      </w:r>
      <w:r>
        <w:rPr>
          <w:rFonts w:hint="eastAsia" w:eastAsia="黑体"/>
          <w:bCs/>
          <w:snapToGrid w:val="0"/>
          <w:kern w:val="0"/>
          <w:sz w:val="28"/>
          <w:szCs w:val="28"/>
          <w:lang w:val="en-US" w:eastAsia="zh-CN"/>
        </w:rPr>
        <w:t xml:space="preserve"> </w:t>
      </w:r>
      <w:r>
        <w:rPr>
          <w:rFonts w:hint="eastAsia" w:eastAsia="黑体"/>
          <w:bCs/>
          <w:snapToGrid w:val="0"/>
          <w:kern w:val="0"/>
          <w:sz w:val="28"/>
          <w:szCs w:val="28"/>
        </w:rPr>
        <w:t>化学助剂</w:t>
      </w:r>
    </w:p>
    <w:p>
      <w:pPr>
        <w:adjustRightInd w:val="0"/>
        <w:snapToGrid w:val="0"/>
        <w:spacing w:line="360" w:lineRule="auto"/>
        <w:ind w:firstLine="560" w:firstLineChars="200"/>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在石油开发作业过程中，需要使用各种石油助剂，最主要的有压裂液。</w:t>
      </w:r>
    </w:p>
    <w:p>
      <w:pPr>
        <w:widowControl w:val="0"/>
        <w:adjustRightInd w:val="0"/>
        <w:snapToGrid w:val="0"/>
        <w:spacing w:after="0" w:afterLines="0" w:line="360" w:lineRule="auto"/>
        <w:ind w:firstLine="560" w:firstLineChars="200"/>
        <w:jc w:val="both"/>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压裂液的作用是将高压泵注设备产生的压力传到地层中；当地层压开，形成裂缝后，可将支撑剂携带到地缝中去。主要有</w:t>
      </w:r>
      <w:r>
        <w:rPr>
          <w:rFonts w:ascii="Times New Roman" w:hAnsi="Times New Roman" w:eastAsia="宋体" w:cs="Times New Roman"/>
          <w:kern w:val="2"/>
          <w:sz w:val="28"/>
          <w:szCs w:val="28"/>
          <w:lang w:val="en-US" w:eastAsia="zh-CN"/>
        </w:rPr>
        <w:t>水基压裂液</w:t>
      </w:r>
      <w:r>
        <w:rPr>
          <w:rFonts w:hint="eastAsia" w:ascii="Times New Roman" w:hAnsi="Times New Roman" w:eastAsia="宋体" w:cs="Times New Roman"/>
          <w:kern w:val="2"/>
          <w:sz w:val="28"/>
          <w:szCs w:val="28"/>
          <w:lang w:val="en-US" w:eastAsia="zh-CN"/>
        </w:rPr>
        <w:t>、</w:t>
      </w:r>
      <w:r>
        <w:rPr>
          <w:rFonts w:ascii="Times New Roman" w:hAnsi="Times New Roman" w:eastAsia="宋体" w:cs="Times New Roman"/>
          <w:kern w:val="2"/>
          <w:sz w:val="28"/>
          <w:szCs w:val="28"/>
          <w:lang w:val="en-US" w:eastAsia="zh-CN"/>
        </w:rPr>
        <w:t>油基压裂液</w:t>
      </w:r>
      <w:r>
        <w:rPr>
          <w:rFonts w:hint="eastAsia" w:ascii="Times New Roman" w:hAnsi="Times New Roman" w:eastAsia="宋体" w:cs="Times New Roman"/>
          <w:kern w:val="2"/>
          <w:sz w:val="28"/>
          <w:szCs w:val="28"/>
          <w:lang w:val="en-US" w:eastAsia="zh-CN"/>
        </w:rPr>
        <w:t>、</w:t>
      </w:r>
      <w:r>
        <w:rPr>
          <w:rFonts w:ascii="Times New Roman" w:hAnsi="Times New Roman" w:eastAsia="宋体" w:cs="Times New Roman"/>
          <w:kern w:val="2"/>
          <w:sz w:val="28"/>
          <w:szCs w:val="28"/>
          <w:lang w:val="en-US" w:eastAsia="zh-CN"/>
        </w:rPr>
        <w:t>乳化压裂液</w:t>
      </w:r>
      <w:r>
        <w:rPr>
          <w:rFonts w:hint="eastAsia" w:ascii="Times New Roman" w:hAnsi="Times New Roman" w:eastAsia="宋体" w:cs="Times New Roman"/>
          <w:kern w:val="2"/>
          <w:sz w:val="28"/>
          <w:szCs w:val="28"/>
          <w:lang w:val="en-US" w:eastAsia="zh-CN"/>
        </w:rPr>
        <w:t>、</w:t>
      </w:r>
      <w:r>
        <w:rPr>
          <w:rFonts w:ascii="Times New Roman" w:hAnsi="Times New Roman" w:eastAsia="宋体" w:cs="Times New Roman"/>
          <w:kern w:val="2"/>
          <w:sz w:val="28"/>
          <w:szCs w:val="28"/>
          <w:lang w:val="en-US" w:eastAsia="zh-CN"/>
        </w:rPr>
        <w:t>泡沫压裂液</w:t>
      </w:r>
      <w:r>
        <w:rPr>
          <w:rFonts w:hint="eastAsia" w:ascii="Times New Roman" w:hAnsi="Times New Roman" w:eastAsia="宋体" w:cs="Times New Roman"/>
          <w:kern w:val="2"/>
          <w:sz w:val="28"/>
          <w:szCs w:val="28"/>
          <w:lang w:val="en-US" w:eastAsia="zh-CN"/>
        </w:rPr>
        <w:t>和</w:t>
      </w:r>
      <w:r>
        <w:rPr>
          <w:rFonts w:ascii="Times New Roman" w:hAnsi="Times New Roman" w:eastAsia="宋体" w:cs="Times New Roman"/>
          <w:kern w:val="2"/>
          <w:sz w:val="28"/>
          <w:szCs w:val="28"/>
          <w:lang w:val="en-US" w:eastAsia="zh-CN"/>
        </w:rPr>
        <w:t>其他类型压裂液</w:t>
      </w:r>
      <w:r>
        <w:rPr>
          <w:rFonts w:hint="eastAsia" w:ascii="Times New Roman" w:hAnsi="Times New Roman" w:eastAsia="宋体" w:cs="Times New Roman"/>
          <w:kern w:val="2"/>
          <w:sz w:val="28"/>
          <w:szCs w:val="28"/>
          <w:lang w:val="en-US" w:eastAsia="zh-CN"/>
        </w:rPr>
        <w:t>。</w:t>
      </w:r>
    </w:p>
    <w:p>
      <w:pPr>
        <w:widowControl w:val="0"/>
        <w:adjustRightInd w:val="0"/>
        <w:snapToGrid w:val="0"/>
        <w:spacing w:after="0" w:afterLines="0" w:line="360" w:lineRule="auto"/>
        <w:ind w:firstLine="560" w:firstLineChars="200"/>
        <w:jc w:val="both"/>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水基压裂液是以水为基本成分，加入各种添加剂配制而成的压裂液。主要包括盐水，活性水压裂液，稠化水压裂液，水包油压裂液，水基凝胶压裂液等。</w:t>
      </w:r>
    </w:p>
    <w:p>
      <w:pPr>
        <w:widowControl w:val="0"/>
        <w:adjustRightInd w:val="0"/>
        <w:snapToGrid w:val="0"/>
        <w:spacing w:after="0" w:afterLines="0" w:line="360" w:lineRule="auto"/>
        <w:ind w:firstLine="560" w:firstLineChars="200"/>
        <w:jc w:val="both"/>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油基压裂液是以为基本成分配置的压裂液。主要包括稠花油压裂液、油包水压裂液、凝胶原油等。</w:t>
      </w:r>
    </w:p>
    <w:p>
      <w:pPr>
        <w:widowControl w:val="0"/>
        <w:adjustRightInd w:val="0"/>
        <w:snapToGrid w:val="0"/>
        <w:spacing w:after="0" w:afterLines="0" w:line="360" w:lineRule="auto"/>
        <w:ind w:firstLine="560" w:firstLineChars="200"/>
        <w:jc w:val="both"/>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酸基压裂液主要由酸、水和各种添加剂配制而成。</w:t>
      </w:r>
    </w:p>
    <w:p>
      <w:pPr>
        <w:widowControl w:val="0"/>
        <w:adjustRightInd w:val="0"/>
        <w:snapToGrid w:val="0"/>
        <w:spacing w:after="0" w:afterLines="0" w:line="360" w:lineRule="auto"/>
        <w:ind w:firstLine="560" w:firstLineChars="200"/>
        <w:jc w:val="both"/>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泡沫压裂液体是一种液体、气体、泡沫表面活性剂的混合液体。</w:t>
      </w:r>
    </w:p>
    <w:p>
      <w:pPr>
        <w:widowControl w:val="0"/>
        <w:adjustRightInd w:val="0"/>
        <w:snapToGrid w:val="0"/>
        <w:spacing w:after="0" w:afterLines="0" w:line="360" w:lineRule="auto"/>
        <w:ind w:firstLine="560" w:firstLineChars="200"/>
        <w:jc w:val="both"/>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压裂液均为混合物，具有一定的腐蚀性和毒性，如果接触皮肤或误服，可能会发生灼伤或中毒事故。</w:t>
      </w:r>
    </w:p>
    <w:p>
      <w:pPr>
        <w:adjustRightInd w:val="0"/>
        <w:snapToGrid w:val="0"/>
        <w:spacing w:line="360" w:lineRule="auto"/>
        <w:ind w:firstLine="560" w:firstLineChars="200"/>
        <w:rPr>
          <w:rFonts w:hint="eastAsia"/>
          <w:sz w:val="28"/>
          <w:szCs w:val="28"/>
        </w:rPr>
      </w:pPr>
      <w:r>
        <w:rPr>
          <w:rFonts w:hint="eastAsia"/>
          <w:kern w:val="0"/>
          <w:sz w:val="28"/>
          <w:szCs w:val="28"/>
        </w:rPr>
        <w:t>该公司主要采用化学堵水方式，采用</w:t>
      </w:r>
      <w:r>
        <w:rPr>
          <w:kern w:val="0"/>
          <w:sz w:val="28"/>
          <w:szCs w:val="28"/>
        </w:rPr>
        <w:t>的</w:t>
      </w:r>
      <w:r>
        <w:rPr>
          <w:rFonts w:hint="eastAsia"/>
          <w:kern w:val="0"/>
          <w:sz w:val="28"/>
          <w:szCs w:val="28"/>
        </w:rPr>
        <w:t>化学堵剂</w:t>
      </w:r>
      <w:r>
        <w:rPr>
          <w:kern w:val="0"/>
          <w:sz w:val="28"/>
          <w:szCs w:val="28"/>
        </w:rPr>
        <w:t>包括</w:t>
      </w:r>
      <w:r>
        <w:rPr>
          <w:rFonts w:hint="eastAsia"/>
          <w:sz w:val="28"/>
          <w:szCs w:val="28"/>
        </w:rPr>
        <w:t>新型预胶凝颗粒性堵水剂（水膨体）、高分子聚丙烯酰胺粉剂、木质素磺酸盐系列堵水剂和有机超细颗粒选择性堵剂。</w:t>
      </w:r>
    </w:p>
    <w:p>
      <w:pPr>
        <w:adjustRightInd w:val="0"/>
        <w:snapToGrid w:val="0"/>
        <w:spacing w:line="360" w:lineRule="auto"/>
        <w:ind w:firstLine="560" w:firstLineChars="200"/>
        <w:rPr>
          <w:sz w:val="28"/>
          <w:szCs w:val="28"/>
        </w:rPr>
      </w:pPr>
      <w:r>
        <w:rPr>
          <w:rFonts w:hint="eastAsia"/>
          <w:sz w:val="28"/>
          <w:szCs w:val="28"/>
        </w:rPr>
        <w:t>根据《危险化学品目录（2015版）》（安全监管总局、工业和信息化部、公安部、环境保护部、交通运输部、农业部、国家卫生计生委、质检总局、铁路局、民航局公告[2015]第5号）及《危险货物品名表》（</w:t>
      </w:r>
      <w:r>
        <w:rPr>
          <w:sz w:val="28"/>
          <w:szCs w:val="28"/>
        </w:rPr>
        <w:t>GB12268-2012</w:t>
      </w:r>
      <w:r>
        <w:rPr>
          <w:rFonts w:hint="eastAsia"/>
          <w:sz w:val="28"/>
          <w:szCs w:val="28"/>
        </w:rPr>
        <w:t>）辨识，</w:t>
      </w:r>
      <w:r>
        <w:rPr>
          <w:sz w:val="28"/>
          <w:szCs w:val="28"/>
        </w:rPr>
        <w:t>以上化学堵剂</w:t>
      </w:r>
      <w:r>
        <w:rPr>
          <w:rFonts w:hint="eastAsia"/>
          <w:sz w:val="28"/>
          <w:szCs w:val="28"/>
        </w:rPr>
        <w:t>和</w:t>
      </w:r>
      <w:r>
        <w:rPr>
          <w:sz w:val="28"/>
          <w:szCs w:val="28"/>
        </w:rPr>
        <w:t>示踪剂均不属于危险化学品。</w:t>
      </w:r>
    </w:p>
    <w:p>
      <w:pPr>
        <w:keepNext/>
        <w:keepLines/>
        <w:adjustRightInd w:val="0"/>
        <w:snapToGrid w:val="0"/>
        <w:spacing w:line="360" w:lineRule="auto"/>
        <w:outlineLvl w:val="2"/>
        <w:rPr>
          <w:rFonts w:hint="default" w:eastAsia="黑体"/>
          <w:bCs/>
          <w:snapToGrid w:val="0"/>
          <w:kern w:val="0"/>
          <w:sz w:val="28"/>
          <w:szCs w:val="28"/>
          <w:lang w:val="en-US" w:eastAsia="zh-CN"/>
        </w:rPr>
      </w:pPr>
      <w:r>
        <w:rPr>
          <w:rFonts w:hint="eastAsia" w:eastAsia="黑体"/>
          <w:bCs/>
          <w:snapToGrid w:val="0"/>
          <w:kern w:val="0"/>
          <w:sz w:val="28"/>
          <w:szCs w:val="28"/>
        </w:rPr>
        <w:t>3.1.</w:t>
      </w:r>
      <w:r>
        <w:rPr>
          <w:rFonts w:hint="eastAsia" w:eastAsia="黑体"/>
          <w:bCs/>
          <w:snapToGrid w:val="0"/>
          <w:kern w:val="0"/>
          <w:sz w:val="28"/>
          <w:szCs w:val="28"/>
          <w:lang w:val="en-US" w:eastAsia="zh-CN"/>
        </w:rPr>
        <w:t>7 盐酸、复合酸</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lang w:val="en-US" w:eastAsia="zh-CN"/>
        </w:rPr>
        <w:t>酸化过程中根据岩层性质，</w:t>
      </w:r>
      <w:r>
        <w:rPr>
          <w:rFonts w:hint="eastAsia"/>
        </w:rPr>
        <w:t>碳酸盐岩油气层的酸化主要用盐酸（HCI）</w:t>
      </w:r>
      <w:r>
        <w:rPr>
          <w:rFonts w:hint="eastAsia"/>
          <w:lang w:eastAsia="zh-CN"/>
        </w:rPr>
        <w:t>，</w:t>
      </w:r>
      <w:r>
        <w:rPr>
          <w:rFonts w:hint="eastAsia"/>
        </w:rPr>
        <w:t>砂岩油气层的酸化主要用</w:t>
      </w:r>
      <w:r>
        <w:rPr>
          <w:rFonts w:hint="eastAsia"/>
          <w:shd w:val="clear"/>
          <w:lang w:val="en-US" w:eastAsia="zh-CN"/>
        </w:rPr>
        <w:t>复合酸，主要成分为盐酸、水和极少量氢氟酸</w:t>
      </w:r>
      <w:r>
        <w:rPr>
          <w:rFonts w:hint="eastAsia"/>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b/>
          <w:bCs/>
          <w:sz w:val="21"/>
          <w:szCs w:val="21"/>
        </w:rPr>
      </w:pPr>
      <w:r>
        <w:rPr>
          <w:rFonts w:hint="eastAsia"/>
          <w:b/>
          <w:bCs/>
          <w:sz w:val="21"/>
          <w:szCs w:val="21"/>
        </w:rPr>
        <w:t>表3-</w:t>
      </w:r>
      <w:r>
        <w:rPr>
          <w:rFonts w:hint="eastAsia"/>
          <w:b/>
          <w:bCs/>
          <w:sz w:val="21"/>
          <w:szCs w:val="21"/>
          <w:lang w:val="en-US" w:eastAsia="zh-CN"/>
        </w:rPr>
        <w:t>6</w:t>
      </w:r>
      <w:r>
        <w:rPr>
          <w:rFonts w:hint="eastAsia"/>
          <w:b/>
          <w:bCs/>
          <w:sz w:val="21"/>
          <w:szCs w:val="21"/>
        </w:rPr>
        <w:t xml:space="preserve">  </w:t>
      </w:r>
      <w:r>
        <w:rPr>
          <w:rFonts w:hint="eastAsia"/>
          <w:b/>
          <w:bCs/>
          <w:sz w:val="21"/>
          <w:szCs w:val="21"/>
          <w:lang w:val="en-US" w:eastAsia="zh-CN"/>
        </w:rPr>
        <w:t>盐酸</w:t>
      </w:r>
      <w:r>
        <w:rPr>
          <w:rFonts w:hint="eastAsia"/>
          <w:b/>
          <w:bCs/>
          <w:sz w:val="21"/>
          <w:szCs w:val="21"/>
        </w:rPr>
        <w:t>主要危险有害特性一览表</w:t>
      </w:r>
    </w:p>
    <w:tbl>
      <w:tblPr>
        <w:tblStyle w:val="52"/>
        <w:tblW w:w="899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03"/>
        <w:gridCol w:w="1125"/>
        <w:gridCol w:w="180"/>
        <w:gridCol w:w="180"/>
        <w:gridCol w:w="175"/>
        <w:gridCol w:w="760"/>
        <w:gridCol w:w="145"/>
        <w:gridCol w:w="1252"/>
        <w:gridCol w:w="188"/>
        <w:gridCol w:w="993"/>
        <w:gridCol w:w="807"/>
        <w:gridCol w:w="16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中文名称</w:t>
            </w:r>
          </w:p>
        </w:tc>
        <w:tc>
          <w:tcPr>
            <w:tcW w:w="3817" w:type="dxa"/>
            <w:gridSpan w:val="7"/>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宋体" w:hAnsi="Times New Roman" w:eastAsia="宋体" w:cs="Times New Roman"/>
              </w:rPr>
              <w:t>盐酸</w:t>
            </w:r>
          </w:p>
        </w:tc>
        <w:tc>
          <w:tcPr>
            <w:tcW w:w="1988" w:type="dxa"/>
            <w:gridSpan w:val="3"/>
            <w:tcBorders>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别名</w:t>
            </w:r>
          </w:p>
        </w:tc>
        <w:tc>
          <w:tcPr>
            <w:tcW w:w="1686" w:type="dxa"/>
            <w:tcBorders>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氢氯酸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英文名称</w:t>
            </w:r>
          </w:p>
        </w:tc>
        <w:tc>
          <w:tcPr>
            <w:tcW w:w="3817" w:type="dxa"/>
            <w:gridSpan w:val="7"/>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Hydrochloric acid；Chlorohydric acid</w:t>
            </w:r>
          </w:p>
        </w:tc>
        <w:tc>
          <w:tcPr>
            <w:tcW w:w="1988" w:type="dxa"/>
            <w:gridSpan w:val="3"/>
            <w:tcBorders>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危化品序</w:t>
            </w:r>
            <w:r>
              <w:rPr>
                <w:rFonts w:hint="eastAsia"/>
                <w:szCs w:val="21"/>
              </w:rPr>
              <w:t>号</w:t>
            </w:r>
          </w:p>
        </w:tc>
        <w:tc>
          <w:tcPr>
            <w:tcW w:w="1686" w:type="dxa"/>
            <w:tcBorders>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2507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rPr>
              <w:t>闪点（</w:t>
            </w:r>
            <w:r>
              <w:rPr>
                <w:rFonts w:hint="default" w:ascii="宋体" w:hAnsi="宋体" w:eastAsia="宋体" w:cs="Times New Roman"/>
              </w:rPr>
              <w:t>℃</w:t>
            </w:r>
            <w:r>
              <w:rPr>
                <w:rFonts w:hint="eastAsia" w:ascii="Times New Roman" w:hAnsi="Times New Roman" w:eastAsia="宋体" w:cs="Times New Roman"/>
              </w:rPr>
              <w:t>）</w:t>
            </w:r>
          </w:p>
        </w:tc>
        <w:tc>
          <w:tcPr>
            <w:tcW w:w="3817" w:type="dxa"/>
            <w:gridSpan w:val="7"/>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rPr>
              <w:t>无意义</w:t>
            </w:r>
          </w:p>
        </w:tc>
        <w:tc>
          <w:tcPr>
            <w:tcW w:w="1988" w:type="dxa"/>
            <w:gridSpan w:val="3"/>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rPr>
              <w:t>UN编号</w:t>
            </w:r>
          </w:p>
        </w:tc>
        <w:tc>
          <w:tcPr>
            <w:tcW w:w="1686"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宋体" w:hAnsi="Times New Roman" w:eastAsia="宋体" w:cs="Times New Roman"/>
              </w:rPr>
              <w:t>1789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503"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理化特性</w:t>
            </w:r>
          </w:p>
        </w:tc>
        <w:tc>
          <w:tcPr>
            <w:tcW w:w="1305"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外观与性状</w:t>
            </w:r>
          </w:p>
        </w:tc>
        <w:tc>
          <w:tcPr>
            <w:tcW w:w="2512" w:type="dxa"/>
            <w:gridSpan w:val="5"/>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宋体" w:hAnsi="Times New Roman" w:eastAsia="宋体" w:cs="Times New Roman"/>
              </w:rPr>
              <w:t>无色或微黄色发烟液体，有刺鼻的酸味</w:t>
            </w:r>
          </w:p>
        </w:tc>
        <w:tc>
          <w:tcPr>
            <w:tcW w:w="1988" w:type="dxa"/>
            <w:gridSpan w:val="3"/>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熔点（</w:t>
            </w:r>
            <w:r>
              <w:rPr>
                <w:rFonts w:hint="default" w:ascii="宋体" w:hAnsi="宋体" w:eastAsia="宋体" w:cs="Times New Roman"/>
              </w:rPr>
              <w:t>℃</w:t>
            </w:r>
            <w:r>
              <w:rPr>
                <w:rFonts w:hint="eastAsia" w:ascii="Times New Roman" w:hAnsi="Times New Roman" w:eastAsia="宋体" w:cs="Times New Roman"/>
              </w:rPr>
              <w:t>）</w:t>
            </w:r>
          </w:p>
        </w:tc>
        <w:tc>
          <w:tcPr>
            <w:tcW w:w="1686"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宋体" w:hAnsi="Times New Roman" w:eastAsia="宋体" w:cs="Times New Roman"/>
              </w:rPr>
              <w:t>-114.8（纯）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503"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p>
        </w:tc>
        <w:tc>
          <w:tcPr>
            <w:tcW w:w="2420" w:type="dxa"/>
            <w:gridSpan w:val="5"/>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相对密度（水＝1）</w:t>
            </w:r>
          </w:p>
        </w:tc>
        <w:tc>
          <w:tcPr>
            <w:tcW w:w="1397"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宋体" w:hAnsi="Times New Roman" w:eastAsia="宋体" w:cs="Times New Roman"/>
              </w:rPr>
              <w:t>1.20</w:t>
            </w:r>
          </w:p>
        </w:tc>
        <w:tc>
          <w:tcPr>
            <w:tcW w:w="1988" w:type="dxa"/>
            <w:gridSpan w:val="3"/>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沸点（</w:t>
            </w:r>
            <w:r>
              <w:rPr>
                <w:rFonts w:hint="default" w:ascii="宋体" w:hAnsi="宋体" w:eastAsia="宋体" w:cs="Times New Roman"/>
              </w:rPr>
              <w:t>℃</w:t>
            </w:r>
            <w:r>
              <w:rPr>
                <w:rFonts w:hint="eastAsia" w:ascii="Times New Roman" w:hAnsi="Times New Roman" w:eastAsia="宋体" w:cs="Times New Roman"/>
              </w:rPr>
              <w:t>）</w:t>
            </w:r>
          </w:p>
        </w:tc>
        <w:tc>
          <w:tcPr>
            <w:tcW w:w="1686"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宋体" w:hAnsi="Times New Roman" w:eastAsia="宋体" w:cs="Times New Roman"/>
              </w:rPr>
              <w:t>108.6（20％）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503"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p>
        </w:tc>
        <w:tc>
          <w:tcPr>
            <w:tcW w:w="2420" w:type="dxa"/>
            <w:gridSpan w:val="5"/>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相对密度（空气＝1）</w:t>
            </w:r>
          </w:p>
        </w:tc>
        <w:tc>
          <w:tcPr>
            <w:tcW w:w="1397"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宋体" w:hAnsi="Times New Roman" w:eastAsia="宋体" w:cs="Times New Roman"/>
              </w:rPr>
              <w:t>1.26</w:t>
            </w:r>
          </w:p>
        </w:tc>
        <w:tc>
          <w:tcPr>
            <w:tcW w:w="1988" w:type="dxa"/>
            <w:gridSpan w:val="3"/>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饱和蒸气压（kPa）</w:t>
            </w:r>
          </w:p>
        </w:tc>
        <w:tc>
          <w:tcPr>
            <w:tcW w:w="1686"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宋体" w:hAnsi="Times New Roman" w:eastAsia="宋体" w:cs="Times New Roman"/>
              </w:rPr>
              <w:t>30.66/21℃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503"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p>
        </w:tc>
        <w:tc>
          <w:tcPr>
            <w:tcW w:w="1125"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溶解性</w:t>
            </w:r>
          </w:p>
        </w:tc>
        <w:tc>
          <w:tcPr>
            <w:tcW w:w="6366" w:type="dxa"/>
            <w:gridSpan w:val="10"/>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宋体" w:hAnsi="Times New Roman" w:eastAsia="宋体" w:cs="Times New Roman"/>
              </w:rPr>
              <w:t>与水混溶，溶于碱液。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主要用途</w:t>
            </w:r>
          </w:p>
        </w:tc>
        <w:tc>
          <w:tcPr>
            <w:tcW w:w="7491" w:type="dxa"/>
            <w:gridSpan w:val="11"/>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宋体" w:hAnsi="Times New Roman" w:eastAsia="宋体" w:cs="Times New Roman"/>
              </w:rPr>
              <w:t>重要的无机化工原料，广泛用于染料、医药、食品、印染、皮革、冶金等行业。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侵入途径</w:t>
            </w:r>
          </w:p>
        </w:tc>
        <w:tc>
          <w:tcPr>
            <w:tcW w:w="7491" w:type="dxa"/>
            <w:gridSpan w:val="11"/>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szCs w:val="28"/>
              </w:rPr>
              <w:t>吸入、食入、经皮吸收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健康危害</w:t>
            </w:r>
          </w:p>
        </w:tc>
        <w:tc>
          <w:tcPr>
            <w:tcW w:w="7491" w:type="dxa"/>
            <w:gridSpan w:val="11"/>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宋体" w:hAnsi="Times New Roman" w:eastAsia="宋体" w:cs="Times New Roman"/>
              </w:rPr>
              <w:t>健康危害：接触其蒸气或烟雾，可引起急性中毒，出现眼结膜炎，鼻及口腔粘膜有烧灼感，鼻衄、齿龈出血、气管炎等。误服可引起消化道灼伤、溃疡形成，有可能引起胃穿孔、腹膜炎等。眼和皮肤接触可致灼伤。慢性影响：长期接触，引起慢性鼻炎、慢性支气管炎、牙齿酸蚀症及皮肤损害。环境危害：对环境有危害，对水体和土壤可造成污染。燃爆危险：本品不燃，具强腐蚀性、强刺激性，可致人体灼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消防措施</w:t>
            </w:r>
          </w:p>
        </w:tc>
        <w:tc>
          <w:tcPr>
            <w:tcW w:w="7491" w:type="dxa"/>
            <w:gridSpan w:val="11"/>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宋体" w:hAnsi="Times New Roman" w:eastAsia="宋体" w:cs="Times New Roman"/>
              </w:rPr>
              <w:t>危险特性：能与一些活性金属粉末发生反应，放出氢气。遇氰化物能产生剧毒的氰化氢气体。与碱发生中和反应，并放出大量的热。具有较强的腐蚀性。有害燃烧产物：氯化氢。灭火方法：用碱性物质如碳酸氢钠、碳酸钠、消石灰等中和。也可用大量水扑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503"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稳定性和反应活性</w:t>
            </w:r>
          </w:p>
        </w:tc>
        <w:tc>
          <w:tcPr>
            <w:tcW w:w="1660" w:type="dxa"/>
            <w:gridSpan w:val="4"/>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稳定性</w:t>
            </w:r>
          </w:p>
        </w:tc>
        <w:tc>
          <w:tcPr>
            <w:tcW w:w="905"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稳定</w:t>
            </w:r>
          </w:p>
        </w:tc>
        <w:tc>
          <w:tcPr>
            <w:tcW w:w="125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聚合危害</w:t>
            </w:r>
          </w:p>
        </w:tc>
        <w:tc>
          <w:tcPr>
            <w:tcW w:w="3674" w:type="dxa"/>
            <w:gridSpan w:val="4"/>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不聚合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503"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p>
        </w:tc>
        <w:tc>
          <w:tcPr>
            <w:tcW w:w="1660" w:type="dxa"/>
            <w:gridSpan w:val="4"/>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避免接触条件</w:t>
            </w:r>
          </w:p>
        </w:tc>
        <w:tc>
          <w:tcPr>
            <w:tcW w:w="905"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p>
        </w:tc>
        <w:tc>
          <w:tcPr>
            <w:tcW w:w="1252"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禁配物</w:t>
            </w:r>
          </w:p>
        </w:tc>
        <w:tc>
          <w:tcPr>
            <w:tcW w:w="3674" w:type="dxa"/>
            <w:gridSpan w:val="4"/>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宋体" w:hAnsi="Times New Roman" w:eastAsia="宋体" w:cs="Times New Roman"/>
              </w:rPr>
              <w:t>碱类、胺类、碱金属、易燃或可燃物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操作处置</w:t>
            </w:r>
          </w:p>
        </w:tc>
        <w:tc>
          <w:tcPr>
            <w:tcW w:w="7491" w:type="dxa"/>
            <w:gridSpan w:val="11"/>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密闭操作，注意通风。操作尽可能机械化、自动化。操作人员必须经过专门培训，严格遵守操作规程。建议操作人员佩戴自吸过滤式防毒面具（全面罩），穿橡胶耐酸碱服，戴橡胶耐酸碱手套。远离易燃、可燃物。防止蒸气泄漏到工作场所空气中。避免与碱类、胺类、碱金属接触。搬动时要轻装轻卸，防止包装及容器损坏。配备泄漏应急处理设备。倒空的容器可能残留有害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储存注意事项</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7491" w:type="dxa"/>
            <w:gridSpan w:val="11"/>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宋体" w:hAnsi="Times New Roman" w:eastAsia="宋体" w:cs="Times New Roman"/>
              </w:rPr>
              <w:t>储存于阴凉、通风处。库温不超过30</w:t>
            </w:r>
            <w:r>
              <w:rPr>
                <w:rFonts w:hint="default" w:ascii="宋体" w:hAnsi="宋体" w:eastAsia="宋体" w:cs="Times New Roman"/>
              </w:rPr>
              <w:t>℃</w:t>
            </w:r>
            <w:r>
              <w:rPr>
                <w:rFonts w:hint="eastAsia" w:ascii="宋体" w:hAnsi="宋体" w:eastAsia="宋体" w:cs="Times New Roman"/>
              </w:rPr>
              <w:t>，相对湿度不超过85%。保持容器密封。应与</w:t>
            </w:r>
            <w:r>
              <w:rPr>
                <w:rFonts w:hint="eastAsia" w:ascii="宋体" w:hAnsi="Times New Roman" w:eastAsia="宋体" w:cs="Times New Roman"/>
              </w:rPr>
              <w:t>碱类、胺类、碱金属、易（可）燃物分开存放，切忌混储。储区备有泄漏应急处理设备和合适的收容材料。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运输注意事项</w:t>
            </w:r>
          </w:p>
        </w:tc>
        <w:tc>
          <w:tcPr>
            <w:tcW w:w="7491" w:type="dxa"/>
            <w:gridSpan w:val="11"/>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本品铁路运输时限使用有橡胶衬里钢制罐车或特制塑料企业自备罐车装运，装运前需报有关部门批准。铁路运输时应严格按照铁道部《危险货物运输规则》中的危险货物配装表进行配装。起运时包装要完整，装载应稳妥。运输过程中要确保容器不泄漏、不倒塌、不坠落、不损坏。严禁与碱类、胺类、碱金属、易燃物或可燃物、食用化学品等混装混运。运输时运输车辆应配备泄漏应急处理设备。运输途中应防曝晒、雨淋，防高温。公路运输时要按规定路线行驶，勿在居民区和人口稠密区停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急救措施</w:t>
            </w:r>
          </w:p>
        </w:tc>
        <w:tc>
          <w:tcPr>
            <w:tcW w:w="7491" w:type="dxa"/>
            <w:gridSpan w:val="11"/>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宋体" w:hAnsi="Times New Roman" w:eastAsia="宋体" w:cs="Times New Roman"/>
              </w:rPr>
              <w:t>皮肤接触：立即脱去污染的衣着，用大量流动清水冲洗至少15分钟。就医。眼睛接触：</w:t>
            </w:r>
            <w:r>
              <w:rPr>
                <w:rFonts w:hint="eastAsia" w:ascii="Times New Roman" w:hAnsi="Times New Roman" w:eastAsia="宋体" w:cs="Times New Roman"/>
                <w:szCs w:val="28"/>
              </w:rPr>
              <w:t>立即翻开上下眼睑</w:t>
            </w:r>
            <w:r>
              <w:rPr>
                <w:rFonts w:hint="eastAsia" w:ascii="宋体" w:hAnsi="Times New Roman" w:eastAsia="宋体" w:cs="Times New Roman"/>
              </w:rPr>
              <w:t>，用大量流动清水或生理盐水彻底冲洗至少15分钟。就医。吸入：迅速脱离现场至空气新鲜处。保持呼吸道通畅。呼吸困难时给输氧。如呼吸停止，立即进行人工呼吸。就医。食入：用水漱口，给饮牛奶或蛋清。就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0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泄漏应急处理及废弃处置</w:t>
            </w:r>
          </w:p>
        </w:tc>
        <w:tc>
          <w:tcPr>
            <w:tcW w:w="7491" w:type="dxa"/>
            <w:gridSpan w:val="11"/>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宋体" w:hAnsi="Times New Roman" w:eastAsia="宋体" w:cs="Times New Roman"/>
              </w:rPr>
            </w:pPr>
            <w:r>
              <w:rPr>
                <w:rFonts w:hint="eastAsia" w:ascii="宋体" w:hAnsi="Times New Roman" w:eastAsia="宋体" w:cs="Times New Roman"/>
              </w:rPr>
              <w:t>处置疏散泄漏污染区人员至安全区，并进行隔离，严格限制出入。建议应急人员戴自给正压式呼吸器，穿防酸碱工作服。不要直接接触泄漏物。尽可能切断泄漏源。小量泄漏：用沙土、干燥石灰或苏打灰混合。也可以用大量水冲洗，稀释后放入废水系统。大量泄漏，构筑围堤或挖坑收容。用泵转移至槽车或专用收集器内，回收或运至废物处理场所处置。</w:t>
            </w:r>
          </w:p>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宋体" w:hAnsi="Times New Roman" w:eastAsia="宋体" w:cs="Times New Roman"/>
              </w:rPr>
              <w:t>废弃处置方法：用碱液——石灰水中和，生成氯化钠和氯化钙，用水稀释后排入废水系统。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503"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个体防护</w:t>
            </w:r>
          </w:p>
        </w:tc>
        <w:tc>
          <w:tcPr>
            <w:tcW w:w="1485" w:type="dxa"/>
            <w:gridSpan w:val="3"/>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工程控制</w:t>
            </w:r>
          </w:p>
        </w:tc>
        <w:tc>
          <w:tcPr>
            <w:tcW w:w="2520" w:type="dxa"/>
            <w:gridSpan w:val="5"/>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宋体" w:hAnsi="Times New Roman" w:eastAsia="宋体" w:cs="Times New Roman"/>
              </w:rPr>
              <w:t>密闭操作，注意通风，尽可能机械化、自动化。提供安全淋浴和洗眼设备。</w:t>
            </w:r>
          </w:p>
        </w:tc>
        <w:tc>
          <w:tcPr>
            <w:tcW w:w="993"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呼吸系统防护</w:t>
            </w:r>
          </w:p>
        </w:tc>
        <w:tc>
          <w:tcPr>
            <w:tcW w:w="2493" w:type="dxa"/>
            <w:gridSpan w:val="2"/>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宋体" w:hAnsi="Times New Roman" w:eastAsia="宋体" w:cs="Times New Roman"/>
              </w:rPr>
              <w:t>可能接触其烟雾时，佩戴自吸过滤式防毒面具（全面罩）或空气呼吸器。紧急事态抢救或撤离时，建议佩戴氧气呼吸器。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1503"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p>
        </w:tc>
        <w:tc>
          <w:tcPr>
            <w:tcW w:w="1485" w:type="dxa"/>
            <w:gridSpan w:val="3"/>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最高容许浓度MAC（mg/m</w:t>
            </w:r>
            <w:r>
              <w:rPr>
                <w:rFonts w:hint="eastAsia" w:ascii="Times New Roman" w:hAnsi="Times New Roman" w:eastAsia="宋体" w:cs="Times New Roman"/>
                <w:vertAlign w:val="superscript"/>
              </w:rPr>
              <w:t>3</w:t>
            </w:r>
            <w:r>
              <w:rPr>
                <w:rFonts w:hint="eastAsia" w:ascii="Times New Roman" w:hAnsi="Times New Roman" w:eastAsia="宋体" w:cs="Times New Roman"/>
              </w:rPr>
              <w:t>）</w:t>
            </w:r>
          </w:p>
        </w:tc>
        <w:tc>
          <w:tcPr>
            <w:tcW w:w="2520" w:type="dxa"/>
            <w:gridSpan w:val="5"/>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中国：15</w:t>
            </w:r>
          </w:p>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前苏联：未制定标准</w:t>
            </w:r>
          </w:p>
        </w:tc>
        <w:tc>
          <w:tcPr>
            <w:tcW w:w="993"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p>
        </w:tc>
        <w:tc>
          <w:tcPr>
            <w:tcW w:w="2493" w:type="dxa"/>
            <w:gridSpan w:val="2"/>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宋体" w:hAnsi="Times New Roman" w:eastAsia="宋体" w:cs="Times New Rom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503"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p>
        </w:tc>
        <w:tc>
          <w:tcPr>
            <w:tcW w:w="1485" w:type="dxa"/>
            <w:gridSpan w:val="3"/>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眼睛防护</w:t>
            </w:r>
          </w:p>
        </w:tc>
        <w:tc>
          <w:tcPr>
            <w:tcW w:w="2520" w:type="dxa"/>
            <w:gridSpan w:val="5"/>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呼吸系统防护中已作防护。</w:t>
            </w:r>
          </w:p>
        </w:tc>
        <w:tc>
          <w:tcPr>
            <w:tcW w:w="99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身体防护</w:t>
            </w:r>
          </w:p>
        </w:tc>
        <w:tc>
          <w:tcPr>
            <w:tcW w:w="2493"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宋体" w:hAnsi="Times New Roman" w:eastAsia="宋体" w:cs="Times New Roman"/>
              </w:rPr>
              <w:t>穿橡胶耐酸碱服。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503"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p>
        </w:tc>
        <w:tc>
          <w:tcPr>
            <w:tcW w:w="1485" w:type="dxa"/>
            <w:gridSpan w:val="3"/>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Times New Roman" w:hAnsi="Times New Roman" w:eastAsia="宋体" w:cs="Times New Roman"/>
              </w:rPr>
              <w:t>手防护</w:t>
            </w:r>
          </w:p>
        </w:tc>
        <w:tc>
          <w:tcPr>
            <w:tcW w:w="2520" w:type="dxa"/>
            <w:gridSpan w:val="5"/>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rPr>
            </w:pPr>
            <w:r>
              <w:rPr>
                <w:rFonts w:hint="eastAsia" w:ascii="宋体" w:hAnsi="Times New Roman" w:eastAsia="宋体" w:cs="Times New Roman"/>
              </w:rPr>
              <w:t>戴橡胶耐酸碱手套。</w:t>
            </w:r>
          </w:p>
        </w:tc>
        <w:tc>
          <w:tcPr>
            <w:tcW w:w="993" w:type="dxa"/>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Times New Roman" w:hAnsi="Times New Roman" w:eastAsia="宋体" w:cs="Times New Roman"/>
              </w:rPr>
              <w:t>其他防护</w:t>
            </w:r>
          </w:p>
        </w:tc>
        <w:tc>
          <w:tcPr>
            <w:tcW w:w="2493" w:type="dxa"/>
            <w:gridSpan w:val="2"/>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eastAsia" w:ascii="宋体" w:hAnsi="Times New Roman" w:eastAsia="宋体" w:cs="Times New Roman"/>
              </w:rPr>
              <w:t>工作现场禁止吸烟、进食和饮水。工作完毕，淋浴更衣。单独存放被毒物污染的衣物，洗后再用。保持良好的卫生习惯。</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hint="default" w:eastAsia="黑体"/>
          <w:bCs/>
          <w:snapToGrid w:val="0"/>
          <w:kern w:val="0"/>
          <w:sz w:val="28"/>
          <w:szCs w:val="28"/>
          <w:lang w:val="en-US" w:eastAsia="zh-CN"/>
        </w:rPr>
      </w:pPr>
      <w:bookmarkStart w:id="59" w:name="_Toc397326901"/>
      <w:bookmarkStart w:id="60" w:name="_Toc366438843"/>
      <w:bookmarkStart w:id="61" w:name="_Toc447782516"/>
      <w:r>
        <w:rPr>
          <w:rFonts w:hint="eastAsia" w:eastAsia="黑体"/>
          <w:bCs/>
          <w:snapToGrid w:val="0"/>
          <w:kern w:val="0"/>
          <w:sz w:val="28"/>
          <w:szCs w:val="28"/>
        </w:rPr>
        <w:t>3.1.</w:t>
      </w:r>
      <w:r>
        <w:rPr>
          <w:rFonts w:hint="eastAsia" w:eastAsia="黑体"/>
          <w:bCs/>
          <w:snapToGrid w:val="0"/>
          <w:kern w:val="0"/>
          <w:sz w:val="28"/>
          <w:szCs w:val="28"/>
          <w:lang w:val="en-US" w:eastAsia="zh-CN"/>
        </w:rPr>
        <w:t>8 油基润滑油</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ascii="Times New Roman" w:hAnsi="Times New Roman" w:eastAsia="宋体" w:cs="Times New Roman"/>
          <w:sz w:val="28"/>
          <w:szCs w:val="28"/>
        </w:rPr>
      </w:pPr>
      <w:r>
        <w:rPr>
          <w:rFonts w:hint="eastAsia" w:ascii="Times New Roman" w:hAnsi="Times New Roman" w:eastAsia="宋体" w:cs="Times New Roman"/>
          <w:sz w:val="28"/>
          <w:szCs w:val="28"/>
        </w:rPr>
        <w:t>油基润滑油是以矿物油为基础油，加上其他附加成分（如添加剂等）配制成的润滑剂，化学成分包括高沸点、高分子量烃类和非烃类混合物。其组成一般为烷烃（直链、支链、多支链）、环烷烃（单环、双环、多环）、芳烃（单环芳烃、多环芳烃）、环烷基芳烃以及含氧、含氮、含硫有机化合物和胶质、沥青质等非烃类化合物</w:t>
      </w:r>
      <w:r>
        <w:rPr>
          <w:rFonts w:ascii="Times New Roman" w:hAnsi="Times New Roman" w:eastAsia="宋体" w:cs="Times New Roman"/>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ascii="Times New Roman" w:hAnsi="Times New Roman" w:eastAsia="宋体" w:cs="Times New Roman"/>
          <w:sz w:val="28"/>
          <w:szCs w:val="28"/>
        </w:rPr>
        <w:t>油基型润滑剂不能溶解于水，能溶解于有机溶剂，有良好的润滑效果，但冷却效果稍差，还存在易燃和污染环境的缺点。</w:t>
      </w:r>
    </w:p>
    <w:p>
      <w:pPr>
        <w:pStyle w:val="4"/>
        <w:adjustRightInd w:val="0"/>
        <w:snapToGrid w:val="0"/>
        <w:spacing w:before="0" w:after="0" w:line="360" w:lineRule="auto"/>
      </w:pPr>
      <w:bookmarkStart w:id="62" w:name="_Toc28237"/>
      <w:r>
        <w:rPr>
          <w:rFonts w:hint="eastAsia" w:ascii="Times New Roman" w:hAnsi="Times New Roman"/>
          <w:b w:val="0"/>
          <w:bCs/>
          <w:szCs w:val="32"/>
        </w:rPr>
        <w:t>3.2 主要</w:t>
      </w:r>
      <w:r>
        <w:rPr>
          <w:rFonts w:hint="eastAsia" w:ascii="Times New Roman" w:hAnsi="Times New Roman"/>
          <w:b w:val="0"/>
          <w:bCs/>
          <w:szCs w:val="32"/>
          <w:lang w:val="en-US" w:eastAsia="zh-CN"/>
        </w:rPr>
        <w:t>作业流程及</w:t>
      </w:r>
      <w:r>
        <w:rPr>
          <w:rFonts w:hint="eastAsia" w:ascii="Times New Roman" w:hAnsi="Times New Roman"/>
          <w:b w:val="0"/>
          <w:bCs/>
          <w:szCs w:val="32"/>
        </w:rPr>
        <w:t>设备</w:t>
      </w:r>
      <w:r>
        <w:rPr>
          <w:rFonts w:hint="eastAsia" w:ascii="Times New Roman" w:hAnsi="Times New Roman"/>
          <w:b w:val="0"/>
          <w:bCs/>
          <w:szCs w:val="32"/>
          <w:lang w:val="en-US" w:eastAsia="zh-CN"/>
        </w:rPr>
        <w:t>设施</w:t>
      </w:r>
      <w:r>
        <w:rPr>
          <w:rFonts w:hint="eastAsia" w:ascii="Times New Roman" w:hAnsi="Times New Roman"/>
          <w:b w:val="0"/>
          <w:bCs/>
          <w:szCs w:val="32"/>
        </w:rPr>
        <w:t>危险性分析</w:t>
      </w:r>
      <w:bookmarkEnd w:id="59"/>
      <w:bookmarkEnd w:id="60"/>
      <w:bookmarkEnd w:id="61"/>
      <w:bookmarkEnd w:id="62"/>
    </w:p>
    <w:p>
      <w:pPr>
        <w:keepNext/>
        <w:keepLines/>
        <w:pageBreakBefore w:val="0"/>
        <w:widowControl w:val="0"/>
        <w:kinsoku/>
        <w:wordWrap/>
        <w:autoSpaceDE/>
        <w:autoSpaceDN/>
        <w:bidi w:val="0"/>
        <w:adjustRightInd w:val="0"/>
        <w:snapToGrid w:val="0"/>
        <w:spacing w:line="360" w:lineRule="auto"/>
        <w:textAlignment w:val="auto"/>
        <w:outlineLvl w:val="2"/>
        <w:rPr>
          <w:rFonts w:hint="default" w:eastAsia="黑体"/>
          <w:bCs/>
          <w:snapToGrid w:val="0"/>
          <w:color w:val="auto"/>
          <w:kern w:val="0"/>
          <w:sz w:val="28"/>
          <w:szCs w:val="28"/>
          <w:lang w:val="en-US" w:eastAsia="zh-CN"/>
        </w:rPr>
      </w:pPr>
      <w:r>
        <w:rPr>
          <w:rFonts w:hint="eastAsia" w:eastAsia="黑体"/>
          <w:bCs/>
          <w:snapToGrid w:val="0"/>
          <w:color w:val="auto"/>
          <w:kern w:val="0"/>
          <w:sz w:val="28"/>
          <w:szCs w:val="28"/>
          <w:lang w:val="en-US" w:eastAsia="zh-CN"/>
        </w:rPr>
        <w:t>3.2.1小修、大修、侧钻危险性分析</w:t>
      </w:r>
    </w:p>
    <w:p>
      <w:pPr>
        <w:pageBreakBefore w:val="0"/>
        <w:widowControl w:val="0"/>
        <w:kinsoku/>
        <w:wordWrap/>
        <w:autoSpaceDE/>
        <w:autoSpaceDN/>
        <w:bidi w:val="0"/>
        <w:adjustRightInd w:val="0"/>
        <w:snapToGrid w:val="0"/>
        <w:spacing w:line="360" w:lineRule="auto"/>
        <w:ind w:firstLine="560" w:firstLineChars="200"/>
        <w:textAlignment w:val="auto"/>
        <w:rPr>
          <w:sz w:val="28"/>
          <w:szCs w:val="28"/>
        </w:rPr>
      </w:pPr>
      <w:r>
        <w:rPr>
          <w:rFonts w:hint="eastAsia"/>
          <w:sz w:val="28"/>
          <w:szCs w:val="28"/>
          <w:lang w:eastAsia="zh-CN"/>
        </w:rPr>
        <w:t>胜利油田康贝油气工程有限公司</w:t>
      </w:r>
      <w:r>
        <w:rPr>
          <w:rFonts w:hint="eastAsia"/>
          <w:sz w:val="28"/>
          <w:szCs w:val="28"/>
        </w:rPr>
        <w:t>井下作业</w:t>
      </w:r>
      <w:r>
        <w:rPr>
          <w:rFonts w:hint="eastAsia"/>
          <w:sz w:val="28"/>
          <w:szCs w:val="28"/>
          <w:lang w:val="en-US" w:eastAsia="zh-CN"/>
        </w:rPr>
        <w:t>小修、大修、侧钻</w:t>
      </w:r>
      <w:r>
        <w:rPr>
          <w:rFonts w:hint="eastAsia"/>
          <w:sz w:val="28"/>
          <w:szCs w:val="28"/>
        </w:rPr>
        <w:t>项目设备主要包括动力设备、提升设备和辅助设备。在施工中由于操作技术不熟练，对有关的安全操作规程不熟悉，或是由于机械性外力作用而引发事故，其后果一般表现为人身伤亡或机器损坏。</w:t>
      </w:r>
    </w:p>
    <w:p>
      <w:pPr>
        <w:pageBreakBefore w:val="0"/>
        <w:widowControl w:val="0"/>
        <w:kinsoku/>
        <w:wordWrap/>
        <w:autoSpaceDE/>
        <w:autoSpaceDN/>
        <w:bidi w:val="0"/>
        <w:adjustRightInd w:val="0"/>
        <w:snapToGrid w:val="0"/>
        <w:spacing w:line="360" w:lineRule="auto"/>
        <w:ind w:firstLine="560" w:firstLineChars="200"/>
        <w:textAlignment w:val="auto"/>
        <w:rPr>
          <w:sz w:val="28"/>
          <w:szCs w:val="28"/>
        </w:rPr>
      </w:pPr>
      <w:r>
        <w:rPr>
          <w:rFonts w:hint="eastAsia"/>
          <w:sz w:val="28"/>
          <w:szCs w:val="28"/>
        </w:rPr>
        <w:t>动力设备是指施工中所使用的通井机、修井机等。引发事故的原因主要是发动机系统、刹车系统的故障未能被及时排除。发动机系统故障有可能造成机毁人亡。刹车系统故障有可能造成顿、溜钻等恶性事故。</w:t>
      </w:r>
    </w:p>
    <w:p>
      <w:pPr>
        <w:pageBreakBefore w:val="0"/>
        <w:widowControl w:val="0"/>
        <w:kinsoku/>
        <w:wordWrap/>
        <w:autoSpaceDE/>
        <w:autoSpaceDN/>
        <w:bidi w:val="0"/>
        <w:adjustRightInd w:val="0"/>
        <w:snapToGrid w:val="0"/>
        <w:spacing w:line="360" w:lineRule="auto"/>
        <w:ind w:firstLine="560" w:firstLineChars="200"/>
        <w:textAlignment w:val="auto"/>
        <w:rPr>
          <w:sz w:val="28"/>
          <w:szCs w:val="28"/>
        </w:rPr>
      </w:pPr>
      <w:r>
        <w:rPr>
          <w:rFonts w:hint="eastAsia"/>
          <w:sz w:val="28"/>
          <w:szCs w:val="28"/>
        </w:rPr>
        <w:t>提升设备主要由井架、游车大钩和钢丝绳组成。超负荷使用井架或井架地基不牢等会使井架下沉、倾斜或翻转，造成恶性事故；起放井架前通井机不平衡，易导致起放过程中井架倾倒；起升井架时注意力不集中或操作技术不熟练，使上段井架窜出，从而导致恶性事故；对井口距离超标，导致放井架时撞坏井口设备。</w:t>
      </w:r>
    </w:p>
    <w:p>
      <w:pPr>
        <w:pageBreakBefore w:val="0"/>
        <w:widowControl w:val="0"/>
        <w:kinsoku/>
        <w:wordWrap/>
        <w:autoSpaceDE/>
        <w:autoSpaceDN/>
        <w:bidi w:val="0"/>
        <w:adjustRightInd w:val="0"/>
        <w:snapToGrid w:val="0"/>
        <w:spacing w:line="360" w:lineRule="auto"/>
        <w:ind w:firstLine="560" w:firstLineChars="200"/>
        <w:textAlignment w:val="auto"/>
        <w:rPr>
          <w:sz w:val="28"/>
          <w:szCs w:val="28"/>
        </w:rPr>
      </w:pPr>
      <w:r>
        <w:rPr>
          <w:rFonts w:hint="eastAsia"/>
          <w:sz w:val="28"/>
          <w:szCs w:val="28"/>
        </w:rPr>
        <w:t>游车大钩在作业中是连成一体的。在起下钻过程中若发生顿钻，易造成钢丝绳跳槽而被挤扁。在处理跳槽过程中易造成钢丝绳断丝，导致强度降低，形成事故隐患；游车与大钩连接的轴销固定螺丝断落，在起下钻施工中可引起轴销脱落，造成伤亡事故；大钩未按规定保养，使大钩颈锈死，在进行旋转作业时，钩颈不能随管柱转动，与管柱的反扭力在失控时会造成人身伤害或钢丝绳打扭。钢丝绳虽然不是机械设备，但在提升系统中占有重要位置。钢丝绳断丝断股、超期使用、超负荷使用都会给安全施工带来隐患。</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eastAsia="zh-CN"/>
        </w:rPr>
      </w:pPr>
      <w:r>
        <w:rPr>
          <w:rFonts w:hint="eastAsia"/>
          <w:sz w:val="28"/>
          <w:szCs w:val="28"/>
        </w:rPr>
        <w:t>辅助设备主要包括液压钳、吊卡、吊环</w:t>
      </w:r>
      <w:r>
        <w:rPr>
          <w:rFonts w:hint="eastAsia"/>
          <w:sz w:val="28"/>
          <w:szCs w:val="28"/>
          <w:lang w:val="en-US" w:eastAsia="zh-CN"/>
        </w:rPr>
        <w:t>以及防喷器等井控设备</w:t>
      </w:r>
      <w:r>
        <w:rPr>
          <w:rFonts w:hint="eastAsia"/>
          <w:sz w:val="28"/>
          <w:szCs w:val="28"/>
        </w:rPr>
        <w:t>等。在施工作业中，由于操作技术不熟练，对有关的安全操作规程不熟悉，或是在操作中注意力不集中、酒后上岗等，会引发机械伤害或物体打击。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大小修及侧钻作业过程中的主要风险包括火灾爆炸、中毒、物体打击、机械伤害、高处坠落、触电、井喷等危险有害因素，可能造成人员伤亡、设备设施损坏、施工作业周期延长、油井减产、损坏风险。</w:t>
      </w:r>
    </w:p>
    <w:p>
      <w:pPr>
        <w:pageBreakBefore w:val="0"/>
        <w:widowControl w:val="0"/>
        <w:kinsoku/>
        <w:wordWrap/>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大小修及侧钻作业设计考虑不周全；设备工具陈旧老化、性能不良；设备设施检查、维修保养不到位；安全资金投入不足，使安全管理措施落实不到位；未按规定开展安全培训，施工人员安全意识淡薄，违反操作规程，操作失误等；周围环境影响，人为破坏，以前施工遗留有隐患等因素，都可能引发大小修及侧钻作业风险事故。</w:t>
      </w:r>
    </w:p>
    <w:p>
      <w:pPr>
        <w:pageBreakBefore w:val="0"/>
        <w:widowControl w:val="0"/>
        <w:kinsoku/>
        <w:wordWrap/>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由于大小修及侧钻作业协同岗位多，施工工序复杂，所用设备工具多、修井机体积大，易造成物体打击、机械伤害、高处坠落等事故，造成人身伤害。尤其是作业机钢丝绳断裂、井架倒塌，对人身安全和设备的危害更大。另外，电气设备、电气开关、电缆敷设可能因接地、接零或屏护措施不完善、防护间距不够、耐压强度低、耐腐蚀性差等原因，造成漏电和人员触电伤害。</w:t>
      </w:r>
    </w:p>
    <w:p>
      <w:pPr>
        <w:pageBreakBefore w:val="0"/>
        <w:widowControl w:val="0"/>
        <w:kinsoku/>
        <w:wordWrap/>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侧钻施工涉及的作业过程比较复杂，不能超越程序进行作业，开钻时设备运行状态是否正常，各气、电路控制系统是否存在漏气、漏电或接错等现象等，可能造成物体打击、机械伤害、触电、设备损害等事故；钻头、钻具、套管、工具等体积和重量都比较大，劳动强度大，在接方钻杆、起吊钻杆、装卸钻头、操作大钳、吊卡、推摆钻杆等过程中时，如钻台工作人员配合不好，容易发生物体打击、机械伤害等人身伤害事故；二层台操作人员操作不慎，也容易造成高处坠落、物体打击事故。下表层套管时，在钻台大门前扣好吊卡后，人员如不及时躲避，容易造成碰、砸、撞、挤、扭、擦伤事故。</w:t>
      </w:r>
    </w:p>
    <w:p>
      <w:pPr>
        <w:pageBreakBefore w:val="0"/>
        <w:widowControl w:val="0"/>
        <w:kinsoku/>
        <w:wordWrap/>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第二次开钻的工作内容主要包括：高压试运转、下钻、钻进和起钻等。在一口井的施工中，高压试运转易造成设备损坏和人身伤亡。下钻过程可能会遇到的井下复杂情况很多，如井眼垮塌、缩径、沉砂、油气上窜、井涌等，如果司钻在操作过程中注意不够或判断失误，有可能将钻具贸然下入复杂井眼，造成卡钻、顿钻等事故；如果下钻速度快，会产生很大的激动压力，容易憋漏地层。另外，在下钻过程中，钻井大绳卡进指梁会挂坏井架或二层台，容易造成物体打击和高处坠落事故；下钻过程中，如果绞车高、低速离合器不放气，刹车失灵，可能导致顿钻重大事故；用大钳紧扣操作猫头时失误，有可能造成物体打击、机械伤害事故；在二层台工作时，有可能导致高处坠落或高处落物等人身伤害事故。</w:t>
      </w:r>
    </w:p>
    <w:p>
      <w:pPr>
        <w:pageBreakBefore w:val="0"/>
        <w:widowControl w:val="0"/>
        <w:kinsoku/>
        <w:wordWrap/>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钻进过程中，在井浅时，因快速钻进，钻井液性能不完善，造壁性和悬浮性能差。可能造成井眼垮塌或沉砂埋钻具。井深时，可能会遇到地层压力异常，造成井漏、井涌、井喷以及井喷失控着火等严重事故。</w:t>
      </w:r>
    </w:p>
    <w:p>
      <w:pPr>
        <w:pageBreakBefore w:val="0"/>
        <w:widowControl w:val="0"/>
        <w:kinsoku/>
        <w:wordWrap/>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起钻过程中，由于井下情况复杂，处理不当，可能引起上提遇卡、转盘憋劲大、打倒车、灌不进钻井液等情况。起钻速度快或钻头泥包，导致拔活塞，容易诱发井塌、井漏、油气水侵、井涌以及井喷和井喷失控事故；起钻过程中，如果绞车高、低速离合器不放气，防碰天车失灵，处理不当可能导致顶天车的恶性事故；在起钻过程中，如果司钻失误或与井口工作人员配合不当，可能造成单吊环起钻、崩砸井口工具、顶天车等事故的发生，可能导致一人或多人死亡的重大事故；井架工二层台操作时，容易发生高处坠落或高处落物伤人事故。</w:t>
      </w:r>
    </w:p>
    <w:p>
      <w:pPr>
        <w:pageBreakBefore w:val="0"/>
        <w:widowControl w:val="0"/>
        <w:kinsoku/>
        <w:wordWrap/>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钻进过程中由于各种原因造成的复杂情况和事故还有很多，这些复杂情况多数是由于操作失误造成的，另外由于井下情况复杂，发生如井涌、井漏、卡钻、缩径、钻头泥包、井下落物等事故时，地面需要采取压井、划眼、倒划眼、解卡、扩眼、打捞等作业来处理井下事故，这些非正常作业又容易导致井喷失控、井喷、顶天车、顿钻、单吊环起钻等地面事故的发生。</w:t>
      </w:r>
    </w:p>
    <w:p>
      <w:pPr>
        <w:pageBreakBefore w:val="0"/>
        <w:widowControl w:val="0"/>
        <w:kinsoku/>
        <w:wordWrap/>
        <w:autoSpaceDE/>
        <w:autoSpaceDN/>
        <w:bidi w:val="0"/>
        <w:adjustRightInd w:val="0"/>
        <w:snapToGrid w:val="0"/>
        <w:spacing w:line="360" w:lineRule="auto"/>
        <w:ind w:firstLine="560" w:firstLineChars="200"/>
        <w:textAlignment w:val="auto"/>
        <w:rPr>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钻进气层时，随着气层岩石的破碎，岩石孔隙中含有的气体侵入钻井液。钻到大裂缝或溶洞气藏，有可能出现置换性的大量气体突然侵入钻井液，气层中的气体通过钻井液（含泥饼）向井内扩散。在钻井过程中，若不采取有效的除气措施，就会反复将气侵钻井液泵入井内，使钻井液气侵的程度更加严重，造成井底压力不断降低，就有出现溢流或井喷的危险。</w:t>
      </w:r>
      <w:r>
        <w:rPr>
          <w:rFonts w:hint="eastAsia" w:ascii="Times New Roman" w:hAnsi="Times New Roman" w:eastAsia="宋体" w:cs="Times New Roman"/>
          <w:sz w:val="28"/>
          <w:szCs w:val="28"/>
          <w:lang w:val="en-US" w:eastAsia="zh-CN"/>
        </w:rPr>
        <w:t>钻遇浅层气时，由于地层气成分含量不明，如果没有气体检测报警措施或者施工前无地质设计、工程设计等，人员未采取防护措施，有可能发生火灾爆炸、中毒窒息等的危险。</w:t>
      </w:r>
    </w:p>
    <w:p>
      <w:pPr>
        <w:keepNext/>
        <w:keepLines/>
        <w:pageBreakBefore w:val="0"/>
        <w:widowControl w:val="0"/>
        <w:kinsoku/>
        <w:wordWrap/>
        <w:autoSpaceDE/>
        <w:autoSpaceDN/>
        <w:bidi w:val="0"/>
        <w:adjustRightInd w:val="0"/>
        <w:snapToGrid w:val="0"/>
        <w:spacing w:line="360" w:lineRule="auto"/>
        <w:textAlignment w:val="auto"/>
        <w:outlineLvl w:val="2"/>
        <w:rPr>
          <w:rFonts w:hint="default" w:ascii="Times New Roman" w:hAnsi="Times New Roman" w:eastAsia="黑体" w:cs="Times New Roman"/>
          <w:bCs/>
          <w:snapToGrid w:val="0"/>
          <w:color w:val="auto"/>
          <w:kern w:val="0"/>
          <w:sz w:val="28"/>
          <w:szCs w:val="28"/>
          <w:lang w:val="en-US" w:eastAsia="zh-CN"/>
        </w:rPr>
      </w:pPr>
      <w:r>
        <w:rPr>
          <w:rFonts w:hint="eastAsia" w:ascii="Times New Roman" w:hAnsi="Times New Roman" w:eastAsia="黑体" w:cs="Times New Roman"/>
          <w:bCs/>
          <w:snapToGrid w:val="0"/>
          <w:color w:val="auto"/>
          <w:kern w:val="0"/>
          <w:sz w:val="28"/>
          <w:szCs w:val="28"/>
          <w:lang w:val="en-US" w:eastAsia="zh-CN"/>
        </w:rPr>
        <w:t>3.2.2</w:t>
      </w:r>
      <w:r>
        <w:rPr>
          <w:rFonts w:hint="eastAsia" w:eastAsia="黑体" w:cs="Times New Roman"/>
          <w:bCs/>
          <w:snapToGrid w:val="0"/>
          <w:color w:val="auto"/>
          <w:kern w:val="0"/>
          <w:sz w:val="28"/>
          <w:szCs w:val="28"/>
          <w:lang w:val="en-US" w:eastAsia="zh-CN"/>
        </w:rPr>
        <w:t>连续油管</w:t>
      </w:r>
      <w:r>
        <w:rPr>
          <w:rFonts w:hint="eastAsia" w:ascii="Times New Roman" w:hAnsi="Times New Roman" w:eastAsia="黑体" w:cs="Times New Roman"/>
          <w:bCs/>
          <w:snapToGrid w:val="0"/>
          <w:color w:val="auto"/>
          <w:kern w:val="0"/>
          <w:sz w:val="28"/>
          <w:szCs w:val="28"/>
          <w:lang w:val="en-US" w:eastAsia="zh-CN"/>
        </w:rPr>
        <w:t>危险性分析</w:t>
      </w:r>
    </w:p>
    <w:p>
      <w:pPr>
        <w:pageBreakBefore w:val="0"/>
        <w:widowControl w:val="0"/>
        <w:kinsoku/>
        <w:wordWrap/>
        <w:autoSpaceDE/>
        <w:autoSpaceDN/>
        <w:bidi w:val="0"/>
        <w:adjustRightInd w:val="0"/>
        <w:snapToGrid w:val="0"/>
        <w:spacing w:line="360" w:lineRule="auto"/>
        <w:ind w:firstLine="560" w:firstLineChars="200"/>
        <w:textAlignment w:val="auto"/>
        <w:rPr>
          <w:rFonts w:hint="default" w:eastAsia="宋体"/>
          <w:kern w:val="0"/>
          <w:sz w:val="28"/>
          <w:szCs w:val="28"/>
          <w:lang w:val="en-US" w:eastAsia="zh-CN"/>
        </w:rPr>
      </w:pPr>
      <w:r>
        <w:rPr>
          <w:rFonts w:hint="eastAsia"/>
          <w:kern w:val="0"/>
          <w:sz w:val="28"/>
          <w:szCs w:val="28"/>
          <w:lang w:eastAsia="zh-CN"/>
        </w:rPr>
        <w:t>连续油管</w:t>
      </w:r>
      <w:r>
        <w:rPr>
          <w:rFonts w:hint="eastAsia"/>
          <w:kern w:val="0"/>
          <w:sz w:val="28"/>
          <w:szCs w:val="28"/>
        </w:rPr>
        <w:t>作业</w:t>
      </w:r>
      <w:r>
        <w:rPr>
          <w:rFonts w:hint="eastAsia"/>
          <w:kern w:val="0"/>
          <w:sz w:val="28"/>
          <w:szCs w:val="28"/>
          <w:lang w:val="en-US" w:eastAsia="zh-CN"/>
        </w:rPr>
        <w:t>主要工序包括设备安装作业、地面管线试压、打开井口、连续油管下井、通井、刮管、冲、钻施工、起升连续油管，主要设备为滚筒撬、井口撬、高压管汇、防喷器等。</w:t>
      </w:r>
    </w:p>
    <w:p>
      <w:pPr>
        <w:pageBreakBefore w:val="0"/>
        <w:widowControl w:val="0"/>
        <w:kinsoku/>
        <w:wordWrap/>
        <w:autoSpaceDE/>
        <w:autoSpaceDN/>
        <w:bidi w:val="0"/>
        <w:adjustRightInd w:val="0"/>
        <w:snapToGrid w:val="0"/>
        <w:spacing w:line="360" w:lineRule="auto"/>
        <w:ind w:firstLine="560" w:firstLineChars="200"/>
        <w:textAlignment w:val="auto"/>
        <w:rPr>
          <w:rFonts w:hint="eastAsia"/>
          <w:kern w:val="0"/>
          <w:sz w:val="28"/>
          <w:szCs w:val="28"/>
          <w:lang w:val="en-US" w:eastAsia="zh-CN"/>
        </w:rPr>
      </w:pPr>
      <w:r>
        <w:rPr>
          <w:rFonts w:hint="eastAsia"/>
          <w:kern w:val="0"/>
          <w:sz w:val="28"/>
          <w:szCs w:val="28"/>
          <w:lang w:val="en-US" w:eastAsia="zh-CN"/>
        </w:rPr>
        <w:t>1）</w:t>
      </w:r>
      <w:r>
        <w:rPr>
          <w:rFonts w:hint="eastAsia"/>
          <w:kern w:val="0"/>
          <w:sz w:val="28"/>
          <w:szCs w:val="28"/>
        </w:rPr>
        <w:t>油管试压时高压管线剌漏</w:t>
      </w:r>
      <w:r>
        <w:rPr>
          <w:rFonts w:hint="eastAsia"/>
          <w:kern w:val="0"/>
          <w:sz w:val="28"/>
          <w:szCs w:val="28"/>
          <w:lang w:eastAsia="zh-CN"/>
        </w:rPr>
        <w:t>、</w:t>
      </w:r>
      <w:r>
        <w:rPr>
          <w:rFonts w:hint="eastAsia"/>
          <w:kern w:val="0"/>
          <w:sz w:val="28"/>
          <w:szCs w:val="28"/>
          <w:lang w:val="en-US" w:eastAsia="zh-CN"/>
        </w:rPr>
        <w:t>防喷器试压刺漏等</w:t>
      </w:r>
      <w:r>
        <w:rPr>
          <w:rFonts w:hint="eastAsia"/>
          <w:kern w:val="0"/>
          <w:sz w:val="28"/>
          <w:szCs w:val="28"/>
        </w:rPr>
        <w:t>，造成人身伤亡事故</w:t>
      </w:r>
      <w:r>
        <w:rPr>
          <w:rFonts w:hint="eastAsia"/>
          <w:kern w:val="0"/>
          <w:sz w:val="28"/>
          <w:szCs w:val="28"/>
          <w:lang w:eastAsia="zh-CN"/>
        </w:rPr>
        <w:t>；</w:t>
      </w:r>
      <w:r>
        <w:rPr>
          <w:rFonts w:hint="eastAsia"/>
          <w:kern w:val="0"/>
          <w:sz w:val="28"/>
          <w:szCs w:val="28"/>
        </w:rPr>
        <w:t>连续油管设备的液压管线刺漏，使设备无法工作，甚至造成人员伤亡</w:t>
      </w:r>
      <w:r>
        <w:rPr>
          <w:rFonts w:hint="eastAsia"/>
          <w:kern w:val="0"/>
          <w:sz w:val="28"/>
          <w:szCs w:val="28"/>
          <w:lang w:eastAsia="zh-CN"/>
        </w:rPr>
        <w:t>。</w:t>
      </w:r>
      <w:r>
        <w:rPr>
          <w:rFonts w:hint="eastAsia"/>
          <w:kern w:val="0"/>
          <w:sz w:val="28"/>
          <w:szCs w:val="28"/>
          <w:lang w:val="en-US" w:eastAsia="zh-CN"/>
        </w:rPr>
        <w:t>打开井口，井口高压，原油喷出造成事故的发生。</w:t>
      </w:r>
    </w:p>
    <w:p>
      <w:pPr>
        <w:pageBreakBefore w:val="0"/>
        <w:widowControl w:val="0"/>
        <w:kinsoku/>
        <w:wordWrap/>
        <w:autoSpaceDE/>
        <w:autoSpaceDN/>
        <w:bidi w:val="0"/>
        <w:adjustRightInd w:val="0"/>
        <w:snapToGrid w:val="0"/>
        <w:spacing w:line="360" w:lineRule="auto"/>
        <w:ind w:firstLine="560" w:firstLineChars="200"/>
        <w:textAlignment w:val="auto"/>
        <w:rPr>
          <w:rFonts w:hint="eastAsia"/>
          <w:kern w:val="0"/>
          <w:sz w:val="28"/>
          <w:szCs w:val="28"/>
          <w:lang w:val="en-US" w:eastAsia="zh-CN"/>
        </w:rPr>
      </w:pPr>
      <w:r>
        <w:rPr>
          <w:rFonts w:hint="eastAsia"/>
          <w:kern w:val="0"/>
          <w:sz w:val="28"/>
          <w:szCs w:val="28"/>
          <w:lang w:val="en-US" w:eastAsia="zh-CN"/>
        </w:rPr>
        <w:t>2）连续油管下井过程存在下列风险：</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kern w:val="0"/>
          <w:sz w:val="28"/>
          <w:szCs w:val="28"/>
          <w:lang w:val="en-US" w:eastAsia="zh-CN"/>
        </w:rPr>
      </w:pPr>
      <w:r>
        <w:rPr>
          <w:rFonts w:hint="eastAsia" w:ascii="宋体" w:hAnsi="宋体" w:eastAsia="宋体" w:cs="宋体"/>
          <w:kern w:val="0"/>
          <w:sz w:val="28"/>
          <w:szCs w:val="28"/>
          <w:lang w:val="en-US" w:eastAsia="zh-CN"/>
        </w:rPr>
        <w:t>①</w:t>
      </w:r>
      <w:r>
        <w:rPr>
          <w:rFonts w:hint="eastAsia"/>
          <w:kern w:val="0"/>
          <w:sz w:val="28"/>
          <w:szCs w:val="28"/>
          <w:lang w:val="en-US" w:eastAsia="zh-CN"/>
        </w:rPr>
        <w:t>下入速度太快造成油管遇阻损坏；</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eastAsia="宋体"/>
          <w:kern w:val="0"/>
          <w:sz w:val="28"/>
          <w:szCs w:val="28"/>
          <w:lang w:val="en-US" w:eastAsia="zh-CN"/>
        </w:rPr>
      </w:pPr>
      <w:r>
        <w:rPr>
          <w:rFonts w:hint="eastAsia" w:ascii="宋体" w:hAnsi="宋体" w:eastAsia="宋体" w:cs="宋体"/>
          <w:kern w:val="0"/>
          <w:sz w:val="28"/>
          <w:szCs w:val="28"/>
          <w:lang w:val="en-US" w:eastAsia="zh-CN"/>
        </w:rPr>
        <w:t>②</w:t>
      </w:r>
      <w:r>
        <w:rPr>
          <w:rFonts w:hint="eastAsia"/>
          <w:kern w:val="0"/>
          <w:sz w:val="28"/>
          <w:szCs w:val="28"/>
          <w:lang w:val="en-US" w:eastAsia="zh-CN"/>
        </w:rPr>
        <w:t>井底压力太高，油管不能下入；</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eastAsia="宋体"/>
          <w:kern w:val="0"/>
          <w:sz w:val="28"/>
          <w:szCs w:val="28"/>
          <w:lang w:val="en-US" w:eastAsia="zh-CN"/>
        </w:rPr>
      </w:pPr>
      <w:r>
        <w:rPr>
          <w:rFonts w:hint="eastAsia" w:ascii="宋体" w:hAnsi="宋体" w:eastAsia="宋体" w:cs="宋体"/>
          <w:kern w:val="0"/>
          <w:sz w:val="28"/>
          <w:szCs w:val="28"/>
          <w:lang w:val="en-US" w:eastAsia="zh-CN"/>
        </w:rPr>
        <w:t>③</w:t>
      </w:r>
      <w:r>
        <w:rPr>
          <w:rFonts w:hint="eastAsia"/>
          <w:kern w:val="0"/>
          <w:sz w:val="28"/>
          <w:szCs w:val="28"/>
          <w:lang w:val="en-US" w:eastAsia="zh-CN"/>
        </w:rPr>
        <w:t>油管下入过程遇到接箍或不明遇阻；</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eastAsia="宋体"/>
          <w:kern w:val="0"/>
          <w:sz w:val="28"/>
          <w:szCs w:val="28"/>
          <w:lang w:val="en-US" w:eastAsia="zh-CN"/>
        </w:rPr>
      </w:pPr>
      <w:r>
        <w:rPr>
          <w:rFonts w:hint="eastAsia" w:ascii="宋体" w:hAnsi="宋体" w:eastAsia="宋体" w:cs="宋体"/>
          <w:kern w:val="0"/>
          <w:sz w:val="28"/>
          <w:szCs w:val="28"/>
          <w:lang w:val="en-US" w:eastAsia="zh-CN"/>
        </w:rPr>
        <w:t>④</w:t>
      </w:r>
      <w:r>
        <w:rPr>
          <w:rFonts w:hint="eastAsia"/>
          <w:kern w:val="0"/>
          <w:sz w:val="28"/>
          <w:szCs w:val="28"/>
          <w:lang w:val="en-US" w:eastAsia="zh-CN"/>
        </w:rPr>
        <w:t>排揽器不能正常滑动导致油管损坏或不能整齐缠绕油管；</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eastAsia="宋体"/>
          <w:kern w:val="0"/>
          <w:sz w:val="28"/>
          <w:szCs w:val="28"/>
          <w:lang w:val="en-US" w:eastAsia="zh-CN"/>
        </w:rPr>
      </w:pPr>
      <w:r>
        <w:rPr>
          <w:rFonts w:hint="eastAsia" w:ascii="宋体" w:hAnsi="宋体" w:eastAsia="宋体" w:cs="宋体"/>
          <w:kern w:val="0"/>
          <w:sz w:val="28"/>
          <w:szCs w:val="28"/>
          <w:lang w:val="en-US" w:eastAsia="zh-CN"/>
        </w:rPr>
        <w:t>⑤</w:t>
      </w:r>
      <w:r>
        <w:rPr>
          <w:rFonts w:hint="eastAsia"/>
          <w:kern w:val="0"/>
          <w:sz w:val="28"/>
          <w:szCs w:val="28"/>
          <w:lang w:val="en-US" w:eastAsia="zh-CN"/>
        </w:rPr>
        <w:t>油管在下入期间遇阻；下入过程中注入器不工作；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default" w:eastAsia="宋体"/>
          <w:kern w:val="0"/>
          <w:sz w:val="28"/>
          <w:szCs w:val="28"/>
          <w:lang w:val="en-US" w:eastAsia="zh-CN"/>
        </w:rPr>
      </w:pPr>
      <w:r>
        <w:rPr>
          <w:rFonts w:hint="eastAsia" w:ascii="宋体" w:hAnsi="宋体" w:eastAsia="宋体" w:cs="宋体"/>
          <w:kern w:val="0"/>
          <w:sz w:val="28"/>
          <w:szCs w:val="28"/>
          <w:lang w:val="en-US" w:eastAsia="zh-CN"/>
        </w:rPr>
        <w:t>⑥</w:t>
      </w:r>
      <w:r>
        <w:rPr>
          <w:rFonts w:hint="eastAsia"/>
          <w:kern w:val="0"/>
          <w:sz w:val="28"/>
          <w:szCs w:val="28"/>
          <w:lang w:val="en-US" w:eastAsia="zh-CN"/>
        </w:rPr>
        <w:t>油管下井时滚筒不能工作；滚筒撬旋转过程中人员身体部位被夹伤或挤伤。</w:t>
      </w:r>
    </w:p>
    <w:p>
      <w:pPr>
        <w:pageBreakBefore w:val="0"/>
        <w:widowControl w:val="0"/>
        <w:numPr>
          <w:ilvl w:val="0"/>
          <w:numId w:val="23"/>
        </w:numPr>
        <w:kinsoku/>
        <w:wordWrap/>
        <w:autoSpaceDE/>
        <w:autoSpaceDN/>
        <w:bidi w:val="0"/>
        <w:adjustRightInd w:val="0"/>
        <w:snapToGrid w:val="0"/>
        <w:spacing w:line="360" w:lineRule="auto"/>
        <w:ind w:firstLine="560" w:firstLineChars="200"/>
        <w:textAlignment w:val="auto"/>
        <w:rPr>
          <w:rFonts w:hint="eastAsia"/>
          <w:kern w:val="0"/>
          <w:sz w:val="28"/>
          <w:szCs w:val="28"/>
          <w:lang w:val="en-US" w:eastAsia="zh-CN"/>
        </w:rPr>
      </w:pPr>
      <w:r>
        <w:rPr>
          <w:rFonts w:hint="eastAsia"/>
          <w:kern w:val="0"/>
          <w:sz w:val="28"/>
          <w:szCs w:val="28"/>
          <w:lang w:val="en-US" w:eastAsia="zh-CN"/>
        </w:rPr>
        <w:t>通井、刮管、冲、钻施工</w:t>
      </w:r>
      <w:r>
        <w:rPr>
          <w:rFonts w:hint="eastAsia"/>
          <w:kern w:val="0"/>
          <w:sz w:val="28"/>
          <w:szCs w:val="28"/>
        </w:rPr>
        <w:t>过程中</w:t>
      </w:r>
      <w:r>
        <w:rPr>
          <w:rFonts w:hint="eastAsia"/>
          <w:kern w:val="0"/>
          <w:sz w:val="28"/>
          <w:szCs w:val="28"/>
          <w:lang w:val="en-US" w:eastAsia="zh-CN"/>
        </w:rPr>
        <w:t>存在下列风险：</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kern w:val="0"/>
          <w:sz w:val="28"/>
          <w:szCs w:val="28"/>
        </w:rPr>
      </w:pPr>
      <w:r>
        <w:rPr>
          <w:rFonts w:hint="eastAsia" w:ascii="宋体" w:hAnsi="宋体" w:eastAsia="宋体" w:cs="宋体"/>
          <w:kern w:val="0"/>
          <w:sz w:val="28"/>
          <w:szCs w:val="28"/>
          <w:lang w:val="en-US" w:eastAsia="zh-CN"/>
        </w:rPr>
        <w:t>①</w:t>
      </w:r>
      <w:r>
        <w:rPr>
          <w:rFonts w:hint="eastAsia"/>
          <w:kern w:val="0"/>
          <w:sz w:val="28"/>
          <w:szCs w:val="28"/>
        </w:rPr>
        <w:t>在施工过程中地面发生重大泄露造成设备损伤、人员伤害;</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kern w:val="0"/>
          <w:sz w:val="28"/>
          <w:szCs w:val="28"/>
        </w:rPr>
      </w:pPr>
      <w:r>
        <w:rPr>
          <w:rFonts w:hint="eastAsia"/>
          <w:kern w:val="0"/>
          <w:sz w:val="28"/>
          <w:szCs w:val="28"/>
          <w:lang w:val="en-US" w:eastAsia="zh-CN"/>
        </w:rPr>
        <w:t>②</w:t>
      </w:r>
      <w:r>
        <w:rPr>
          <w:rFonts w:hint="eastAsia"/>
          <w:kern w:val="0"/>
          <w:sz w:val="28"/>
          <w:szCs w:val="28"/>
        </w:rPr>
        <w:t>作业过程中油管失控落入井筒;油管控制失速顶出井</w:t>
      </w:r>
      <w:r>
        <w:rPr>
          <w:rFonts w:hint="eastAsia"/>
          <w:kern w:val="0"/>
          <w:sz w:val="28"/>
          <w:szCs w:val="28"/>
          <w:lang w:val="en-US" w:eastAsia="zh-CN"/>
        </w:rPr>
        <w:t>筒</w:t>
      </w:r>
      <w:r>
        <w:rPr>
          <w:rFonts w:hint="eastAsia"/>
          <w:kern w:val="0"/>
          <w:sz w:val="28"/>
          <w:szCs w:val="28"/>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eastAsia="宋体"/>
          <w:kern w:val="0"/>
          <w:sz w:val="28"/>
          <w:szCs w:val="28"/>
          <w:lang w:eastAsia="zh-CN"/>
        </w:rPr>
      </w:pPr>
      <w:r>
        <w:rPr>
          <w:rFonts w:hint="eastAsia" w:ascii="宋体" w:hAnsi="宋体" w:eastAsia="宋体" w:cs="宋体"/>
          <w:kern w:val="0"/>
          <w:sz w:val="28"/>
          <w:szCs w:val="28"/>
          <w:lang w:val="en-US" w:eastAsia="zh-CN"/>
        </w:rPr>
        <w:t>③</w:t>
      </w:r>
      <w:r>
        <w:rPr>
          <w:rFonts w:hint="eastAsia"/>
          <w:kern w:val="0"/>
          <w:sz w:val="28"/>
          <w:szCs w:val="28"/>
        </w:rPr>
        <w:t>施工时泵注高压液体时刺漏造成人员伤亡</w:t>
      </w:r>
      <w:r>
        <w:rPr>
          <w:rFonts w:hint="eastAsia"/>
          <w:kern w:val="0"/>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eastAsia="宋体"/>
          <w:kern w:val="0"/>
          <w:sz w:val="28"/>
          <w:szCs w:val="28"/>
          <w:lang w:eastAsia="zh-CN"/>
        </w:rPr>
      </w:pPr>
      <w:r>
        <w:rPr>
          <w:rFonts w:hint="eastAsia" w:ascii="宋体" w:hAnsi="宋体" w:eastAsia="宋体" w:cs="宋体"/>
          <w:kern w:val="0"/>
          <w:sz w:val="28"/>
          <w:szCs w:val="28"/>
          <w:lang w:val="en-US" w:eastAsia="zh-CN"/>
        </w:rPr>
        <w:t>④</w:t>
      </w:r>
      <w:r>
        <w:rPr>
          <w:rFonts w:hint="eastAsia"/>
          <w:kern w:val="0"/>
          <w:sz w:val="28"/>
          <w:szCs w:val="28"/>
        </w:rPr>
        <w:t>滚</w:t>
      </w:r>
      <w:r>
        <w:rPr>
          <w:rFonts w:hint="eastAsia"/>
          <w:kern w:val="0"/>
          <w:sz w:val="28"/>
          <w:szCs w:val="28"/>
          <w:lang w:val="en-US" w:eastAsia="zh-CN"/>
        </w:rPr>
        <w:t>筒</w:t>
      </w:r>
      <w:r>
        <w:rPr>
          <w:rFonts w:hint="eastAsia"/>
          <w:kern w:val="0"/>
          <w:sz w:val="28"/>
          <w:szCs w:val="28"/>
        </w:rPr>
        <w:t>排管器变形不能正常工作</w:t>
      </w:r>
      <w:r>
        <w:rPr>
          <w:rFonts w:hint="eastAsia"/>
          <w:kern w:val="0"/>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eastAsia="宋体"/>
          <w:kern w:val="0"/>
          <w:sz w:val="28"/>
          <w:szCs w:val="28"/>
          <w:lang w:eastAsia="zh-CN"/>
        </w:rPr>
      </w:pPr>
      <w:r>
        <w:rPr>
          <w:rFonts w:hint="eastAsia" w:ascii="宋体" w:hAnsi="宋体" w:eastAsia="宋体" w:cs="宋体"/>
          <w:kern w:val="0"/>
          <w:sz w:val="28"/>
          <w:szCs w:val="28"/>
          <w:lang w:val="en-US" w:eastAsia="zh-CN"/>
        </w:rPr>
        <w:t>⑤</w:t>
      </w:r>
      <w:r>
        <w:rPr>
          <w:rFonts w:hint="eastAsia"/>
          <w:kern w:val="0"/>
          <w:sz w:val="28"/>
          <w:szCs w:val="28"/>
        </w:rPr>
        <w:t>泵入时</w:t>
      </w:r>
      <w:r>
        <w:rPr>
          <w:rFonts w:hint="eastAsia"/>
          <w:kern w:val="0"/>
          <w:sz w:val="28"/>
          <w:szCs w:val="28"/>
          <w:lang w:val="en-US" w:eastAsia="zh-CN"/>
        </w:rPr>
        <w:t>井口撬</w:t>
      </w:r>
      <w:r>
        <w:rPr>
          <w:rFonts w:hint="eastAsia"/>
          <w:kern w:val="0"/>
          <w:sz w:val="28"/>
          <w:szCs w:val="28"/>
        </w:rPr>
        <w:t>有泄露造成人员伤亡</w:t>
      </w:r>
      <w:r>
        <w:rPr>
          <w:rFonts w:hint="eastAsia"/>
          <w:kern w:val="0"/>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eastAsia="宋体"/>
          <w:kern w:val="0"/>
          <w:sz w:val="28"/>
          <w:szCs w:val="28"/>
          <w:lang w:eastAsia="zh-CN"/>
        </w:rPr>
      </w:pPr>
      <w:r>
        <w:rPr>
          <w:rFonts w:hint="eastAsia" w:ascii="宋体" w:hAnsi="宋体" w:eastAsia="宋体" w:cs="宋体"/>
          <w:kern w:val="0"/>
          <w:sz w:val="28"/>
          <w:szCs w:val="28"/>
          <w:lang w:val="en-US" w:eastAsia="zh-CN"/>
        </w:rPr>
        <w:t>⑥</w:t>
      </w:r>
      <w:r>
        <w:rPr>
          <w:rFonts w:hint="eastAsia"/>
          <w:kern w:val="0"/>
          <w:sz w:val="28"/>
          <w:szCs w:val="28"/>
        </w:rPr>
        <w:t>井下工具失去原有作用不能正常工作</w:t>
      </w:r>
      <w:r>
        <w:rPr>
          <w:rFonts w:hint="eastAsia"/>
          <w:kern w:val="0"/>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eastAsia="宋体"/>
          <w:kern w:val="0"/>
          <w:sz w:val="28"/>
          <w:szCs w:val="28"/>
          <w:lang w:eastAsia="zh-CN"/>
        </w:rPr>
      </w:pPr>
      <w:r>
        <w:rPr>
          <w:rFonts w:hint="eastAsia" w:ascii="宋体" w:hAnsi="宋体" w:eastAsia="宋体" w:cs="宋体"/>
          <w:kern w:val="0"/>
          <w:sz w:val="28"/>
          <w:szCs w:val="28"/>
        </w:rPr>
        <w:t>⑦</w:t>
      </w:r>
      <w:r>
        <w:rPr>
          <w:rFonts w:hint="eastAsia"/>
          <w:kern w:val="0"/>
          <w:sz w:val="28"/>
          <w:szCs w:val="28"/>
        </w:rPr>
        <w:t>施工过程中油管遇卡无法正常工作</w:t>
      </w:r>
      <w:r>
        <w:rPr>
          <w:rFonts w:hint="eastAsia"/>
          <w:kern w:val="0"/>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kern w:val="0"/>
          <w:sz w:val="28"/>
          <w:szCs w:val="28"/>
          <w:lang w:eastAsia="zh-CN"/>
        </w:rPr>
      </w:pPr>
      <w:r>
        <w:rPr>
          <w:rFonts w:hint="eastAsia" w:ascii="宋体" w:hAnsi="宋体" w:eastAsia="宋体" w:cs="宋体"/>
          <w:kern w:val="0"/>
          <w:sz w:val="28"/>
          <w:szCs w:val="28"/>
        </w:rPr>
        <w:t>⑧</w:t>
      </w:r>
      <w:r>
        <w:rPr>
          <w:rFonts w:hint="eastAsia"/>
          <w:kern w:val="0"/>
          <w:sz w:val="28"/>
          <w:szCs w:val="28"/>
        </w:rPr>
        <w:t>防喷器关闭不严，划伤油管及造成油管遇卡</w:t>
      </w:r>
      <w:r>
        <w:rPr>
          <w:rFonts w:hint="eastAsia"/>
          <w:kern w:val="0"/>
          <w:sz w:val="28"/>
          <w:szCs w:val="28"/>
          <w:lang w:eastAsia="zh-CN"/>
        </w:rPr>
        <w:t>。</w:t>
      </w:r>
    </w:p>
    <w:p>
      <w:pPr>
        <w:pStyle w:val="2"/>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lang w:val="en-US" w:eastAsia="zh-CN"/>
        </w:rPr>
      </w:pPr>
      <w:r>
        <w:rPr>
          <w:rFonts w:hint="eastAsia"/>
          <w:lang w:val="en-US" w:eastAsia="zh-CN"/>
        </w:rPr>
        <w:t>起升连续油管</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0" w:firstLineChars="200"/>
        <w:textAlignment w:val="auto"/>
        <w:rPr>
          <w:rFonts w:hint="eastAsia"/>
          <w:lang w:val="en-US" w:eastAsia="zh-CN"/>
        </w:rPr>
      </w:pPr>
      <w:r>
        <w:rPr>
          <w:rFonts w:hint="eastAsia"/>
          <w:lang w:val="en-US" w:eastAsia="zh-CN"/>
        </w:rPr>
        <w:t>上提过程油管遇阻，滚筒旋转过程中人员身体部位被夹伤或挤伤。</w:t>
      </w:r>
    </w:p>
    <w:p>
      <w:pPr>
        <w:keepNext/>
        <w:keepLines/>
        <w:pageBreakBefore w:val="0"/>
        <w:widowControl w:val="0"/>
        <w:kinsoku/>
        <w:wordWrap/>
        <w:autoSpaceDE/>
        <w:autoSpaceDN/>
        <w:bidi w:val="0"/>
        <w:adjustRightInd w:val="0"/>
        <w:snapToGrid w:val="0"/>
        <w:spacing w:line="360" w:lineRule="auto"/>
        <w:textAlignment w:val="auto"/>
        <w:outlineLvl w:val="2"/>
        <w:rPr>
          <w:rFonts w:hint="eastAsia" w:ascii="Times New Roman" w:hAnsi="Times New Roman" w:eastAsia="黑体" w:cs="Times New Roman"/>
          <w:bCs/>
          <w:snapToGrid w:val="0"/>
          <w:color w:val="auto"/>
          <w:kern w:val="0"/>
          <w:sz w:val="28"/>
          <w:szCs w:val="28"/>
          <w:lang w:val="en-US" w:eastAsia="zh-CN"/>
        </w:rPr>
      </w:pPr>
      <w:r>
        <w:rPr>
          <w:rFonts w:hint="eastAsia" w:ascii="Times New Roman" w:hAnsi="Times New Roman" w:eastAsia="黑体" w:cs="Times New Roman"/>
          <w:bCs/>
          <w:snapToGrid w:val="0"/>
          <w:color w:val="auto"/>
          <w:kern w:val="0"/>
          <w:sz w:val="28"/>
          <w:szCs w:val="28"/>
          <w:lang w:val="en-US" w:eastAsia="zh-CN"/>
        </w:rPr>
        <w:t>3.2.3现场试压危险性分析</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现场试压</w:t>
      </w:r>
      <w:r>
        <w:rPr>
          <w:rFonts w:hint="eastAsia" w:ascii="Times New Roman" w:hAnsi="Times New Roman" w:eastAsia="宋体" w:cs="Times New Roman"/>
          <w:color w:val="000000"/>
          <w:kern w:val="2"/>
          <w:sz w:val="28"/>
          <w:szCs w:val="28"/>
          <w:lang w:val="en-US" w:eastAsia="zh-CN" w:bidi="ar-SA"/>
        </w:rPr>
        <w:t>作业过程中</w:t>
      </w:r>
      <w:r>
        <w:rPr>
          <w:rFonts w:hint="eastAsia" w:ascii="Times New Roman" w:hAnsi="Times New Roman" w:cs="Times New Roman"/>
          <w:color w:val="000000"/>
          <w:kern w:val="2"/>
          <w:sz w:val="28"/>
          <w:szCs w:val="28"/>
          <w:lang w:val="en-US" w:eastAsia="zh-CN" w:bidi="ar-SA"/>
        </w:rPr>
        <w:t>主要危险因素分析：</w:t>
      </w:r>
    </w:p>
    <w:p>
      <w:pPr>
        <w:keepNext w:val="0"/>
        <w:keepLines w:val="0"/>
        <w:pageBreakBefore w:val="0"/>
        <w:widowControl w:val="0"/>
        <w:numPr>
          <w:ilvl w:val="0"/>
          <w:numId w:val="24"/>
        </w:numPr>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color w:val="000000"/>
          <w:kern w:val="2"/>
          <w:sz w:val="28"/>
          <w:szCs w:val="28"/>
          <w:lang w:val="en-US" w:eastAsia="zh-CN" w:bidi="ar-SA"/>
        </w:rPr>
      </w:pPr>
      <w:r>
        <w:rPr>
          <w:rFonts w:hint="eastAsia" w:ascii="Times New Roman" w:hAnsi="Times New Roman" w:eastAsia="宋体" w:cs="Times New Roman"/>
          <w:color w:val="000000"/>
          <w:kern w:val="2"/>
          <w:sz w:val="28"/>
          <w:szCs w:val="28"/>
          <w:lang w:val="en-US" w:eastAsia="zh-CN" w:bidi="ar-SA"/>
        </w:rPr>
        <w:t>高压管汇等设备未定期检测或使用不合格</w:t>
      </w:r>
      <w:r>
        <w:rPr>
          <w:rFonts w:hint="eastAsia" w:ascii="Times New Roman" w:hAnsi="Times New Roman" w:cs="Times New Roman"/>
          <w:color w:val="000000"/>
          <w:kern w:val="2"/>
          <w:sz w:val="28"/>
          <w:szCs w:val="28"/>
          <w:lang w:val="en-US" w:eastAsia="zh-CN" w:bidi="ar-SA"/>
        </w:rPr>
        <w:t>管汇</w:t>
      </w:r>
      <w:r>
        <w:rPr>
          <w:rFonts w:hint="eastAsia" w:ascii="Times New Roman" w:hAnsi="Times New Roman" w:eastAsia="宋体" w:cs="Times New Roman"/>
          <w:color w:val="000000"/>
          <w:kern w:val="2"/>
          <w:sz w:val="28"/>
          <w:szCs w:val="28"/>
          <w:lang w:val="en-US" w:eastAsia="zh-CN" w:bidi="ar-SA"/>
        </w:rPr>
        <w:t>，管线破损，</w:t>
      </w:r>
      <w:r>
        <w:rPr>
          <w:rFonts w:hint="eastAsia" w:ascii="Times New Roman" w:hAnsi="Times New Roman" w:cs="Times New Roman"/>
          <w:color w:val="000000"/>
          <w:kern w:val="2"/>
          <w:sz w:val="28"/>
          <w:szCs w:val="28"/>
          <w:lang w:val="en-US" w:eastAsia="zh-CN" w:bidi="ar-SA"/>
        </w:rPr>
        <w:t>人员伤亡；</w:t>
      </w:r>
    </w:p>
    <w:p>
      <w:pPr>
        <w:keepNext w:val="0"/>
        <w:keepLines w:val="0"/>
        <w:pageBreakBefore w:val="0"/>
        <w:widowControl w:val="0"/>
        <w:numPr>
          <w:ilvl w:val="0"/>
          <w:numId w:val="24"/>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pPr>
      <w:r>
        <w:rPr>
          <w:rFonts w:hint="eastAsia" w:ascii="Times New Roman" w:hAnsi="Times New Roman" w:eastAsia="宋体" w:cs="Times New Roman"/>
          <w:color w:val="000000"/>
          <w:kern w:val="2"/>
          <w:sz w:val="28"/>
          <w:szCs w:val="28"/>
          <w:lang w:val="en-US" w:eastAsia="zh-CN" w:bidi="ar-SA"/>
        </w:rPr>
        <w:t>部件、连接件规格不符合、连接管线固定不牢固造成隐患；压力刺漏，造成设备损坏人员伤亡</w:t>
      </w:r>
      <w:r>
        <w:rPr>
          <w:rFonts w:hint="eastAsia" w:ascii="Times New Roman" w:hAnsi="Times New Roman" w:cs="Times New Roman"/>
          <w:color w:val="000000"/>
          <w:kern w:val="2"/>
          <w:sz w:val="28"/>
          <w:szCs w:val="28"/>
          <w:lang w:val="en-US" w:eastAsia="zh-CN" w:bidi="ar-SA"/>
        </w:rPr>
        <w:t>；</w:t>
      </w:r>
    </w:p>
    <w:p>
      <w:pPr>
        <w:keepNext w:val="0"/>
        <w:keepLines w:val="0"/>
        <w:pageBreakBefore w:val="0"/>
        <w:widowControl w:val="0"/>
        <w:numPr>
          <w:ilvl w:val="0"/>
          <w:numId w:val="24"/>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未正确开关闸门或者闸门开关不到位</w:t>
      </w:r>
      <w:r>
        <w:rPr>
          <w:rFonts w:hint="eastAsia" w:ascii="Times New Roman" w:hAnsi="Times New Roman" w:cs="Times New Roman"/>
          <w:color w:val="000000"/>
          <w:kern w:val="2"/>
          <w:sz w:val="28"/>
          <w:szCs w:val="28"/>
          <w:lang w:val="en-US" w:eastAsia="zh-CN" w:bidi="ar-SA"/>
        </w:rPr>
        <w:t>；</w:t>
      </w:r>
      <w:r>
        <w:rPr>
          <w:rFonts w:hint="eastAsia" w:ascii="Times New Roman" w:hAnsi="Times New Roman" w:eastAsia="宋体" w:cs="Times New Roman"/>
          <w:color w:val="000000"/>
          <w:kern w:val="2"/>
          <w:sz w:val="28"/>
          <w:szCs w:val="28"/>
          <w:lang w:val="en-US" w:eastAsia="zh-CN" w:bidi="ar-SA"/>
        </w:rPr>
        <w:t>阀门开关不灵活、流程标识不清</w:t>
      </w:r>
      <w:r>
        <w:rPr>
          <w:rFonts w:hint="eastAsia" w:ascii="Times New Roman" w:hAnsi="Times New Roman" w:cs="Times New Roman"/>
          <w:color w:val="000000"/>
          <w:kern w:val="2"/>
          <w:sz w:val="28"/>
          <w:szCs w:val="28"/>
          <w:lang w:val="en-US" w:eastAsia="zh-CN" w:bidi="ar-SA"/>
        </w:rPr>
        <w:t>，人员操作失误，造成事故的发生；</w:t>
      </w:r>
    </w:p>
    <w:p>
      <w:pPr>
        <w:keepNext w:val="0"/>
        <w:keepLines w:val="0"/>
        <w:pageBreakBefore w:val="0"/>
        <w:widowControl w:val="0"/>
        <w:numPr>
          <w:ilvl w:val="0"/>
          <w:numId w:val="24"/>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pPr>
      <w:r>
        <w:rPr>
          <w:rFonts w:hint="eastAsia" w:ascii="Times New Roman" w:hAnsi="Times New Roman" w:eastAsia="宋体" w:cs="Times New Roman"/>
          <w:color w:val="000000"/>
          <w:kern w:val="2"/>
          <w:sz w:val="28"/>
          <w:szCs w:val="28"/>
          <w:lang w:val="en-US" w:eastAsia="zh-CN" w:bidi="ar-SA"/>
        </w:rPr>
        <w:t>压力数值显示不准确或失灵导致设备损坏，人员伤害</w:t>
      </w:r>
      <w:r>
        <w:rPr>
          <w:rFonts w:hint="eastAsia" w:ascii="Times New Roman" w:hAnsi="Times New Roman" w:cs="Times New Roman"/>
          <w:color w:val="000000"/>
          <w:kern w:val="2"/>
          <w:sz w:val="28"/>
          <w:szCs w:val="28"/>
          <w:lang w:val="en-US" w:eastAsia="zh-CN" w:bidi="ar-SA"/>
        </w:rPr>
        <w:t>；</w:t>
      </w:r>
    </w:p>
    <w:p>
      <w:pPr>
        <w:keepNext w:val="0"/>
        <w:keepLines w:val="0"/>
        <w:pageBreakBefore w:val="0"/>
        <w:widowControl w:val="0"/>
        <w:numPr>
          <w:ilvl w:val="0"/>
          <w:numId w:val="24"/>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pPr>
      <w:r>
        <w:rPr>
          <w:rFonts w:hint="eastAsia" w:ascii="Times New Roman" w:hAnsi="Times New Roman" w:eastAsia="宋体" w:cs="Times New Roman"/>
          <w:color w:val="000000"/>
          <w:kern w:val="2"/>
          <w:sz w:val="28"/>
          <w:szCs w:val="28"/>
          <w:lang w:val="en-US" w:eastAsia="zh-CN" w:bidi="ar-SA"/>
        </w:rPr>
        <w:t>管汇出口无标识</w:t>
      </w:r>
      <w:r>
        <w:rPr>
          <w:rFonts w:hint="eastAsia" w:ascii="Times New Roman" w:hAnsi="Times New Roman" w:cs="Times New Roman"/>
          <w:color w:val="000000"/>
          <w:kern w:val="2"/>
          <w:sz w:val="28"/>
          <w:szCs w:val="28"/>
          <w:lang w:val="en-US" w:eastAsia="zh-CN" w:bidi="ar-SA"/>
        </w:rPr>
        <w:t>、</w:t>
      </w:r>
      <w:r>
        <w:rPr>
          <w:rFonts w:hint="eastAsia" w:ascii="Times New Roman" w:hAnsi="Times New Roman" w:eastAsia="宋体" w:cs="Times New Roman"/>
          <w:color w:val="000000"/>
          <w:kern w:val="2"/>
          <w:sz w:val="28"/>
          <w:szCs w:val="28"/>
          <w:lang w:val="en-US" w:eastAsia="zh-CN" w:bidi="ar-SA"/>
        </w:rPr>
        <w:t>隔离区域不到位造成无关人员</w:t>
      </w:r>
      <w:r>
        <w:rPr>
          <w:rFonts w:hint="default" w:ascii="Times New Roman" w:hAnsi="Times New Roman" w:eastAsia="宋体" w:cs="Times New Roman"/>
          <w:color w:val="000000"/>
          <w:kern w:val="2"/>
          <w:sz w:val="28"/>
          <w:szCs w:val="28"/>
          <w:lang w:val="en-US" w:eastAsia="zh-CN" w:bidi="ar-SA"/>
        </w:rPr>
        <w:t>误入高压危险区域，造成伤害</w:t>
      </w:r>
      <w:r>
        <w:rPr>
          <w:rFonts w:hint="eastAsia" w:ascii="Times New Roman" w:hAnsi="Times New Roman" w:cs="Times New Roman"/>
          <w:color w:val="000000"/>
          <w:kern w:val="2"/>
          <w:sz w:val="28"/>
          <w:szCs w:val="28"/>
          <w:lang w:val="en-US" w:eastAsia="zh-CN" w:bidi="ar-SA"/>
        </w:rPr>
        <w:t>；</w:t>
      </w:r>
    </w:p>
    <w:p>
      <w:pPr>
        <w:keepNext w:val="0"/>
        <w:keepLines w:val="0"/>
        <w:pageBreakBefore w:val="0"/>
        <w:widowControl w:val="0"/>
        <w:numPr>
          <w:ilvl w:val="0"/>
          <w:numId w:val="24"/>
        </w:numPr>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试验压力过大，造成设备损害和人身伤害</w:t>
      </w:r>
      <w:r>
        <w:rPr>
          <w:rFonts w:hint="eastAsia" w:ascii="Times New Roman" w:hAnsi="Times New Roman" w:eastAsia="宋体" w:cs="Times New Roman"/>
          <w:color w:val="000000"/>
          <w:kern w:val="2"/>
          <w:sz w:val="28"/>
          <w:szCs w:val="28"/>
          <w:lang w:val="en-US" w:eastAsia="zh-CN" w:bidi="ar-SA"/>
        </w:rPr>
        <w:t>。</w:t>
      </w:r>
    </w:p>
    <w:p>
      <w:pPr>
        <w:pStyle w:val="2"/>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pPr>
      <w:r>
        <w:rPr>
          <w:rFonts w:hint="eastAsia" w:ascii="Times New Roman" w:hAnsi="Times New Roman" w:cs="Times New Roman"/>
          <w:color w:val="000000"/>
          <w:kern w:val="2"/>
          <w:sz w:val="28"/>
          <w:szCs w:val="28"/>
          <w:lang w:val="en-US" w:eastAsia="zh-CN" w:bidi="ar-SA"/>
        </w:rPr>
        <w:t>7）试压结束，恢复流程、拆卸试压装置，未等压力完全释放，就进行闸门复位工作，造成设备损害和人身伤害。</w:t>
      </w:r>
    </w:p>
    <w:p>
      <w:pPr>
        <w:pageBreakBefore w:val="0"/>
        <w:widowControl w:val="0"/>
        <w:kinsoku/>
        <w:wordWrap/>
        <w:autoSpaceDE/>
        <w:autoSpaceDN/>
        <w:bidi w:val="0"/>
        <w:adjustRightInd w:val="0"/>
        <w:snapToGrid w:val="0"/>
        <w:spacing w:line="360" w:lineRule="auto"/>
        <w:textAlignment w:val="auto"/>
        <w:outlineLvl w:val="2"/>
        <w:rPr>
          <w:rFonts w:hint="default" w:eastAsia="黑体"/>
          <w:color w:val="000000"/>
          <w:sz w:val="28"/>
          <w:szCs w:val="28"/>
        </w:rPr>
      </w:pPr>
      <w:r>
        <w:rPr>
          <w:rFonts w:hint="default" w:eastAsia="黑体"/>
          <w:color w:val="000000"/>
          <w:kern w:val="0"/>
          <w:sz w:val="28"/>
          <w:szCs w:val="28"/>
        </w:rPr>
        <w:t>3.2.</w:t>
      </w:r>
      <w:r>
        <w:rPr>
          <w:rFonts w:hint="eastAsia" w:eastAsia="黑体"/>
          <w:color w:val="000000"/>
          <w:kern w:val="0"/>
          <w:sz w:val="28"/>
          <w:szCs w:val="28"/>
          <w:lang w:val="en-US" w:eastAsia="zh-CN"/>
        </w:rPr>
        <w:t>4</w:t>
      </w:r>
      <w:r>
        <w:rPr>
          <w:rFonts w:hint="default" w:eastAsia="黑体"/>
          <w:color w:val="000000"/>
          <w:kern w:val="0"/>
          <w:sz w:val="28"/>
          <w:szCs w:val="28"/>
        </w:rPr>
        <w:t xml:space="preserve"> </w:t>
      </w:r>
      <w:r>
        <w:rPr>
          <w:rFonts w:hint="eastAsia" w:eastAsia="黑体"/>
          <w:color w:val="000000"/>
          <w:kern w:val="0"/>
          <w:sz w:val="28"/>
          <w:szCs w:val="28"/>
        </w:rPr>
        <w:t>酸化</w:t>
      </w:r>
      <w:r>
        <w:rPr>
          <w:rFonts w:hint="eastAsia" w:eastAsia="黑体"/>
          <w:bCs/>
          <w:snapToGrid w:val="0"/>
          <w:color w:val="auto"/>
          <w:kern w:val="0"/>
          <w:sz w:val="28"/>
          <w:szCs w:val="28"/>
          <w:lang w:val="en-US" w:eastAsia="zh-CN"/>
        </w:rPr>
        <w:t>危险性分析</w:t>
      </w:r>
      <w:r>
        <w:rPr>
          <w:rFonts w:hint="eastAsia" w:eastAsia="黑体"/>
          <w:color w:val="000000"/>
          <w:kern w:val="0"/>
          <w:sz w:val="28"/>
          <w:szCs w:val="28"/>
        </w:rPr>
        <w:t xml:space="preserve"> </w:t>
      </w:r>
    </w:p>
    <w:p>
      <w:pPr>
        <w:pStyle w:val="62"/>
        <w:pageBreakBefore w:val="0"/>
        <w:widowControl w:val="0"/>
        <w:kinsoku/>
        <w:wordWrap/>
        <w:autoSpaceDE/>
        <w:autoSpaceDN/>
        <w:bidi w:val="0"/>
        <w:adjustRightInd w:val="0"/>
        <w:snapToGrid w:val="0"/>
        <w:spacing w:line="360" w:lineRule="auto"/>
        <w:ind w:firstLine="566"/>
        <w:jc w:val="both"/>
        <w:textAlignment w:val="auto"/>
        <w:rPr>
          <w:rFonts w:hint="default"/>
          <w:color w:val="000000"/>
          <w:kern w:val="0"/>
          <w:sz w:val="28"/>
          <w:szCs w:val="28"/>
        </w:rPr>
      </w:pPr>
      <w:r>
        <w:rPr>
          <w:rFonts w:hint="eastAsia"/>
          <w:color w:val="000000"/>
          <w:kern w:val="0"/>
          <w:sz w:val="28"/>
          <w:szCs w:val="28"/>
        </w:rPr>
        <w:t>酸化作业具有高压危险，同时还需要使用盐酸、复合酸以及添加剂，操作不当可造成灼烫、中毒和窒息。</w:t>
      </w:r>
    </w:p>
    <w:p>
      <w:pPr>
        <w:pStyle w:val="62"/>
        <w:pageBreakBefore w:val="0"/>
        <w:widowControl w:val="0"/>
        <w:kinsoku/>
        <w:wordWrap/>
        <w:autoSpaceDE/>
        <w:autoSpaceDN/>
        <w:bidi w:val="0"/>
        <w:adjustRightInd w:val="0"/>
        <w:snapToGrid w:val="0"/>
        <w:spacing w:line="360" w:lineRule="auto"/>
        <w:ind w:firstLine="566"/>
        <w:jc w:val="both"/>
        <w:textAlignment w:val="auto"/>
        <w:rPr>
          <w:rFonts w:hint="default"/>
          <w:color w:val="000000"/>
          <w:kern w:val="0"/>
          <w:sz w:val="28"/>
          <w:szCs w:val="28"/>
        </w:rPr>
      </w:pPr>
      <w:r>
        <w:rPr>
          <w:rFonts w:hint="eastAsia"/>
          <w:color w:val="000000"/>
          <w:kern w:val="0"/>
          <w:sz w:val="28"/>
          <w:szCs w:val="28"/>
        </w:rPr>
        <w:t>由于高压管汇因设计、材质以及腐蚀等原因造成的压力等级不合格等其他原因，出现高压管汇、井口的破裂和设备的损坏，酸性腐蚀性液体喷溅到人体无防护处，可导致灼烫事故。由于压力较高，酸液还可能导致人身伤害事故。若导致油气泄漏， 可导致人员中毒和窒息，甚至火灾爆炸事故发生。</w:t>
      </w:r>
    </w:p>
    <w:p>
      <w:pPr>
        <w:pageBreakBefore w:val="0"/>
        <w:widowControl w:val="0"/>
        <w:kinsoku/>
        <w:wordWrap/>
        <w:autoSpaceDE/>
        <w:autoSpaceDN/>
        <w:bidi w:val="0"/>
        <w:adjustRightInd w:val="0"/>
        <w:snapToGrid w:val="0"/>
        <w:spacing w:line="360" w:lineRule="auto"/>
        <w:textAlignment w:val="auto"/>
        <w:outlineLvl w:val="2"/>
        <w:rPr>
          <w:rFonts w:hint="default" w:eastAsia="黑体"/>
          <w:color w:val="000000"/>
          <w:sz w:val="28"/>
          <w:szCs w:val="28"/>
        </w:rPr>
      </w:pPr>
      <w:r>
        <w:rPr>
          <w:rFonts w:hint="default" w:eastAsia="黑体"/>
          <w:color w:val="000000"/>
          <w:kern w:val="0"/>
          <w:sz w:val="28"/>
          <w:szCs w:val="28"/>
        </w:rPr>
        <w:t>3.2.</w:t>
      </w:r>
      <w:r>
        <w:rPr>
          <w:rFonts w:hint="eastAsia" w:eastAsia="黑体"/>
          <w:color w:val="000000"/>
          <w:kern w:val="0"/>
          <w:sz w:val="28"/>
          <w:szCs w:val="28"/>
          <w:lang w:val="en-US" w:eastAsia="zh-CN"/>
        </w:rPr>
        <w:t>5</w:t>
      </w:r>
      <w:r>
        <w:rPr>
          <w:rFonts w:hint="default" w:eastAsia="黑体"/>
          <w:color w:val="000000"/>
          <w:kern w:val="0"/>
          <w:sz w:val="28"/>
          <w:szCs w:val="28"/>
        </w:rPr>
        <w:t xml:space="preserve"> </w:t>
      </w:r>
      <w:r>
        <w:rPr>
          <w:rFonts w:hint="eastAsia" w:eastAsia="黑体"/>
          <w:color w:val="000000"/>
          <w:kern w:val="0"/>
          <w:sz w:val="28"/>
          <w:szCs w:val="28"/>
        </w:rPr>
        <w:t>堵水/调剖</w:t>
      </w:r>
      <w:r>
        <w:rPr>
          <w:rFonts w:hint="eastAsia" w:eastAsia="黑体"/>
          <w:bCs/>
          <w:snapToGrid w:val="0"/>
          <w:color w:val="auto"/>
          <w:kern w:val="0"/>
          <w:sz w:val="28"/>
          <w:szCs w:val="28"/>
          <w:lang w:val="en-US" w:eastAsia="zh-CN"/>
        </w:rPr>
        <w:t>危险性分析</w:t>
      </w:r>
      <w:r>
        <w:rPr>
          <w:rFonts w:hint="eastAsia" w:eastAsia="黑体"/>
          <w:color w:val="000000"/>
          <w:kern w:val="0"/>
          <w:sz w:val="28"/>
          <w:szCs w:val="28"/>
        </w:rPr>
        <w:t xml:space="preserve"> </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rPr>
        <w:t>堵水/调剖作业流程中的危险性主要是注入系统的高压力、高噪声等，主要危险、有害因素有超压爆裂、物体打击、触电、机械伤害等。</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default"/>
          <w:sz w:val="28"/>
          <w:szCs w:val="28"/>
        </w:rPr>
        <w:t>1.</w:t>
      </w:r>
      <w:r>
        <w:rPr>
          <w:rFonts w:hint="eastAsia"/>
          <w:sz w:val="28"/>
          <w:szCs w:val="28"/>
        </w:rPr>
        <w:t>超压爆裂</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rPr>
        <w:t>堵水/调剖作业注入系统压力较高，当设备、管道存在缺陷、误操作造成憋压、带压（压力未放空）检维修等，压力超出设备、管道承压极限，导致超压爆裂。</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default"/>
          <w:sz w:val="28"/>
          <w:szCs w:val="28"/>
        </w:rPr>
        <w:t>2.</w:t>
      </w:r>
      <w:r>
        <w:rPr>
          <w:rFonts w:hint="eastAsia"/>
          <w:sz w:val="28"/>
          <w:szCs w:val="28"/>
        </w:rPr>
        <w:t>物体打击</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rPr>
        <w:t>操作人员在操作高压注入设施上的阀门时，若操作人员违章作业，不遵守操作规程，阀门丝杠、手轮等部件飞出可能发生物体打击事故。未泄压情况下更换压力表，压力表飞出可能导致物体打击事故。</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rPr>
        <w:t>高压管汇刺漏可能击伤人体，发生高压刺漏的原因主要有：若注入管线、阀组质量不合格，承压不够，可能发生管线破裂造成刺漏，注入管线受到内外腐蚀，管线长期运行可能产生腐蚀穿孔，导致刺漏。</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rPr>
        <w:t>高压管线丝扣连接不规范，未拧紧，管线阀门、法兰等连接部位的密封件因老化、磨损，或者由于紧固件松动，而产生密封不良或失效等。</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rPr>
        <w:t>堵水/调剖时，井口承受高压，井口设施可能由于质量问题或腐蚀等发生刺漏造成人员伤亡。</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default"/>
          <w:sz w:val="28"/>
          <w:szCs w:val="28"/>
        </w:rPr>
        <w:t>3.</w:t>
      </w:r>
      <w:r>
        <w:rPr>
          <w:rFonts w:hint="eastAsia"/>
          <w:sz w:val="28"/>
          <w:szCs w:val="28"/>
        </w:rPr>
        <w:t>其它危害</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rPr>
        <w:t>高压液体泄漏产生的噪声，电机、泵类设备产生的噪声，对人员健康有一定影响。操作人员若长期在高噪声、振动环境下工作，不仅会损伤他们的听觉，还会使工作人员的情绪烦躁，降低工作效率，有时甚至会导致误动作而引起事故的发生。</w:t>
      </w:r>
    </w:p>
    <w:p>
      <w:pPr>
        <w:keepNext/>
        <w:keepLines/>
        <w:pageBreakBefore w:val="0"/>
        <w:widowControl w:val="0"/>
        <w:kinsoku/>
        <w:wordWrap/>
        <w:overflowPunct/>
        <w:topLinePunct w:val="0"/>
        <w:autoSpaceDE/>
        <w:autoSpaceDN/>
        <w:bidi w:val="0"/>
        <w:adjustRightInd w:val="0"/>
        <w:snapToGrid w:val="0"/>
        <w:spacing w:line="360" w:lineRule="auto"/>
        <w:textAlignment w:val="auto"/>
        <w:outlineLvl w:val="2"/>
        <w:rPr>
          <w:rFonts w:hint="default" w:ascii="Times New Roman" w:hAnsi="Times New Roman" w:eastAsia="宋体" w:cs="Times New Roman"/>
          <w:color w:val="000000"/>
          <w:kern w:val="2"/>
          <w:sz w:val="28"/>
          <w:szCs w:val="28"/>
          <w:lang w:val="en-US" w:eastAsia="zh-CN" w:bidi="ar-SA"/>
        </w:rPr>
      </w:pPr>
      <w:r>
        <w:rPr>
          <w:rFonts w:hint="eastAsia" w:ascii="Times New Roman" w:hAnsi="Times New Roman" w:eastAsia="黑体" w:cs="Times New Roman"/>
          <w:bCs/>
          <w:snapToGrid w:val="0"/>
          <w:color w:val="auto"/>
          <w:kern w:val="0"/>
          <w:sz w:val="28"/>
          <w:szCs w:val="28"/>
          <w:lang w:val="en-US" w:eastAsia="zh-CN"/>
        </w:rPr>
        <w:t>3.2.</w:t>
      </w:r>
      <w:r>
        <w:rPr>
          <w:rFonts w:hint="eastAsia" w:eastAsia="黑体" w:cs="Times New Roman"/>
          <w:bCs/>
          <w:snapToGrid w:val="0"/>
          <w:color w:val="auto"/>
          <w:kern w:val="0"/>
          <w:sz w:val="28"/>
          <w:szCs w:val="28"/>
          <w:lang w:val="en-US" w:eastAsia="zh-CN"/>
        </w:rPr>
        <w:t>6 防砂</w:t>
      </w:r>
      <w:r>
        <w:rPr>
          <w:rFonts w:hint="eastAsia" w:ascii="Times New Roman" w:hAnsi="Times New Roman" w:eastAsia="黑体" w:cs="Times New Roman"/>
          <w:bCs/>
          <w:snapToGrid w:val="0"/>
          <w:color w:val="auto"/>
          <w:kern w:val="0"/>
          <w:sz w:val="28"/>
          <w:szCs w:val="28"/>
          <w:lang w:val="en-US" w:eastAsia="zh-CN"/>
        </w:rPr>
        <w:t>危险性分析</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lang w:val="en-US" w:eastAsia="zh-CN"/>
        </w:rPr>
        <w:t>防砂</w:t>
      </w:r>
      <w:r>
        <w:rPr>
          <w:rFonts w:hint="eastAsia"/>
          <w:sz w:val="28"/>
          <w:szCs w:val="28"/>
        </w:rPr>
        <w:t>作业流程中的危险性主要是系统高压、高噪声等，主要危险、有害因素有超压爆裂、物体打击、触电、机械伤害</w:t>
      </w:r>
      <w:r>
        <w:rPr>
          <w:rFonts w:hint="eastAsia"/>
          <w:sz w:val="28"/>
          <w:szCs w:val="28"/>
          <w:lang w:eastAsia="zh-CN"/>
        </w:rPr>
        <w:t>、</w:t>
      </w:r>
      <w:r>
        <w:rPr>
          <w:rFonts w:hint="eastAsia"/>
          <w:sz w:val="28"/>
          <w:szCs w:val="28"/>
          <w:lang w:val="en-US" w:eastAsia="zh-CN"/>
        </w:rPr>
        <w:t>车辆伤害</w:t>
      </w:r>
      <w:r>
        <w:rPr>
          <w:rFonts w:hint="eastAsia"/>
          <w:sz w:val="28"/>
          <w:szCs w:val="28"/>
        </w:rPr>
        <w:t>等。</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default"/>
          <w:sz w:val="28"/>
          <w:szCs w:val="28"/>
        </w:rPr>
        <w:t>1.</w:t>
      </w:r>
      <w:r>
        <w:rPr>
          <w:rFonts w:hint="eastAsia"/>
          <w:sz w:val="28"/>
          <w:szCs w:val="28"/>
        </w:rPr>
        <w:t>超压爆裂</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lang w:val="en-US" w:eastAsia="zh-CN"/>
        </w:rPr>
        <w:t>防砂</w:t>
      </w:r>
      <w:r>
        <w:rPr>
          <w:rFonts w:hint="eastAsia"/>
          <w:sz w:val="28"/>
          <w:szCs w:val="28"/>
        </w:rPr>
        <w:t>作业系统压力较高，当设备、管道存在缺陷、误操作造成憋压、带压（压力未放空）检维修等，压力超出设备、管道承压极限，导致超压爆裂。</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default"/>
          <w:sz w:val="28"/>
          <w:szCs w:val="28"/>
        </w:rPr>
        <w:t>2.</w:t>
      </w:r>
      <w:r>
        <w:rPr>
          <w:rFonts w:hint="eastAsia"/>
          <w:sz w:val="28"/>
          <w:szCs w:val="28"/>
        </w:rPr>
        <w:t>物体打击</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rPr>
        <w:t>操作人员在操作高压注入设施上的阀门时，若操作人员违章作业，不遵守操作规程，阀门丝杠、手轮等部件飞出可能发生物体打击事故。未泄压情况下更换压力表，压力表飞出可能导致物体打击事故。</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rPr>
        <w:t>高压管汇刺漏可能击伤人体，发生高压刺漏的原因主要有：若管线、阀组质量不合格，承压不够，可能发生管线破裂造成刺漏，注入管线受到内外腐蚀，管线长期运行可能产生腐蚀穿孔，导致刺漏。</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z w:val="28"/>
          <w:szCs w:val="28"/>
        </w:rPr>
        <w:t>高压管线丝扣连接不规范，未拧紧，管线阀门、法兰等连接部位的密封件因老化、磨损，或者由于紧固件松动，而产生密封不良或失效等。井口承受高压，井口设施可能由于质量问题或腐蚀等发生刺漏造成人员伤亡。</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eastAsia"/>
          <w:sz w:val="28"/>
          <w:szCs w:val="28"/>
        </w:rPr>
      </w:pPr>
      <w:r>
        <w:rPr>
          <w:rFonts w:hint="default"/>
          <w:sz w:val="28"/>
          <w:szCs w:val="28"/>
          <w:lang w:val="en-US" w:eastAsia="zh-CN"/>
        </w:rPr>
        <w:t>施工中地层砂或工程砂均需经过油管或油套管环形空间，因此，均有沉砂卡钻的危险。冲砂施工会因排量过小，接单根过慢，循环冲洗不充分等造成砂卡管柱。</w:t>
      </w:r>
    </w:p>
    <w:p>
      <w:pPr>
        <w:pageBreakBefore w:val="0"/>
        <w:widowControl w:val="0"/>
        <w:kinsoku/>
        <w:wordWrap/>
        <w:autoSpaceDE/>
        <w:autoSpaceDN/>
        <w:bidi w:val="0"/>
        <w:adjustRightInd w:val="0"/>
        <w:snapToGrid w:val="0"/>
        <w:spacing w:line="360" w:lineRule="auto"/>
        <w:textAlignment w:val="auto"/>
        <w:outlineLvl w:val="2"/>
        <w:rPr>
          <w:rFonts w:hint="default" w:eastAsia="黑体"/>
          <w:snapToGrid w:val="0"/>
          <w:color w:val="000000"/>
          <w:kern w:val="0"/>
          <w:sz w:val="28"/>
          <w:szCs w:val="28"/>
        </w:rPr>
      </w:pPr>
      <w:r>
        <w:rPr>
          <w:rFonts w:hint="default" w:eastAsia="黑体"/>
          <w:snapToGrid w:val="0"/>
          <w:color w:val="000000"/>
          <w:kern w:val="0"/>
          <w:sz w:val="28"/>
          <w:szCs w:val="28"/>
        </w:rPr>
        <w:t>3.2.</w:t>
      </w:r>
      <w:r>
        <w:rPr>
          <w:rFonts w:hint="eastAsia" w:eastAsia="黑体"/>
          <w:snapToGrid w:val="0"/>
          <w:color w:val="000000"/>
          <w:kern w:val="0"/>
          <w:sz w:val="28"/>
          <w:szCs w:val="28"/>
          <w:lang w:val="en-US" w:eastAsia="zh-CN"/>
        </w:rPr>
        <w:t>7</w:t>
      </w:r>
      <w:r>
        <w:rPr>
          <w:rFonts w:hint="default" w:eastAsia="黑体"/>
          <w:snapToGrid w:val="0"/>
          <w:color w:val="000000"/>
          <w:kern w:val="0"/>
          <w:sz w:val="28"/>
          <w:szCs w:val="28"/>
        </w:rPr>
        <w:t xml:space="preserve"> </w:t>
      </w:r>
      <w:r>
        <w:rPr>
          <w:rFonts w:hint="eastAsia" w:eastAsia="黑体"/>
          <w:snapToGrid w:val="0"/>
          <w:color w:val="000000"/>
          <w:kern w:val="0"/>
          <w:sz w:val="28"/>
          <w:szCs w:val="28"/>
        </w:rPr>
        <w:t>特殊工艺技术服务和井下复杂情况处理危险性分析</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napToGrid w:val="0"/>
          <w:kern w:val="0"/>
          <w:sz w:val="28"/>
          <w:szCs w:val="28"/>
        </w:rPr>
      </w:pPr>
      <w:r>
        <w:rPr>
          <w:rFonts w:hint="eastAsia"/>
          <w:sz w:val="28"/>
          <w:szCs w:val="28"/>
        </w:rPr>
        <w:t>特殊工艺技术服务和井下复杂情况处理</w:t>
      </w:r>
      <w:r>
        <w:rPr>
          <w:rFonts w:hint="eastAsia"/>
          <w:snapToGrid w:val="0"/>
          <w:kern w:val="0"/>
          <w:sz w:val="28"/>
          <w:szCs w:val="28"/>
        </w:rPr>
        <w:t>主要伤害类型为机械伤害和物体打击。</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napToGrid w:val="0"/>
          <w:kern w:val="0"/>
          <w:sz w:val="28"/>
          <w:szCs w:val="28"/>
        </w:rPr>
      </w:pPr>
      <w:r>
        <w:rPr>
          <w:rFonts w:hint="eastAsia"/>
          <w:snapToGrid w:val="0"/>
          <w:kern w:val="0"/>
          <w:sz w:val="28"/>
          <w:szCs w:val="28"/>
        </w:rPr>
        <w:t>在施工作业中，由于操作技术不熟练，对有关的安全操作规程不熟悉，或是在操作中注意力不集中、酒后上岗等，会引发机械伤害或物体打击。</w:t>
      </w:r>
    </w:p>
    <w:p>
      <w:pPr>
        <w:pStyle w:val="2"/>
        <w:pageBreakBefore w:val="0"/>
        <w:widowControl w:val="0"/>
        <w:kinsoku/>
        <w:wordWrap/>
        <w:autoSpaceDE/>
        <w:autoSpaceDN/>
        <w:bidi w:val="0"/>
        <w:adjustRightInd w:val="0"/>
        <w:snapToGrid w:val="0"/>
        <w:spacing w:line="360" w:lineRule="auto"/>
        <w:ind w:firstLine="560" w:firstLineChars="200"/>
        <w:textAlignment w:val="auto"/>
        <w:rPr>
          <w:rFonts w:hint="default"/>
          <w:sz w:val="28"/>
          <w:szCs w:val="28"/>
        </w:rPr>
      </w:pPr>
      <w:r>
        <w:rPr>
          <w:rFonts w:hint="eastAsia"/>
          <w:snapToGrid w:val="0"/>
          <w:kern w:val="0"/>
          <w:sz w:val="28"/>
          <w:szCs w:val="28"/>
        </w:rPr>
        <w:t>井下复杂情况处理是处理井下事故作业，由于井下事故情况千差万别，并且打捞等作业负荷较大，易发生提升系统大绳断裂事故，还会因打捞操作失误，选择工具、下探深度等不当，造成遇卡遇阻等事故。解卡施工排量、钻压、转速等参数控制不当也会造成事故。</w:t>
      </w:r>
    </w:p>
    <w:p>
      <w:pPr>
        <w:pStyle w:val="4"/>
        <w:adjustRightInd w:val="0"/>
        <w:snapToGrid w:val="0"/>
        <w:spacing w:before="0" w:after="0" w:line="360" w:lineRule="auto"/>
        <w:rPr>
          <w:rFonts w:ascii="Times New Roman" w:hAnsi="Times New Roman"/>
          <w:b w:val="0"/>
          <w:bCs/>
          <w:szCs w:val="32"/>
        </w:rPr>
      </w:pPr>
      <w:bookmarkStart w:id="63" w:name="_Toc447782517"/>
      <w:bookmarkStart w:id="64" w:name="_Toc281310741"/>
      <w:bookmarkStart w:id="65" w:name="_Toc216105912"/>
      <w:bookmarkStart w:id="66" w:name="_Toc27193"/>
      <w:r>
        <w:rPr>
          <w:rFonts w:hint="eastAsia" w:ascii="Times New Roman" w:hAnsi="Times New Roman"/>
          <w:b w:val="0"/>
          <w:bCs/>
          <w:szCs w:val="32"/>
        </w:rPr>
        <w:t>3.3 主要危险因素分析</w:t>
      </w:r>
      <w:bookmarkEnd w:id="63"/>
      <w:bookmarkEnd w:id="64"/>
      <w:bookmarkEnd w:id="65"/>
      <w:bookmarkEnd w:id="66"/>
    </w:p>
    <w:p>
      <w:pPr>
        <w:tabs>
          <w:tab w:val="left" w:pos="0"/>
          <w:tab w:val="left" w:pos="1080"/>
        </w:tabs>
        <w:adjustRightInd w:val="0"/>
        <w:snapToGrid w:val="0"/>
        <w:spacing w:line="360" w:lineRule="auto"/>
        <w:ind w:firstLine="560" w:firstLineChars="200"/>
        <w:rPr>
          <w:sz w:val="28"/>
          <w:szCs w:val="28"/>
        </w:rPr>
      </w:pPr>
      <w:r>
        <w:rPr>
          <w:rFonts w:hint="eastAsia"/>
          <w:sz w:val="28"/>
          <w:szCs w:val="28"/>
        </w:rPr>
        <w:t>井下作业（小修作业、大修作业、</w:t>
      </w:r>
      <w:r>
        <w:rPr>
          <w:rFonts w:hint="eastAsia"/>
          <w:sz w:val="28"/>
          <w:szCs w:val="28"/>
          <w:lang w:val="en-US" w:eastAsia="zh-CN"/>
        </w:rPr>
        <w:t>侧钻、</w:t>
      </w:r>
      <w:r>
        <w:rPr>
          <w:rFonts w:hint="eastAsia"/>
          <w:sz w:val="28"/>
          <w:szCs w:val="28"/>
          <w:lang w:eastAsia="zh-CN"/>
        </w:rPr>
        <w:t>连续油管</w:t>
      </w:r>
      <w:r>
        <w:rPr>
          <w:rFonts w:hint="eastAsia"/>
          <w:sz w:val="28"/>
          <w:szCs w:val="28"/>
        </w:rPr>
        <w:t>作业、酸化、防砂、</w:t>
      </w:r>
      <w:r>
        <w:rPr>
          <w:rFonts w:hint="eastAsia"/>
          <w:sz w:val="28"/>
          <w:szCs w:val="28"/>
          <w:lang w:eastAsia="zh-CN"/>
        </w:rPr>
        <w:t>堵水/调剖</w:t>
      </w:r>
      <w:r>
        <w:rPr>
          <w:rFonts w:hint="eastAsia"/>
          <w:sz w:val="28"/>
          <w:szCs w:val="28"/>
        </w:rPr>
        <w:t>、特殊工艺技术服务（套管补贴</w:t>
      </w:r>
      <w:r>
        <w:rPr>
          <w:rFonts w:hint="eastAsia"/>
          <w:sz w:val="28"/>
          <w:szCs w:val="28"/>
          <w:lang w:eastAsia="zh-CN"/>
        </w:rPr>
        <w:t>）</w:t>
      </w:r>
      <w:r>
        <w:rPr>
          <w:rFonts w:hint="eastAsia"/>
          <w:sz w:val="28"/>
          <w:szCs w:val="28"/>
        </w:rPr>
        <w:t>、井下复杂情况处理（打捞、堵漏）、现场试压）受井下状况影响非常大。并且井下作业（小修作业、大修作业、</w:t>
      </w:r>
      <w:r>
        <w:rPr>
          <w:rFonts w:hint="eastAsia"/>
          <w:sz w:val="28"/>
          <w:szCs w:val="28"/>
          <w:lang w:val="en-US" w:eastAsia="zh-CN"/>
        </w:rPr>
        <w:t>侧钻、</w:t>
      </w:r>
      <w:r>
        <w:rPr>
          <w:rFonts w:hint="eastAsia"/>
          <w:sz w:val="28"/>
          <w:szCs w:val="28"/>
          <w:lang w:eastAsia="zh-CN"/>
        </w:rPr>
        <w:t>连续油管</w:t>
      </w:r>
      <w:r>
        <w:rPr>
          <w:rFonts w:hint="eastAsia"/>
          <w:sz w:val="28"/>
          <w:szCs w:val="28"/>
        </w:rPr>
        <w:t>作业、酸化、防砂、</w:t>
      </w:r>
      <w:r>
        <w:rPr>
          <w:rFonts w:hint="eastAsia"/>
          <w:sz w:val="28"/>
          <w:szCs w:val="28"/>
          <w:lang w:eastAsia="zh-CN"/>
        </w:rPr>
        <w:t>堵水/调剖</w:t>
      </w:r>
      <w:r>
        <w:rPr>
          <w:rFonts w:hint="eastAsia"/>
          <w:sz w:val="28"/>
          <w:szCs w:val="28"/>
        </w:rPr>
        <w:t>、特殊工艺技术服务（套管补贴</w:t>
      </w:r>
      <w:r>
        <w:rPr>
          <w:rFonts w:hint="eastAsia"/>
          <w:sz w:val="28"/>
          <w:szCs w:val="28"/>
          <w:lang w:eastAsia="zh-CN"/>
        </w:rPr>
        <w:t>）</w:t>
      </w:r>
      <w:r>
        <w:rPr>
          <w:rFonts w:hint="eastAsia"/>
          <w:sz w:val="28"/>
          <w:szCs w:val="28"/>
        </w:rPr>
        <w:t>、井下复杂情况处理（打捞、堵漏）、现场试压）涉及野外临时用电，有时可能突发井喷等事故，是多种风险性并存的作业。根据</w:t>
      </w:r>
      <w:r>
        <w:rPr>
          <w:rFonts w:hint="eastAsia"/>
          <w:sz w:val="28"/>
          <w:szCs w:val="28"/>
          <w:lang w:eastAsia="zh-CN"/>
        </w:rPr>
        <w:t>胜利油田康贝油气工程有限公司</w:t>
      </w:r>
      <w:r>
        <w:rPr>
          <w:rFonts w:hint="eastAsia"/>
          <w:sz w:val="28"/>
          <w:szCs w:val="28"/>
        </w:rPr>
        <w:t>井下作业（小修作业、大修作业、</w:t>
      </w:r>
      <w:r>
        <w:rPr>
          <w:rFonts w:hint="eastAsia"/>
          <w:sz w:val="28"/>
          <w:szCs w:val="28"/>
          <w:lang w:val="en-US" w:eastAsia="zh-CN"/>
        </w:rPr>
        <w:t>侧钻、</w:t>
      </w:r>
      <w:r>
        <w:rPr>
          <w:rFonts w:hint="eastAsia"/>
          <w:sz w:val="28"/>
          <w:szCs w:val="28"/>
          <w:lang w:eastAsia="zh-CN"/>
        </w:rPr>
        <w:t>连续油管</w:t>
      </w:r>
      <w:r>
        <w:rPr>
          <w:rFonts w:hint="eastAsia"/>
          <w:sz w:val="28"/>
          <w:szCs w:val="28"/>
        </w:rPr>
        <w:t>作业、酸化、防砂、</w:t>
      </w:r>
      <w:r>
        <w:rPr>
          <w:rFonts w:hint="eastAsia"/>
          <w:sz w:val="28"/>
          <w:szCs w:val="28"/>
          <w:lang w:eastAsia="zh-CN"/>
        </w:rPr>
        <w:t>堵水/调剖</w:t>
      </w:r>
      <w:r>
        <w:rPr>
          <w:rFonts w:hint="eastAsia"/>
          <w:sz w:val="28"/>
          <w:szCs w:val="28"/>
        </w:rPr>
        <w:t>、特殊工艺技术服务（套管补贴</w:t>
      </w:r>
      <w:r>
        <w:rPr>
          <w:rFonts w:hint="eastAsia"/>
          <w:sz w:val="28"/>
          <w:szCs w:val="28"/>
          <w:lang w:eastAsia="zh-CN"/>
        </w:rPr>
        <w:t>）</w:t>
      </w:r>
      <w:r>
        <w:rPr>
          <w:rFonts w:hint="eastAsia"/>
          <w:sz w:val="28"/>
          <w:szCs w:val="28"/>
        </w:rPr>
        <w:t>、井下复杂情况处理（打捞、堵漏）、现场试压）的特点，主要危险、有害因素有：火灾爆炸、井喷及井喷失控、中毒窒息、物体打击、机械伤害、触电、车辆伤害、灼烫、</w:t>
      </w:r>
      <w:r>
        <w:rPr>
          <w:rFonts w:hint="eastAsia"/>
          <w:sz w:val="28"/>
          <w:szCs w:val="28"/>
          <w:lang w:val="en-US" w:eastAsia="zh-CN"/>
        </w:rPr>
        <w:t>高处坠落、坍塌</w:t>
      </w:r>
      <w:r>
        <w:rPr>
          <w:rFonts w:hint="eastAsia"/>
          <w:sz w:val="28"/>
          <w:szCs w:val="28"/>
        </w:rPr>
        <w:t>等。</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3.3.1 火灾爆炸</w:t>
      </w:r>
    </w:p>
    <w:p>
      <w:pPr>
        <w:adjustRightInd w:val="0"/>
        <w:snapToGrid w:val="0"/>
        <w:spacing w:line="360" w:lineRule="auto"/>
        <w:ind w:firstLine="560" w:firstLineChars="200"/>
        <w:rPr>
          <w:sz w:val="28"/>
          <w:szCs w:val="28"/>
        </w:rPr>
      </w:pPr>
      <w:r>
        <w:rPr>
          <w:rFonts w:hint="eastAsia"/>
          <w:sz w:val="28"/>
          <w:szCs w:val="28"/>
        </w:rPr>
        <w:t>石油</w:t>
      </w:r>
      <w:r>
        <w:rPr>
          <w:rFonts w:hint="eastAsia"/>
          <w:sz w:val="28"/>
          <w:szCs w:val="28"/>
          <w:lang w:eastAsia="zh-CN"/>
        </w:rPr>
        <w:t>、</w:t>
      </w:r>
      <w:r>
        <w:rPr>
          <w:rFonts w:hint="eastAsia"/>
          <w:sz w:val="28"/>
          <w:szCs w:val="28"/>
          <w:lang w:val="en-US" w:eastAsia="zh-CN"/>
        </w:rPr>
        <w:t>天然气等</w:t>
      </w:r>
      <w:r>
        <w:rPr>
          <w:rFonts w:hint="eastAsia"/>
          <w:sz w:val="28"/>
          <w:szCs w:val="28"/>
        </w:rPr>
        <w:t>具有较低的闪点、燃点和自燃点，具有比煤炭、木材等物质易燃烧的特性。因此，作业施工现场属防火、防爆的重点区域，必须严加控制。在作业中形成火灾的原因总的来说可以分为人为的失火、自然现象造成的失火、设备故障引起的失火、摩擦过热失火和过热物质引起的失火等几类。主要原因有：</w:t>
      </w:r>
    </w:p>
    <w:p>
      <w:pPr>
        <w:adjustRightInd w:val="0"/>
        <w:snapToGrid w:val="0"/>
        <w:spacing w:line="360" w:lineRule="auto"/>
        <w:ind w:firstLine="560" w:firstLineChars="200"/>
        <w:rPr>
          <w:sz w:val="28"/>
          <w:szCs w:val="28"/>
        </w:rPr>
      </w:pPr>
      <w:r>
        <w:rPr>
          <w:rFonts w:hint="eastAsia"/>
          <w:sz w:val="28"/>
          <w:szCs w:val="28"/>
        </w:rPr>
        <w:t>1.在作业过程中发生井喷及由于设备本身存在缺陷或违章操作等导致油气泄露、聚集，遇点火源可能</w:t>
      </w:r>
      <w:r>
        <w:rPr>
          <w:sz w:val="28"/>
          <w:szCs w:val="28"/>
        </w:rPr>
        <w:t>引起</w:t>
      </w:r>
      <w:r>
        <w:rPr>
          <w:rFonts w:hint="eastAsia"/>
          <w:sz w:val="28"/>
          <w:szCs w:val="28"/>
        </w:rPr>
        <w:t>火灾、爆炸；</w:t>
      </w:r>
    </w:p>
    <w:p>
      <w:pPr>
        <w:adjustRightInd w:val="0"/>
        <w:snapToGrid w:val="0"/>
        <w:spacing w:line="360" w:lineRule="auto"/>
        <w:ind w:firstLine="560" w:firstLineChars="200"/>
        <w:rPr>
          <w:sz w:val="28"/>
          <w:szCs w:val="28"/>
        </w:rPr>
      </w:pPr>
      <w:r>
        <w:rPr>
          <w:rFonts w:hint="eastAsia"/>
          <w:sz w:val="28"/>
          <w:szCs w:val="28"/>
        </w:rPr>
        <w:t>2.仪器短路、过载、接触不良、散热不良，照明器具安置或使用不当等，易发生电气火灾；</w:t>
      </w:r>
    </w:p>
    <w:p>
      <w:pPr>
        <w:adjustRightInd w:val="0"/>
        <w:snapToGrid w:val="0"/>
        <w:spacing w:line="360" w:lineRule="auto"/>
        <w:ind w:firstLine="560" w:firstLineChars="200"/>
        <w:rPr>
          <w:sz w:val="28"/>
          <w:szCs w:val="28"/>
        </w:rPr>
      </w:pPr>
      <w:r>
        <w:rPr>
          <w:rFonts w:hint="eastAsia"/>
          <w:sz w:val="28"/>
          <w:szCs w:val="28"/>
        </w:rPr>
        <w:t>3.用火作业完工后对残余火源未进行彻底处理遇可燃物可能引起火灾。</w:t>
      </w:r>
    </w:p>
    <w:p>
      <w:pPr>
        <w:adjustRightInd w:val="0"/>
        <w:snapToGrid w:val="0"/>
        <w:spacing w:line="360" w:lineRule="auto"/>
        <w:ind w:firstLine="560" w:firstLineChars="200"/>
        <w:rPr>
          <w:sz w:val="28"/>
          <w:szCs w:val="28"/>
        </w:rPr>
      </w:pPr>
      <w:r>
        <w:rPr>
          <w:rFonts w:hint="eastAsia"/>
          <w:sz w:val="28"/>
          <w:szCs w:val="28"/>
        </w:rPr>
        <w:t>其中作业施工中易燃、易爆介质的来源主要有以下几方面：</w:t>
      </w:r>
    </w:p>
    <w:p>
      <w:pPr>
        <w:adjustRightInd w:val="0"/>
        <w:snapToGrid w:val="0"/>
        <w:spacing w:line="360" w:lineRule="auto"/>
        <w:ind w:firstLine="560" w:firstLineChars="200"/>
        <w:rPr>
          <w:sz w:val="28"/>
          <w:szCs w:val="28"/>
        </w:rPr>
      </w:pPr>
      <w:r>
        <w:rPr>
          <w:rFonts w:hint="eastAsia"/>
          <w:sz w:val="28"/>
          <w:szCs w:val="28"/>
        </w:rPr>
        <w:t>1.地层中碳氢化合物的溢出；</w:t>
      </w:r>
    </w:p>
    <w:p>
      <w:pPr>
        <w:adjustRightInd w:val="0"/>
        <w:snapToGrid w:val="0"/>
        <w:spacing w:line="360" w:lineRule="auto"/>
        <w:ind w:firstLine="560" w:firstLineChars="200"/>
        <w:rPr>
          <w:sz w:val="28"/>
          <w:szCs w:val="28"/>
        </w:rPr>
      </w:pPr>
      <w:r>
        <w:rPr>
          <w:rFonts w:hint="eastAsia"/>
          <w:sz w:val="28"/>
          <w:szCs w:val="28"/>
        </w:rPr>
        <w:t>2.井场使用的各类油料及石油助剂，如柴油、机油等易燃、易爆品；</w:t>
      </w:r>
    </w:p>
    <w:p>
      <w:pPr>
        <w:adjustRightInd w:val="0"/>
        <w:snapToGrid w:val="0"/>
        <w:spacing w:line="360" w:lineRule="auto"/>
        <w:ind w:firstLine="560" w:firstLineChars="200"/>
        <w:rPr>
          <w:sz w:val="28"/>
          <w:szCs w:val="28"/>
        </w:rPr>
      </w:pPr>
      <w:r>
        <w:rPr>
          <w:rFonts w:hint="eastAsia"/>
          <w:sz w:val="28"/>
          <w:szCs w:val="28"/>
        </w:rPr>
        <w:t>3.设备更换的废机油、清洗用废油等；</w:t>
      </w:r>
    </w:p>
    <w:p>
      <w:pPr>
        <w:adjustRightInd w:val="0"/>
        <w:snapToGrid w:val="0"/>
        <w:spacing w:line="360" w:lineRule="auto"/>
        <w:ind w:firstLine="560" w:firstLineChars="200"/>
        <w:rPr>
          <w:sz w:val="28"/>
          <w:szCs w:val="28"/>
        </w:rPr>
      </w:pPr>
      <w:r>
        <w:rPr>
          <w:rFonts w:hint="eastAsia"/>
          <w:sz w:val="28"/>
          <w:szCs w:val="28"/>
        </w:rPr>
        <w:t>4.作业施工时，落地原油，原油中溶解气、天然气的排放；发生“井喷”事故时，井场布满的石油；</w:t>
      </w:r>
    </w:p>
    <w:p>
      <w:pPr>
        <w:adjustRightInd w:val="0"/>
        <w:snapToGrid w:val="0"/>
        <w:spacing w:line="360" w:lineRule="auto"/>
        <w:ind w:firstLine="560" w:firstLineChars="200"/>
        <w:rPr>
          <w:sz w:val="28"/>
          <w:szCs w:val="28"/>
        </w:rPr>
      </w:pPr>
      <w:r>
        <w:rPr>
          <w:rFonts w:hint="eastAsia"/>
          <w:sz w:val="28"/>
          <w:szCs w:val="28"/>
        </w:rPr>
        <w:t>5.井场周围的干燥植物，如庄稼、荒草等；</w:t>
      </w:r>
    </w:p>
    <w:p>
      <w:pPr>
        <w:adjustRightInd w:val="0"/>
        <w:snapToGrid w:val="0"/>
        <w:spacing w:line="360" w:lineRule="auto"/>
        <w:ind w:firstLine="560" w:firstLineChars="200"/>
        <w:rPr>
          <w:sz w:val="28"/>
          <w:szCs w:val="28"/>
        </w:rPr>
      </w:pPr>
      <w:r>
        <w:rPr>
          <w:rFonts w:hint="eastAsia"/>
          <w:sz w:val="28"/>
          <w:szCs w:val="28"/>
        </w:rPr>
        <w:t>6.施工营房内的可燃物，如棉被、衣物、塑料及其他可燃纤维材料；</w:t>
      </w:r>
    </w:p>
    <w:p>
      <w:pPr>
        <w:adjustRightInd w:val="0"/>
        <w:snapToGrid w:val="0"/>
        <w:spacing w:line="360" w:lineRule="auto"/>
        <w:ind w:firstLine="560" w:firstLineChars="200"/>
        <w:rPr>
          <w:sz w:val="28"/>
          <w:szCs w:val="28"/>
        </w:rPr>
      </w:pPr>
      <w:r>
        <w:rPr>
          <w:rFonts w:hint="eastAsia"/>
          <w:sz w:val="28"/>
          <w:szCs w:val="28"/>
        </w:rPr>
        <w:t>7.施工过程中的储存和使用的各类易燃、易爆化学助剂等；</w:t>
      </w:r>
    </w:p>
    <w:p>
      <w:pPr>
        <w:adjustRightInd w:val="0"/>
        <w:snapToGrid w:val="0"/>
        <w:spacing w:line="360" w:lineRule="auto"/>
        <w:ind w:firstLine="560" w:firstLineChars="200"/>
        <w:rPr>
          <w:sz w:val="28"/>
          <w:szCs w:val="28"/>
        </w:rPr>
      </w:pPr>
      <w:r>
        <w:rPr>
          <w:rFonts w:hint="eastAsia"/>
          <w:sz w:val="28"/>
          <w:szCs w:val="28"/>
        </w:rPr>
        <w:t>8.工艺设备、装置、管线内残留的易燃、易爆介质；</w:t>
      </w:r>
    </w:p>
    <w:p>
      <w:pPr>
        <w:adjustRightInd w:val="0"/>
        <w:snapToGrid w:val="0"/>
        <w:spacing w:line="360" w:lineRule="auto"/>
        <w:ind w:firstLine="560" w:firstLineChars="200"/>
        <w:rPr>
          <w:sz w:val="28"/>
          <w:szCs w:val="28"/>
        </w:rPr>
      </w:pPr>
      <w:r>
        <w:rPr>
          <w:rFonts w:hint="eastAsia"/>
          <w:sz w:val="28"/>
          <w:szCs w:val="28"/>
        </w:rPr>
        <w:t>9.其他易燃、易爆介质。</w:t>
      </w:r>
    </w:p>
    <w:p>
      <w:pPr>
        <w:adjustRightInd w:val="0"/>
        <w:snapToGrid w:val="0"/>
        <w:spacing w:line="360" w:lineRule="auto"/>
        <w:ind w:firstLine="560" w:firstLineChars="200"/>
        <w:rPr>
          <w:sz w:val="28"/>
          <w:szCs w:val="28"/>
        </w:rPr>
      </w:pPr>
      <w:r>
        <w:rPr>
          <w:rFonts w:hint="eastAsia"/>
          <w:sz w:val="28"/>
          <w:szCs w:val="28"/>
        </w:rPr>
        <w:t>可能引发火灾爆炸的另一类危险因素是点火源。在作业施工现场可能出现的点火源主要有：吸烟明火、施工机械和施工车辆的排气管火花、电焊火花或其他燃烧设备的燃烧火焰、电气火花或电气运行高温、静电打火、机械火花、雷电以及在井场周围进行烧荒等明火。</w:t>
      </w:r>
    </w:p>
    <w:p>
      <w:pPr>
        <w:adjustRightInd w:val="0"/>
        <w:snapToGrid w:val="0"/>
        <w:spacing w:line="360" w:lineRule="auto"/>
        <w:ind w:firstLine="560" w:firstLineChars="200"/>
        <w:rPr>
          <w:sz w:val="28"/>
          <w:szCs w:val="28"/>
        </w:rPr>
      </w:pPr>
      <w:r>
        <w:rPr>
          <w:rFonts w:hint="eastAsia"/>
          <w:sz w:val="28"/>
          <w:szCs w:val="28"/>
        </w:rPr>
        <w:t>作业现场若消防设施摆放位置不规范、使用不当或保管不善，一旦发生火险，来不及扑灭，就会使火灾蔓延。作业队的工作性质是作业地点经常变动，频繁的搬迁作业对消防器材的完好性带来很大程度的影响。若不及时检查和更换，一旦发生火灾，就很难及时扑救，后果严重。</w:t>
      </w:r>
    </w:p>
    <w:p>
      <w:pPr>
        <w:adjustRightInd w:val="0"/>
        <w:snapToGrid w:val="0"/>
        <w:spacing w:line="360" w:lineRule="auto"/>
        <w:ind w:firstLine="560" w:firstLineChars="200"/>
        <w:rPr>
          <w:sz w:val="28"/>
          <w:szCs w:val="28"/>
        </w:rPr>
      </w:pPr>
      <w:r>
        <w:rPr>
          <w:rFonts w:hint="eastAsia"/>
          <w:sz w:val="28"/>
          <w:szCs w:val="28"/>
        </w:rPr>
        <w:t>另外，部分职工消防意识淡薄，也是发生火灾的原因之一。作业人员未进行安全防火知识教育培训上岗，未执行安全生产管理制度，违章作业，也可能导致火灾爆炸事故的发生。</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3.3.2 井喷及井喷失控</w:t>
      </w:r>
    </w:p>
    <w:p>
      <w:pPr>
        <w:adjustRightInd w:val="0"/>
        <w:snapToGrid w:val="0"/>
        <w:spacing w:line="360" w:lineRule="auto"/>
        <w:ind w:firstLine="560" w:firstLineChars="200"/>
        <w:rPr>
          <w:sz w:val="28"/>
          <w:szCs w:val="28"/>
        </w:rPr>
      </w:pPr>
      <w:r>
        <w:rPr>
          <w:rFonts w:hint="eastAsia"/>
          <w:sz w:val="28"/>
          <w:szCs w:val="28"/>
        </w:rPr>
        <w:t>井喷是指当井底压力远小于地层压力时，井内流体大量喷出，在地面形成较大喷势的现象称之为井喷。</w:t>
      </w:r>
    </w:p>
    <w:p>
      <w:pPr>
        <w:adjustRightInd w:val="0"/>
        <w:snapToGrid w:val="0"/>
        <w:spacing w:line="360" w:lineRule="auto"/>
        <w:ind w:firstLine="560" w:firstLineChars="200"/>
        <w:rPr>
          <w:sz w:val="28"/>
          <w:szCs w:val="28"/>
        </w:rPr>
      </w:pPr>
      <w:r>
        <w:rPr>
          <w:rFonts w:hint="eastAsia"/>
          <w:sz w:val="28"/>
          <w:szCs w:val="28"/>
        </w:rPr>
        <w:t>井喷失控是指井喷发生后，无法用常规方法控制井口而出现井口敞喷的现象称之为井喷失控。</w:t>
      </w:r>
    </w:p>
    <w:p>
      <w:pPr>
        <w:adjustRightInd w:val="0"/>
        <w:snapToGrid w:val="0"/>
        <w:spacing w:line="360" w:lineRule="auto"/>
        <w:ind w:firstLine="560" w:firstLineChars="200"/>
        <w:rPr>
          <w:sz w:val="28"/>
          <w:szCs w:val="28"/>
        </w:rPr>
      </w:pPr>
      <w:r>
        <w:rPr>
          <w:rFonts w:hint="eastAsia"/>
          <w:sz w:val="28"/>
          <w:szCs w:val="28"/>
        </w:rPr>
        <w:t>作业过程中，井喷失控泛指井喷后井口装置和井控管汇失去了对油气井的有效控制，甚至着火。油井失控和气井失控各有其特点和复杂性，气井或含气油井处理更为困难。由于天然气具有密度小、可压缩、膨胀、易溶性，在钻井液中易滑脱上升，易爆炸燃烧，难以封闭等物理化学特性，因而稍有疏忽，气井和含气油井比油井更易井喷和失控着火。其危害性可概括以下八个方面：</w:t>
      </w:r>
    </w:p>
    <w:p>
      <w:pPr>
        <w:adjustRightInd w:val="0"/>
        <w:snapToGrid w:val="0"/>
        <w:spacing w:line="360" w:lineRule="auto"/>
        <w:ind w:firstLine="560" w:firstLineChars="200"/>
        <w:rPr>
          <w:sz w:val="28"/>
          <w:szCs w:val="28"/>
        </w:rPr>
      </w:pPr>
      <w:r>
        <w:rPr>
          <w:rFonts w:hint="eastAsia"/>
          <w:sz w:val="28"/>
          <w:szCs w:val="28"/>
        </w:rPr>
        <w:t>1.打乱全局的正常工作程序，影响全局生产；</w:t>
      </w:r>
    </w:p>
    <w:p>
      <w:pPr>
        <w:adjustRightInd w:val="0"/>
        <w:snapToGrid w:val="0"/>
        <w:spacing w:line="360" w:lineRule="auto"/>
        <w:ind w:firstLine="560" w:firstLineChars="200"/>
        <w:rPr>
          <w:sz w:val="28"/>
          <w:szCs w:val="28"/>
        </w:rPr>
      </w:pPr>
      <w:r>
        <w:rPr>
          <w:rFonts w:hint="eastAsia"/>
          <w:sz w:val="28"/>
          <w:szCs w:val="28"/>
        </w:rPr>
        <w:t>2.使事故复杂化、恶性化；</w:t>
      </w:r>
    </w:p>
    <w:p>
      <w:pPr>
        <w:adjustRightInd w:val="0"/>
        <w:snapToGrid w:val="0"/>
        <w:spacing w:line="360" w:lineRule="auto"/>
        <w:ind w:firstLine="560" w:firstLineChars="200"/>
        <w:rPr>
          <w:sz w:val="28"/>
          <w:szCs w:val="28"/>
        </w:rPr>
      </w:pPr>
      <w:r>
        <w:rPr>
          <w:rFonts w:hint="eastAsia"/>
          <w:sz w:val="28"/>
          <w:szCs w:val="28"/>
        </w:rPr>
        <w:t>3.极易引起火灾（如井场、苇地及森林）；</w:t>
      </w:r>
    </w:p>
    <w:p>
      <w:pPr>
        <w:adjustRightInd w:val="0"/>
        <w:snapToGrid w:val="0"/>
        <w:spacing w:line="360" w:lineRule="auto"/>
        <w:ind w:firstLine="560" w:firstLineChars="200"/>
        <w:rPr>
          <w:sz w:val="28"/>
          <w:szCs w:val="28"/>
        </w:rPr>
      </w:pPr>
      <w:r>
        <w:rPr>
          <w:rFonts w:hint="eastAsia"/>
          <w:sz w:val="28"/>
          <w:szCs w:val="28"/>
        </w:rPr>
        <w:t>4.影响井场周围居民的正常生活，甚至生命安全；</w:t>
      </w:r>
    </w:p>
    <w:p>
      <w:pPr>
        <w:adjustRightInd w:val="0"/>
        <w:snapToGrid w:val="0"/>
        <w:spacing w:line="360" w:lineRule="auto"/>
        <w:ind w:firstLine="560" w:firstLineChars="200"/>
        <w:rPr>
          <w:sz w:val="28"/>
          <w:szCs w:val="28"/>
        </w:rPr>
      </w:pPr>
      <w:r>
        <w:rPr>
          <w:rFonts w:hint="eastAsia"/>
          <w:sz w:val="28"/>
          <w:szCs w:val="28"/>
        </w:rPr>
        <w:t>5.污染环境，影响农田、水里和渔牧业生产以及交通、通讯的正常运行等；</w:t>
      </w:r>
    </w:p>
    <w:p>
      <w:pPr>
        <w:adjustRightInd w:val="0"/>
        <w:snapToGrid w:val="0"/>
        <w:spacing w:line="360" w:lineRule="auto"/>
        <w:ind w:firstLine="560" w:firstLineChars="200"/>
        <w:rPr>
          <w:sz w:val="28"/>
          <w:szCs w:val="28"/>
        </w:rPr>
      </w:pPr>
      <w:r>
        <w:rPr>
          <w:rFonts w:hint="eastAsia"/>
          <w:sz w:val="28"/>
          <w:szCs w:val="28"/>
        </w:rPr>
        <w:t>6.伤害油气层，毁坏地下油气资源；</w:t>
      </w:r>
    </w:p>
    <w:p>
      <w:pPr>
        <w:adjustRightInd w:val="0"/>
        <w:snapToGrid w:val="0"/>
        <w:spacing w:line="360" w:lineRule="auto"/>
        <w:ind w:firstLine="560" w:firstLineChars="200"/>
        <w:rPr>
          <w:sz w:val="28"/>
          <w:szCs w:val="28"/>
        </w:rPr>
      </w:pPr>
      <w:r>
        <w:rPr>
          <w:rFonts w:hint="eastAsia"/>
          <w:sz w:val="28"/>
          <w:szCs w:val="28"/>
        </w:rPr>
        <w:t>7.造成人力及物力上的巨大损失，严重时造成机毁人亡和油气井报废。</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3.3.</w:t>
      </w:r>
      <w:r>
        <w:rPr>
          <w:rFonts w:hint="eastAsia" w:eastAsia="黑体"/>
          <w:bCs/>
          <w:snapToGrid w:val="0"/>
          <w:kern w:val="0"/>
          <w:sz w:val="28"/>
          <w:szCs w:val="28"/>
          <w:lang w:val="en-US" w:eastAsia="zh-CN"/>
        </w:rPr>
        <w:t>3</w:t>
      </w:r>
      <w:r>
        <w:rPr>
          <w:rFonts w:hint="eastAsia" w:eastAsia="黑体"/>
          <w:bCs/>
          <w:snapToGrid w:val="0"/>
          <w:kern w:val="0"/>
          <w:sz w:val="28"/>
          <w:szCs w:val="28"/>
        </w:rPr>
        <w:t xml:space="preserve"> 中毒窒息</w:t>
      </w:r>
    </w:p>
    <w:p>
      <w:pPr>
        <w:adjustRightInd w:val="0"/>
        <w:snapToGrid w:val="0"/>
        <w:spacing w:line="360" w:lineRule="auto"/>
        <w:ind w:firstLine="570"/>
        <w:rPr>
          <w:sz w:val="28"/>
          <w:szCs w:val="28"/>
        </w:rPr>
      </w:pPr>
      <w:r>
        <w:rPr>
          <w:bCs/>
          <w:sz w:val="28"/>
        </w:rPr>
        <w:t>由于设备、管线腐蚀、损坏漏气，或者井场周围地面大面积冒气，天然气在大气中达到一定浓度，会造成人员中毒。</w:t>
      </w:r>
      <w:r>
        <w:rPr>
          <w:rFonts w:hint="eastAsia"/>
          <w:bCs/>
          <w:sz w:val="28"/>
        </w:rPr>
        <w:t>作业时，可能发生井喷事故，井喷时可能出现原油、天然气、硫化氢等有毒物质，若防护不当，可能致使操作人员中毒。天然气的主要成分是甲烷、乙烷，是无色、无臭、低毒气体，人员短时间内吸入高浓度的天然气，可引起急性中毒事故。</w:t>
      </w:r>
    </w:p>
    <w:p>
      <w:pPr>
        <w:adjustRightInd w:val="0"/>
        <w:snapToGrid w:val="0"/>
        <w:spacing w:line="360" w:lineRule="auto"/>
        <w:ind w:firstLine="560" w:firstLineChars="200"/>
        <w:rPr>
          <w:rFonts w:hint="default" w:eastAsia="宋体"/>
          <w:bCs/>
          <w:sz w:val="28"/>
          <w:lang w:val="en-US" w:eastAsia="zh-CN"/>
        </w:rPr>
      </w:pPr>
      <w:r>
        <w:rPr>
          <w:rFonts w:hint="eastAsia"/>
          <w:bCs/>
          <w:sz w:val="28"/>
          <w:lang w:val="en-US" w:eastAsia="zh-CN"/>
        </w:rPr>
        <w:t>酸化施工过程中使用的复合酸中含有一定比例的氢氟酸，氢氟酸具有毒性，若防护不当，可能致使操作人员中毒。</w:t>
      </w:r>
    </w:p>
    <w:p>
      <w:pPr>
        <w:adjustRightInd w:val="0"/>
        <w:snapToGrid w:val="0"/>
        <w:spacing w:line="360" w:lineRule="auto"/>
        <w:ind w:firstLine="560" w:firstLineChars="200"/>
        <w:rPr>
          <w:sz w:val="28"/>
          <w:szCs w:val="28"/>
        </w:rPr>
      </w:pPr>
      <w:r>
        <w:rPr>
          <w:rFonts w:hint="eastAsia"/>
          <w:bCs/>
          <w:sz w:val="28"/>
        </w:rPr>
        <w:t>含硫气体对人体具有一定的毒性，当油气井内含有大量的硫化氢气体时，作业人员在此类油气井进行</w:t>
      </w:r>
      <w:r>
        <w:rPr>
          <w:rFonts w:hint="eastAsia"/>
          <w:sz w:val="28"/>
          <w:szCs w:val="28"/>
        </w:rPr>
        <w:t>井下作业（小修作业、大修作业、</w:t>
      </w:r>
      <w:r>
        <w:rPr>
          <w:rFonts w:hint="eastAsia"/>
          <w:sz w:val="28"/>
          <w:szCs w:val="28"/>
          <w:lang w:val="en-US" w:eastAsia="zh-CN"/>
        </w:rPr>
        <w:t>侧钻、</w:t>
      </w:r>
      <w:r>
        <w:rPr>
          <w:rFonts w:hint="eastAsia"/>
          <w:sz w:val="28"/>
          <w:szCs w:val="28"/>
          <w:lang w:eastAsia="zh-CN"/>
        </w:rPr>
        <w:t>连续油管作业、酸化、防砂、堵水/调剖、特殊工艺技术服务（套管补贴）、井下</w:t>
      </w:r>
      <w:r>
        <w:rPr>
          <w:rFonts w:hint="eastAsia"/>
          <w:sz w:val="28"/>
          <w:szCs w:val="28"/>
        </w:rPr>
        <w:t>复杂情况处</w:t>
      </w:r>
      <w:r>
        <w:rPr>
          <w:rFonts w:hint="eastAsia"/>
          <w:sz w:val="28"/>
          <w:szCs w:val="28"/>
          <w:lang w:eastAsia="zh-CN"/>
        </w:rPr>
        <w:t>理（打捞、堵漏）、现</w:t>
      </w:r>
      <w:r>
        <w:rPr>
          <w:rFonts w:hint="eastAsia"/>
          <w:sz w:val="28"/>
          <w:szCs w:val="28"/>
        </w:rPr>
        <w:t>场试压）</w:t>
      </w:r>
      <w:r>
        <w:rPr>
          <w:rFonts w:hint="eastAsia"/>
          <w:bCs/>
          <w:sz w:val="28"/>
        </w:rPr>
        <w:t>时，如果因井下情况不明或其他意外原因发生大量硫化氢气体泄漏，作业人员没有可靠的防护措施，可能导致作业人员中毒。</w:t>
      </w:r>
    </w:p>
    <w:p>
      <w:pPr>
        <w:adjustRightInd w:val="0"/>
        <w:snapToGrid w:val="0"/>
        <w:spacing w:line="360" w:lineRule="auto"/>
        <w:ind w:firstLine="560" w:firstLineChars="200"/>
        <w:rPr>
          <w:color w:val="000000"/>
          <w:sz w:val="28"/>
          <w:szCs w:val="28"/>
        </w:rPr>
      </w:pPr>
      <w:r>
        <w:rPr>
          <w:rFonts w:hint="eastAsia"/>
          <w:color w:val="000000"/>
          <w:sz w:val="28"/>
          <w:szCs w:val="28"/>
        </w:rPr>
        <w:t>不同浓度的硫化氢对人体的危害见下表3-</w:t>
      </w:r>
      <w:r>
        <w:rPr>
          <w:rFonts w:hint="eastAsia"/>
          <w:color w:val="000000"/>
          <w:sz w:val="28"/>
          <w:szCs w:val="28"/>
          <w:lang w:val="en-US" w:eastAsia="zh-CN"/>
        </w:rPr>
        <w:t>7</w:t>
      </w:r>
      <w:r>
        <w:rPr>
          <w:rFonts w:hint="eastAsia"/>
          <w:color w:val="00000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bCs/>
          <w:color w:val="000000"/>
          <w:sz w:val="21"/>
          <w:szCs w:val="21"/>
        </w:rPr>
      </w:pPr>
      <w:r>
        <w:rPr>
          <w:rFonts w:hint="eastAsia"/>
          <w:b/>
          <w:bCs/>
          <w:color w:val="000000"/>
          <w:sz w:val="21"/>
          <w:szCs w:val="21"/>
        </w:rPr>
        <w:t>表3-</w:t>
      </w:r>
      <w:r>
        <w:rPr>
          <w:rFonts w:hint="eastAsia"/>
          <w:b/>
          <w:bCs/>
          <w:color w:val="000000"/>
          <w:sz w:val="21"/>
          <w:szCs w:val="21"/>
          <w:lang w:val="en-US" w:eastAsia="zh-CN"/>
        </w:rPr>
        <w:t>7</w:t>
      </w:r>
      <w:r>
        <w:rPr>
          <w:rFonts w:hint="eastAsia"/>
          <w:b/>
          <w:bCs/>
          <w:color w:val="000000"/>
          <w:sz w:val="21"/>
          <w:szCs w:val="21"/>
        </w:rPr>
        <w:t xml:space="preserve"> </w:t>
      </w:r>
      <w:r>
        <w:rPr>
          <w:rFonts w:hint="eastAsia"/>
          <w:b/>
          <w:bCs/>
          <w:color w:val="000000"/>
          <w:sz w:val="21"/>
          <w:szCs w:val="21"/>
          <w:lang w:val="en-US" w:eastAsia="zh-CN"/>
        </w:rPr>
        <w:t xml:space="preserve"> </w:t>
      </w:r>
      <w:r>
        <w:rPr>
          <w:rFonts w:hint="eastAsia"/>
          <w:b/>
          <w:bCs/>
          <w:color w:val="000000"/>
          <w:sz w:val="21"/>
          <w:szCs w:val="21"/>
        </w:rPr>
        <w:t>硫化氢对人体的危害</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03"/>
        <w:gridCol w:w="1783"/>
        <w:gridCol w:w="2321"/>
        <w:gridCol w:w="241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003" w:type="dxa"/>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空气中浓度</w:t>
            </w:r>
          </w:p>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mg/m</w:t>
            </w:r>
            <w:r>
              <w:rPr>
                <w:rFonts w:hint="eastAsia"/>
                <w:b/>
                <w:color w:val="000000"/>
                <w:szCs w:val="21"/>
                <w:vertAlign w:val="superscript"/>
              </w:rPr>
              <w:t>3</w:t>
            </w:r>
            <w:r>
              <w:rPr>
                <w:rFonts w:hint="eastAsia"/>
                <w:b/>
                <w:color w:val="000000"/>
                <w:szCs w:val="21"/>
              </w:rPr>
              <w:t>（ppm）</w:t>
            </w:r>
          </w:p>
        </w:tc>
        <w:tc>
          <w:tcPr>
            <w:tcW w:w="1783" w:type="dxa"/>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生理影响及危害</w:t>
            </w:r>
          </w:p>
        </w:tc>
        <w:tc>
          <w:tcPr>
            <w:tcW w:w="2321" w:type="dxa"/>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空气中浓度</w:t>
            </w:r>
          </w:p>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mg/m</w:t>
            </w:r>
            <w:r>
              <w:rPr>
                <w:rFonts w:hint="eastAsia"/>
                <w:b/>
                <w:color w:val="000000"/>
                <w:szCs w:val="21"/>
                <w:vertAlign w:val="superscript"/>
              </w:rPr>
              <w:t>3</w:t>
            </w:r>
            <w:r>
              <w:rPr>
                <w:rFonts w:hint="eastAsia"/>
                <w:b/>
                <w:color w:val="000000"/>
                <w:szCs w:val="21"/>
              </w:rPr>
              <w:t>（ppm）</w:t>
            </w:r>
          </w:p>
        </w:tc>
        <w:tc>
          <w:tcPr>
            <w:tcW w:w="2415" w:type="dxa"/>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生理影响及危害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00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0.04（0.02）</w:t>
            </w:r>
          </w:p>
        </w:tc>
        <w:tc>
          <w:tcPr>
            <w:tcW w:w="178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感到臭味</w:t>
            </w:r>
          </w:p>
        </w:tc>
        <w:tc>
          <w:tcPr>
            <w:tcW w:w="232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300（200）</w:t>
            </w:r>
          </w:p>
        </w:tc>
        <w:tc>
          <w:tcPr>
            <w:tcW w:w="2415"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 w:val="18"/>
                <w:szCs w:val="18"/>
              </w:rPr>
            </w:pPr>
            <w:r>
              <w:rPr>
                <w:rFonts w:hint="eastAsia"/>
                <w:color w:val="000000"/>
                <w:sz w:val="18"/>
                <w:szCs w:val="18"/>
              </w:rPr>
              <w:t>暴露时间长则有中毒症状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00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0.5（0.33）</w:t>
            </w:r>
          </w:p>
        </w:tc>
        <w:tc>
          <w:tcPr>
            <w:tcW w:w="178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感到明显臭味</w:t>
            </w:r>
          </w:p>
        </w:tc>
        <w:tc>
          <w:tcPr>
            <w:tcW w:w="232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300～450（200～500）</w:t>
            </w:r>
          </w:p>
        </w:tc>
        <w:tc>
          <w:tcPr>
            <w:tcW w:w="2415"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暴露1h引起亚急性中毒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00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5.0（3.3）</w:t>
            </w:r>
          </w:p>
        </w:tc>
        <w:tc>
          <w:tcPr>
            <w:tcW w:w="178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有强烈臭味</w:t>
            </w:r>
          </w:p>
        </w:tc>
        <w:tc>
          <w:tcPr>
            <w:tcW w:w="232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375～525（250～350）</w:t>
            </w:r>
          </w:p>
        </w:tc>
        <w:tc>
          <w:tcPr>
            <w:tcW w:w="2415"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4h～8h内有生命危险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00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7.5（5）</w:t>
            </w:r>
          </w:p>
        </w:tc>
        <w:tc>
          <w:tcPr>
            <w:tcW w:w="178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有不快感</w:t>
            </w:r>
          </w:p>
        </w:tc>
        <w:tc>
          <w:tcPr>
            <w:tcW w:w="232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525～600（350～400）</w:t>
            </w:r>
          </w:p>
        </w:tc>
        <w:tc>
          <w:tcPr>
            <w:tcW w:w="2415"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1h～4h内有生命危险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00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15（10）</w:t>
            </w:r>
          </w:p>
        </w:tc>
        <w:tc>
          <w:tcPr>
            <w:tcW w:w="178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刺激眼膜</w:t>
            </w:r>
          </w:p>
        </w:tc>
        <w:tc>
          <w:tcPr>
            <w:tcW w:w="232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900（600）</w:t>
            </w:r>
          </w:p>
        </w:tc>
        <w:tc>
          <w:tcPr>
            <w:tcW w:w="2415"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暴露30min会引起致命性中毒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00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35～45（23.3～30）</w:t>
            </w:r>
          </w:p>
        </w:tc>
        <w:tc>
          <w:tcPr>
            <w:tcW w:w="178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强烈刺激粘膜</w:t>
            </w:r>
          </w:p>
        </w:tc>
        <w:tc>
          <w:tcPr>
            <w:tcW w:w="2321"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1500（1000）</w:t>
            </w:r>
          </w:p>
        </w:tc>
        <w:tc>
          <w:tcPr>
            <w:tcW w:w="2415"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引起呼吸道麻痹，有生命危险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00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150～300（100～200）</w:t>
            </w:r>
          </w:p>
        </w:tc>
        <w:tc>
          <w:tcPr>
            <w:tcW w:w="178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嗅觉在15min内麻痹</w:t>
            </w:r>
          </w:p>
        </w:tc>
        <w:tc>
          <w:tcPr>
            <w:tcW w:w="2321"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1500～2250（1000～1500）</w:t>
            </w:r>
          </w:p>
        </w:tc>
        <w:tc>
          <w:tcPr>
            <w:tcW w:w="2415"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在数分钟内死亡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00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75～150（50～100）</w:t>
            </w:r>
          </w:p>
        </w:tc>
        <w:tc>
          <w:tcPr>
            <w:tcW w:w="1783"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 w:val="18"/>
                <w:szCs w:val="18"/>
              </w:rPr>
            </w:pPr>
            <w:r>
              <w:rPr>
                <w:rFonts w:hint="eastAsia"/>
                <w:color w:val="000000"/>
                <w:szCs w:val="21"/>
              </w:rPr>
              <w:t>刺激呼吸道</w:t>
            </w:r>
          </w:p>
        </w:tc>
        <w:tc>
          <w:tcPr>
            <w:tcW w:w="2321"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p>
        </w:tc>
        <w:tc>
          <w:tcPr>
            <w:tcW w:w="2415" w:type="dxa"/>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color w:val="000000"/>
          <w:sz w:val="28"/>
          <w:szCs w:val="28"/>
        </w:rPr>
      </w:pPr>
      <w:r>
        <w:rPr>
          <w:rFonts w:hint="eastAsia"/>
          <w:color w:val="000000"/>
          <w:sz w:val="28"/>
          <w:szCs w:val="28"/>
        </w:rPr>
        <w:t>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不同浓度的二氧化硫对人体的危害见下表3-</w:t>
      </w:r>
      <w:r>
        <w:rPr>
          <w:rFonts w:hint="eastAsia"/>
          <w:color w:val="000000"/>
          <w:sz w:val="28"/>
          <w:szCs w:val="28"/>
          <w:lang w:val="en-US" w:eastAsia="zh-CN"/>
        </w:rPr>
        <w:t>8</w:t>
      </w:r>
      <w:r>
        <w:rPr>
          <w:rFonts w:hint="eastAsia"/>
          <w:color w:val="00000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bCs/>
          <w:color w:val="000000"/>
          <w:sz w:val="21"/>
          <w:szCs w:val="21"/>
        </w:rPr>
      </w:pPr>
      <w:r>
        <w:rPr>
          <w:rFonts w:hint="eastAsia"/>
          <w:b/>
          <w:bCs/>
          <w:color w:val="000000"/>
          <w:sz w:val="21"/>
          <w:szCs w:val="21"/>
        </w:rPr>
        <w:t>表3-</w:t>
      </w:r>
      <w:r>
        <w:rPr>
          <w:rFonts w:hint="eastAsia"/>
          <w:b/>
          <w:bCs/>
          <w:color w:val="000000"/>
          <w:sz w:val="21"/>
          <w:szCs w:val="21"/>
          <w:lang w:val="en-US" w:eastAsia="zh-CN"/>
        </w:rPr>
        <w:t>8</w:t>
      </w:r>
      <w:r>
        <w:rPr>
          <w:rFonts w:hint="eastAsia"/>
          <w:b/>
          <w:bCs/>
          <w:color w:val="000000"/>
          <w:sz w:val="21"/>
          <w:szCs w:val="21"/>
        </w:rPr>
        <w:t xml:space="preserve"> </w:t>
      </w:r>
      <w:r>
        <w:rPr>
          <w:rFonts w:hint="eastAsia"/>
          <w:b/>
          <w:bCs/>
          <w:color w:val="000000"/>
          <w:sz w:val="21"/>
          <w:szCs w:val="21"/>
          <w:lang w:val="en-US" w:eastAsia="zh-CN"/>
        </w:rPr>
        <w:t xml:space="preserve"> </w:t>
      </w:r>
      <w:r>
        <w:rPr>
          <w:rFonts w:hint="eastAsia"/>
          <w:b/>
          <w:bCs/>
          <w:color w:val="000000"/>
          <w:sz w:val="21"/>
          <w:szCs w:val="21"/>
        </w:rPr>
        <w:t>二氧化硫对人体的危害</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96"/>
        <w:gridCol w:w="61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96" w:type="dxa"/>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空气中浓度mg/m</w:t>
            </w:r>
            <w:r>
              <w:rPr>
                <w:rFonts w:hint="eastAsia"/>
                <w:b/>
                <w:color w:val="000000"/>
                <w:szCs w:val="21"/>
                <w:vertAlign w:val="superscript"/>
              </w:rPr>
              <w:t>3</w:t>
            </w:r>
            <w:r>
              <w:rPr>
                <w:rFonts w:hint="eastAsia"/>
                <w:b/>
                <w:color w:val="000000"/>
                <w:szCs w:val="21"/>
              </w:rPr>
              <w:t>（ppm）</w:t>
            </w:r>
          </w:p>
        </w:tc>
        <w:tc>
          <w:tcPr>
            <w:tcW w:w="6126" w:type="dxa"/>
            <w:vAlign w:val="center"/>
          </w:tcPr>
          <w:p>
            <w:pPr>
              <w:keepNext w:val="0"/>
              <w:keepLines w:val="0"/>
              <w:suppressLineNumbers w:val="0"/>
              <w:adjustRightInd w:val="0"/>
              <w:snapToGrid w:val="0"/>
              <w:spacing w:before="0" w:beforeAutospacing="0" w:after="0" w:afterAutospacing="0"/>
              <w:ind w:left="0" w:right="0"/>
              <w:jc w:val="center"/>
              <w:rPr>
                <w:rFonts w:hint="default"/>
                <w:b/>
                <w:color w:val="000000"/>
                <w:szCs w:val="21"/>
              </w:rPr>
            </w:pPr>
            <w:r>
              <w:rPr>
                <w:rFonts w:hint="eastAsia"/>
                <w:b/>
                <w:color w:val="000000"/>
                <w:szCs w:val="21"/>
              </w:rPr>
              <w:t>生理影响及危害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96"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2.71（1）</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具有刺激性气味，可能引起呼吸改变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96"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5.42（2）</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美国政府工业卫生专家联合会（ACGIH）推荐的阈限值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96"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13.50（5）</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灼伤眼睛，刺激呼吸，对嗓子有较小的刺激。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96"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32.49（12）</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刺激嗓子咳嗽，胸腔收缩，流眼泪和恶心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96"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271（100）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立即对生命和健康产生危险的浓度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96"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406.35（150）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产生强烈的刺激，只能忍受几分钟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96"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1354.50（500）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即使吸入一口，就会产生窒息感，应立即救治，提供人工呼吸会心肺复苏技术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2396"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00000"/>
                <w:szCs w:val="21"/>
              </w:rPr>
            </w:pPr>
            <w:r>
              <w:rPr>
                <w:rFonts w:hint="eastAsia"/>
                <w:color w:val="000000"/>
                <w:szCs w:val="21"/>
              </w:rPr>
              <w:t>2708.99（1000）</w:t>
            </w:r>
          </w:p>
        </w:tc>
        <w:tc>
          <w:tcPr>
            <w:tcW w:w="6126" w:type="dxa"/>
            <w:vAlign w:val="center"/>
          </w:tcPr>
          <w:p>
            <w:pPr>
              <w:keepNext w:val="0"/>
              <w:keepLines w:val="0"/>
              <w:suppressLineNumbers w:val="0"/>
              <w:adjustRightInd w:val="0"/>
              <w:snapToGrid w:val="0"/>
              <w:spacing w:before="0" w:beforeAutospacing="0" w:after="0" w:afterAutospacing="0"/>
              <w:ind w:left="0" w:right="0"/>
              <w:jc w:val="left"/>
              <w:rPr>
                <w:rFonts w:hint="default"/>
                <w:color w:val="000000"/>
                <w:szCs w:val="21"/>
              </w:rPr>
            </w:pPr>
            <w:r>
              <w:rPr>
                <w:rFonts w:hint="eastAsia"/>
                <w:color w:val="000000"/>
                <w:szCs w:val="21"/>
              </w:rPr>
              <w:t>如不立即救治就会导致死亡，应马上进行人工呼吸或心肺复苏</w:t>
            </w:r>
          </w:p>
        </w:tc>
      </w:tr>
    </w:tbl>
    <w:p>
      <w:pPr>
        <w:keepNext/>
        <w:keepLines/>
        <w:pageBreakBefore w:val="0"/>
        <w:widowControl w:val="0"/>
        <w:kinsoku/>
        <w:wordWrap/>
        <w:overflowPunct/>
        <w:topLinePunct w:val="0"/>
        <w:autoSpaceDE/>
        <w:autoSpaceDN/>
        <w:bidi w:val="0"/>
        <w:adjustRightInd w:val="0"/>
        <w:snapToGrid w:val="0"/>
        <w:spacing w:before="157" w:beforeLines="50" w:line="360" w:lineRule="auto"/>
        <w:textAlignment w:val="auto"/>
        <w:outlineLvl w:val="2"/>
        <w:rPr>
          <w:rFonts w:eastAsia="黑体"/>
          <w:bCs/>
          <w:snapToGrid w:val="0"/>
          <w:kern w:val="0"/>
          <w:sz w:val="28"/>
          <w:szCs w:val="28"/>
        </w:rPr>
      </w:pPr>
      <w:r>
        <w:rPr>
          <w:rFonts w:hint="eastAsia" w:eastAsia="黑体"/>
          <w:bCs/>
          <w:snapToGrid w:val="0"/>
          <w:kern w:val="0"/>
          <w:sz w:val="28"/>
          <w:szCs w:val="28"/>
        </w:rPr>
        <w:t>3.3.</w:t>
      </w:r>
      <w:r>
        <w:rPr>
          <w:rFonts w:hint="eastAsia" w:eastAsia="黑体"/>
          <w:bCs/>
          <w:snapToGrid w:val="0"/>
          <w:kern w:val="0"/>
          <w:sz w:val="28"/>
          <w:szCs w:val="28"/>
          <w:lang w:val="en-US" w:eastAsia="zh-CN"/>
        </w:rPr>
        <w:t>4</w:t>
      </w:r>
      <w:r>
        <w:rPr>
          <w:rFonts w:hint="eastAsia" w:eastAsia="黑体"/>
          <w:bCs/>
          <w:snapToGrid w:val="0"/>
          <w:kern w:val="0"/>
          <w:sz w:val="28"/>
          <w:szCs w:val="28"/>
        </w:rPr>
        <w:t xml:space="preserve"> 物体打击</w:t>
      </w:r>
    </w:p>
    <w:p>
      <w:pPr>
        <w:adjustRightInd w:val="0"/>
        <w:snapToGrid w:val="0"/>
        <w:spacing w:line="360" w:lineRule="auto"/>
        <w:ind w:firstLine="560" w:firstLineChars="200"/>
        <w:rPr>
          <w:color w:val="000000"/>
          <w:sz w:val="28"/>
          <w:szCs w:val="28"/>
        </w:rPr>
      </w:pPr>
      <w:r>
        <w:rPr>
          <w:rFonts w:hint="eastAsia"/>
          <w:color w:val="000000"/>
          <w:sz w:val="28"/>
          <w:szCs w:val="28"/>
        </w:rPr>
        <w:t>物体打击事故是井场作业施工过程中发生频率最高的事故，引起物体打击事故的原因有：</w:t>
      </w:r>
    </w:p>
    <w:p>
      <w:pPr>
        <w:adjustRightInd w:val="0"/>
        <w:snapToGrid w:val="0"/>
        <w:spacing w:line="360" w:lineRule="auto"/>
        <w:ind w:firstLine="560" w:firstLineChars="200"/>
        <w:rPr>
          <w:color w:val="000000"/>
          <w:sz w:val="28"/>
          <w:szCs w:val="28"/>
        </w:rPr>
      </w:pPr>
      <w:r>
        <w:rPr>
          <w:rFonts w:hint="eastAsia"/>
          <w:color w:val="000000"/>
          <w:sz w:val="28"/>
          <w:szCs w:val="28"/>
        </w:rPr>
        <w:t>1.工作场所狭小，缺乏躲避空间或操作人员违反操作规程；</w:t>
      </w:r>
    </w:p>
    <w:p>
      <w:pPr>
        <w:adjustRightInd w:val="0"/>
        <w:snapToGrid w:val="0"/>
        <w:spacing w:line="360" w:lineRule="auto"/>
        <w:ind w:firstLine="560" w:firstLineChars="200"/>
        <w:rPr>
          <w:color w:val="000000"/>
          <w:sz w:val="28"/>
          <w:szCs w:val="28"/>
        </w:rPr>
      </w:pPr>
      <w:r>
        <w:rPr>
          <w:rFonts w:hint="eastAsia"/>
          <w:color w:val="000000"/>
          <w:sz w:val="28"/>
          <w:szCs w:val="28"/>
        </w:rPr>
        <w:t>2.进行管线、井口装置、设备等拆装作业时，用力过猛，致使部件或工具失控；</w:t>
      </w:r>
    </w:p>
    <w:p>
      <w:pPr>
        <w:adjustRightInd w:val="0"/>
        <w:snapToGrid w:val="0"/>
        <w:spacing w:line="360" w:lineRule="auto"/>
        <w:ind w:firstLine="560" w:firstLineChars="200"/>
        <w:rPr>
          <w:color w:val="000000"/>
          <w:sz w:val="28"/>
          <w:szCs w:val="28"/>
        </w:rPr>
      </w:pPr>
      <w:r>
        <w:rPr>
          <w:rFonts w:hint="eastAsia"/>
          <w:color w:val="000000"/>
          <w:sz w:val="28"/>
          <w:szCs w:val="28"/>
        </w:rPr>
        <w:t>3.张紧的钢丝绳、绷绳等断裂抽出；</w:t>
      </w:r>
    </w:p>
    <w:p>
      <w:pPr>
        <w:adjustRightInd w:val="0"/>
        <w:snapToGrid w:val="0"/>
        <w:spacing w:line="360" w:lineRule="auto"/>
        <w:ind w:firstLine="560" w:firstLineChars="200"/>
        <w:rPr>
          <w:color w:val="000000"/>
          <w:sz w:val="28"/>
          <w:szCs w:val="28"/>
        </w:rPr>
      </w:pPr>
      <w:r>
        <w:rPr>
          <w:rFonts w:hint="eastAsia"/>
          <w:color w:val="000000"/>
          <w:sz w:val="28"/>
          <w:szCs w:val="28"/>
        </w:rPr>
        <w:t>4.高压作业中，由于压力过高、系统试压不合格、压力超过系统承受压力等级，引起管线破裂，流体刺漏、井口抬升等；</w:t>
      </w:r>
    </w:p>
    <w:p>
      <w:pPr>
        <w:adjustRightInd w:val="0"/>
        <w:snapToGrid w:val="0"/>
        <w:spacing w:line="360" w:lineRule="auto"/>
        <w:ind w:firstLine="560" w:firstLineChars="200"/>
        <w:rPr>
          <w:rFonts w:hint="eastAsia"/>
          <w:color w:val="000000"/>
          <w:sz w:val="28"/>
          <w:szCs w:val="28"/>
        </w:rPr>
      </w:pPr>
      <w:r>
        <w:rPr>
          <w:rFonts w:hint="eastAsia"/>
          <w:color w:val="000000"/>
          <w:sz w:val="28"/>
          <w:szCs w:val="28"/>
        </w:rPr>
        <w:t>5.作业时高压管线未可靠固定，在升压过程中发生摆动。</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eastAsia="宋体"/>
          <w:lang w:val="en-US" w:eastAsia="zh-CN"/>
        </w:rPr>
      </w:pPr>
      <w:r>
        <w:rPr>
          <w:rFonts w:hint="eastAsia"/>
          <w:lang w:val="en-US" w:eastAsia="zh-CN"/>
        </w:rPr>
        <w:t>6.使用不合格的吊具，或者工具等坠落对现场作业人员造成伤害。</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3.3.</w:t>
      </w:r>
      <w:r>
        <w:rPr>
          <w:rFonts w:hint="eastAsia" w:eastAsia="黑体"/>
          <w:bCs/>
          <w:snapToGrid w:val="0"/>
          <w:kern w:val="0"/>
          <w:sz w:val="28"/>
          <w:szCs w:val="28"/>
          <w:lang w:val="en-US" w:eastAsia="zh-CN"/>
        </w:rPr>
        <w:t>5</w:t>
      </w:r>
      <w:r>
        <w:rPr>
          <w:rFonts w:hint="eastAsia" w:eastAsia="黑体"/>
          <w:bCs/>
          <w:snapToGrid w:val="0"/>
          <w:kern w:val="0"/>
          <w:sz w:val="28"/>
          <w:szCs w:val="28"/>
        </w:rPr>
        <w:t xml:space="preserve"> 机械伤害</w:t>
      </w:r>
    </w:p>
    <w:p>
      <w:pPr>
        <w:adjustRightInd w:val="0"/>
        <w:snapToGrid w:val="0"/>
        <w:spacing w:line="360" w:lineRule="auto"/>
        <w:ind w:firstLine="560" w:firstLineChars="200"/>
        <w:rPr>
          <w:color w:val="000000"/>
          <w:sz w:val="28"/>
          <w:szCs w:val="28"/>
        </w:rPr>
      </w:pPr>
      <w:r>
        <w:rPr>
          <w:rFonts w:hint="eastAsia"/>
          <w:color w:val="000000"/>
          <w:sz w:val="28"/>
          <w:szCs w:val="28"/>
        </w:rPr>
        <w:t>作业施工过程中，需要一些专门的机械设备，若这些机械设备本身存在的故障未及时排除，可能会成为引发重大机械事故的隐患，造成机毁人亡的恶性事故。</w:t>
      </w:r>
    </w:p>
    <w:p>
      <w:pPr>
        <w:adjustRightInd w:val="0"/>
        <w:snapToGrid w:val="0"/>
        <w:spacing w:line="360" w:lineRule="auto"/>
        <w:ind w:firstLine="560" w:firstLineChars="200"/>
        <w:rPr>
          <w:color w:val="000000"/>
          <w:sz w:val="28"/>
          <w:szCs w:val="28"/>
        </w:rPr>
      </w:pPr>
      <w:r>
        <w:rPr>
          <w:rFonts w:hint="eastAsia"/>
          <w:color w:val="000000"/>
          <w:sz w:val="28"/>
          <w:szCs w:val="28"/>
        </w:rPr>
        <w:t>地面管线试压过程中，由于压力过高，管线不合格以及其他原因造成的地面管线憋坏，井口抬升，照成的人员伤亡，设备损坏。</w:t>
      </w:r>
    </w:p>
    <w:p>
      <w:pPr>
        <w:adjustRightInd w:val="0"/>
        <w:snapToGrid w:val="0"/>
        <w:spacing w:line="360" w:lineRule="auto"/>
        <w:ind w:firstLine="560" w:firstLineChars="200"/>
        <w:rPr>
          <w:color w:val="000000"/>
          <w:sz w:val="28"/>
          <w:szCs w:val="28"/>
        </w:rPr>
      </w:pPr>
      <w:r>
        <w:rPr>
          <w:rFonts w:hint="eastAsia"/>
          <w:color w:val="000000"/>
          <w:sz w:val="28"/>
          <w:szCs w:val="28"/>
        </w:rPr>
        <w:t>机械外露的运动部分缺乏防护罩或防护罩失效，联锁保护装置失灵或在检修作业中拆下后未复原，在运行中可引起绞、辗等伤害，或因运动部件断脱、飞出而造成人身伤亡及机器损坏事故。机械设备检修时，存在惯性的机械部件未可靠的停止（如刹车失灵）、未可靠切断动力源（如电源、气源等）、检修过程中发生违章操作（如意外送电）、安全防护装置损坏或缺失等都可能引起机械伤害事故。</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3.3.</w:t>
      </w:r>
      <w:r>
        <w:rPr>
          <w:rFonts w:hint="eastAsia" w:eastAsia="黑体"/>
          <w:bCs/>
          <w:snapToGrid w:val="0"/>
          <w:kern w:val="0"/>
          <w:sz w:val="28"/>
          <w:szCs w:val="28"/>
          <w:lang w:val="en-US" w:eastAsia="zh-CN"/>
        </w:rPr>
        <w:t>6</w:t>
      </w:r>
      <w:r>
        <w:rPr>
          <w:rFonts w:hint="eastAsia" w:eastAsia="黑体"/>
          <w:bCs/>
          <w:snapToGrid w:val="0"/>
          <w:kern w:val="0"/>
          <w:sz w:val="28"/>
          <w:szCs w:val="28"/>
        </w:rPr>
        <w:t xml:space="preserve"> 触电</w:t>
      </w:r>
    </w:p>
    <w:p>
      <w:pPr>
        <w:adjustRightInd w:val="0"/>
        <w:snapToGrid w:val="0"/>
        <w:spacing w:line="360" w:lineRule="auto"/>
        <w:ind w:firstLine="560" w:firstLineChars="200"/>
        <w:rPr>
          <w:color w:val="000000"/>
          <w:sz w:val="28"/>
          <w:szCs w:val="28"/>
        </w:rPr>
      </w:pPr>
      <w:r>
        <w:rPr>
          <w:rFonts w:hint="eastAsia"/>
          <w:color w:val="000000"/>
          <w:sz w:val="28"/>
          <w:szCs w:val="28"/>
        </w:rPr>
        <w:t>电气设备、电气线路是引发触电事故的危险源。若电气设备、线路的绝缘损坏或因腐蚀、老化引起绝缘性能降低，带电体外露，安全距离不足，未设可靠的接地保护或漏电保护装置，高压电窜入低压线路，非专业人员违章进行电气作业，电气作业人员违反电气作业安全规程等，人体直接或间接触及带电体，都会导致触电事故发生。</w:t>
      </w:r>
    </w:p>
    <w:p>
      <w:pPr>
        <w:adjustRightInd w:val="0"/>
        <w:snapToGrid w:val="0"/>
        <w:spacing w:line="360" w:lineRule="auto"/>
        <w:ind w:firstLine="560" w:firstLineChars="200"/>
        <w:rPr>
          <w:color w:val="000000"/>
          <w:sz w:val="28"/>
          <w:szCs w:val="28"/>
        </w:rPr>
      </w:pPr>
      <w:r>
        <w:rPr>
          <w:rFonts w:hint="eastAsia"/>
          <w:color w:val="000000"/>
          <w:sz w:val="28"/>
          <w:szCs w:val="28"/>
        </w:rPr>
        <w:t>进行起重吊装作业时，若作业场地附近有高压线，吊物、钢丝绳等与高压线搭接，可能发生触电；运输超高、超长设备时，与沿途的架空线路搭接，也会发生触电。</w:t>
      </w:r>
    </w:p>
    <w:p>
      <w:pPr>
        <w:adjustRightInd w:val="0"/>
        <w:snapToGrid w:val="0"/>
        <w:spacing w:line="360" w:lineRule="auto"/>
        <w:ind w:firstLine="560" w:firstLineChars="200"/>
        <w:rPr>
          <w:color w:val="000000"/>
          <w:sz w:val="28"/>
          <w:szCs w:val="28"/>
        </w:rPr>
      </w:pPr>
      <w:r>
        <w:rPr>
          <w:rFonts w:hint="eastAsia"/>
          <w:color w:val="000000"/>
          <w:sz w:val="28"/>
          <w:szCs w:val="28"/>
        </w:rPr>
        <w:t>野外露天设置的电气开关，经风吹日晒，易造成线路老化、设施锈蚀，造成接触不良。夏季雨水较多，各电气开关易吸潮造成短路，引发触电事故。因此，野外施工作业要特别加强电气设备的维修及使用管理，电气维修一定要切断电源，严格执行挂牌制度，防止意外触电事故的发生，手持电动工具一定要安装漏电保护器，设备电源线沿地面铺设经过道路时，应有保护设施。</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3.3.</w:t>
      </w:r>
      <w:r>
        <w:rPr>
          <w:rFonts w:hint="eastAsia" w:eastAsia="黑体"/>
          <w:bCs/>
          <w:snapToGrid w:val="0"/>
          <w:kern w:val="0"/>
          <w:sz w:val="28"/>
          <w:szCs w:val="28"/>
          <w:lang w:val="en-US" w:eastAsia="zh-CN"/>
        </w:rPr>
        <w:t>7</w:t>
      </w:r>
      <w:r>
        <w:rPr>
          <w:rFonts w:hint="eastAsia" w:eastAsia="黑体"/>
          <w:bCs/>
          <w:snapToGrid w:val="0"/>
          <w:kern w:val="0"/>
          <w:sz w:val="28"/>
          <w:szCs w:val="28"/>
        </w:rPr>
        <w:t xml:space="preserve"> 车辆伤害</w:t>
      </w:r>
    </w:p>
    <w:p>
      <w:pPr>
        <w:adjustRightInd w:val="0"/>
        <w:snapToGrid w:val="0"/>
        <w:spacing w:line="360" w:lineRule="auto"/>
        <w:ind w:firstLine="560" w:firstLineChars="200"/>
        <w:rPr>
          <w:sz w:val="28"/>
          <w:szCs w:val="28"/>
        </w:rPr>
      </w:pPr>
      <w:r>
        <w:rPr>
          <w:rFonts w:hint="eastAsia"/>
          <w:sz w:val="28"/>
          <w:szCs w:val="28"/>
        </w:rPr>
        <w:t>井下作业（小修作业、大修作业、</w:t>
      </w:r>
      <w:r>
        <w:rPr>
          <w:rFonts w:hint="eastAsia"/>
          <w:sz w:val="28"/>
          <w:szCs w:val="28"/>
          <w:lang w:val="en-US" w:eastAsia="zh-CN"/>
        </w:rPr>
        <w:t>侧钻、</w:t>
      </w:r>
      <w:r>
        <w:rPr>
          <w:rFonts w:hint="eastAsia"/>
          <w:sz w:val="28"/>
          <w:szCs w:val="28"/>
          <w:lang w:eastAsia="zh-CN"/>
        </w:rPr>
        <w:t>连续油管作业、酸化、防砂、堵水/调剖、特殊工艺技术服务（套管补贴）、井下</w:t>
      </w:r>
      <w:r>
        <w:rPr>
          <w:rFonts w:hint="eastAsia"/>
          <w:sz w:val="28"/>
          <w:szCs w:val="28"/>
        </w:rPr>
        <w:t>复杂情况处</w:t>
      </w:r>
      <w:r>
        <w:rPr>
          <w:rFonts w:hint="eastAsia"/>
          <w:sz w:val="28"/>
          <w:szCs w:val="28"/>
          <w:lang w:eastAsia="zh-CN"/>
        </w:rPr>
        <w:t>理（打捞、堵漏）、现</w:t>
      </w:r>
      <w:r>
        <w:rPr>
          <w:rFonts w:hint="eastAsia"/>
          <w:sz w:val="28"/>
          <w:szCs w:val="28"/>
        </w:rPr>
        <w:t>场试压）</w:t>
      </w:r>
      <w:r>
        <w:rPr>
          <w:rFonts w:hint="eastAsia"/>
          <w:color w:val="000000"/>
          <w:sz w:val="28"/>
          <w:szCs w:val="28"/>
        </w:rPr>
        <w:t>流动性大，人员和设备的搬迁全部依靠运输车辆完成。石油企业的交通运输，往往车多路窄、各种特种车辆车体大而笨重，经常在路面状况不良的道路上行驶，受人员、车辆、路况、天气等原因容易发生各种交通事故。</w:t>
      </w:r>
    </w:p>
    <w:p>
      <w:pPr>
        <w:adjustRightInd w:val="0"/>
        <w:snapToGrid w:val="0"/>
        <w:spacing w:line="360" w:lineRule="auto"/>
        <w:ind w:firstLine="560" w:firstLineChars="200"/>
        <w:rPr>
          <w:rFonts w:hint="eastAsia"/>
          <w:color w:val="000000"/>
          <w:sz w:val="28"/>
          <w:szCs w:val="28"/>
        </w:rPr>
      </w:pPr>
      <w:r>
        <w:rPr>
          <w:rFonts w:hint="eastAsia"/>
          <w:color w:val="000000"/>
          <w:sz w:val="28"/>
          <w:szCs w:val="28"/>
        </w:rPr>
        <w:t>作业现场情况复杂，施工车辆在井场内移动（摆车）时，由于机械故障、视野不良、人员操作失误或违章等，可能造成井场内的人员碰伤、碾压、撞击等车辆伤害事故。</w:t>
      </w:r>
    </w:p>
    <w:p>
      <w:pPr>
        <w:keepNext/>
        <w:keepLines/>
        <w:adjustRightInd w:val="0"/>
        <w:snapToGrid w:val="0"/>
        <w:spacing w:line="360" w:lineRule="auto"/>
        <w:outlineLvl w:val="2"/>
        <w:rPr>
          <w:rFonts w:hint="eastAsia" w:ascii="Times New Roman" w:hAnsi="Times New Roman" w:eastAsia="黑体" w:cs="Times New Roman"/>
          <w:bCs/>
          <w:snapToGrid w:val="0"/>
          <w:kern w:val="0"/>
          <w:sz w:val="28"/>
          <w:szCs w:val="28"/>
          <w:lang w:eastAsia="zh-CN"/>
        </w:rPr>
      </w:pPr>
      <w:r>
        <w:rPr>
          <w:rFonts w:hint="eastAsia" w:ascii="Times New Roman" w:hAnsi="Times New Roman" w:eastAsia="黑体" w:cs="Times New Roman"/>
          <w:bCs/>
          <w:snapToGrid w:val="0"/>
          <w:kern w:val="0"/>
          <w:sz w:val="28"/>
          <w:szCs w:val="28"/>
        </w:rPr>
        <w:t>3.3.</w:t>
      </w:r>
      <w:r>
        <w:rPr>
          <w:rFonts w:hint="eastAsia" w:eastAsia="黑体" w:cs="Times New Roman"/>
          <w:bCs/>
          <w:snapToGrid w:val="0"/>
          <w:kern w:val="0"/>
          <w:sz w:val="28"/>
          <w:szCs w:val="28"/>
          <w:lang w:val="en-US" w:eastAsia="zh-CN"/>
        </w:rPr>
        <w:t>8</w:t>
      </w:r>
      <w:r>
        <w:rPr>
          <w:rFonts w:hint="eastAsia" w:ascii="Times New Roman" w:hAnsi="Times New Roman" w:eastAsia="黑体" w:cs="Times New Roman"/>
          <w:bCs/>
          <w:snapToGrid w:val="0"/>
          <w:kern w:val="0"/>
          <w:sz w:val="28"/>
          <w:szCs w:val="28"/>
        </w:rPr>
        <w:t xml:space="preserve"> </w:t>
      </w:r>
      <w:r>
        <w:rPr>
          <w:rFonts w:hint="eastAsia" w:ascii="Times New Roman" w:hAnsi="Times New Roman" w:eastAsia="黑体" w:cs="Times New Roman"/>
          <w:bCs/>
          <w:snapToGrid w:val="0"/>
          <w:kern w:val="0"/>
          <w:sz w:val="28"/>
          <w:szCs w:val="28"/>
          <w:lang w:val="en-US" w:eastAsia="zh-CN"/>
        </w:rPr>
        <w:t>灼烫</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r>
        <w:rPr>
          <w:rFonts w:hint="eastAsia"/>
          <w:lang w:eastAsia="zh-CN"/>
        </w:rPr>
        <w:t>胜利油田康贝油气工程有限在酸化作业过程中，涉及的酸液存在腐蚀性，若操作人员未佩戴相应防护用品，误接触，容易造成化学性灼伤，在作业车辆运行过程中，泵体高速运转，导致温度较高，操作人员误接触容易造成烫伤。</w:t>
      </w:r>
    </w:p>
    <w:p>
      <w:pPr>
        <w:keepNext/>
        <w:keepLines/>
        <w:adjustRightInd w:val="0"/>
        <w:snapToGrid w:val="0"/>
        <w:spacing w:line="360" w:lineRule="auto"/>
        <w:outlineLvl w:val="2"/>
        <w:rPr>
          <w:rFonts w:hint="default" w:ascii="Times New Roman" w:hAnsi="Times New Roman" w:eastAsia="黑体" w:cs="Times New Roman"/>
          <w:bCs/>
          <w:snapToGrid w:val="0"/>
          <w:kern w:val="0"/>
          <w:sz w:val="28"/>
          <w:szCs w:val="28"/>
          <w:lang w:val="en-US" w:eastAsia="zh-CN"/>
        </w:rPr>
      </w:pPr>
      <w:r>
        <w:rPr>
          <w:rFonts w:hint="eastAsia" w:ascii="Times New Roman" w:hAnsi="Times New Roman" w:eastAsia="黑体" w:cs="Times New Roman"/>
          <w:bCs/>
          <w:snapToGrid w:val="0"/>
          <w:kern w:val="0"/>
          <w:sz w:val="28"/>
          <w:szCs w:val="28"/>
        </w:rPr>
        <w:t>3.3.</w:t>
      </w:r>
      <w:r>
        <w:rPr>
          <w:rFonts w:hint="eastAsia" w:eastAsia="黑体" w:cs="Times New Roman"/>
          <w:bCs/>
          <w:snapToGrid w:val="0"/>
          <w:kern w:val="0"/>
          <w:sz w:val="28"/>
          <w:szCs w:val="28"/>
          <w:lang w:val="en-US" w:eastAsia="zh-CN"/>
        </w:rPr>
        <w:t>9</w:t>
      </w:r>
      <w:r>
        <w:rPr>
          <w:rFonts w:hint="eastAsia" w:ascii="Times New Roman" w:hAnsi="Times New Roman" w:eastAsia="黑体" w:cs="Times New Roman"/>
          <w:bCs/>
          <w:snapToGrid w:val="0"/>
          <w:kern w:val="0"/>
          <w:sz w:val="28"/>
          <w:szCs w:val="28"/>
        </w:rPr>
        <w:t xml:space="preserve"> </w:t>
      </w:r>
      <w:r>
        <w:rPr>
          <w:rFonts w:hint="eastAsia" w:ascii="Times New Roman" w:hAnsi="Times New Roman" w:eastAsia="黑体" w:cs="Times New Roman"/>
          <w:bCs/>
          <w:snapToGrid w:val="0"/>
          <w:kern w:val="0"/>
          <w:sz w:val="28"/>
          <w:szCs w:val="28"/>
          <w:lang w:val="en-US" w:eastAsia="zh-CN"/>
        </w:rPr>
        <w:t>高处坠落</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r>
        <w:rPr>
          <w:rFonts w:hint="eastAsia"/>
          <w:lang w:val="en-US" w:eastAsia="zh-CN"/>
        </w:rPr>
        <w:t>大修侧钻二层台作业、井架检修等</w:t>
      </w:r>
      <w:r>
        <w:rPr>
          <w:rFonts w:hint="eastAsia"/>
          <w:lang w:eastAsia="zh-CN"/>
        </w:rPr>
        <w:t>都存在高处作业，甚至是特高处作业。在进行高处作业时，防护措施不完善或存在缺陷、人员违章不系安全带或安全带系扎不可靠、因其他突发事故等原因导致人员坠下，引发高处坠落事故。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r>
        <w:rPr>
          <w:rFonts w:hint="eastAsia"/>
          <w:lang w:eastAsia="zh-CN"/>
        </w:rPr>
        <w:t>作业人员在登高过程中有高处坠落的危险，特别是在大风天气作业时，极有可能发生高处坠落，造成人员伤亡；登高作业无安全防护措施（安全带、安全绳），梯子、平台和易滑倒的操作通道地面未设有防滑措施或在阴雨天气或冬季因结冰造成钢梯、扶手、检修平台路滑的条件下作业人员进行登高作业，也有滑倒摔伤或高处坠落的可能。</w:t>
      </w:r>
    </w:p>
    <w:p>
      <w:pPr>
        <w:keepNext/>
        <w:keepLines/>
        <w:adjustRightInd w:val="0"/>
        <w:snapToGrid w:val="0"/>
        <w:spacing w:line="360" w:lineRule="auto"/>
        <w:outlineLvl w:val="2"/>
        <w:rPr>
          <w:rFonts w:hint="default" w:ascii="Times New Roman" w:hAnsi="Times New Roman" w:eastAsia="黑体" w:cs="Times New Roman"/>
          <w:bCs/>
          <w:snapToGrid w:val="0"/>
          <w:kern w:val="0"/>
          <w:sz w:val="28"/>
          <w:szCs w:val="28"/>
          <w:lang w:val="en-US" w:eastAsia="zh-CN"/>
        </w:rPr>
      </w:pPr>
      <w:r>
        <w:rPr>
          <w:rFonts w:hint="eastAsia" w:ascii="Times New Roman" w:hAnsi="Times New Roman" w:eastAsia="黑体" w:cs="Times New Roman"/>
          <w:bCs/>
          <w:snapToGrid w:val="0"/>
          <w:kern w:val="0"/>
          <w:sz w:val="28"/>
          <w:szCs w:val="28"/>
        </w:rPr>
        <w:t>3.3.</w:t>
      </w:r>
      <w:r>
        <w:rPr>
          <w:rFonts w:hint="eastAsia" w:eastAsia="黑体" w:cs="Times New Roman"/>
          <w:bCs/>
          <w:snapToGrid w:val="0"/>
          <w:kern w:val="0"/>
          <w:sz w:val="28"/>
          <w:szCs w:val="28"/>
          <w:lang w:val="en-US" w:eastAsia="zh-CN"/>
        </w:rPr>
        <w:t>10</w:t>
      </w:r>
      <w:r>
        <w:rPr>
          <w:rFonts w:hint="eastAsia" w:ascii="Times New Roman" w:hAnsi="Times New Roman" w:eastAsia="黑体" w:cs="Times New Roman"/>
          <w:bCs/>
          <w:snapToGrid w:val="0"/>
          <w:kern w:val="0"/>
          <w:sz w:val="28"/>
          <w:szCs w:val="28"/>
        </w:rPr>
        <w:t xml:space="preserve"> </w:t>
      </w:r>
      <w:r>
        <w:rPr>
          <w:rFonts w:hint="eastAsia" w:ascii="Times New Roman" w:hAnsi="Times New Roman" w:eastAsia="黑体" w:cs="Times New Roman"/>
          <w:bCs/>
          <w:snapToGrid w:val="0"/>
          <w:kern w:val="0"/>
          <w:sz w:val="28"/>
          <w:szCs w:val="28"/>
          <w:lang w:val="en-US" w:eastAsia="zh-CN"/>
        </w:rPr>
        <w:t>坍塌</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lang w:val="en-US" w:eastAsia="zh-CN"/>
        </w:rPr>
      </w:pPr>
      <w:r>
        <w:rPr>
          <w:rFonts w:hint="eastAsia"/>
          <w:lang w:val="en-US" w:eastAsia="zh-CN"/>
        </w:rPr>
        <w:t>井架底座等设备设施承载能力不足，安装不牢固；使用未经检测或者检测不合格的设备设施；遇极端恶劣的自然条件、地质问题，有可能发生坍塌的危险。</w:t>
      </w:r>
    </w:p>
    <w:p>
      <w:pPr>
        <w:pStyle w:val="4"/>
        <w:adjustRightInd w:val="0"/>
        <w:snapToGrid w:val="0"/>
        <w:spacing w:before="0" w:after="0" w:line="360" w:lineRule="auto"/>
        <w:rPr>
          <w:rFonts w:ascii="Times New Roman" w:hAnsi="Times New Roman"/>
          <w:b w:val="0"/>
          <w:bCs/>
          <w:szCs w:val="32"/>
        </w:rPr>
      </w:pPr>
      <w:bookmarkStart w:id="67" w:name="_Toc329433800"/>
      <w:bookmarkStart w:id="68" w:name="_Toc216105914"/>
      <w:bookmarkStart w:id="69" w:name="_Toc25216"/>
      <w:bookmarkStart w:id="70" w:name="_Toc447782518"/>
      <w:bookmarkStart w:id="71" w:name="_Toc281310743"/>
      <w:r>
        <w:rPr>
          <w:rFonts w:hint="eastAsia" w:ascii="Times New Roman" w:hAnsi="Times New Roman"/>
          <w:b w:val="0"/>
          <w:bCs/>
          <w:szCs w:val="32"/>
        </w:rPr>
        <w:t>3.4 主要有害因素辨识</w:t>
      </w:r>
      <w:bookmarkEnd w:id="67"/>
      <w:bookmarkEnd w:id="68"/>
      <w:bookmarkEnd w:id="69"/>
      <w:bookmarkEnd w:id="70"/>
      <w:bookmarkEnd w:id="71"/>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3.4.1 噪声危害</w:t>
      </w:r>
    </w:p>
    <w:p>
      <w:pPr>
        <w:adjustRightInd w:val="0"/>
        <w:snapToGrid w:val="0"/>
        <w:spacing w:line="360" w:lineRule="auto"/>
        <w:ind w:firstLine="560" w:firstLineChars="200"/>
        <w:rPr>
          <w:sz w:val="28"/>
          <w:szCs w:val="28"/>
        </w:rPr>
      </w:pPr>
      <w:r>
        <w:rPr>
          <w:rFonts w:hint="eastAsia"/>
          <w:sz w:val="28"/>
          <w:szCs w:val="28"/>
        </w:rPr>
        <w:t>各种机械运转设备如</w:t>
      </w:r>
      <w:r>
        <w:rPr>
          <w:rFonts w:hint="eastAsia"/>
          <w:sz w:val="28"/>
          <w:szCs w:val="28"/>
          <w:lang w:val="en-US" w:eastAsia="zh-CN"/>
        </w:rPr>
        <w:t>堵水/调剖的注入</w:t>
      </w:r>
      <w:r>
        <w:rPr>
          <w:rFonts w:hint="eastAsia"/>
          <w:sz w:val="28"/>
          <w:szCs w:val="28"/>
        </w:rPr>
        <w:t>泵等运转时，工具、部件碰撞时发出的机械性噪声，介质输送、排放产生的空气动力性噪声，混杂在一起，可引起作业场所噪声值超标。</w:t>
      </w:r>
      <w:r>
        <w:rPr>
          <w:rFonts w:hint="eastAsia"/>
          <w:bCs/>
          <w:sz w:val="28"/>
          <w:szCs w:val="28"/>
        </w:rPr>
        <w:t>人员长期在高噪声环境下工作，会引发</w:t>
      </w:r>
      <w:r>
        <w:rPr>
          <w:rFonts w:hint="eastAsia"/>
          <w:sz w:val="28"/>
          <w:szCs w:val="28"/>
        </w:rPr>
        <w:t>噪声危害，其主要症状有听力损伤、职业性噪声聋、神经系统功能紊乱，甚至引起心血管疾病及消化系统疾病的高发。</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3.4.2 毒物危害</w:t>
      </w:r>
    </w:p>
    <w:p>
      <w:pPr>
        <w:adjustRightInd w:val="0"/>
        <w:snapToGrid w:val="0"/>
        <w:spacing w:line="360" w:lineRule="auto"/>
        <w:ind w:firstLine="560" w:firstLineChars="200"/>
        <w:rPr>
          <w:rFonts w:hint="eastAsia"/>
          <w:sz w:val="28"/>
          <w:szCs w:val="28"/>
        </w:rPr>
      </w:pPr>
      <w:r>
        <w:rPr>
          <w:rFonts w:hint="eastAsia"/>
          <w:sz w:val="28"/>
          <w:szCs w:val="28"/>
        </w:rPr>
        <w:t>石油天然气工程施工过程中可能接触到天然气、油蒸气、硫化氢、二氧化硫等有毒、有害物质。这些有毒、有害物质对呼吸道、肺组织有强烈的刺激、腐蚀作用，短时间内高浓度接触可引起急性中毒；长期低浓度接触会引起慢性毒物危害（慢性中毒）。主要</w:t>
      </w:r>
      <w:r>
        <w:rPr>
          <w:sz w:val="28"/>
          <w:szCs w:val="28"/>
        </w:rPr>
        <w:t>危害症状有头痛、恶心</w:t>
      </w:r>
      <w:r>
        <w:rPr>
          <w:rFonts w:hint="eastAsia"/>
          <w:sz w:val="28"/>
          <w:szCs w:val="28"/>
        </w:rPr>
        <w:t>，以及</w:t>
      </w:r>
      <w:r>
        <w:rPr>
          <w:sz w:val="28"/>
          <w:szCs w:val="28"/>
        </w:rPr>
        <w:t>呼吸道疾病</w:t>
      </w:r>
      <w:r>
        <w:rPr>
          <w:rFonts w:hint="eastAsia"/>
          <w:sz w:val="28"/>
          <w:szCs w:val="28"/>
        </w:rPr>
        <w:t>等。</w:t>
      </w:r>
    </w:p>
    <w:p>
      <w:pPr>
        <w:keepNext/>
        <w:keepLines/>
        <w:adjustRightInd w:val="0"/>
        <w:snapToGrid w:val="0"/>
        <w:spacing w:line="360" w:lineRule="auto"/>
        <w:outlineLvl w:val="2"/>
        <w:rPr>
          <w:rFonts w:hint="eastAsia" w:eastAsia="黑体"/>
          <w:bCs/>
          <w:snapToGrid w:val="0"/>
          <w:kern w:val="0"/>
          <w:sz w:val="28"/>
          <w:szCs w:val="28"/>
          <w:lang w:val="zh-CN"/>
        </w:rPr>
      </w:pPr>
      <w:r>
        <w:rPr>
          <w:rFonts w:hint="eastAsia" w:eastAsia="黑体"/>
          <w:bCs/>
          <w:snapToGrid w:val="0"/>
          <w:kern w:val="0"/>
          <w:sz w:val="28"/>
          <w:szCs w:val="28"/>
          <w:lang w:val="zh-CN"/>
        </w:rPr>
        <w:t>3.</w:t>
      </w:r>
      <w:r>
        <w:rPr>
          <w:rFonts w:hint="eastAsia" w:eastAsia="黑体"/>
          <w:bCs/>
          <w:snapToGrid w:val="0"/>
          <w:kern w:val="0"/>
          <w:sz w:val="28"/>
          <w:szCs w:val="28"/>
          <w:lang w:val="en-US" w:eastAsia="zh-CN"/>
        </w:rPr>
        <w:t>4</w:t>
      </w:r>
      <w:r>
        <w:rPr>
          <w:rFonts w:hint="eastAsia" w:eastAsia="黑体"/>
          <w:bCs/>
          <w:snapToGrid w:val="0"/>
          <w:kern w:val="0"/>
          <w:sz w:val="28"/>
          <w:szCs w:val="28"/>
          <w:lang w:val="zh-CN"/>
        </w:rPr>
        <w:t>.</w:t>
      </w:r>
      <w:r>
        <w:rPr>
          <w:rFonts w:hint="eastAsia" w:eastAsia="黑体"/>
          <w:bCs/>
          <w:snapToGrid w:val="0"/>
          <w:kern w:val="0"/>
          <w:sz w:val="28"/>
          <w:szCs w:val="28"/>
          <w:lang w:val="en-US" w:eastAsia="zh-CN"/>
        </w:rPr>
        <w:t>3</w:t>
      </w:r>
      <w:r>
        <w:rPr>
          <w:rFonts w:hint="eastAsia" w:eastAsia="黑体"/>
          <w:bCs/>
          <w:snapToGrid w:val="0"/>
          <w:kern w:val="0"/>
          <w:sz w:val="28"/>
          <w:szCs w:val="28"/>
          <w:lang w:val="zh-CN"/>
        </w:rPr>
        <w:t xml:space="preserve"> 振动危害</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rPr>
        <w:t>机械设备运转时可产生振动，振动可引起机械效应、生理和心理的效应，长期接触会给人带来危害，我国已将振动病列为法定职业病。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pPr>
      <w:r>
        <w:rPr>
          <w:rFonts w:hint="eastAsia"/>
        </w:rPr>
        <w:t>振动分为全身振动和局部振动。本项目作业时多为局部振动，局部接触强烈振动主要是以手接触振动工具的方式为主的，长期持续使用振动工具能引起末梢循环、末神经和骨关节肌肉运动系统的障碍，严重时可患局部振动病。</w:t>
      </w:r>
    </w:p>
    <w:p>
      <w:pPr>
        <w:pStyle w:val="4"/>
        <w:adjustRightInd w:val="0"/>
        <w:snapToGrid w:val="0"/>
        <w:spacing w:before="0" w:after="0" w:line="360" w:lineRule="auto"/>
        <w:rPr>
          <w:rFonts w:ascii="Times New Roman" w:hAnsi="Times New Roman"/>
          <w:b w:val="0"/>
          <w:bCs/>
          <w:szCs w:val="32"/>
        </w:rPr>
      </w:pPr>
      <w:bookmarkStart w:id="72" w:name="_Toc281310742"/>
      <w:bookmarkStart w:id="73" w:name="_Toc447782519"/>
      <w:bookmarkStart w:id="74" w:name="_Toc6585"/>
      <w:bookmarkStart w:id="75" w:name="_Toc216105913"/>
      <w:bookmarkStart w:id="76" w:name="_Toc329433801"/>
      <w:bookmarkStart w:id="77" w:name="_Toc281310744"/>
      <w:r>
        <w:rPr>
          <w:rFonts w:hint="eastAsia" w:ascii="Times New Roman" w:hAnsi="Times New Roman"/>
          <w:b w:val="0"/>
          <w:bCs/>
          <w:szCs w:val="32"/>
        </w:rPr>
        <w:t>3.5 自然灾害的影响</w:t>
      </w:r>
      <w:bookmarkEnd w:id="72"/>
      <w:bookmarkEnd w:id="73"/>
      <w:bookmarkEnd w:id="74"/>
      <w:bookmarkEnd w:id="75"/>
      <w:bookmarkEnd w:id="76"/>
    </w:p>
    <w:p>
      <w:pPr>
        <w:adjustRightInd w:val="0"/>
        <w:snapToGrid w:val="0"/>
        <w:spacing w:line="360" w:lineRule="auto"/>
        <w:ind w:firstLine="560" w:firstLineChars="200"/>
        <w:rPr>
          <w:sz w:val="28"/>
          <w:szCs w:val="28"/>
        </w:rPr>
      </w:pPr>
      <w:r>
        <w:rPr>
          <w:rFonts w:hint="eastAsia"/>
          <w:sz w:val="28"/>
          <w:szCs w:val="28"/>
        </w:rPr>
        <w:t>该企业主要服务于</w:t>
      </w:r>
      <w:r>
        <w:rPr>
          <w:rFonts w:hint="eastAsia"/>
          <w:sz w:val="28"/>
          <w:szCs w:val="28"/>
          <w:lang w:val="en-US" w:eastAsia="zh-CN"/>
        </w:rPr>
        <w:t>石油开发中心、滨南采油厂、胜利采油厂</w:t>
      </w:r>
      <w:r>
        <w:rPr>
          <w:rFonts w:hint="eastAsia"/>
          <w:sz w:val="28"/>
          <w:szCs w:val="28"/>
          <w:lang w:eastAsia="zh-CN"/>
        </w:rPr>
        <w:t>、鲁胜公司</w:t>
      </w:r>
      <w:r>
        <w:rPr>
          <w:rFonts w:hint="eastAsia"/>
          <w:sz w:val="28"/>
          <w:szCs w:val="28"/>
          <w:lang w:val="en-US" w:eastAsia="zh-CN"/>
        </w:rPr>
        <w:t>，作业地点主要涉及东营市、滨州</w:t>
      </w:r>
      <w:r>
        <w:rPr>
          <w:rFonts w:hint="eastAsia"/>
          <w:sz w:val="28"/>
          <w:szCs w:val="28"/>
        </w:rPr>
        <w:t>等，石油作业队伍长年处于野外作业环境中，易受到自然灾害如：雷电、大风、雨、寒冷、高温酷暑等的侵袭，发生一些灾害性的事故。此外施工作业流动性大，长距离的流动可能造成人员水土不服、气候不适等。</w:t>
      </w:r>
    </w:p>
    <w:p>
      <w:pPr>
        <w:adjustRightInd w:val="0"/>
        <w:snapToGrid w:val="0"/>
        <w:spacing w:line="360" w:lineRule="auto"/>
        <w:ind w:firstLine="560" w:firstLineChars="200"/>
        <w:rPr>
          <w:sz w:val="28"/>
          <w:szCs w:val="28"/>
        </w:rPr>
      </w:pPr>
      <w:r>
        <w:rPr>
          <w:rFonts w:hint="eastAsia"/>
          <w:sz w:val="28"/>
          <w:szCs w:val="28"/>
        </w:rPr>
        <w:t>对本工程施工影响较大的自然灾害有：雷电袭击、大风和高温、低温、地震灾害等。</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3.5.1 雷电袭击</w:t>
      </w:r>
    </w:p>
    <w:p>
      <w:pPr>
        <w:adjustRightInd w:val="0"/>
        <w:snapToGrid w:val="0"/>
        <w:spacing w:line="360" w:lineRule="auto"/>
        <w:ind w:firstLine="560" w:firstLineChars="200"/>
        <w:rPr>
          <w:sz w:val="28"/>
          <w:szCs w:val="28"/>
        </w:rPr>
      </w:pPr>
      <w:r>
        <w:rPr>
          <w:rFonts w:hint="eastAsia"/>
          <w:sz w:val="28"/>
          <w:szCs w:val="28"/>
        </w:rPr>
        <w:t>雷电是大自然中的静电放电现象，建构筑物（如井架）、输变电线路和变配电装置等设施及设备遭到雷电袭击时，会产生极高的电压和极大的电流，在其波及的范围内，可能造成设备或设施的损坏，直接或间接地造成人员伤亡，引发火灾、爆炸事故的发生。</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3.5.2 大风灾害</w:t>
      </w:r>
    </w:p>
    <w:p>
      <w:pPr>
        <w:adjustRightInd w:val="0"/>
        <w:snapToGrid w:val="0"/>
        <w:spacing w:line="360" w:lineRule="auto"/>
        <w:ind w:firstLine="560" w:firstLineChars="200"/>
        <w:rPr>
          <w:sz w:val="28"/>
          <w:szCs w:val="28"/>
        </w:rPr>
      </w:pPr>
      <w:r>
        <w:rPr>
          <w:rFonts w:hint="eastAsia"/>
          <w:sz w:val="28"/>
          <w:szCs w:val="28"/>
        </w:rPr>
        <w:t>六级以上强风有造成设备及建、构筑物倾斜、倒塌，甚至造成设备、管道扭曲、破裂的危险，可导致物料泄漏、火灾、爆炸等事故。</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3.5.3 高温、低温</w:t>
      </w:r>
    </w:p>
    <w:p>
      <w:pPr>
        <w:adjustRightInd w:val="0"/>
        <w:snapToGrid w:val="0"/>
        <w:spacing w:line="360" w:lineRule="auto"/>
        <w:ind w:firstLine="560" w:firstLineChars="200"/>
        <w:rPr>
          <w:sz w:val="28"/>
          <w:szCs w:val="28"/>
        </w:rPr>
      </w:pPr>
      <w:r>
        <w:rPr>
          <w:rFonts w:hint="eastAsia"/>
          <w:sz w:val="28"/>
          <w:szCs w:val="28"/>
        </w:rPr>
        <w:t>温度的升高会引起爆炸性气体的爆炸浓度极限范围扩大，增加易燃、易爆介质的火灾、爆炸危险性。夏季高温环境下，野外作业的施工人员室外工作时间过长且无有效的防暑降温措施，可能引起人员的高温中暑。</w:t>
      </w:r>
    </w:p>
    <w:p>
      <w:pPr>
        <w:adjustRightInd w:val="0"/>
        <w:snapToGrid w:val="0"/>
        <w:spacing w:line="360" w:lineRule="auto"/>
        <w:ind w:firstLine="560" w:firstLineChars="200"/>
        <w:rPr>
          <w:sz w:val="28"/>
          <w:szCs w:val="28"/>
        </w:rPr>
      </w:pPr>
      <w:r>
        <w:rPr>
          <w:rFonts w:hint="eastAsia"/>
          <w:sz w:val="28"/>
          <w:szCs w:val="28"/>
        </w:rPr>
        <w:t>在极端低温条件下，若无有效的防冻保温措施，可引起管线中介质的冻堵，泵压升高，引起管线损坏、介质泄漏；人员在室外作业工作时间过长，可能引起人员冻伤。</w:t>
      </w:r>
    </w:p>
    <w:p>
      <w:pPr>
        <w:adjustRightInd w:val="0"/>
        <w:snapToGrid w:val="0"/>
        <w:spacing w:line="360" w:lineRule="auto"/>
        <w:ind w:firstLine="560" w:firstLineChars="200"/>
        <w:rPr>
          <w:sz w:val="28"/>
          <w:szCs w:val="28"/>
        </w:rPr>
      </w:pPr>
      <w:r>
        <w:rPr>
          <w:rFonts w:hint="eastAsia"/>
          <w:sz w:val="28"/>
          <w:szCs w:val="28"/>
        </w:rPr>
        <w:t>无论是高温还是低温环境，都可影响人员的情绪、反应灵敏性，增加违章事故发生的频率，并可能成为引发其他事故的诱因。</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3.5.4 地震灾害</w:t>
      </w:r>
    </w:p>
    <w:p>
      <w:pPr>
        <w:adjustRightInd w:val="0"/>
        <w:snapToGrid w:val="0"/>
        <w:spacing w:line="360" w:lineRule="auto"/>
        <w:ind w:firstLine="560" w:firstLineChars="200"/>
        <w:rPr>
          <w:sz w:val="28"/>
          <w:szCs w:val="28"/>
        </w:rPr>
      </w:pPr>
      <w:r>
        <w:rPr>
          <w:rFonts w:hint="eastAsia"/>
          <w:sz w:val="28"/>
          <w:szCs w:val="28"/>
        </w:rPr>
        <w:t>地震是地球内部突然发生的一系列弹性波，具有突发性和难以预报的特点，地震产生的强烈振动除可直接导致建构筑物倒塌、电杆折断、容器管道破裂、火灾爆炸之外，还会伴随出现海啸、断层、地裂、山崩、滑坡及地面隆起和下沉现象。对石油工业生产来说，地震会造成钻机倾覆、油（气）井毁坏、管道及阀件断裂等震害，同时害往往伴随火灾、爆炸等严重的二次灾害的发生。</w:t>
      </w:r>
    </w:p>
    <w:p>
      <w:pPr>
        <w:pStyle w:val="4"/>
        <w:adjustRightInd w:val="0"/>
        <w:snapToGrid w:val="0"/>
        <w:spacing w:before="0" w:after="0" w:line="360" w:lineRule="auto"/>
        <w:rPr>
          <w:rFonts w:ascii="Times New Roman" w:hAnsi="Times New Roman"/>
          <w:b w:val="0"/>
          <w:bCs/>
          <w:szCs w:val="32"/>
        </w:rPr>
      </w:pPr>
      <w:bookmarkStart w:id="78" w:name="_Toc447782520"/>
      <w:bookmarkStart w:id="79" w:name="_Toc10068"/>
      <w:bookmarkStart w:id="80" w:name="_Toc329433802"/>
      <w:r>
        <w:rPr>
          <w:rFonts w:hint="eastAsia" w:ascii="Times New Roman" w:hAnsi="Times New Roman"/>
          <w:b w:val="0"/>
          <w:bCs/>
          <w:szCs w:val="32"/>
        </w:rPr>
        <w:t>3.6 重大危险源辨识</w:t>
      </w:r>
      <w:bookmarkEnd w:id="77"/>
      <w:bookmarkEnd w:id="78"/>
      <w:bookmarkEnd w:id="79"/>
      <w:bookmarkEnd w:id="80"/>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3.6.1 重大危险源辨识依据</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依据《危险化学品重大危险源辨识》（GB18218-2018）和《危险化学品重大危险源监督管理暂行规定》（安监总局令第40号，79号令修订）规定，危险化学品重大危险源、危险化学品和临界量的定义如下：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危险化学品重大危险源：指长期地或临时地生产、加工、使用或储存危险化学品，且危险化学品的数量等于或超过临界量的单元。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生产单元：危险化学品的生产、加工及使用等的装置及设施，当装置及设施之间有切断阀时，以切断阀作为分隔界限划分为独立的单元。</w:t>
      </w:r>
    </w:p>
    <w:p>
      <w:pPr>
        <w:keepNext w:val="0"/>
        <w:keepLines w:val="0"/>
        <w:pageBreakBefore w:val="0"/>
        <w:widowControl w:val="0"/>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储存单元：用于储存危险化学品的储罐或仓库组成的相对独立的区域，储罐区以罐区防火堤为界限划分为独立的单元，仓库以独立库房（独立建筑物）为界限划分为独立的单元。</w:t>
      </w:r>
    </w:p>
    <w:p>
      <w:pPr>
        <w:keepNext w:val="0"/>
        <w:keepLines w:val="0"/>
        <w:pageBreakBefore w:val="0"/>
        <w:widowControl w:val="0"/>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临界量：指对于某种或某类危险化学品规定的数量，若单元中的危险化学品数量等于或超过该数量，则该单元定为重大危险源。</w:t>
      </w:r>
    </w:p>
    <w:p>
      <w:pPr>
        <w:keepNext w:val="0"/>
        <w:keepLines w:val="0"/>
        <w:pageBreakBefore w:val="0"/>
        <w:widowControl w:val="0"/>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依据《危险化学品重大危险源辨识》（GB18218-2018）第4.2.1生产单元、储存单元内存在危险化学品的数量等于或超过表1、表2规定的临界量，即被定为重大危险源。危险化学品的纯物质及其混合物应按GB 30000.2、GB 30000.3、GB 30000.4、GB30000.5、GB 30000.7、GB 30000.8、GB 30000.9、GB 30000.10、GB 30000.11、GB 30000.12、GB 30000.13、GB 30000.14、GB 30000.15、GB 30000.16、GB 30000.18的规定进行分类。</w:t>
      </w:r>
    </w:p>
    <w:p>
      <w:pPr>
        <w:keepNext w:val="0"/>
        <w:keepLines w:val="0"/>
        <w:pageBreakBefore w:val="0"/>
        <w:widowControl w:val="0"/>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单元内存在的危险化学品的数量根据处理危险化学品种类的多少区分为以下两种情况：</w:t>
      </w:r>
    </w:p>
    <w:p>
      <w:pPr>
        <w:keepNext w:val="0"/>
        <w:keepLines w:val="0"/>
        <w:pageBreakBefore w:val="0"/>
        <w:widowControl w:val="0"/>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①生产单元、储存单元内存在的危险化学品为单一品种，则该危险化学品的数量即为单元内危险化学品的总量，若等于或超过相应的临界量，则定为危险化学品重大危险源；</w:t>
      </w:r>
    </w:p>
    <w:p>
      <w:pPr>
        <w:keepNext w:val="0"/>
        <w:keepLines w:val="0"/>
        <w:pageBreakBefore w:val="0"/>
        <w:widowControl w:val="0"/>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②生产单元、储存单元内内存在的危险化学品为多品种时，则按下列公式计算，若满足下列公式，则定为危险化学品重大危险源。</w:t>
      </w:r>
    </w:p>
    <w:p>
      <w:pPr>
        <w:keepNext w:val="0"/>
        <w:keepLines w:val="0"/>
        <w:pageBreakBefore w:val="0"/>
        <w:widowControl w:val="0"/>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S=q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 xml:space="preserve"> + 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 xml:space="preserve"> + … + 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≥1     ……………①</w:t>
      </w:r>
    </w:p>
    <w:p>
      <w:pPr>
        <w:keepNext w:val="0"/>
        <w:keepLines w:val="0"/>
        <w:pageBreakBefore w:val="0"/>
        <w:widowControl w:val="0"/>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式中：</w:t>
      </w:r>
    </w:p>
    <w:p>
      <w:pPr>
        <w:keepNext w:val="0"/>
        <w:keepLines w:val="0"/>
        <w:pageBreakBefore w:val="0"/>
        <w:widowControl w:val="0"/>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S—辨识指标；</w:t>
      </w:r>
    </w:p>
    <w:p>
      <w:pPr>
        <w:keepNext w:val="0"/>
        <w:keepLines w:val="0"/>
        <w:pageBreakBefore w:val="0"/>
        <w:widowControl w:val="0"/>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—每种危险化学品实际存在量，单位为t；</w:t>
      </w:r>
    </w:p>
    <w:p>
      <w:pPr>
        <w:keepNext w:val="0"/>
        <w:keepLines w:val="0"/>
        <w:pageBreakBefore w:val="0"/>
        <w:widowControl w:val="0"/>
        <w:bidi w:val="0"/>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1</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2</w:t>
      </w:r>
      <w:r>
        <w:rPr>
          <w:rFonts w:hint="default" w:ascii="Times New Roman" w:hAnsi="Times New Roman" w:cs="Times New Roman"/>
          <w:color w:val="000000"/>
          <w:sz w:val="28"/>
          <w:szCs w:val="28"/>
        </w:rPr>
        <w:t>，…，Q</w:t>
      </w:r>
      <w:r>
        <w:rPr>
          <w:rFonts w:hint="default" w:ascii="Times New Roman" w:hAnsi="Times New Roman" w:cs="Times New Roman"/>
          <w:color w:val="000000"/>
          <w:sz w:val="28"/>
          <w:szCs w:val="28"/>
          <w:vertAlign w:val="subscript"/>
        </w:rPr>
        <w:t>n</w:t>
      </w:r>
      <w:r>
        <w:rPr>
          <w:rFonts w:hint="default" w:ascii="Times New Roman" w:hAnsi="Times New Roman" w:cs="Times New Roman"/>
          <w:color w:val="000000"/>
          <w:sz w:val="28"/>
          <w:szCs w:val="28"/>
        </w:rPr>
        <w:t xml:space="preserve"> —与各危险化学品相对应的临界量，单位为t。</w:t>
      </w:r>
    </w:p>
    <w:p>
      <w:pPr>
        <w:keepNext/>
        <w:keepLines/>
        <w:adjustRightInd w:val="0"/>
        <w:snapToGrid w:val="0"/>
        <w:spacing w:line="360" w:lineRule="auto"/>
        <w:outlineLvl w:val="2"/>
        <w:rPr>
          <w:rFonts w:eastAsia="黑体"/>
          <w:bCs/>
          <w:snapToGrid w:val="0"/>
          <w:kern w:val="0"/>
          <w:sz w:val="28"/>
          <w:szCs w:val="28"/>
        </w:rPr>
      </w:pPr>
      <w:r>
        <w:rPr>
          <w:rFonts w:hint="eastAsia" w:eastAsia="黑体"/>
          <w:bCs/>
          <w:snapToGrid w:val="0"/>
          <w:kern w:val="0"/>
          <w:sz w:val="28"/>
          <w:szCs w:val="28"/>
        </w:rPr>
        <w:t>3.6.2 重大危险源辨识过程</w:t>
      </w:r>
    </w:p>
    <w:p>
      <w:pPr>
        <w:adjustRightInd w:val="0"/>
        <w:snapToGrid w:val="0"/>
        <w:spacing w:line="360" w:lineRule="auto"/>
        <w:ind w:firstLine="560" w:firstLineChars="200"/>
        <w:rPr>
          <w:rFonts w:hint="eastAsia"/>
          <w:sz w:val="28"/>
          <w:szCs w:val="28"/>
        </w:rPr>
      </w:pPr>
      <w:r>
        <w:rPr>
          <w:rFonts w:hint="eastAsia"/>
          <w:sz w:val="28"/>
          <w:szCs w:val="28"/>
          <w:lang w:eastAsia="zh-CN"/>
        </w:rPr>
        <w:t>胜利油田康贝油气工程有限公司</w:t>
      </w:r>
      <w:r>
        <w:rPr>
          <w:rFonts w:hint="eastAsia"/>
          <w:sz w:val="28"/>
          <w:szCs w:val="28"/>
        </w:rPr>
        <w:t>施工队，流动性很大，无固定的作业场所，从事的井下作业（小修作业、大修作业、</w:t>
      </w:r>
      <w:r>
        <w:rPr>
          <w:rFonts w:hint="eastAsia"/>
          <w:sz w:val="28"/>
          <w:szCs w:val="28"/>
          <w:lang w:val="en-US" w:eastAsia="zh-CN"/>
        </w:rPr>
        <w:t>侧钻、</w:t>
      </w:r>
      <w:r>
        <w:rPr>
          <w:rFonts w:hint="eastAsia"/>
          <w:sz w:val="28"/>
          <w:szCs w:val="28"/>
          <w:lang w:eastAsia="zh-CN"/>
        </w:rPr>
        <w:t>连续油管</w:t>
      </w:r>
      <w:r>
        <w:rPr>
          <w:rFonts w:hint="eastAsia"/>
          <w:sz w:val="28"/>
          <w:szCs w:val="28"/>
        </w:rPr>
        <w:t>作业、防砂、</w:t>
      </w:r>
      <w:r>
        <w:rPr>
          <w:rFonts w:hint="eastAsia"/>
          <w:sz w:val="28"/>
          <w:szCs w:val="28"/>
          <w:lang w:eastAsia="zh-CN"/>
        </w:rPr>
        <w:t>堵水/调剖</w:t>
      </w:r>
      <w:r>
        <w:rPr>
          <w:rFonts w:hint="eastAsia"/>
          <w:sz w:val="28"/>
          <w:szCs w:val="28"/>
        </w:rPr>
        <w:t>、特殊工艺技术服务（套管补贴</w:t>
      </w:r>
      <w:r>
        <w:rPr>
          <w:rFonts w:hint="eastAsia"/>
          <w:sz w:val="28"/>
          <w:szCs w:val="28"/>
          <w:lang w:eastAsia="zh-CN"/>
        </w:rPr>
        <w:t>）</w:t>
      </w:r>
      <w:r>
        <w:rPr>
          <w:rFonts w:hint="eastAsia"/>
          <w:sz w:val="28"/>
          <w:szCs w:val="28"/>
        </w:rPr>
        <w:t>、井下复杂情况处理（打捞、堵漏）、现场试压）过程中不存在危险化学物质的生产，储存。</w:t>
      </w:r>
    </w:p>
    <w:p>
      <w:pPr>
        <w:adjustRightInd w:val="0"/>
        <w:snapToGrid w:val="0"/>
        <w:spacing w:line="360" w:lineRule="auto"/>
        <w:ind w:firstLine="560" w:firstLineChars="200"/>
        <w:rPr>
          <w:rFonts w:hint="default" w:eastAsia="宋体"/>
          <w:sz w:val="28"/>
          <w:szCs w:val="28"/>
          <w:lang w:val="en-US" w:eastAsia="zh-CN"/>
        </w:rPr>
      </w:pPr>
      <w:r>
        <w:rPr>
          <w:rFonts w:hint="eastAsia"/>
          <w:sz w:val="28"/>
          <w:szCs w:val="28"/>
          <w:lang w:val="en-US" w:eastAsia="zh-CN"/>
        </w:rPr>
        <w:t>井下作业过程中涉及危险物质柴油，现场不设储存设施。</w:t>
      </w:r>
    </w:p>
    <w:p>
      <w:pPr>
        <w:adjustRightInd w:val="0"/>
        <w:snapToGrid w:val="0"/>
        <w:spacing w:line="360" w:lineRule="auto"/>
        <w:ind w:firstLine="560" w:firstLineChars="200"/>
        <w:rPr>
          <w:rFonts w:hint="default" w:eastAsia="宋体"/>
          <w:sz w:val="28"/>
          <w:szCs w:val="28"/>
          <w:lang w:val="en-US" w:eastAsia="zh-CN"/>
        </w:rPr>
      </w:pPr>
      <w:r>
        <w:rPr>
          <w:rFonts w:hint="eastAsia"/>
          <w:sz w:val="28"/>
          <w:szCs w:val="28"/>
        </w:rPr>
        <w:t>酸化</w:t>
      </w:r>
      <w:r>
        <w:rPr>
          <w:rFonts w:hint="eastAsia"/>
          <w:sz w:val="28"/>
          <w:szCs w:val="28"/>
          <w:lang w:val="en-US" w:eastAsia="zh-CN"/>
        </w:rPr>
        <w:t>施工过程中根据岩层性质使用盐酸、复合酸，复合酸中含有极少量氢氟酸，浓度不超过2%-3%，复合酸最大使用量26t左右，假设比例最大情况下，氢氟酸质量为0.78t。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8"/>
          <w:szCs w:val="28"/>
        </w:rPr>
      </w:pPr>
      <w:r>
        <w:rPr>
          <w:rFonts w:hint="eastAsia"/>
          <w:b/>
          <w:bCs/>
          <w:color w:val="000000"/>
          <w:sz w:val="21"/>
          <w:szCs w:val="21"/>
        </w:rPr>
        <w:t>表3-</w:t>
      </w:r>
      <w:r>
        <w:rPr>
          <w:rFonts w:hint="eastAsia"/>
          <w:b/>
          <w:bCs/>
          <w:color w:val="000000"/>
          <w:sz w:val="21"/>
          <w:szCs w:val="21"/>
          <w:lang w:val="en-US" w:eastAsia="zh-CN"/>
        </w:rPr>
        <w:t xml:space="preserve">9 </w:t>
      </w:r>
      <w:r>
        <w:rPr>
          <w:rFonts w:hint="eastAsia"/>
          <w:b/>
          <w:bCs/>
          <w:color w:val="000000"/>
          <w:sz w:val="21"/>
          <w:szCs w:val="21"/>
        </w:rPr>
        <w:t xml:space="preserve"> 重大危险源辨识过程</w:t>
      </w:r>
    </w:p>
    <w:tbl>
      <w:tblPr>
        <w:tblStyle w:val="53"/>
        <w:tblW w:w="85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5"/>
        <w:gridCol w:w="954"/>
        <w:gridCol w:w="1625"/>
        <w:gridCol w:w="1561"/>
        <w:gridCol w:w="1192"/>
        <w:gridCol w:w="1416"/>
        <w:gridCol w:w="11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9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序号</w:t>
            </w:r>
          </w:p>
        </w:tc>
        <w:tc>
          <w:tcPr>
            <w:tcW w:w="954"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危险化学品名称</w:t>
            </w:r>
          </w:p>
        </w:tc>
        <w:tc>
          <w:tcPr>
            <w:tcW w:w="16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使用单位</w:t>
            </w:r>
          </w:p>
        </w:tc>
        <w:tc>
          <w:tcPr>
            <w:tcW w:w="156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数量</w:t>
            </w:r>
          </w:p>
        </w:tc>
        <w:tc>
          <w:tcPr>
            <w:tcW w:w="119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临界量</w:t>
            </w:r>
          </w:p>
        </w:tc>
        <w:tc>
          <w:tcPr>
            <w:tcW w:w="1416"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eastAsia"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S=q1/Q1</w:t>
            </w:r>
          </w:p>
        </w:tc>
        <w:tc>
          <w:tcPr>
            <w:tcW w:w="1179"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000000"/>
                <w:kern w:val="2"/>
                <w:sz w:val="21"/>
                <w:szCs w:val="21"/>
                <w:vertAlign w:val="baseline"/>
                <w:lang w:val="en-US" w:eastAsia="zh-CN" w:bidi="ar-SA"/>
              </w:rPr>
            </w:pPr>
            <w:r>
              <w:rPr>
                <w:rFonts w:hint="eastAsia" w:ascii="Times New Roman" w:hAnsi="Times New Roman" w:eastAsia="宋体" w:cs="Times New Roman"/>
                <w:b/>
                <w:bCs/>
                <w:color w:val="000000"/>
                <w:kern w:val="2"/>
                <w:sz w:val="21"/>
                <w:szCs w:val="21"/>
                <w:vertAlign w:val="baseline"/>
                <w:lang w:val="en-US" w:eastAsia="zh-CN" w:bidi="ar-SA"/>
              </w:rPr>
              <w:t>是否重大危险源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59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1</w:t>
            </w:r>
          </w:p>
        </w:tc>
        <w:tc>
          <w:tcPr>
            <w:tcW w:w="954"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氢氟酸</w:t>
            </w:r>
          </w:p>
        </w:tc>
        <w:tc>
          <w:tcPr>
            <w:tcW w:w="1625"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技术服务队</w:t>
            </w:r>
          </w:p>
        </w:tc>
        <w:tc>
          <w:tcPr>
            <w:tcW w:w="1561"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cs="Times New Roman"/>
                <w:color w:val="000000"/>
                <w:kern w:val="2"/>
                <w:sz w:val="21"/>
                <w:szCs w:val="21"/>
                <w:vertAlign w:val="baseline"/>
                <w:lang w:val="en-US" w:eastAsia="zh-CN" w:bidi="ar-SA"/>
              </w:rPr>
              <w:t>0.78</w:t>
            </w:r>
            <w:r>
              <w:rPr>
                <w:rFonts w:hint="eastAsia" w:ascii="Times New Roman" w:hAnsi="Times New Roman" w:eastAsia="宋体" w:cs="Times New Roman"/>
                <w:color w:val="000000"/>
                <w:kern w:val="2"/>
                <w:sz w:val="21"/>
                <w:szCs w:val="21"/>
                <w:vertAlign w:val="baseline"/>
                <w:lang w:val="en-US" w:eastAsia="zh-CN" w:bidi="ar-SA"/>
              </w:rPr>
              <w:t>t</w:t>
            </w:r>
          </w:p>
        </w:tc>
        <w:tc>
          <w:tcPr>
            <w:tcW w:w="1192"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50t</w:t>
            </w:r>
          </w:p>
        </w:tc>
        <w:tc>
          <w:tcPr>
            <w:tcW w:w="1416"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S=</w:t>
            </w:r>
            <w:r>
              <w:rPr>
                <w:rFonts w:hint="eastAsia" w:cs="Times New Roman"/>
                <w:color w:val="000000"/>
                <w:kern w:val="2"/>
                <w:sz w:val="21"/>
                <w:szCs w:val="21"/>
                <w:vertAlign w:val="baseline"/>
                <w:lang w:val="en-US" w:eastAsia="zh-CN" w:bidi="ar-SA"/>
              </w:rPr>
              <w:t>0.78</w:t>
            </w:r>
            <w:r>
              <w:rPr>
                <w:rFonts w:hint="eastAsia" w:ascii="Times New Roman" w:hAnsi="Times New Roman" w:eastAsia="宋体" w:cs="Times New Roman"/>
                <w:color w:val="000000"/>
                <w:kern w:val="2"/>
                <w:sz w:val="21"/>
                <w:szCs w:val="21"/>
                <w:vertAlign w:val="baseline"/>
                <w:lang w:val="en-US" w:eastAsia="zh-CN" w:bidi="ar-SA"/>
              </w:rPr>
              <w:t>/50&lt;1</w:t>
            </w:r>
          </w:p>
        </w:tc>
        <w:tc>
          <w:tcPr>
            <w:tcW w:w="1179" w:type="dxa"/>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ascii="Times New Roman" w:hAnsi="Times New Roman" w:eastAsia="宋体" w:cs="Times New Roman"/>
                <w:color w:val="000000"/>
                <w:kern w:val="2"/>
                <w:sz w:val="21"/>
                <w:szCs w:val="21"/>
                <w:vertAlign w:val="baseline"/>
                <w:lang w:val="en-US" w:eastAsia="zh-CN" w:bidi="ar-SA"/>
              </w:rPr>
            </w:pPr>
            <w:r>
              <w:rPr>
                <w:rFonts w:hint="eastAsia" w:ascii="Times New Roman" w:hAnsi="Times New Roman" w:eastAsia="宋体" w:cs="Times New Roman"/>
                <w:color w:val="000000"/>
                <w:kern w:val="2"/>
                <w:sz w:val="21"/>
                <w:szCs w:val="21"/>
                <w:vertAlign w:val="baseline"/>
                <w:lang w:val="en-US" w:eastAsia="zh-CN" w:bidi="ar-SA"/>
              </w:rPr>
              <w:t>否</w:t>
            </w:r>
          </w:p>
        </w:tc>
      </w:tr>
    </w:tbl>
    <w:p>
      <w:pPr>
        <w:keepNext/>
        <w:keepLines/>
        <w:pageBreakBefore w:val="0"/>
        <w:widowControl w:val="0"/>
        <w:kinsoku/>
        <w:wordWrap/>
        <w:overflowPunct/>
        <w:topLinePunct w:val="0"/>
        <w:autoSpaceDE/>
        <w:autoSpaceDN/>
        <w:bidi w:val="0"/>
        <w:adjustRightInd w:val="0"/>
        <w:snapToGrid w:val="0"/>
        <w:spacing w:before="313" w:beforeLines="100" w:line="360" w:lineRule="auto"/>
        <w:textAlignment w:val="auto"/>
        <w:outlineLvl w:val="2"/>
        <w:rPr>
          <w:rFonts w:eastAsia="黑体"/>
          <w:bCs/>
          <w:snapToGrid w:val="0"/>
          <w:kern w:val="0"/>
          <w:sz w:val="28"/>
          <w:szCs w:val="28"/>
        </w:rPr>
      </w:pPr>
      <w:r>
        <w:rPr>
          <w:rFonts w:hint="eastAsia" w:eastAsia="黑体"/>
          <w:bCs/>
          <w:snapToGrid w:val="0"/>
          <w:kern w:val="0"/>
          <w:sz w:val="28"/>
          <w:szCs w:val="28"/>
        </w:rPr>
        <w:t>3.6.3 重大危险源辨识结果</w:t>
      </w:r>
    </w:p>
    <w:p>
      <w:pPr>
        <w:adjustRightInd w:val="0"/>
        <w:snapToGrid w:val="0"/>
        <w:spacing w:line="360" w:lineRule="auto"/>
        <w:ind w:firstLine="560" w:firstLineChars="200"/>
        <w:rPr>
          <w:sz w:val="28"/>
          <w:szCs w:val="28"/>
        </w:rPr>
      </w:pPr>
      <w:r>
        <w:rPr>
          <w:rFonts w:hint="eastAsia"/>
          <w:sz w:val="28"/>
          <w:szCs w:val="28"/>
        </w:rPr>
        <w:t>根据《危险化学品重大危险源辨识》（GB18218-2018）的有关规定，进行危险化学品重大危险源辨识可知：</w:t>
      </w:r>
    </w:p>
    <w:p>
      <w:pPr>
        <w:adjustRightInd w:val="0"/>
        <w:snapToGrid w:val="0"/>
        <w:spacing w:line="360" w:lineRule="auto"/>
        <w:ind w:firstLine="560" w:firstLineChars="200"/>
        <w:rPr>
          <w:sz w:val="28"/>
          <w:szCs w:val="28"/>
        </w:rPr>
      </w:pPr>
      <w:r>
        <w:rPr>
          <w:rFonts w:hint="eastAsia"/>
          <w:sz w:val="28"/>
          <w:szCs w:val="28"/>
          <w:lang w:eastAsia="zh-CN"/>
        </w:rPr>
        <w:t>胜利油田康贝油气工程有限公司</w:t>
      </w:r>
      <w:r>
        <w:rPr>
          <w:rFonts w:hint="eastAsia"/>
          <w:sz w:val="28"/>
          <w:szCs w:val="28"/>
        </w:rPr>
        <w:t>井下作业（小修作业、大修作业、</w:t>
      </w:r>
      <w:r>
        <w:rPr>
          <w:rFonts w:hint="eastAsia"/>
          <w:sz w:val="28"/>
          <w:szCs w:val="28"/>
          <w:lang w:val="en-US" w:eastAsia="zh-CN"/>
        </w:rPr>
        <w:t>侧钻、</w:t>
      </w:r>
      <w:r>
        <w:rPr>
          <w:rFonts w:hint="eastAsia"/>
          <w:sz w:val="28"/>
          <w:szCs w:val="28"/>
          <w:lang w:eastAsia="zh-CN"/>
        </w:rPr>
        <w:t>连续油管</w:t>
      </w:r>
      <w:r>
        <w:rPr>
          <w:rFonts w:hint="eastAsia"/>
          <w:sz w:val="28"/>
          <w:szCs w:val="28"/>
        </w:rPr>
        <w:t>作业、酸化、防砂、</w:t>
      </w:r>
      <w:r>
        <w:rPr>
          <w:rFonts w:hint="eastAsia"/>
          <w:sz w:val="28"/>
          <w:szCs w:val="28"/>
          <w:lang w:eastAsia="zh-CN"/>
        </w:rPr>
        <w:t>堵水/调剖</w:t>
      </w:r>
      <w:r>
        <w:rPr>
          <w:rFonts w:hint="eastAsia"/>
          <w:sz w:val="28"/>
          <w:szCs w:val="28"/>
        </w:rPr>
        <w:t>、特殊工艺技术服务（套管补贴</w:t>
      </w:r>
      <w:r>
        <w:rPr>
          <w:rFonts w:hint="eastAsia"/>
          <w:sz w:val="28"/>
          <w:szCs w:val="28"/>
          <w:lang w:eastAsia="zh-CN"/>
        </w:rPr>
        <w:t>）</w:t>
      </w:r>
      <w:r>
        <w:rPr>
          <w:rFonts w:hint="eastAsia"/>
          <w:sz w:val="28"/>
          <w:szCs w:val="28"/>
        </w:rPr>
        <w:t>、井下复杂情况处理（打捞、堵漏）、现场试压）项目未构成危险化学品重大危险源。</w:t>
      </w:r>
    </w:p>
    <w:p>
      <w:pPr>
        <w:pStyle w:val="4"/>
        <w:adjustRightInd w:val="0"/>
        <w:snapToGrid w:val="0"/>
        <w:spacing w:before="0" w:after="0" w:line="360" w:lineRule="auto"/>
        <w:rPr>
          <w:rFonts w:hint="eastAsia" w:ascii="Times New Roman" w:hAnsi="Times New Roman"/>
          <w:b w:val="0"/>
          <w:bCs/>
          <w:szCs w:val="32"/>
          <w:lang w:val="en-US" w:eastAsia="zh-CN"/>
        </w:rPr>
      </w:pPr>
      <w:bookmarkStart w:id="81" w:name="_Toc24617"/>
      <w:bookmarkStart w:id="82" w:name="_Toc27234"/>
      <w:bookmarkStart w:id="83" w:name="_Toc447782521"/>
      <w:bookmarkStart w:id="84" w:name="_Toc281310745"/>
      <w:bookmarkStart w:id="85" w:name="_Toc329433803"/>
      <w:r>
        <w:rPr>
          <w:rFonts w:hint="eastAsia" w:ascii="Times New Roman" w:hAnsi="Times New Roman"/>
          <w:b w:val="0"/>
          <w:bCs/>
          <w:szCs w:val="32"/>
        </w:rPr>
        <w:t xml:space="preserve">3.7 </w:t>
      </w:r>
      <w:r>
        <w:rPr>
          <w:rFonts w:hint="eastAsia" w:ascii="Times New Roman" w:hAnsi="Times New Roman"/>
          <w:b w:val="0"/>
          <w:bCs/>
          <w:szCs w:val="32"/>
          <w:lang w:eastAsia="zh-CN"/>
        </w:rPr>
        <w:t>事故案例分析</w:t>
      </w:r>
      <w:bookmarkEnd w:id="81"/>
      <w:bookmarkEnd w:id="82"/>
    </w:p>
    <w:p>
      <w:pPr>
        <w:keepNext w:val="0"/>
        <w:keepLines w:val="0"/>
        <w:pageBreakBefore w:val="0"/>
        <w:widowControl w:val="0"/>
        <w:bidi w:val="0"/>
        <w:adjustRightInd w:val="0"/>
        <w:snapToGrid w:val="0"/>
        <w:spacing w:line="360" w:lineRule="auto"/>
        <w:outlineLvl w:val="2"/>
        <w:rPr>
          <w:rFonts w:hint="default" w:ascii="Times New Roman" w:hAnsi="Times New Roman" w:eastAsia="黑体" w:cs="Times New Roman"/>
          <w:bCs/>
          <w:snapToGrid w:val="0"/>
          <w:color w:val="000000" w:themeColor="text1"/>
          <w:kern w:val="0"/>
          <w:sz w:val="28"/>
          <w:szCs w:val="28"/>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w:t>
      </w:r>
      <w:r>
        <w:rPr>
          <w:rFonts w:hint="default"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7</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w:t>
      </w:r>
      <w:r>
        <w:rPr>
          <w:rFonts w:hint="default"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1</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 xml:space="preserve"> </w:t>
      </w:r>
      <w:bookmarkStart w:id="86" w:name="bookmark2"/>
      <w:bookmarkStart w:id="87" w:name="bookmark0"/>
      <w:bookmarkStart w:id="88" w:name="bookmark1"/>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起油管突发井喷爆燃死亡事故</w:t>
      </w:r>
      <w:bookmarkEnd w:id="86"/>
      <w:bookmarkEnd w:id="87"/>
      <w:bookmarkEnd w:id="88"/>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r>
        <w:rPr>
          <w:rFonts w:hint="default"/>
        </w:rPr>
        <w:t>一、事故经过</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r>
        <w:rPr>
          <w:rFonts w:hint="default"/>
        </w:rPr>
        <w:t>某年5月13</w:t>
      </w:r>
      <w:r>
        <w:rPr>
          <w:rFonts w:hint="eastAsia"/>
          <w:lang w:val="en-US" w:eastAsia="zh-CN"/>
        </w:rPr>
        <w:t>号</w:t>
      </w:r>
      <w:r>
        <w:rPr>
          <w:rFonts w:hint="eastAsia"/>
          <w:lang w:eastAsia="zh-CN"/>
        </w:rPr>
        <w:t>，</w:t>
      </w:r>
      <w:r>
        <w:rPr>
          <w:rFonts w:hint="default"/>
        </w:rPr>
        <w:t>某作业队在某井进行起油管作业施工。当起岀油管时，油套环形空间溢流出水。队长当即通知当班人员安装井口，做压井准备。5月14日0:10</w:t>
      </w:r>
      <w:r>
        <w:rPr>
          <w:rFonts w:hint="eastAsia"/>
          <w:lang w:eastAsia="zh-CN"/>
        </w:rPr>
        <w:t>，</w:t>
      </w:r>
      <w:r>
        <w:rPr>
          <w:rFonts w:hint="default"/>
        </w:rPr>
        <w:t>在安装井口过程中，井口突然涌岀油气水混合物，井场突然发生爆燃。现场施工人员被烧伤致死，一名当地村民被烧伤。</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r>
        <w:rPr>
          <w:rFonts w:hint="default"/>
        </w:rPr>
        <w:t>二、事故原因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r>
        <w:rPr>
          <w:rFonts w:hint="default"/>
        </w:rPr>
        <w:t>1、直接原因：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bookmarkStart w:id="89" w:name="bookmark3"/>
      <w:bookmarkEnd w:id="89"/>
      <w:r>
        <w:rPr>
          <w:rFonts w:hint="default"/>
        </w:rPr>
        <w:t>在起油管过程中，未按照施工设计要求安装防喷器，未向井筒灌注合适的压井液，使井内喷出物中天然气遇到修井机高温刹车片引起爆燃，是导致事故发生的直接原因。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bookmarkStart w:id="90" w:name="bookmark4"/>
      <w:bookmarkEnd w:id="90"/>
      <w:r>
        <w:rPr>
          <w:rFonts w:hint="default"/>
        </w:rPr>
        <w:t>村民在井场周围强行建房、在施工现场 强行拾落地油，是导致事故受伤人员增加的直接原因。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r>
        <w:rPr>
          <w:rFonts w:hint="default"/>
          <w:lang w:val="zh-CN" w:eastAsia="zh-CN"/>
        </w:rPr>
        <w:t>2、</w:t>
      </w:r>
      <w:r>
        <w:rPr>
          <w:rFonts w:hint="default"/>
        </w:rPr>
        <w:t>间接原因：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bookmarkStart w:id="91" w:name="bookmark5"/>
      <w:bookmarkEnd w:id="91"/>
      <w:r>
        <w:rPr>
          <w:rFonts w:hint="default"/>
        </w:rPr>
        <w:t>作业开工验收不合格，没有及时纠正未装防喷器的违章行为；制定的应急预案缺乏针对性，预见性不强；应急处置不当，当高含天然气的油气混合物喷出时，在没有安全保障条件下抢井口是导致事故发生的主要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rPr>
      </w:pPr>
      <w:bookmarkStart w:id="92" w:name="bookmark6"/>
      <w:bookmarkEnd w:id="92"/>
      <w:r>
        <w:rPr>
          <w:rFonts w:hint="default"/>
        </w:rPr>
        <w:t>地质设计没有提供本井原始底层压力、油气比、产气量等数据；工程设计没有提出动管柱前洗井工序；没有给施工单位提供符合安全条件的主要场所，开工验收关不严，是导致事故发生的重要原因。</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bookmarkStart w:id="93" w:name="bookmark7"/>
      <w:bookmarkEnd w:id="93"/>
      <w:r>
        <w:rPr>
          <w:rFonts w:hint="default"/>
        </w:rPr>
        <w:t>职能部门及主管领导监督管理存在一定薄弱环节，对作业场所监督不到位，对各项井控、防火防爆制度、标准、规程落实不力，是导致事故发生的原因之一</w:t>
      </w:r>
      <w:r>
        <w:rPr>
          <w:rFonts w:hint="eastAsia"/>
          <w:lang w:eastAsia="zh-CN"/>
        </w:rPr>
        <w:t>。</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r>
        <w:rPr>
          <w:rFonts w:hint="eastAsia"/>
          <w:lang w:eastAsia="zh-CN"/>
        </w:rPr>
        <w:t>三、防范措施</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bookmarkStart w:id="94" w:name="bookmark8"/>
      <w:r>
        <w:rPr>
          <w:rFonts w:hint="eastAsia"/>
          <w:lang w:eastAsia="zh-CN"/>
        </w:rPr>
        <w:t>1</w:t>
      </w:r>
      <w:bookmarkEnd w:id="94"/>
      <w:r>
        <w:rPr>
          <w:rFonts w:hint="eastAsia"/>
          <w:lang w:eastAsia="zh-CN"/>
        </w:rPr>
        <w:t>、甲方单位作业监督应严格按照《井下作业井控管理规定》进行开工把关验收；地质方案设计审批应严格把关，在设计中不能留下隐患。</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bookmarkStart w:id="95" w:name="bookmark9"/>
      <w:r>
        <w:rPr>
          <w:rFonts w:hint="eastAsia"/>
          <w:lang w:eastAsia="zh-CN"/>
        </w:rPr>
        <w:t>2</w:t>
      </w:r>
      <w:bookmarkEnd w:id="95"/>
      <w:r>
        <w:rPr>
          <w:rFonts w:hint="eastAsia"/>
          <w:lang w:eastAsia="zh-CN"/>
        </w:rPr>
        <w:t>、施工作业单位应落实井控责任制，应对各项井控、防火防爆制度、标准、规程加强落实应向井筒内灌注适合的压井液。</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eastAsia="zh-CN"/>
        </w:rPr>
      </w:pPr>
      <w:bookmarkStart w:id="96" w:name="bookmark10"/>
      <w:r>
        <w:rPr>
          <w:rFonts w:hint="eastAsia"/>
          <w:lang w:eastAsia="zh-CN"/>
        </w:rPr>
        <w:t>3</w:t>
      </w:r>
      <w:bookmarkEnd w:id="96"/>
      <w:r>
        <w:rPr>
          <w:rFonts w:hint="eastAsia"/>
          <w:lang w:eastAsia="zh-CN"/>
        </w:rPr>
        <w:t>、企业应对作业井控进行安全管理。要从井控设 计、现场设备安装验收、施工过程严格控制欲监督、紧急情况下应处置等各环节都不得存在 缺陷和问题，时刻给我们的安全作业敲响警钟。</w:t>
      </w:r>
    </w:p>
    <w:p>
      <w:pPr>
        <w:keepNext w:val="0"/>
        <w:keepLines w:val="0"/>
        <w:pageBreakBefore w:val="0"/>
        <w:widowControl w:val="0"/>
        <w:bidi w:val="0"/>
        <w:adjustRightInd w:val="0"/>
        <w:snapToGrid w:val="0"/>
        <w:spacing w:line="360" w:lineRule="auto"/>
        <w:outlineLvl w:val="2"/>
        <w:rPr>
          <w:rFonts w:hint="default" w:ascii="Times New Roman" w:hAnsi="Times New Roman" w:eastAsia="黑体" w:cs="Times New Roman"/>
          <w:bCs/>
          <w:snapToGrid w:val="0"/>
          <w:color w:val="000000" w:themeColor="text1"/>
          <w:kern w:val="0"/>
          <w:sz w:val="28"/>
          <w:szCs w:val="28"/>
          <w:lang w:eastAsia="zh-CN"/>
          <w14:textFill>
            <w14:solidFill>
              <w14:schemeClr w14:val="tx1"/>
            </w14:solidFill>
          </w14:textFill>
        </w:rPr>
      </w:pP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3.</w:t>
      </w:r>
      <w:r>
        <w:rPr>
          <w:rFonts w:hint="default"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7</w:t>
      </w:r>
      <w:r>
        <w:rPr>
          <w:rFonts w:hint="default" w:ascii="Times New Roman" w:hAnsi="Times New Roman" w:eastAsia="黑体" w:cs="Times New Roman"/>
          <w:bCs/>
          <w:snapToGrid w:val="0"/>
          <w:color w:val="000000" w:themeColor="text1"/>
          <w:kern w:val="0"/>
          <w:sz w:val="28"/>
          <w:szCs w:val="28"/>
          <w14:textFill>
            <w14:solidFill>
              <w14:schemeClr w14:val="tx1"/>
            </w14:solidFill>
          </w14:textFill>
        </w:rPr>
        <w:t>.</w:t>
      </w:r>
      <w:r>
        <w:rPr>
          <w:rFonts w:hint="default" w:ascii="Times New Roman" w:hAnsi="Times New Roman" w:eastAsia="黑体" w:cs="Times New Roman"/>
          <w:bCs/>
          <w:snapToGrid w:val="0"/>
          <w:color w:val="000000" w:themeColor="text1"/>
          <w:kern w:val="0"/>
          <w:sz w:val="28"/>
          <w:szCs w:val="28"/>
          <w:lang w:val="en-US" w:eastAsia="zh-CN"/>
          <w14:textFill>
            <w14:solidFill>
              <w14:schemeClr w14:val="tx1"/>
            </w14:solidFill>
          </w14:textFill>
        </w:rPr>
        <w:t>2</w:t>
      </w:r>
      <w:r>
        <w:rPr>
          <w:rFonts w:hint="eastAsia" w:eastAsia="黑体" w:cs="Times New Roman"/>
          <w:bCs/>
          <w:snapToGrid w:val="0"/>
          <w:color w:val="000000" w:themeColor="text1"/>
          <w:kern w:val="0"/>
          <w:sz w:val="28"/>
          <w:szCs w:val="28"/>
          <w:lang w:val="en-US" w:eastAsia="zh-CN"/>
          <w14:textFill>
            <w14:solidFill>
              <w14:schemeClr w14:val="tx1"/>
            </w14:solidFill>
          </w14:textFill>
        </w:rPr>
        <w:t xml:space="preserve"> </w:t>
      </w:r>
      <w:r>
        <w:rPr>
          <w:rFonts w:hint="default" w:ascii="Times New Roman" w:hAnsi="Times New Roman" w:eastAsia="黑体" w:cs="Times New Roman"/>
          <w:bCs/>
          <w:snapToGrid w:val="0"/>
          <w:color w:val="000000" w:themeColor="text1"/>
          <w:kern w:val="0"/>
          <w:sz w:val="28"/>
          <w:szCs w:val="28"/>
          <w:lang w:eastAsia="zh-CN"/>
          <w14:textFill>
            <w14:solidFill>
              <w14:schemeClr w14:val="tx1"/>
            </w14:solidFill>
          </w14:textFill>
        </w:rPr>
        <w:t>井架倒塌伤亡事故</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rPr>
        <w:t>一、事故经过</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rPr>
      </w:pPr>
      <w:bookmarkStart w:id="97" w:name="bookmark12"/>
      <w:bookmarkEnd w:id="97"/>
      <w:r>
        <w:rPr>
          <w:rFonts w:hint="eastAsia"/>
        </w:rPr>
        <w:t>1991年5月某日技校实习队在某井穿大绳施工；在立井架时右前绷绳缺一地锚，在没有采取如何安全措施的情况下带班干部周某组织穿大绳，井架工李某系好安全带并按要求固定好。搬家时游动滑车放到离井口一侧约2米左右，将大绳从天车上引下大绳后，用单股大绳拴在游动滑车吊耳处</w:t>
      </w:r>
      <w:r>
        <w:rPr>
          <w:rFonts w:hint="eastAsia"/>
          <w:lang w:eastAsia="zh-CN"/>
        </w:rPr>
        <w:t>，</w:t>
      </w:r>
      <w:r>
        <w:rPr>
          <w:rFonts w:hint="eastAsia"/>
        </w:rPr>
        <w:t>将游动滑车吊起放到离井口近一点，在吊起游动滑车时，由于井架右前绷绳缺一地锚，井架受力不均，井架突然向左侧倾斜导致井架倒塌事故，井架工从井架甩出，送往医院经抢救无效死亡。</w:t>
      </w:r>
    </w:p>
    <w:p>
      <w:pPr>
        <w:pStyle w:val="2"/>
        <w:keepNext w:val="0"/>
        <w:keepLines w:val="0"/>
        <w:pageBreakBefore w:val="0"/>
        <w:widowControl w:val="0"/>
        <w:numPr>
          <w:ilvl w:val="0"/>
          <w:numId w:val="25"/>
        </w:numPr>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rPr>
        <w:t>事故原因</w:t>
      </w:r>
    </w:p>
    <w:p>
      <w:pPr>
        <w:pStyle w:val="2"/>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firstLine="560" w:firstLineChars="200"/>
        <w:jc w:val="both"/>
        <w:textAlignment w:val="auto"/>
        <w:rPr>
          <w:rFonts w:hint="eastAsia"/>
          <w:lang w:eastAsia="zh-CN"/>
        </w:rPr>
      </w:pPr>
      <w:r>
        <w:rPr>
          <w:rFonts w:hint="eastAsia"/>
        </w:rPr>
        <w:t>安装队立起井架后带班干部明知道井架右前绷绳缺一地锚，在没有采取任何安全措施的情况下组织施工，是造成事故的直接原因</w:t>
      </w:r>
      <w:bookmarkStart w:id="98" w:name="bookmark14"/>
      <w:bookmarkEnd w:id="98"/>
      <w:r>
        <w:rPr>
          <w:rFonts w:hint="eastAsia"/>
          <w:lang w:eastAsia="zh-CN"/>
        </w:rPr>
        <w:t>。</w:t>
      </w:r>
    </w:p>
    <w:p>
      <w:pPr>
        <w:pStyle w:val="2"/>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rPr>
        <w:t>在组织施工前，带班干部没有召开安全会，没有提出穿大绳安全措施和安全注意事项，没有进行安全风险评估，盲目施工，是造成事故的主要原因。</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rPr>
      </w:pPr>
      <w:bookmarkStart w:id="99" w:name="bookmark15"/>
      <w:bookmarkEnd w:id="99"/>
      <w:r>
        <w:rPr>
          <w:rFonts w:hint="eastAsia"/>
        </w:rPr>
        <w:t>3、带班干部安全意识淡薄，作业人员没有按照《井下作业安全规范》组织施工，是造成事故的重要原因。</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rPr>
      </w:pPr>
      <w:bookmarkStart w:id="100" w:name="bookmark16"/>
      <w:bookmarkEnd w:id="100"/>
      <w:r>
        <w:rPr>
          <w:rFonts w:hint="eastAsia"/>
          <w:lang w:val="en-US" w:eastAsia="zh-CN"/>
        </w:rPr>
        <w:t>4</w:t>
      </w:r>
      <w:r>
        <w:rPr>
          <w:rFonts w:hint="eastAsia"/>
        </w:rPr>
        <w:t>、事故发生后，带班干部周某意识到事故的严重性，在交接班记录上重新补上安全会记录，死者的同学向上级领导反应了这一情况，是整个事故发生了质的变化，由正常的工业死亡事故转化为责任事故。</w:t>
      </w:r>
    </w:p>
    <w:p>
      <w:pPr>
        <w:pStyle w:val="2"/>
        <w:keepNext w:val="0"/>
        <w:keepLines w:val="0"/>
        <w:pageBreakBefore w:val="0"/>
        <w:widowControl w:val="0"/>
        <w:numPr>
          <w:ilvl w:val="0"/>
          <w:numId w:val="25"/>
        </w:numPr>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rPr>
        <w:t>防范措施</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rPr>
      </w:pPr>
      <w:r>
        <w:rPr>
          <w:rFonts w:hint="eastAsia"/>
        </w:rPr>
        <w:t>1、带班干部安全意识淡薄，作业人员应严格按安全操作规程，杜绝违章作业。</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rPr>
      </w:pPr>
      <w:bookmarkStart w:id="101" w:name="bookmark18"/>
      <w:bookmarkEnd w:id="101"/>
      <w:r>
        <w:rPr>
          <w:rFonts w:hint="eastAsia"/>
        </w:rPr>
        <w:t>2、强化安全教育培训</w:t>
      </w:r>
      <w:r>
        <w:rPr>
          <w:rFonts w:hint="eastAsia"/>
          <w:lang w:eastAsia="zh-CN"/>
        </w:rPr>
        <w:t>，</w:t>
      </w:r>
      <w:r>
        <w:rPr>
          <w:rFonts w:hint="eastAsia"/>
        </w:rPr>
        <w:t>增强现场施工人员的安全意识，提高自我保护能力。</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rPr>
      </w:pPr>
      <w:bookmarkStart w:id="102" w:name="bookmark19"/>
      <w:bookmarkEnd w:id="102"/>
      <w:r>
        <w:rPr>
          <w:rFonts w:hint="eastAsia"/>
        </w:rPr>
        <w:t>3、施工前及时召开班前安全会，提岀安全防范措施，特殊施工作业现场进行技术交底，制定安全防范措施和风险评估。</w:t>
      </w:r>
    </w:p>
    <w:p>
      <w:pPr>
        <w:pStyle w:val="4"/>
        <w:adjustRightInd w:val="0"/>
        <w:snapToGrid w:val="0"/>
        <w:spacing w:before="0" w:after="0" w:line="360" w:lineRule="auto"/>
        <w:rPr>
          <w:rFonts w:ascii="Times New Roman" w:hAnsi="Times New Roman"/>
          <w:b w:val="0"/>
          <w:bCs/>
          <w:szCs w:val="32"/>
        </w:rPr>
      </w:pPr>
      <w:bookmarkStart w:id="103" w:name="_Toc3211"/>
      <w:r>
        <w:rPr>
          <w:rFonts w:hint="eastAsia" w:ascii="Times New Roman" w:hAnsi="Times New Roman"/>
          <w:b w:val="0"/>
          <w:bCs/>
          <w:szCs w:val="32"/>
        </w:rPr>
        <w:t>3.</w:t>
      </w:r>
      <w:r>
        <w:rPr>
          <w:rFonts w:hint="eastAsia" w:ascii="Times New Roman" w:hAnsi="Times New Roman"/>
          <w:b w:val="0"/>
          <w:bCs/>
          <w:szCs w:val="32"/>
          <w:lang w:val="en-US" w:eastAsia="zh-CN"/>
        </w:rPr>
        <w:t>8</w:t>
      </w:r>
      <w:r>
        <w:rPr>
          <w:rFonts w:hint="eastAsia" w:ascii="Times New Roman" w:hAnsi="Times New Roman"/>
          <w:b w:val="0"/>
          <w:bCs/>
          <w:szCs w:val="32"/>
        </w:rPr>
        <w:t xml:space="preserve"> 主要危险、有害因素分析结论</w:t>
      </w:r>
      <w:bookmarkEnd w:id="83"/>
      <w:bookmarkEnd w:id="84"/>
      <w:bookmarkEnd w:id="85"/>
      <w:bookmarkEnd w:id="103"/>
    </w:p>
    <w:p>
      <w:pPr>
        <w:adjustRightInd w:val="0"/>
        <w:snapToGrid w:val="0"/>
        <w:spacing w:line="360" w:lineRule="auto"/>
        <w:ind w:firstLine="560" w:firstLineChars="200"/>
        <w:rPr>
          <w:sz w:val="28"/>
          <w:szCs w:val="28"/>
        </w:rPr>
      </w:pPr>
      <w:r>
        <w:rPr>
          <w:rFonts w:hint="eastAsia"/>
          <w:sz w:val="28"/>
          <w:szCs w:val="28"/>
          <w:lang w:eastAsia="zh-CN"/>
        </w:rPr>
        <w:t>胜利油田康贝油气工程有限公司</w:t>
      </w:r>
      <w:r>
        <w:rPr>
          <w:rFonts w:hint="eastAsia"/>
          <w:sz w:val="28"/>
          <w:szCs w:val="28"/>
        </w:rPr>
        <w:t>井下作业（小修作业、大修作业、</w:t>
      </w:r>
      <w:r>
        <w:rPr>
          <w:rFonts w:hint="eastAsia"/>
          <w:sz w:val="28"/>
          <w:szCs w:val="28"/>
          <w:lang w:val="en-US" w:eastAsia="zh-CN"/>
        </w:rPr>
        <w:t>侧钻、</w:t>
      </w:r>
      <w:r>
        <w:rPr>
          <w:rFonts w:hint="eastAsia"/>
          <w:sz w:val="28"/>
          <w:szCs w:val="28"/>
          <w:lang w:eastAsia="zh-CN"/>
        </w:rPr>
        <w:t>连续油管</w:t>
      </w:r>
      <w:r>
        <w:rPr>
          <w:rFonts w:hint="eastAsia"/>
          <w:sz w:val="28"/>
          <w:szCs w:val="28"/>
        </w:rPr>
        <w:t>作业、酸化、防砂、</w:t>
      </w:r>
      <w:r>
        <w:rPr>
          <w:rFonts w:hint="eastAsia"/>
          <w:sz w:val="28"/>
          <w:szCs w:val="28"/>
          <w:lang w:eastAsia="zh-CN"/>
        </w:rPr>
        <w:t>堵水/调剖</w:t>
      </w:r>
      <w:r>
        <w:rPr>
          <w:rFonts w:hint="eastAsia"/>
          <w:sz w:val="28"/>
          <w:szCs w:val="28"/>
        </w:rPr>
        <w:t>、特殊工艺技术服务（套管补贴</w:t>
      </w:r>
      <w:r>
        <w:rPr>
          <w:rFonts w:hint="eastAsia"/>
          <w:sz w:val="28"/>
          <w:szCs w:val="28"/>
          <w:lang w:eastAsia="zh-CN"/>
        </w:rPr>
        <w:t>）</w:t>
      </w:r>
      <w:r>
        <w:rPr>
          <w:rFonts w:hint="eastAsia"/>
          <w:sz w:val="28"/>
          <w:szCs w:val="28"/>
        </w:rPr>
        <w:t>、井下复杂情况处理（打捞、堵漏）、现场试压）施工过程中，涉及的主要危险、有害物质有：原油、天然气、硫化氢、二氧化硫、化学助剂、柴油</w:t>
      </w:r>
      <w:r>
        <w:rPr>
          <w:rFonts w:hint="eastAsia"/>
          <w:sz w:val="28"/>
          <w:szCs w:val="28"/>
          <w:lang w:eastAsia="zh-CN"/>
        </w:rPr>
        <w:t>、</w:t>
      </w:r>
      <w:r>
        <w:rPr>
          <w:rFonts w:hint="eastAsia"/>
          <w:sz w:val="28"/>
          <w:szCs w:val="28"/>
          <w:lang w:val="en-US" w:eastAsia="zh-CN"/>
        </w:rPr>
        <w:t>盐酸、复合酸</w:t>
      </w:r>
      <w:r>
        <w:rPr>
          <w:rFonts w:hint="eastAsia"/>
          <w:sz w:val="28"/>
          <w:szCs w:val="28"/>
        </w:rPr>
        <w:t>等。</w:t>
      </w:r>
    </w:p>
    <w:p>
      <w:pPr>
        <w:adjustRightInd w:val="0"/>
        <w:snapToGrid w:val="0"/>
        <w:spacing w:line="360" w:lineRule="auto"/>
        <w:ind w:firstLine="560" w:firstLineChars="200"/>
        <w:rPr>
          <w:sz w:val="28"/>
          <w:szCs w:val="28"/>
        </w:rPr>
      </w:pPr>
      <w:r>
        <w:rPr>
          <w:rFonts w:hint="eastAsia"/>
          <w:sz w:val="28"/>
          <w:szCs w:val="28"/>
        </w:rPr>
        <w:t>主要危险因素主要有：火灾爆炸、井喷及井喷失控、中毒窒息、物体打击、机械伤害、触电、车辆伤害、灼烫</w:t>
      </w:r>
      <w:r>
        <w:rPr>
          <w:rFonts w:hint="eastAsia"/>
          <w:sz w:val="28"/>
          <w:szCs w:val="28"/>
          <w:lang w:eastAsia="zh-CN"/>
        </w:rPr>
        <w:t>、</w:t>
      </w:r>
      <w:r>
        <w:rPr>
          <w:rFonts w:hint="eastAsia"/>
          <w:sz w:val="28"/>
          <w:szCs w:val="28"/>
          <w:lang w:val="en-US" w:eastAsia="zh-CN"/>
        </w:rPr>
        <w:t>高处坠落、坍塌</w:t>
      </w:r>
      <w:r>
        <w:rPr>
          <w:rFonts w:hint="eastAsia"/>
          <w:sz w:val="28"/>
          <w:szCs w:val="28"/>
        </w:rPr>
        <w:t>等。</w:t>
      </w:r>
    </w:p>
    <w:p>
      <w:pPr>
        <w:adjustRightInd w:val="0"/>
        <w:snapToGrid w:val="0"/>
        <w:spacing w:line="360" w:lineRule="auto"/>
        <w:ind w:firstLine="560" w:firstLineChars="200"/>
        <w:rPr>
          <w:sz w:val="28"/>
          <w:szCs w:val="28"/>
        </w:rPr>
      </w:pPr>
      <w:r>
        <w:rPr>
          <w:rFonts w:hint="eastAsia"/>
          <w:sz w:val="28"/>
          <w:szCs w:val="28"/>
        </w:rPr>
        <w:t>主要有害因素有：噪声危害</w:t>
      </w:r>
      <w:r>
        <w:rPr>
          <w:rFonts w:hint="eastAsia"/>
          <w:sz w:val="28"/>
          <w:szCs w:val="28"/>
          <w:lang w:eastAsia="zh-CN"/>
        </w:rPr>
        <w:t>、</w:t>
      </w:r>
      <w:r>
        <w:rPr>
          <w:rFonts w:hint="eastAsia"/>
          <w:sz w:val="28"/>
          <w:szCs w:val="28"/>
        </w:rPr>
        <w:t>毒物危害</w:t>
      </w:r>
      <w:r>
        <w:rPr>
          <w:rFonts w:hint="eastAsia"/>
          <w:sz w:val="28"/>
          <w:szCs w:val="28"/>
          <w:lang w:val="en-US" w:eastAsia="zh-CN"/>
        </w:rPr>
        <w:t>和振动危害</w:t>
      </w:r>
      <w:r>
        <w:rPr>
          <w:rFonts w:hint="eastAsia"/>
          <w:sz w:val="28"/>
          <w:szCs w:val="28"/>
        </w:rPr>
        <w:t>。</w:t>
      </w:r>
    </w:p>
    <w:p>
      <w:pPr>
        <w:adjustRightInd w:val="0"/>
        <w:snapToGrid w:val="0"/>
        <w:spacing w:line="360" w:lineRule="auto"/>
        <w:ind w:firstLine="560" w:firstLineChars="200"/>
        <w:rPr>
          <w:color w:val="000000"/>
          <w:sz w:val="28"/>
          <w:szCs w:val="28"/>
        </w:rPr>
      </w:pPr>
      <w:r>
        <w:rPr>
          <w:rFonts w:hint="eastAsia"/>
          <w:sz w:val="28"/>
          <w:szCs w:val="28"/>
        </w:rPr>
        <w:t>自然灾害有：雷电袭击、大风、高温、低温、地震灾害等。</w:t>
      </w:r>
    </w:p>
    <w:p>
      <w:pPr>
        <w:adjustRightInd w:val="0"/>
        <w:snapToGrid w:val="0"/>
        <w:spacing w:line="360" w:lineRule="auto"/>
        <w:ind w:firstLine="560" w:firstLineChars="200"/>
        <w:rPr>
          <w:sz w:val="28"/>
          <w:szCs w:val="28"/>
        </w:rPr>
      </w:pPr>
      <w:r>
        <w:rPr>
          <w:rFonts w:hint="eastAsia"/>
          <w:sz w:val="28"/>
          <w:szCs w:val="28"/>
          <w:lang w:eastAsia="zh-CN"/>
        </w:rPr>
        <w:t>胜利油田康贝油气工程有限公司</w:t>
      </w:r>
      <w:r>
        <w:rPr>
          <w:rFonts w:hint="eastAsia"/>
          <w:sz w:val="28"/>
          <w:szCs w:val="28"/>
        </w:rPr>
        <w:t>井下作业（小修作业、大修作业、</w:t>
      </w:r>
      <w:r>
        <w:rPr>
          <w:rFonts w:hint="eastAsia"/>
          <w:sz w:val="28"/>
          <w:szCs w:val="28"/>
          <w:lang w:val="en-US" w:eastAsia="zh-CN"/>
        </w:rPr>
        <w:t>侧钻、</w:t>
      </w:r>
      <w:r>
        <w:rPr>
          <w:rFonts w:hint="eastAsia"/>
          <w:sz w:val="28"/>
          <w:szCs w:val="28"/>
          <w:lang w:eastAsia="zh-CN"/>
        </w:rPr>
        <w:t>连续油管</w:t>
      </w:r>
      <w:r>
        <w:rPr>
          <w:rFonts w:hint="eastAsia"/>
          <w:sz w:val="28"/>
          <w:szCs w:val="28"/>
        </w:rPr>
        <w:t>作业、酸化、防砂、</w:t>
      </w:r>
      <w:r>
        <w:rPr>
          <w:rFonts w:hint="eastAsia"/>
          <w:sz w:val="28"/>
          <w:szCs w:val="28"/>
          <w:lang w:eastAsia="zh-CN"/>
        </w:rPr>
        <w:t>堵水/调剖</w:t>
      </w:r>
      <w:r>
        <w:rPr>
          <w:rFonts w:hint="eastAsia"/>
          <w:sz w:val="28"/>
          <w:szCs w:val="28"/>
        </w:rPr>
        <w:t>、特殊工艺技术服务（套管补贴</w:t>
      </w:r>
      <w:r>
        <w:rPr>
          <w:rFonts w:hint="eastAsia"/>
          <w:sz w:val="28"/>
          <w:szCs w:val="28"/>
          <w:lang w:eastAsia="zh-CN"/>
        </w:rPr>
        <w:t>）</w:t>
      </w:r>
      <w:r>
        <w:rPr>
          <w:rFonts w:hint="eastAsia"/>
          <w:sz w:val="28"/>
          <w:szCs w:val="28"/>
        </w:rPr>
        <w:t>、井下复杂情况处理（打捞、堵漏）、现场试压）项目未构成危险化学品重大危险源。</w:t>
      </w:r>
    </w:p>
    <w:p>
      <w:pPr>
        <w:adjustRightInd w:val="0"/>
        <w:snapToGrid w:val="0"/>
        <w:spacing w:line="360" w:lineRule="auto"/>
        <w:ind w:firstLine="560" w:firstLineChars="200"/>
        <w:rPr>
          <w:color w:val="000000"/>
          <w:sz w:val="28"/>
          <w:szCs w:val="28"/>
        </w:rPr>
      </w:pPr>
    </w:p>
    <w:p>
      <w:pPr>
        <w:adjustRightInd w:val="0"/>
        <w:snapToGrid w:val="0"/>
        <w:spacing w:line="360" w:lineRule="auto"/>
        <w:rPr>
          <w:sz w:val="28"/>
          <w:szCs w:val="28"/>
        </w:rPr>
        <w:sectPr>
          <w:footerReference r:id="rId1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bookmarkEnd w:id="15"/>
    <w:bookmarkEnd w:id="16"/>
    <w:bookmarkEnd w:id="17"/>
    <w:bookmarkEnd w:id="18"/>
    <w:bookmarkEnd w:id="23"/>
    <w:p>
      <w:pPr>
        <w:pStyle w:val="3"/>
        <w:adjustRightInd w:val="0"/>
        <w:snapToGrid w:val="0"/>
        <w:spacing w:line="360" w:lineRule="auto"/>
        <w:rPr>
          <w:rFonts w:eastAsia="楷体_GB2312"/>
          <w:b/>
          <w:sz w:val="36"/>
          <w:szCs w:val="36"/>
        </w:rPr>
      </w:pPr>
      <w:bookmarkStart w:id="104" w:name="_Toc202759432"/>
      <w:bookmarkStart w:id="105" w:name="_Toc215277173"/>
      <w:bookmarkStart w:id="106" w:name="_Toc244964631"/>
      <w:bookmarkStart w:id="107" w:name="_Toc291144373"/>
      <w:bookmarkStart w:id="108" w:name="_Toc298756206"/>
      <w:bookmarkStart w:id="109" w:name="_Toc5957"/>
      <w:bookmarkStart w:id="110" w:name="_Toc281310747"/>
      <w:r>
        <w:rPr>
          <w:rFonts w:hint="eastAsia" w:eastAsia="楷体_GB2312"/>
          <w:b/>
          <w:sz w:val="36"/>
          <w:szCs w:val="36"/>
        </w:rPr>
        <w:t>4</w:t>
      </w:r>
      <w:r>
        <w:rPr>
          <w:rFonts w:eastAsia="楷体_GB2312"/>
          <w:b/>
          <w:sz w:val="36"/>
          <w:szCs w:val="36"/>
        </w:rPr>
        <w:t xml:space="preserve"> </w:t>
      </w:r>
      <w:r>
        <w:rPr>
          <w:rFonts w:hint="eastAsia" w:eastAsia="楷体_GB2312"/>
          <w:b/>
          <w:sz w:val="36"/>
          <w:szCs w:val="36"/>
        </w:rPr>
        <w:t>评价单元划分</w:t>
      </w:r>
      <w:bookmarkEnd w:id="104"/>
      <w:r>
        <w:rPr>
          <w:rFonts w:hint="eastAsia" w:eastAsia="楷体_GB2312"/>
          <w:b/>
          <w:sz w:val="36"/>
          <w:szCs w:val="36"/>
        </w:rPr>
        <w:t>及评价方法选择</w:t>
      </w:r>
      <w:bookmarkEnd w:id="105"/>
      <w:bookmarkEnd w:id="106"/>
      <w:bookmarkEnd w:id="107"/>
      <w:bookmarkEnd w:id="108"/>
      <w:bookmarkEnd w:id="109"/>
    </w:p>
    <w:p>
      <w:pPr>
        <w:pStyle w:val="4"/>
        <w:adjustRightInd w:val="0"/>
        <w:snapToGrid w:val="0"/>
        <w:spacing w:before="0" w:after="0" w:line="360" w:lineRule="auto"/>
        <w:rPr>
          <w:rFonts w:ascii="Times New Roman" w:hAnsi="Times New Roman"/>
          <w:b w:val="0"/>
          <w:bCs/>
          <w:szCs w:val="32"/>
        </w:rPr>
      </w:pPr>
      <w:bookmarkStart w:id="111" w:name="_Toc215277174"/>
      <w:bookmarkStart w:id="112" w:name="_Toc18916"/>
      <w:bookmarkStart w:id="113" w:name="_Toc291144374"/>
      <w:bookmarkStart w:id="114" w:name="_Toc244964632"/>
      <w:bookmarkStart w:id="115" w:name="_Toc298756207"/>
      <w:r>
        <w:rPr>
          <w:rFonts w:hint="eastAsia" w:ascii="Times New Roman" w:hAnsi="Times New Roman"/>
          <w:b w:val="0"/>
          <w:bCs/>
          <w:szCs w:val="32"/>
        </w:rPr>
        <w:t>4.1</w:t>
      </w:r>
      <w:r>
        <w:rPr>
          <w:rFonts w:ascii="Times New Roman" w:hAnsi="Times New Roman"/>
          <w:b w:val="0"/>
          <w:bCs/>
          <w:szCs w:val="32"/>
        </w:rPr>
        <w:t xml:space="preserve"> </w:t>
      </w:r>
      <w:r>
        <w:rPr>
          <w:rFonts w:hint="eastAsia" w:ascii="Times New Roman" w:hAnsi="Times New Roman"/>
          <w:b w:val="0"/>
          <w:bCs/>
          <w:szCs w:val="32"/>
        </w:rPr>
        <w:t>评价单元划分</w:t>
      </w:r>
      <w:bookmarkEnd w:id="111"/>
      <w:bookmarkEnd w:id="112"/>
      <w:bookmarkEnd w:id="113"/>
      <w:bookmarkEnd w:id="114"/>
      <w:bookmarkEnd w:id="115"/>
    </w:p>
    <w:p>
      <w:pPr>
        <w:pStyle w:val="5"/>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4.1.1</w:t>
      </w:r>
      <w:r>
        <w:rPr>
          <w:rFonts w:eastAsia="黑体"/>
          <w:b w:val="0"/>
          <w:snapToGrid w:val="0"/>
          <w:kern w:val="0"/>
          <w:sz w:val="28"/>
          <w:szCs w:val="28"/>
        </w:rPr>
        <w:t xml:space="preserve"> </w:t>
      </w:r>
      <w:r>
        <w:rPr>
          <w:rFonts w:hint="eastAsia" w:eastAsia="黑体"/>
          <w:b w:val="0"/>
          <w:snapToGrid w:val="0"/>
          <w:kern w:val="0"/>
          <w:sz w:val="28"/>
          <w:szCs w:val="28"/>
        </w:rPr>
        <w:t>划分原则</w:t>
      </w:r>
    </w:p>
    <w:p>
      <w:pPr>
        <w:adjustRightInd w:val="0"/>
        <w:snapToGrid w:val="0"/>
        <w:spacing w:line="360" w:lineRule="auto"/>
        <w:ind w:firstLine="560" w:firstLineChars="200"/>
        <w:rPr>
          <w:snapToGrid w:val="0"/>
          <w:kern w:val="0"/>
          <w:sz w:val="28"/>
        </w:rPr>
      </w:pPr>
      <w:r>
        <w:rPr>
          <w:rFonts w:hint="eastAsia"/>
          <w:snapToGrid w:val="0"/>
          <w:kern w:val="0"/>
          <w:sz w:val="28"/>
        </w:rPr>
        <w:t>评价单元是指在对工程危险、有害因素进行分析的基础上，根据评价目标和评价方法的需要，将整个系统划分成若干个有限的确定范围而分别进行评价的相对独立的装置、设施和场所。</w:t>
      </w:r>
    </w:p>
    <w:p>
      <w:pPr>
        <w:adjustRightInd w:val="0"/>
        <w:snapToGrid w:val="0"/>
        <w:spacing w:line="360" w:lineRule="auto"/>
        <w:ind w:firstLine="560" w:firstLineChars="200"/>
        <w:rPr>
          <w:snapToGrid w:val="0"/>
          <w:kern w:val="0"/>
          <w:sz w:val="28"/>
        </w:rPr>
      </w:pPr>
      <w:r>
        <w:rPr>
          <w:rFonts w:hint="eastAsia"/>
          <w:snapToGrid w:val="0"/>
          <w:kern w:val="0"/>
          <w:sz w:val="28"/>
        </w:rPr>
        <w:t>划分评价单元的一般性原则是按生产工艺功能、生产设施设备相对独立空间、危险有害因素类别及事故范围划分评价单元，使评价单元相对独立，具有明显特征界限。</w:t>
      </w:r>
    </w:p>
    <w:p>
      <w:pPr>
        <w:adjustRightInd w:val="0"/>
        <w:snapToGrid w:val="0"/>
        <w:spacing w:line="360" w:lineRule="auto"/>
        <w:ind w:firstLine="560" w:firstLineChars="200"/>
        <w:rPr>
          <w:snapToGrid w:val="0"/>
          <w:kern w:val="0"/>
          <w:sz w:val="28"/>
        </w:rPr>
      </w:pPr>
      <w:r>
        <w:rPr>
          <w:rFonts w:hint="eastAsia"/>
          <w:snapToGrid w:val="0"/>
          <w:kern w:val="0"/>
          <w:sz w:val="28"/>
        </w:rPr>
        <w:t>常用的评价单元的划分原则有：</w:t>
      </w:r>
    </w:p>
    <w:p>
      <w:pPr>
        <w:adjustRightInd w:val="0"/>
        <w:snapToGrid w:val="0"/>
        <w:spacing w:line="360" w:lineRule="auto"/>
        <w:ind w:firstLine="560" w:firstLineChars="200"/>
        <w:rPr>
          <w:snapToGrid w:val="0"/>
          <w:kern w:val="0"/>
          <w:sz w:val="28"/>
        </w:rPr>
      </w:pPr>
      <w:r>
        <w:rPr>
          <w:rFonts w:hint="eastAsia"/>
          <w:snapToGrid w:val="0"/>
          <w:kern w:val="0"/>
          <w:sz w:val="28"/>
        </w:rPr>
        <w:t>1、以危险、有害因素的类别为主划分；</w:t>
      </w:r>
    </w:p>
    <w:p>
      <w:pPr>
        <w:adjustRightInd w:val="0"/>
        <w:snapToGrid w:val="0"/>
        <w:spacing w:line="360" w:lineRule="auto"/>
        <w:ind w:firstLine="560" w:firstLineChars="200"/>
        <w:rPr>
          <w:snapToGrid w:val="0"/>
          <w:kern w:val="0"/>
          <w:sz w:val="28"/>
        </w:rPr>
      </w:pPr>
      <w:r>
        <w:rPr>
          <w:rFonts w:hint="eastAsia"/>
          <w:snapToGrid w:val="0"/>
          <w:kern w:val="0"/>
          <w:sz w:val="28"/>
        </w:rPr>
        <w:t>2、以装置和物质的特性划分。</w:t>
      </w:r>
    </w:p>
    <w:p>
      <w:pPr>
        <w:adjustRightInd w:val="0"/>
        <w:snapToGrid w:val="0"/>
        <w:spacing w:line="360" w:lineRule="auto"/>
        <w:ind w:firstLine="560" w:firstLineChars="200"/>
        <w:rPr>
          <w:snapToGrid w:val="0"/>
          <w:kern w:val="0"/>
          <w:sz w:val="28"/>
        </w:rPr>
      </w:pPr>
      <w:r>
        <w:rPr>
          <w:rFonts w:hint="eastAsia"/>
          <w:snapToGrid w:val="0"/>
          <w:kern w:val="0"/>
          <w:sz w:val="28"/>
        </w:rPr>
        <w:t>通过对</w:t>
      </w:r>
      <w:r>
        <w:rPr>
          <w:rFonts w:hint="eastAsia"/>
          <w:snapToGrid w:val="0"/>
          <w:kern w:val="0"/>
          <w:sz w:val="28"/>
          <w:lang w:eastAsia="zh-CN"/>
        </w:rPr>
        <w:t>胜利油田康贝油气工程有限公司</w:t>
      </w:r>
      <w:r>
        <w:rPr>
          <w:rFonts w:hint="eastAsia"/>
          <w:snapToGrid w:val="0"/>
          <w:kern w:val="0"/>
          <w:sz w:val="28"/>
        </w:rPr>
        <w:t>生产过程中的危险、有害因素分析，结合本工程的特点和具体情况，本次评价按工艺流程，兼顾危险、有害因素的相似特性等进行评价单元的划分。</w:t>
      </w:r>
    </w:p>
    <w:p>
      <w:pPr>
        <w:pStyle w:val="5"/>
        <w:adjustRightInd w:val="0"/>
        <w:snapToGrid w:val="0"/>
        <w:spacing w:before="0" w:after="0" w:line="360" w:lineRule="auto"/>
        <w:rPr>
          <w:rFonts w:eastAsia="黑体"/>
          <w:b w:val="0"/>
          <w:snapToGrid w:val="0"/>
          <w:kern w:val="0"/>
          <w:sz w:val="28"/>
          <w:szCs w:val="28"/>
        </w:rPr>
      </w:pPr>
      <w:r>
        <w:rPr>
          <w:rFonts w:hint="eastAsia" w:eastAsia="黑体"/>
          <w:b w:val="0"/>
          <w:snapToGrid w:val="0"/>
          <w:kern w:val="0"/>
          <w:sz w:val="28"/>
          <w:szCs w:val="28"/>
        </w:rPr>
        <w:t>4.1.2</w:t>
      </w:r>
      <w:r>
        <w:rPr>
          <w:rFonts w:eastAsia="黑体"/>
          <w:b w:val="0"/>
          <w:snapToGrid w:val="0"/>
          <w:kern w:val="0"/>
          <w:sz w:val="28"/>
          <w:szCs w:val="28"/>
        </w:rPr>
        <w:t xml:space="preserve"> </w:t>
      </w:r>
      <w:r>
        <w:rPr>
          <w:rFonts w:hint="eastAsia" w:eastAsia="黑体"/>
          <w:b w:val="0"/>
          <w:snapToGrid w:val="0"/>
          <w:kern w:val="0"/>
          <w:sz w:val="28"/>
          <w:szCs w:val="28"/>
        </w:rPr>
        <w:t>划分评价单元</w:t>
      </w:r>
    </w:p>
    <w:p>
      <w:pPr>
        <w:adjustRightInd w:val="0"/>
        <w:snapToGrid w:val="0"/>
        <w:spacing w:line="360" w:lineRule="auto"/>
        <w:ind w:firstLine="560" w:firstLineChars="200"/>
        <w:rPr>
          <w:snapToGrid w:val="0"/>
          <w:kern w:val="0"/>
          <w:sz w:val="28"/>
        </w:rPr>
      </w:pPr>
      <w:r>
        <w:rPr>
          <w:rFonts w:hint="eastAsia"/>
          <w:snapToGrid w:val="0"/>
          <w:kern w:val="0"/>
          <w:sz w:val="28"/>
        </w:rPr>
        <w:t>根据</w:t>
      </w:r>
      <w:r>
        <w:rPr>
          <w:rFonts w:hint="eastAsia"/>
          <w:snapToGrid w:val="0"/>
          <w:kern w:val="0"/>
          <w:sz w:val="28"/>
          <w:lang w:eastAsia="zh-CN"/>
        </w:rPr>
        <w:t>胜利油田康贝油气工程有限公司</w:t>
      </w:r>
      <w:r>
        <w:rPr>
          <w:rFonts w:hint="eastAsia"/>
          <w:snapToGrid w:val="0"/>
          <w:kern w:val="0"/>
          <w:sz w:val="28"/>
        </w:rPr>
        <w:t>的实际情况和安全现状评价的需要，本次评价划分为以下2个评价单元进行评价：</w:t>
      </w:r>
    </w:p>
    <w:p>
      <w:pPr>
        <w:adjustRightInd w:val="0"/>
        <w:snapToGrid w:val="0"/>
        <w:spacing w:line="360" w:lineRule="auto"/>
        <w:ind w:firstLine="560" w:firstLineChars="200"/>
        <w:rPr>
          <w:snapToGrid w:val="0"/>
          <w:kern w:val="0"/>
          <w:sz w:val="28"/>
        </w:rPr>
      </w:pPr>
      <w:r>
        <w:rPr>
          <w:rFonts w:hint="eastAsia"/>
          <w:snapToGrid w:val="0"/>
          <w:kern w:val="0"/>
          <w:sz w:val="28"/>
        </w:rPr>
        <w:t>1、生产单元（主要针对</w:t>
      </w:r>
      <w:r>
        <w:rPr>
          <w:rFonts w:hint="eastAsia"/>
          <w:snapToGrid w:val="0"/>
          <w:kern w:val="0"/>
          <w:sz w:val="28"/>
          <w:lang w:eastAsia="zh-CN"/>
        </w:rPr>
        <w:t>胜利油田康贝油气工程有限公司</w:t>
      </w:r>
      <w:r>
        <w:rPr>
          <w:rFonts w:hint="eastAsia"/>
          <w:snapToGrid w:val="0"/>
          <w:kern w:val="0"/>
          <w:sz w:val="28"/>
          <w:lang w:val="en-US" w:eastAsia="zh-CN"/>
        </w:rPr>
        <w:t>井下作业项目</w:t>
      </w:r>
      <w:r>
        <w:rPr>
          <w:rFonts w:hint="eastAsia"/>
          <w:snapToGrid w:val="0"/>
          <w:kern w:val="0"/>
          <w:sz w:val="28"/>
        </w:rPr>
        <w:t>（小修作业、大修作业、</w:t>
      </w:r>
      <w:r>
        <w:rPr>
          <w:rFonts w:hint="eastAsia"/>
          <w:snapToGrid w:val="0"/>
          <w:kern w:val="0"/>
          <w:sz w:val="28"/>
          <w:lang w:val="en-US" w:eastAsia="zh-CN"/>
        </w:rPr>
        <w:t>侧钻、</w:t>
      </w:r>
      <w:r>
        <w:rPr>
          <w:rFonts w:hint="eastAsia"/>
          <w:snapToGrid w:val="0"/>
          <w:kern w:val="0"/>
          <w:sz w:val="28"/>
          <w:lang w:eastAsia="zh-CN"/>
        </w:rPr>
        <w:t>连续油管</w:t>
      </w:r>
      <w:r>
        <w:rPr>
          <w:rFonts w:hint="eastAsia"/>
          <w:snapToGrid w:val="0"/>
          <w:kern w:val="0"/>
          <w:sz w:val="28"/>
        </w:rPr>
        <w:t>作业、酸化、防砂、</w:t>
      </w:r>
      <w:r>
        <w:rPr>
          <w:rFonts w:hint="eastAsia"/>
          <w:snapToGrid w:val="0"/>
          <w:kern w:val="0"/>
          <w:sz w:val="28"/>
          <w:lang w:eastAsia="zh-CN"/>
        </w:rPr>
        <w:t>堵水/调剖</w:t>
      </w:r>
      <w:r>
        <w:rPr>
          <w:rFonts w:hint="eastAsia"/>
          <w:snapToGrid w:val="0"/>
          <w:kern w:val="0"/>
          <w:sz w:val="28"/>
        </w:rPr>
        <w:t>、特殊工艺技术服务（套管补贴</w:t>
      </w:r>
      <w:r>
        <w:rPr>
          <w:rFonts w:hint="eastAsia"/>
          <w:snapToGrid w:val="0"/>
          <w:kern w:val="0"/>
          <w:sz w:val="28"/>
          <w:lang w:eastAsia="zh-CN"/>
        </w:rPr>
        <w:t>）</w:t>
      </w:r>
      <w:r>
        <w:rPr>
          <w:rFonts w:hint="eastAsia"/>
          <w:snapToGrid w:val="0"/>
          <w:kern w:val="0"/>
          <w:sz w:val="28"/>
        </w:rPr>
        <w:t>、井下复杂情况处理（打捞、堵漏）、现场试压）所用主要设备、设施；生产作业场所的内、外部安全生产条件进行评价）。</w:t>
      </w:r>
    </w:p>
    <w:p>
      <w:pPr>
        <w:adjustRightInd w:val="0"/>
        <w:snapToGrid w:val="0"/>
        <w:spacing w:line="360" w:lineRule="auto"/>
        <w:ind w:firstLine="560" w:firstLineChars="200"/>
        <w:rPr>
          <w:snapToGrid w:val="0"/>
          <w:kern w:val="0"/>
          <w:sz w:val="28"/>
        </w:rPr>
      </w:pPr>
      <w:r>
        <w:rPr>
          <w:rFonts w:hint="eastAsia"/>
          <w:snapToGrid w:val="0"/>
          <w:kern w:val="0"/>
          <w:sz w:val="28"/>
        </w:rPr>
        <w:t>2、安全管理单元（主要针对</w:t>
      </w:r>
      <w:r>
        <w:rPr>
          <w:rFonts w:hint="eastAsia"/>
          <w:snapToGrid w:val="0"/>
          <w:kern w:val="0"/>
          <w:sz w:val="28"/>
          <w:lang w:eastAsia="zh-CN"/>
        </w:rPr>
        <w:t>胜利油田康贝油气工程有限公司</w:t>
      </w:r>
      <w:r>
        <w:rPr>
          <w:rFonts w:hint="eastAsia"/>
          <w:snapToGrid w:val="0"/>
          <w:kern w:val="0"/>
          <w:sz w:val="28"/>
        </w:rPr>
        <w:t>在安全管理方面的各项安全生产条件进行评价）。</w:t>
      </w:r>
    </w:p>
    <w:p>
      <w:pPr>
        <w:pStyle w:val="4"/>
        <w:adjustRightInd w:val="0"/>
        <w:snapToGrid w:val="0"/>
        <w:spacing w:before="0" w:after="0" w:line="360" w:lineRule="auto"/>
        <w:rPr>
          <w:rFonts w:ascii="Times New Roman" w:hAnsi="Times New Roman"/>
          <w:b w:val="0"/>
          <w:bCs/>
          <w:szCs w:val="32"/>
        </w:rPr>
      </w:pPr>
      <w:bookmarkStart w:id="116" w:name="_Toc291144375"/>
      <w:bookmarkStart w:id="117" w:name="_Toc1621"/>
      <w:bookmarkStart w:id="118" w:name="_Toc215277175"/>
      <w:bookmarkStart w:id="119" w:name="_Toc244964633"/>
      <w:bookmarkStart w:id="120" w:name="_Toc298756208"/>
      <w:r>
        <w:rPr>
          <w:rFonts w:hint="eastAsia" w:ascii="Times New Roman" w:hAnsi="Times New Roman"/>
          <w:b w:val="0"/>
          <w:bCs/>
          <w:szCs w:val="32"/>
        </w:rPr>
        <w:t>4.2</w:t>
      </w:r>
      <w:r>
        <w:rPr>
          <w:rFonts w:ascii="Times New Roman" w:hAnsi="Times New Roman"/>
          <w:b w:val="0"/>
          <w:bCs/>
          <w:szCs w:val="32"/>
        </w:rPr>
        <w:t xml:space="preserve"> </w:t>
      </w:r>
      <w:r>
        <w:rPr>
          <w:rFonts w:hint="eastAsia" w:ascii="Times New Roman" w:hAnsi="Times New Roman"/>
          <w:b w:val="0"/>
          <w:bCs/>
          <w:szCs w:val="32"/>
        </w:rPr>
        <w:t>评价方法选择</w:t>
      </w:r>
      <w:bookmarkEnd w:id="116"/>
      <w:bookmarkEnd w:id="117"/>
      <w:bookmarkEnd w:id="118"/>
      <w:bookmarkEnd w:id="119"/>
      <w:bookmarkEnd w:id="120"/>
    </w:p>
    <w:p>
      <w:pPr>
        <w:adjustRightInd w:val="0"/>
        <w:snapToGrid w:val="0"/>
        <w:spacing w:line="360" w:lineRule="auto"/>
        <w:ind w:firstLine="560" w:firstLineChars="200"/>
        <w:rPr>
          <w:snapToGrid w:val="0"/>
          <w:kern w:val="0"/>
          <w:sz w:val="28"/>
        </w:rPr>
      </w:pPr>
      <w:r>
        <w:rPr>
          <w:rFonts w:hint="eastAsia"/>
          <w:sz w:val="28"/>
        </w:rPr>
        <w:t>根据《安全生产许可证条例》（国务院令[2004]第397号，2014修订版）、《非煤矿矿山企业安全生产许可证实施办法》（国家安全生产监督管理总局令[2009]第20号，2015修订版）的要求，</w:t>
      </w:r>
      <w:r>
        <w:rPr>
          <w:snapToGrid w:val="0"/>
          <w:kern w:val="0"/>
          <w:sz w:val="28"/>
        </w:rPr>
        <w:t>本次评价选择</w:t>
      </w:r>
      <w:r>
        <w:rPr>
          <w:rFonts w:hint="eastAsia"/>
          <w:snapToGrid w:val="0"/>
          <w:kern w:val="0"/>
          <w:sz w:val="28"/>
        </w:rPr>
        <w:t>安全检查表法（SCL）</w:t>
      </w:r>
      <w:r>
        <w:rPr>
          <w:rFonts w:hint="eastAsia"/>
          <w:snapToGrid w:val="0"/>
          <w:kern w:val="0"/>
          <w:sz w:val="28"/>
          <w:lang w:eastAsia="zh-CN"/>
        </w:rPr>
        <w:t>、</w:t>
      </w:r>
      <w:r>
        <w:rPr>
          <w:rFonts w:hint="eastAsia"/>
          <w:snapToGrid w:val="0"/>
          <w:kern w:val="0"/>
          <w:sz w:val="28"/>
          <w:lang w:val="en-US" w:eastAsia="zh-CN"/>
        </w:rPr>
        <w:t>作业条件危险性评价法（LEC）</w:t>
      </w:r>
      <w:r>
        <w:rPr>
          <w:sz w:val="28"/>
        </w:rPr>
        <w:t>对该公司的各项安全生产条件进行评价</w:t>
      </w:r>
      <w:r>
        <w:rPr>
          <w:snapToGrid w:val="0"/>
          <w:kern w:val="0"/>
          <w:sz w:val="28"/>
        </w:rPr>
        <w:t>。各评价方法的具体操作程序如下表：</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bCs/>
          <w:color w:val="000000"/>
          <w:sz w:val="21"/>
          <w:szCs w:val="21"/>
        </w:rPr>
      </w:pPr>
      <w:r>
        <w:rPr>
          <w:rFonts w:hint="eastAsia"/>
          <w:b/>
          <w:bCs/>
          <w:color w:val="000000"/>
          <w:sz w:val="21"/>
          <w:szCs w:val="21"/>
        </w:rPr>
        <w:t xml:space="preserve">表4-1 </w:t>
      </w:r>
      <w:r>
        <w:rPr>
          <w:rFonts w:hint="eastAsia"/>
          <w:b/>
          <w:bCs/>
          <w:color w:val="000000"/>
          <w:sz w:val="21"/>
          <w:szCs w:val="21"/>
          <w:lang w:val="en-US" w:eastAsia="zh-CN"/>
        </w:rPr>
        <w:t xml:space="preserve"> </w:t>
      </w:r>
      <w:r>
        <w:rPr>
          <w:rFonts w:hint="eastAsia"/>
          <w:b/>
          <w:bCs/>
          <w:color w:val="000000"/>
          <w:sz w:val="21"/>
          <w:szCs w:val="21"/>
        </w:rPr>
        <w:t>各单元评价方法表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30"/>
        <w:gridCol w:w="4762"/>
        <w:gridCol w:w="2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12" w:space="0"/>
              <w:left w:val="single" w:color="auto" w:sz="12"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szCs w:val="21"/>
              </w:rPr>
            </w:pPr>
            <w:r>
              <w:rPr>
                <w:rFonts w:hint="default"/>
                <w:b/>
                <w:szCs w:val="21"/>
              </w:rPr>
              <w:t>序号</w:t>
            </w:r>
          </w:p>
        </w:tc>
        <w:tc>
          <w:tcPr>
            <w:tcW w:w="4762" w:type="dxa"/>
            <w:tcBorders>
              <w:top w:val="single" w:color="auto" w:sz="12" w:space="0"/>
              <w:left w:val="single" w:color="auto" w:sz="6"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szCs w:val="21"/>
              </w:rPr>
            </w:pPr>
            <w:r>
              <w:rPr>
                <w:rFonts w:hint="default"/>
                <w:b/>
                <w:szCs w:val="21"/>
              </w:rPr>
              <w:t>评价单元</w:t>
            </w:r>
          </w:p>
        </w:tc>
        <w:tc>
          <w:tcPr>
            <w:tcW w:w="2730" w:type="dxa"/>
            <w:tcBorders>
              <w:top w:val="single" w:color="auto" w:sz="12" w:space="0"/>
              <w:left w:val="single" w:color="auto" w:sz="6" w:space="0"/>
              <w:bottom w:val="single" w:color="auto" w:sz="6"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b/>
                <w:szCs w:val="21"/>
              </w:rPr>
            </w:pPr>
            <w:r>
              <w:rPr>
                <w:rFonts w:hint="default"/>
                <w:b/>
                <w:szCs w:val="21"/>
              </w:rPr>
              <w:t>选用的评价方法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6" w:space="0"/>
              <w:left w:val="single" w:color="auto" w:sz="12"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1</w:t>
            </w:r>
          </w:p>
        </w:tc>
        <w:tc>
          <w:tcPr>
            <w:tcW w:w="4762" w:type="dxa"/>
            <w:tcBorders>
              <w:top w:val="single" w:color="auto" w:sz="6" w:space="0"/>
              <w:left w:val="single" w:color="auto" w:sz="6" w:space="0"/>
              <w:bottom w:val="single" w:color="auto" w:sz="6"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生产单元</w:t>
            </w:r>
          </w:p>
        </w:tc>
        <w:tc>
          <w:tcPr>
            <w:tcW w:w="2730" w:type="dxa"/>
            <w:tcBorders>
              <w:top w:val="single" w:color="auto" w:sz="6" w:space="0"/>
              <w:left w:val="single" w:color="auto" w:sz="6" w:space="0"/>
              <w:bottom w:val="single" w:color="auto" w:sz="6"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SCL</w:t>
            </w:r>
            <w:r>
              <w:rPr>
                <w:rFonts w:hint="default"/>
                <w:szCs w:val="21"/>
                <w:lang w:val="en-US" w:eastAsia="zh-CN"/>
              </w:rPr>
              <w:t>、LEC</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030" w:type="dxa"/>
            <w:tcBorders>
              <w:top w:val="single" w:color="auto" w:sz="6" w:space="0"/>
              <w:left w:val="single" w:color="auto" w:sz="12" w:space="0"/>
              <w:bottom w:val="single" w:color="auto" w:sz="12"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2</w:t>
            </w:r>
          </w:p>
        </w:tc>
        <w:tc>
          <w:tcPr>
            <w:tcW w:w="4762" w:type="dxa"/>
            <w:tcBorders>
              <w:top w:val="single" w:color="auto" w:sz="6" w:space="0"/>
              <w:left w:val="single" w:color="auto" w:sz="6" w:space="0"/>
              <w:bottom w:val="single" w:color="auto" w:sz="12" w:space="0"/>
              <w:right w:val="single" w:color="auto" w:sz="6"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安全管理单元</w:t>
            </w:r>
          </w:p>
        </w:tc>
        <w:tc>
          <w:tcPr>
            <w:tcW w:w="2730" w:type="dxa"/>
            <w:tcBorders>
              <w:top w:val="single" w:color="auto" w:sz="6" w:space="0"/>
              <w:left w:val="single" w:color="auto" w:sz="6" w:space="0"/>
              <w:bottom w:val="single" w:color="auto" w:sz="12" w:space="0"/>
              <w:right w:val="single" w:color="auto" w:sz="12" w:space="0"/>
            </w:tcBorders>
            <w:vAlign w:val="center"/>
          </w:tcPr>
          <w:p>
            <w:pPr>
              <w:pStyle w:val="22"/>
              <w:keepNext w:val="0"/>
              <w:keepLines w:val="0"/>
              <w:suppressLineNumbers w:val="0"/>
              <w:adjustRightInd w:val="0"/>
              <w:snapToGrid w:val="0"/>
              <w:spacing w:before="0" w:beforeAutospacing="0" w:after="0" w:afterAutospacing="0"/>
              <w:ind w:left="0" w:right="0"/>
              <w:jc w:val="center"/>
              <w:rPr>
                <w:rFonts w:hint="default"/>
                <w:szCs w:val="21"/>
              </w:rPr>
            </w:pPr>
            <w:r>
              <w:rPr>
                <w:rFonts w:hint="default"/>
                <w:szCs w:val="21"/>
              </w:rPr>
              <w:t>SCL</w:t>
            </w:r>
          </w:p>
        </w:tc>
      </w:tr>
    </w:tbl>
    <w:p>
      <w:pPr>
        <w:pStyle w:val="5"/>
        <w:keepNext/>
        <w:keepLines/>
        <w:pageBreakBefore w:val="0"/>
        <w:widowControl w:val="0"/>
        <w:kinsoku/>
        <w:wordWrap/>
        <w:overflowPunct/>
        <w:topLinePunct w:val="0"/>
        <w:autoSpaceDE/>
        <w:autoSpaceDN/>
        <w:bidi w:val="0"/>
        <w:adjustRightInd w:val="0"/>
        <w:snapToGrid w:val="0"/>
        <w:spacing w:before="157" w:beforeLines="50" w:after="0" w:line="360" w:lineRule="auto"/>
        <w:textAlignment w:val="auto"/>
        <w:rPr>
          <w:rFonts w:hint="default" w:ascii="Times New Roman" w:hAnsi="Times New Roman" w:eastAsia="黑体" w:cs="Times New Roman"/>
          <w:b w:val="0"/>
          <w:snapToGrid w:val="0"/>
          <w:kern w:val="0"/>
          <w:sz w:val="28"/>
          <w:szCs w:val="28"/>
          <w:lang w:val="en-US" w:eastAsia="zh-CN"/>
        </w:rPr>
      </w:pPr>
      <w:r>
        <w:rPr>
          <w:rFonts w:hint="default" w:ascii="Times New Roman" w:hAnsi="Times New Roman" w:eastAsia="黑体" w:cs="Times New Roman"/>
          <w:b w:val="0"/>
          <w:snapToGrid w:val="0"/>
          <w:kern w:val="0"/>
          <w:sz w:val="28"/>
          <w:szCs w:val="28"/>
        </w:rPr>
        <w:t>4.</w:t>
      </w:r>
      <w:r>
        <w:rPr>
          <w:rFonts w:hint="default" w:ascii="Times New Roman" w:hAnsi="Times New Roman" w:eastAsia="黑体" w:cs="Times New Roman"/>
          <w:b w:val="0"/>
          <w:snapToGrid w:val="0"/>
          <w:kern w:val="0"/>
          <w:sz w:val="28"/>
          <w:szCs w:val="28"/>
          <w:lang w:val="en-US" w:eastAsia="zh-CN"/>
        </w:rPr>
        <w:t>2</w:t>
      </w:r>
      <w:r>
        <w:rPr>
          <w:rFonts w:hint="default" w:ascii="Times New Roman" w:hAnsi="Times New Roman" w:eastAsia="黑体" w:cs="Times New Roman"/>
          <w:b w:val="0"/>
          <w:snapToGrid w:val="0"/>
          <w:kern w:val="0"/>
          <w:sz w:val="28"/>
          <w:szCs w:val="28"/>
        </w:rPr>
        <w:t>.</w:t>
      </w:r>
      <w:r>
        <w:rPr>
          <w:rFonts w:hint="default" w:ascii="Times New Roman" w:hAnsi="Times New Roman" w:eastAsia="黑体" w:cs="Times New Roman"/>
          <w:b w:val="0"/>
          <w:snapToGrid w:val="0"/>
          <w:kern w:val="0"/>
          <w:sz w:val="28"/>
          <w:szCs w:val="28"/>
          <w:lang w:val="en-US" w:eastAsia="zh-CN"/>
        </w:rPr>
        <w:t>1</w:t>
      </w:r>
      <w:r>
        <w:rPr>
          <w:rFonts w:hint="default" w:ascii="Times New Roman" w:hAnsi="Times New Roman" w:eastAsia="黑体" w:cs="Times New Roman"/>
          <w:b w:val="0"/>
          <w:snapToGrid w:val="0"/>
          <w:kern w:val="0"/>
          <w:sz w:val="28"/>
          <w:szCs w:val="28"/>
        </w:rPr>
        <w:t xml:space="preserve"> </w:t>
      </w:r>
      <w:r>
        <w:rPr>
          <w:rFonts w:hint="default" w:ascii="Times New Roman" w:hAnsi="Times New Roman" w:eastAsia="黑体" w:cs="Times New Roman"/>
          <w:b w:val="0"/>
          <w:snapToGrid w:val="0"/>
          <w:kern w:val="0"/>
          <w:sz w:val="28"/>
          <w:szCs w:val="28"/>
          <w:lang w:val="en-US" w:eastAsia="zh-CN"/>
        </w:rPr>
        <w:t>安全检查表（SCL）</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napToGrid w:val="0"/>
          <w:kern w:val="0"/>
          <w:sz w:val="28"/>
        </w:rPr>
      </w:pPr>
      <w:r>
        <w:rPr>
          <w:rFonts w:hint="eastAsia"/>
          <w:snapToGrid w:val="0"/>
          <w:kern w:val="0"/>
          <w:sz w:val="28"/>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pPr>
        <w:adjustRightInd w:val="0"/>
        <w:snapToGrid w:val="0"/>
        <w:spacing w:line="360" w:lineRule="auto"/>
        <w:ind w:firstLine="560" w:firstLineChars="200"/>
        <w:rPr>
          <w:snapToGrid w:val="0"/>
          <w:kern w:val="0"/>
          <w:sz w:val="28"/>
        </w:rPr>
      </w:pPr>
      <w:r>
        <w:rPr>
          <w:rFonts w:hint="eastAsia"/>
          <w:snapToGrid w:val="0"/>
          <w:kern w:val="0"/>
          <w:sz w:val="28"/>
        </w:rPr>
        <w:t>安全检查表以下列格式列出，对于符合要求的检查内容，在检查结果栏中标以“√”，对于不符合要求的检查项目在检查结果栏中标以“×”。见下表4-</w:t>
      </w:r>
      <w:r>
        <w:rPr>
          <w:snapToGrid w:val="0"/>
          <w:kern w:val="0"/>
          <w:sz w:val="28"/>
        </w:rPr>
        <w:t>2</w:t>
      </w:r>
      <w:r>
        <w:rPr>
          <w:rFonts w:hint="eastAsia"/>
          <w:snapToGrid w:val="0"/>
          <w:kern w:val="0"/>
          <w:sz w:val="28"/>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b/>
          <w:snapToGrid w:val="0"/>
          <w:kern w:val="0"/>
          <w:sz w:val="21"/>
          <w:szCs w:val="21"/>
        </w:rPr>
      </w:pPr>
      <w:r>
        <w:rPr>
          <w:rFonts w:hint="eastAsia"/>
          <w:b/>
          <w:snapToGrid w:val="0"/>
          <w:kern w:val="0"/>
          <w:sz w:val="21"/>
          <w:szCs w:val="21"/>
        </w:rPr>
        <w:t>表4-</w:t>
      </w:r>
      <w:r>
        <w:rPr>
          <w:b/>
          <w:snapToGrid w:val="0"/>
          <w:kern w:val="0"/>
          <w:sz w:val="21"/>
          <w:szCs w:val="21"/>
        </w:rPr>
        <w:t>2</w:t>
      </w:r>
      <w:r>
        <w:rPr>
          <w:rFonts w:hint="eastAsia"/>
          <w:b/>
          <w:snapToGrid w:val="0"/>
          <w:kern w:val="0"/>
          <w:sz w:val="21"/>
          <w:szCs w:val="21"/>
          <w:lang w:val="en-US" w:eastAsia="zh-CN"/>
        </w:rPr>
        <w:t xml:space="preserve"> </w:t>
      </w:r>
      <w:r>
        <w:rPr>
          <w:b/>
          <w:snapToGrid w:val="0"/>
          <w:kern w:val="0"/>
          <w:sz w:val="21"/>
          <w:szCs w:val="21"/>
        </w:rPr>
        <w:t xml:space="preserve"> </w:t>
      </w:r>
      <w:r>
        <w:rPr>
          <w:rFonts w:hint="eastAsia"/>
          <w:b/>
          <w:snapToGrid w:val="0"/>
          <w:kern w:val="0"/>
          <w:sz w:val="21"/>
          <w:szCs w:val="21"/>
        </w:rPr>
        <w:t>安全检查表</w:t>
      </w:r>
    </w:p>
    <w:tbl>
      <w:tblPr>
        <w:tblStyle w:val="52"/>
        <w:tblW w:w="852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14"/>
        <w:gridCol w:w="1852"/>
        <w:gridCol w:w="1852"/>
        <w:gridCol w:w="1852"/>
        <w:gridCol w:w="18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序号</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检查项目</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检查依据</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检查结果</w:t>
            </w: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b/>
                <w:szCs w:val="21"/>
              </w:rPr>
            </w:pPr>
            <w:r>
              <w:rPr>
                <w:rFonts w:hint="eastAsia" w:cs="宋体"/>
                <w:b/>
                <w:szCs w:val="21"/>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trPr>
        <w:tc>
          <w:tcPr>
            <w:tcW w:w="1114" w:type="dxa"/>
            <w:vAlign w:val="center"/>
          </w:tcPr>
          <w:p>
            <w:pPr>
              <w:pStyle w:val="80"/>
              <w:keepNext w:val="0"/>
              <w:keepLines w:val="0"/>
              <w:suppressLineNumbers w:val="0"/>
              <w:spacing w:beforeAutospacing="0" w:afterAutospacing="0"/>
              <w:ind w:left="0" w:right="0"/>
              <w:rPr>
                <w:rFonts w:hint="default"/>
                <w:snapToGrid w:val="0"/>
              </w:rPr>
            </w:pPr>
          </w:p>
        </w:tc>
        <w:tc>
          <w:tcPr>
            <w:tcW w:w="1852" w:type="dxa"/>
            <w:vAlign w:val="center"/>
          </w:tcPr>
          <w:p>
            <w:pPr>
              <w:keepNext w:val="0"/>
              <w:keepLines w:val="0"/>
              <w:suppressLineNumbers w:val="0"/>
              <w:adjustRightInd w:val="0"/>
              <w:snapToGrid w:val="0"/>
              <w:spacing w:before="0" w:beforeAutospacing="0" w:after="0" w:afterAutospacing="0"/>
              <w:ind w:left="0" w:right="0"/>
              <w:rPr>
                <w:rFonts w:hint="default"/>
                <w:b/>
                <w:snapToGrid w:val="0"/>
                <w:kern w:val="0"/>
                <w:szCs w:val="21"/>
              </w:rPr>
            </w:pP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snapToGrid w:val="0"/>
                <w:kern w:val="0"/>
                <w:szCs w:val="21"/>
              </w:rPr>
            </w:pPr>
          </w:p>
        </w:tc>
        <w:tc>
          <w:tcPr>
            <w:tcW w:w="1852" w:type="dxa"/>
            <w:vAlign w:val="center"/>
          </w:tcPr>
          <w:p>
            <w:pPr>
              <w:keepNext w:val="0"/>
              <w:keepLines w:val="0"/>
              <w:suppressLineNumbers w:val="0"/>
              <w:adjustRightInd w:val="0"/>
              <w:snapToGrid w:val="0"/>
              <w:spacing w:before="0" w:beforeAutospacing="0" w:after="0" w:afterAutospacing="0"/>
              <w:ind w:left="0" w:right="0"/>
              <w:jc w:val="center"/>
              <w:rPr>
                <w:rFonts w:hint="default"/>
                <w:bCs/>
                <w:snapToGrid w:val="0"/>
                <w:kern w:val="0"/>
                <w:szCs w:val="21"/>
              </w:rPr>
            </w:pPr>
          </w:p>
        </w:tc>
        <w:tc>
          <w:tcPr>
            <w:tcW w:w="1852" w:type="dxa"/>
            <w:vAlign w:val="center"/>
          </w:tcPr>
          <w:p>
            <w:pPr>
              <w:pStyle w:val="80"/>
              <w:keepNext w:val="0"/>
              <w:keepLines w:val="0"/>
              <w:suppressLineNumbers w:val="0"/>
              <w:spacing w:beforeAutospacing="0" w:afterAutospacing="0"/>
              <w:ind w:left="0" w:right="0"/>
              <w:rPr>
                <w:rFonts w:hint="default"/>
                <w:snapToGrid w:val="0"/>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sz w:val="28"/>
        </w:rPr>
      </w:pPr>
      <w:r>
        <w:rPr>
          <w:rFonts w:hint="eastAsia"/>
          <w:sz w:val="28"/>
        </w:rPr>
        <w:t>安全检查表的具体操作程序如下：</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1、熟悉系统</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包括系统结构、功能、工艺流程、主要设备、操作条件、平面布置、已有的安全卫生设施、安全管理现状等。</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2、搜集资料</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搜集有关的安全法规、标准、制度以及本系统过去发生过事故的资料，作为编制安全检查表的依据。</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3、划分单元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按功能或结构将系统划分成子系统或单元。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4、编制安全检查表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针对危险因素，依据有关法规、标准规定，参考过去的事故教训和本单位的经验确定安全检查表的检查要点、内容和为达到安全指标应采取的措施，并按照一定的要求编制安全检查表。</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5、实施检查</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对照已编制完成的安全检查表，进行逐项检查，对检查项目的符合性作出判断。</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6、评价结果汇总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rPr>
      </w:pPr>
      <w:r>
        <w:rPr>
          <w:rFonts w:hint="eastAsia"/>
          <w:sz w:val="28"/>
        </w:rPr>
        <w:t>将检查的结果汇总，并据此提出具体的安全对策措施及建议。</w:t>
      </w:r>
      <w:bookmarkEnd w:id="110"/>
    </w:p>
    <w:p>
      <w:pPr>
        <w:pStyle w:val="5"/>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eastAsia="黑体" w:cs="Times New Roman"/>
          <w:b w:val="0"/>
          <w:snapToGrid w:val="0"/>
          <w:color w:val="auto"/>
          <w:kern w:val="0"/>
          <w:sz w:val="28"/>
          <w:szCs w:val="28"/>
          <w:lang w:val="en-US" w:eastAsia="zh-CN"/>
        </w:rPr>
      </w:pPr>
      <w:r>
        <w:rPr>
          <w:rFonts w:hint="default" w:ascii="Times New Roman" w:hAnsi="Times New Roman" w:eastAsia="黑体" w:cs="Times New Roman"/>
          <w:b w:val="0"/>
          <w:snapToGrid w:val="0"/>
          <w:color w:val="auto"/>
          <w:kern w:val="0"/>
          <w:sz w:val="28"/>
          <w:szCs w:val="28"/>
        </w:rPr>
        <w:t>4.</w:t>
      </w:r>
      <w:r>
        <w:rPr>
          <w:rFonts w:hint="default" w:ascii="Times New Roman" w:hAnsi="Times New Roman" w:eastAsia="黑体" w:cs="Times New Roman"/>
          <w:b w:val="0"/>
          <w:snapToGrid w:val="0"/>
          <w:color w:val="auto"/>
          <w:kern w:val="0"/>
          <w:sz w:val="28"/>
          <w:szCs w:val="28"/>
          <w:lang w:val="en-US" w:eastAsia="zh-CN"/>
        </w:rPr>
        <w:t>2</w:t>
      </w:r>
      <w:r>
        <w:rPr>
          <w:rFonts w:hint="default" w:ascii="Times New Roman" w:hAnsi="Times New Roman" w:eastAsia="黑体" w:cs="Times New Roman"/>
          <w:b w:val="0"/>
          <w:snapToGrid w:val="0"/>
          <w:color w:val="auto"/>
          <w:kern w:val="0"/>
          <w:sz w:val="28"/>
          <w:szCs w:val="28"/>
        </w:rPr>
        <w:t>.</w:t>
      </w:r>
      <w:r>
        <w:rPr>
          <w:rFonts w:hint="default" w:ascii="Times New Roman" w:hAnsi="Times New Roman" w:eastAsia="黑体" w:cs="Times New Roman"/>
          <w:b w:val="0"/>
          <w:snapToGrid w:val="0"/>
          <w:color w:val="auto"/>
          <w:kern w:val="0"/>
          <w:sz w:val="28"/>
          <w:szCs w:val="28"/>
          <w:lang w:val="en-US" w:eastAsia="zh-CN"/>
        </w:rPr>
        <w:t>2</w:t>
      </w:r>
      <w:r>
        <w:rPr>
          <w:rFonts w:hint="default" w:ascii="Times New Roman" w:hAnsi="Times New Roman" w:eastAsia="黑体" w:cs="Times New Roman"/>
          <w:b w:val="0"/>
          <w:snapToGrid w:val="0"/>
          <w:color w:val="auto"/>
          <w:kern w:val="0"/>
          <w:sz w:val="28"/>
          <w:szCs w:val="28"/>
        </w:rPr>
        <w:t xml:space="preserve"> </w:t>
      </w:r>
      <w:r>
        <w:rPr>
          <w:rFonts w:hint="default" w:ascii="Times New Roman" w:hAnsi="Times New Roman" w:eastAsia="黑体" w:cs="Times New Roman"/>
          <w:b w:val="0"/>
          <w:snapToGrid w:val="0"/>
          <w:color w:val="auto"/>
          <w:kern w:val="0"/>
          <w:sz w:val="28"/>
          <w:szCs w:val="28"/>
          <w:lang w:val="en-US" w:eastAsia="zh-CN"/>
        </w:rPr>
        <w:t>作业条件危险性评价法（LEC）</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作业条件危险性评价法是以所评价的环境与某些作为参考环境的对比为基础，将作业条件的危险性做因变量（D），事故或危险事件发生的可能性（L）、暴露于危险环境的频率（E）及危险严重程度（C）为自变量，确定他们之间的函数式。对所评价的对象根据情况进行</w:t>
      </w:r>
      <w:r>
        <w:rPr>
          <w:rFonts w:hint="default" w:ascii="Times New Roman" w:hAnsi="Times New Roman"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rPr>
        <w:t>打分</w:t>
      </w:r>
      <w:r>
        <w:rPr>
          <w:rFonts w:hint="default" w:ascii="Times New Roman" w:hAnsi="Times New Roman"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rPr>
        <w:t>，然后根据公式计算出其危险程度。从而定量的对其危险性进行评价。</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作业条件危险性评价是一种简单的半定量评价，是根据事故发生的可能性、人员暴露于危险环境的频率程度和一旦发生事故可能造成的后果等因素来确定的。</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L-事故或危险时间发生的可能性；</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E—暴露于危险环境的频率；</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C—发生事故或危险事件的可能结果。</w:t>
      </w:r>
    </w:p>
    <w:p>
      <w:pPr>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作业条件的危险性：D=L·E·C</w:t>
      </w:r>
    </w:p>
    <w:p>
      <w:pPr>
        <w:numPr>
          <w:ilvl w:val="0"/>
          <w:numId w:val="27"/>
        </w:numPr>
        <w:autoSpaceDE w:val="0"/>
        <w:autoSpaceDN w:val="0"/>
        <w:adjustRightInd w:val="0"/>
        <w:snapToGrid w:val="0"/>
        <w:spacing w:line="360" w:lineRule="auto"/>
        <w:ind w:firstLine="560" w:firstLineChars="200"/>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E、C取值见表</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3</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5</w:t>
      </w:r>
      <w:r>
        <w:rPr>
          <w:rFonts w:hint="default" w:ascii="Times New Roman" w:hAnsi="Times New Roman" w:cs="Times New Roman"/>
          <w:snapToGrid w:val="0"/>
          <w:color w:val="auto"/>
          <w:kern w:val="0"/>
          <w:sz w:val="28"/>
          <w:szCs w:val="28"/>
        </w:rPr>
        <w:t>，D值见表</w:t>
      </w:r>
      <w:r>
        <w:rPr>
          <w:rFonts w:hint="default" w:ascii="Times New Roman" w:hAnsi="Times New Roman" w:cs="Times New Roman"/>
          <w:snapToGrid w:val="0"/>
          <w:color w:val="auto"/>
          <w:kern w:val="0"/>
          <w:sz w:val="28"/>
          <w:szCs w:val="28"/>
          <w:lang w:val="en-US" w:eastAsia="zh-CN"/>
        </w:rPr>
        <w:t>4</w:t>
      </w:r>
      <w:r>
        <w:rPr>
          <w:rFonts w:hint="default" w:ascii="Times New Roman" w:hAnsi="Times New Roman" w:cs="Times New Roman"/>
          <w:snapToGrid w:val="0"/>
          <w:color w:val="auto"/>
          <w:kern w:val="0"/>
          <w:sz w:val="28"/>
          <w:szCs w:val="28"/>
        </w:rPr>
        <w:t>-</w:t>
      </w:r>
      <w:r>
        <w:rPr>
          <w:rFonts w:hint="default" w:ascii="Times New Roman" w:hAnsi="Times New Roman" w:cs="Times New Roman"/>
          <w:snapToGrid w:val="0"/>
          <w:color w:val="auto"/>
          <w:kern w:val="0"/>
          <w:sz w:val="28"/>
          <w:szCs w:val="28"/>
          <w:lang w:val="en-US" w:eastAsia="zh-CN"/>
        </w:rPr>
        <w:t>6</w:t>
      </w:r>
      <w:r>
        <w:rPr>
          <w:rFonts w:hint="default" w:ascii="Times New Roman" w:hAnsi="Times New Roman" w:cs="Times New Roman"/>
          <w:snapToGrid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snapToGrid w:val="0"/>
          <w:kern w:val="0"/>
          <w:sz w:val="21"/>
          <w:szCs w:val="21"/>
        </w:rPr>
      </w:pPr>
      <w:r>
        <w:rPr>
          <w:rFonts w:hint="default"/>
          <w:b/>
          <w:snapToGrid w:val="0"/>
          <w:kern w:val="0"/>
          <w:sz w:val="21"/>
          <w:szCs w:val="21"/>
        </w:rPr>
        <w:t>表</w:t>
      </w:r>
      <w:r>
        <w:rPr>
          <w:rFonts w:hint="default"/>
          <w:b/>
          <w:snapToGrid w:val="0"/>
          <w:kern w:val="0"/>
          <w:sz w:val="21"/>
          <w:szCs w:val="21"/>
          <w:lang w:val="en-US" w:eastAsia="zh-CN"/>
        </w:rPr>
        <w:t>4</w:t>
      </w:r>
      <w:r>
        <w:rPr>
          <w:rFonts w:hint="default"/>
          <w:b/>
          <w:snapToGrid w:val="0"/>
          <w:kern w:val="0"/>
          <w:sz w:val="21"/>
          <w:szCs w:val="21"/>
        </w:rPr>
        <w:t>-</w:t>
      </w:r>
      <w:r>
        <w:rPr>
          <w:rFonts w:hint="default"/>
          <w:b/>
          <w:snapToGrid w:val="0"/>
          <w:kern w:val="0"/>
          <w:sz w:val="21"/>
          <w:szCs w:val="21"/>
          <w:lang w:val="en-US" w:eastAsia="zh-CN"/>
        </w:rPr>
        <w:t>3</w:t>
      </w:r>
      <w:r>
        <w:rPr>
          <w:rFonts w:hint="default"/>
          <w:b/>
          <w:snapToGrid w:val="0"/>
          <w:kern w:val="0"/>
          <w:sz w:val="21"/>
          <w:szCs w:val="21"/>
        </w:rPr>
        <w:t xml:space="preserve">  发生事故或危险事件的可能性分值表</w:t>
      </w:r>
    </w:p>
    <w:tbl>
      <w:tblPr>
        <w:tblStyle w:val="52"/>
        <w:tblW w:w="911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3256"/>
        <w:gridCol w:w="1218"/>
        <w:gridCol w:w="33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事故或危险情况发生可能性</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事故或危险情况发生可能性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10*</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完全会被预料到</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0.5</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可以设想，但高度不可能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6</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相当可能</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0.2</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极不可能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3</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不经常，但可能</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0.1*</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实际上不可能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02"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1*</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r>
              <w:rPr>
                <w:rFonts w:hint="default" w:ascii="Times New Roman" w:hAnsi="Times New Roman" w:cs="Times New Roman"/>
                <w:snapToGrid w:val="0"/>
                <w:color w:val="auto"/>
                <w:kern w:val="0"/>
                <w:szCs w:val="24"/>
              </w:rPr>
              <w:t>完全意外，极少可能</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4"/>
              </w:rPr>
            </w:pPr>
          </w:p>
        </w:tc>
      </w:tr>
    </w:tbl>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snapToGrid w:val="0"/>
          <w:kern w:val="0"/>
          <w:sz w:val="21"/>
          <w:szCs w:val="21"/>
        </w:rPr>
      </w:pPr>
      <w:r>
        <w:rPr>
          <w:rFonts w:hint="default"/>
          <w:b/>
          <w:snapToGrid w:val="0"/>
          <w:kern w:val="0"/>
          <w:sz w:val="21"/>
          <w:szCs w:val="21"/>
        </w:rPr>
        <w:t>表</w:t>
      </w:r>
      <w:r>
        <w:rPr>
          <w:rFonts w:hint="default"/>
          <w:b/>
          <w:snapToGrid w:val="0"/>
          <w:kern w:val="0"/>
          <w:sz w:val="21"/>
          <w:szCs w:val="21"/>
          <w:lang w:val="en-US" w:eastAsia="zh-CN"/>
        </w:rPr>
        <w:t>4</w:t>
      </w:r>
      <w:r>
        <w:rPr>
          <w:rFonts w:hint="default"/>
          <w:b/>
          <w:snapToGrid w:val="0"/>
          <w:kern w:val="0"/>
          <w:sz w:val="21"/>
          <w:szCs w:val="21"/>
        </w:rPr>
        <w:t>-</w:t>
      </w:r>
      <w:r>
        <w:rPr>
          <w:rFonts w:hint="default"/>
          <w:b/>
          <w:snapToGrid w:val="0"/>
          <w:kern w:val="0"/>
          <w:sz w:val="21"/>
          <w:szCs w:val="21"/>
          <w:lang w:val="en-US" w:eastAsia="zh-CN"/>
        </w:rPr>
        <w:t>4</w:t>
      </w:r>
      <w:r>
        <w:rPr>
          <w:rFonts w:hint="default"/>
          <w:b/>
          <w:snapToGrid w:val="0"/>
          <w:kern w:val="0"/>
          <w:sz w:val="21"/>
          <w:szCs w:val="21"/>
        </w:rPr>
        <w:t xml:space="preserve">  暴露于危险环境的分值表</w:t>
      </w:r>
    </w:p>
    <w:tbl>
      <w:tblPr>
        <w:tblStyle w:val="52"/>
        <w:tblW w:w="911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3256"/>
        <w:gridCol w:w="1218"/>
        <w:gridCol w:w="35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2"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出现于危险环境的情况</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出现于危险环境的情况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10*</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连续暴露于潜在危险环境</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2</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每月暴露一次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2"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6</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逐日在工作时间内暴露</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每年几次出现在潜在危险环境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52" w:hRule="atLeast"/>
          <w:jc w:val="center"/>
        </w:trPr>
        <w:tc>
          <w:tcPr>
            <w:tcW w:w="1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3</w:t>
            </w:r>
          </w:p>
        </w:tc>
        <w:tc>
          <w:tcPr>
            <w:tcW w:w="325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每周一次或偶然地暴露</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0.1</w:t>
            </w:r>
          </w:p>
        </w:tc>
        <w:tc>
          <w:tcPr>
            <w:tcW w:w="352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非常罕见地暴露</w:t>
            </w:r>
          </w:p>
        </w:tc>
      </w:tr>
    </w:tbl>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snapToGrid w:val="0"/>
          <w:kern w:val="0"/>
          <w:sz w:val="21"/>
          <w:szCs w:val="21"/>
        </w:rPr>
      </w:pPr>
      <w:r>
        <w:rPr>
          <w:rFonts w:hint="default"/>
          <w:b/>
          <w:snapToGrid w:val="0"/>
          <w:kern w:val="0"/>
          <w:sz w:val="21"/>
          <w:szCs w:val="21"/>
        </w:rPr>
        <w:t>表</w:t>
      </w:r>
      <w:r>
        <w:rPr>
          <w:rFonts w:hint="default"/>
          <w:b/>
          <w:snapToGrid w:val="0"/>
          <w:kern w:val="0"/>
          <w:sz w:val="21"/>
          <w:szCs w:val="21"/>
          <w:lang w:val="en-US" w:eastAsia="zh-CN"/>
        </w:rPr>
        <w:t>4</w:t>
      </w:r>
      <w:r>
        <w:rPr>
          <w:rFonts w:hint="default"/>
          <w:b/>
          <w:snapToGrid w:val="0"/>
          <w:kern w:val="0"/>
          <w:sz w:val="21"/>
          <w:szCs w:val="21"/>
        </w:rPr>
        <w:t>-</w:t>
      </w:r>
      <w:r>
        <w:rPr>
          <w:rFonts w:hint="default"/>
          <w:b/>
          <w:snapToGrid w:val="0"/>
          <w:kern w:val="0"/>
          <w:sz w:val="21"/>
          <w:szCs w:val="21"/>
          <w:lang w:val="en-US" w:eastAsia="zh-CN"/>
        </w:rPr>
        <w:t>5</w:t>
      </w:r>
      <w:r>
        <w:rPr>
          <w:rFonts w:hint="default"/>
          <w:b/>
          <w:snapToGrid w:val="0"/>
          <w:kern w:val="0"/>
          <w:sz w:val="21"/>
          <w:szCs w:val="21"/>
        </w:rPr>
        <w:t xml:space="preserve"> 发生事故或危险时间的可能结果的分值表</w:t>
      </w:r>
    </w:p>
    <w:tbl>
      <w:tblPr>
        <w:tblStyle w:val="52"/>
        <w:tblW w:w="911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707"/>
        <w:gridCol w:w="1218"/>
        <w:gridCol w:w="33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可能结果</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可能结果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100*</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大灾难，许多人死亡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7</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严重，严重伤害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40</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灾难，数人死亡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3</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重大，致残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51"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15</w:t>
            </w:r>
          </w:p>
        </w:tc>
        <w:tc>
          <w:tcPr>
            <w:tcW w:w="3707"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非常严重，一人死亡</w:t>
            </w:r>
          </w:p>
        </w:tc>
        <w:tc>
          <w:tcPr>
            <w:tcW w:w="1218"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w:t>
            </w:r>
          </w:p>
        </w:tc>
        <w:tc>
          <w:tcPr>
            <w:tcW w:w="3340"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引人瞩目，需要救护</w:t>
            </w:r>
          </w:p>
        </w:tc>
      </w:tr>
    </w:tbl>
    <w:p>
      <w:pPr>
        <w:keepNext w:val="0"/>
        <w:keepLines w:val="0"/>
        <w:pageBreakBefore w:val="0"/>
        <w:widowControl w:val="0"/>
        <w:kinsoku/>
        <w:wordWrap/>
        <w:overflowPunct/>
        <w:topLinePunct w:val="0"/>
        <w:autoSpaceDE/>
        <w:autoSpaceDN/>
        <w:bidi w:val="0"/>
        <w:adjustRightInd w:val="0"/>
        <w:snapToGrid w:val="0"/>
        <w:spacing w:before="161" w:beforeLines="50" w:line="240" w:lineRule="auto"/>
        <w:ind w:firstLine="0" w:firstLineChars="0"/>
        <w:jc w:val="center"/>
        <w:textAlignment w:val="auto"/>
        <w:rPr>
          <w:rFonts w:hint="default" w:ascii="Times New Roman" w:hAnsi="Times New Roman" w:eastAsia="宋体" w:cs="Times New Roman"/>
          <w:b/>
          <w:bCs/>
          <w:snapToGrid w:val="0"/>
          <w:color w:val="auto"/>
          <w:kern w:val="0"/>
          <w:sz w:val="24"/>
          <w:szCs w:val="24"/>
        </w:rPr>
      </w:pPr>
      <w:r>
        <w:rPr>
          <w:rFonts w:hint="default"/>
          <w:b/>
          <w:snapToGrid w:val="0"/>
          <w:kern w:val="0"/>
          <w:sz w:val="21"/>
          <w:szCs w:val="21"/>
        </w:rPr>
        <w:t>表</w:t>
      </w:r>
      <w:r>
        <w:rPr>
          <w:rFonts w:hint="default"/>
          <w:b/>
          <w:snapToGrid w:val="0"/>
          <w:kern w:val="0"/>
          <w:sz w:val="21"/>
          <w:szCs w:val="21"/>
          <w:lang w:val="en-US" w:eastAsia="zh-CN"/>
        </w:rPr>
        <w:t>4</w:t>
      </w:r>
      <w:r>
        <w:rPr>
          <w:rFonts w:hint="default"/>
          <w:b/>
          <w:snapToGrid w:val="0"/>
          <w:kern w:val="0"/>
          <w:sz w:val="21"/>
          <w:szCs w:val="21"/>
        </w:rPr>
        <w:t>-</w:t>
      </w:r>
      <w:r>
        <w:rPr>
          <w:rFonts w:hint="default"/>
          <w:b/>
          <w:snapToGrid w:val="0"/>
          <w:kern w:val="0"/>
          <w:sz w:val="21"/>
          <w:szCs w:val="21"/>
          <w:lang w:val="en-US" w:eastAsia="zh-CN"/>
        </w:rPr>
        <w:t>6</w:t>
      </w:r>
      <w:r>
        <w:rPr>
          <w:rFonts w:hint="default"/>
          <w:b/>
          <w:snapToGrid w:val="0"/>
          <w:kern w:val="0"/>
          <w:sz w:val="21"/>
          <w:szCs w:val="21"/>
        </w:rPr>
        <w:t xml:space="preserve"> 作业条件危险性分值与危险程度表</w:t>
      </w:r>
    </w:p>
    <w:tbl>
      <w:tblPr>
        <w:tblStyle w:val="52"/>
        <w:tblW w:w="911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663"/>
        <w:gridCol w:w="1203"/>
        <w:gridCol w:w="31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危险程度</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分值</w:t>
            </w: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320</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及其危险，不能继续作业</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20-70</w:t>
            </w: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可能危险，需要注意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160-320</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高度危险，需要立即整改</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20</w:t>
            </w: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稍有危险，或许可以接受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134"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70-160</w:t>
            </w:r>
          </w:p>
        </w:tc>
        <w:tc>
          <w:tcPr>
            <w:tcW w:w="366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显著危险，需要整改</w:t>
            </w:r>
          </w:p>
        </w:tc>
        <w:tc>
          <w:tcPr>
            <w:tcW w:w="1203"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p>
        </w:tc>
        <w:tc>
          <w:tcPr>
            <w:tcW w:w="3116" w:type="dxa"/>
            <w:tcBorders>
              <w:tl2br w:val="nil"/>
              <w:tr2bl w:val="nil"/>
            </w:tcBorders>
            <w:noWrap w:val="0"/>
            <w:tcMar>
              <w:top w:w="85" w:type="dxa"/>
              <w:left w:w="85" w:type="dxa"/>
              <w:bottom w:w="85" w:type="dxa"/>
              <w:right w:w="85"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z w:val="28"/>
        </w:rPr>
      </w:pPr>
    </w:p>
    <w:p>
      <w:pPr>
        <w:widowControl/>
        <w:jc w:val="left"/>
        <w:rPr>
          <w:sz w:val="28"/>
          <w:szCs w:val="28"/>
        </w:rPr>
      </w:pPr>
      <w:r>
        <w:rPr>
          <w:szCs w:val="28"/>
        </w:rPr>
        <w:br w:type="page"/>
      </w:r>
    </w:p>
    <w:p>
      <w:pPr>
        <w:pStyle w:val="3"/>
        <w:adjustRightInd w:val="0"/>
        <w:snapToGrid w:val="0"/>
        <w:spacing w:line="360" w:lineRule="auto"/>
        <w:rPr>
          <w:rFonts w:eastAsia="楷体_GB2312"/>
          <w:b/>
          <w:sz w:val="36"/>
          <w:szCs w:val="36"/>
        </w:rPr>
      </w:pPr>
      <w:bookmarkStart w:id="121" w:name="_Toc416954893"/>
      <w:bookmarkStart w:id="122" w:name="_Toc446488249"/>
      <w:bookmarkStart w:id="123" w:name="_Toc281310749"/>
      <w:bookmarkStart w:id="124" w:name="_Toc11784"/>
      <w:r>
        <w:rPr>
          <w:rFonts w:hint="eastAsia" w:eastAsia="楷体_GB2312"/>
          <w:b/>
          <w:sz w:val="36"/>
          <w:szCs w:val="36"/>
        </w:rPr>
        <w:t>5</w:t>
      </w:r>
      <w:r>
        <w:rPr>
          <w:rFonts w:eastAsia="楷体_GB2312"/>
          <w:b/>
          <w:sz w:val="36"/>
          <w:szCs w:val="36"/>
        </w:rPr>
        <w:t xml:space="preserve"> </w:t>
      </w:r>
      <w:r>
        <w:rPr>
          <w:rFonts w:hint="eastAsia" w:eastAsia="楷体_GB2312"/>
          <w:b/>
          <w:sz w:val="36"/>
          <w:szCs w:val="36"/>
        </w:rPr>
        <w:t>安全检查表评价</w:t>
      </w:r>
      <w:bookmarkEnd w:id="121"/>
      <w:bookmarkEnd w:id="122"/>
      <w:bookmarkEnd w:id="123"/>
      <w:bookmarkEnd w:id="124"/>
    </w:p>
    <w:p>
      <w:pPr>
        <w:pStyle w:val="4"/>
        <w:adjustRightInd w:val="0"/>
        <w:snapToGrid w:val="0"/>
        <w:spacing w:before="0" w:after="0" w:line="360" w:lineRule="auto"/>
        <w:rPr>
          <w:rFonts w:ascii="Times New Roman" w:hAnsi="Times New Roman"/>
          <w:b w:val="0"/>
          <w:bCs/>
          <w:szCs w:val="32"/>
        </w:rPr>
      </w:pPr>
      <w:bookmarkStart w:id="125" w:name="_Toc416954894"/>
      <w:bookmarkStart w:id="126" w:name="_Toc21002"/>
      <w:bookmarkStart w:id="127" w:name="_Toc281310751"/>
      <w:bookmarkStart w:id="128" w:name="_Toc446488250"/>
      <w:r>
        <w:rPr>
          <w:rFonts w:hint="eastAsia" w:ascii="Times New Roman" w:hAnsi="Times New Roman"/>
          <w:b w:val="0"/>
          <w:bCs/>
          <w:szCs w:val="32"/>
        </w:rPr>
        <w:t>5.1 生产单元安全检查表</w:t>
      </w:r>
      <w:bookmarkEnd w:id="125"/>
      <w:bookmarkEnd w:id="126"/>
      <w:bookmarkEnd w:id="127"/>
      <w:bookmarkEnd w:id="128"/>
    </w:p>
    <w:p>
      <w:pPr>
        <w:adjustRightInd w:val="0"/>
        <w:snapToGrid w:val="0"/>
        <w:spacing w:line="360" w:lineRule="auto"/>
        <w:ind w:firstLine="560" w:firstLineChars="200"/>
        <w:rPr>
          <w:sz w:val="28"/>
        </w:rPr>
      </w:pPr>
      <w:r>
        <w:rPr>
          <w:rFonts w:hint="eastAsia"/>
          <w:sz w:val="28"/>
        </w:rPr>
        <w:t>评价过程中，该公司</w:t>
      </w:r>
      <w:r>
        <w:rPr>
          <w:rFonts w:hint="eastAsia"/>
          <w:sz w:val="28"/>
          <w:lang w:val="en-US" w:eastAsia="zh-CN"/>
        </w:rPr>
        <w:t>大修侧钻1队</w:t>
      </w:r>
      <w:r>
        <w:rPr>
          <w:rFonts w:hint="eastAsia"/>
          <w:sz w:val="28"/>
        </w:rPr>
        <w:t>在</w:t>
      </w:r>
      <w:bookmarkStart w:id="129" w:name="_Hlk535831811"/>
      <w:r>
        <w:rPr>
          <w:rFonts w:hint="eastAsia"/>
          <w:sz w:val="28"/>
        </w:rPr>
        <w:t>胜坨油田坨128-斜32井进行</w:t>
      </w:r>
      <w:r>
        <w:rPr>
          <w:rFonts w:hint="eastAsia"/>
          <w:sz w:val="28"/>
          <w:lang w:val="en-US" w:eastAsia="zh-CN"/>
        </w:rPr>
        <w:t>施工，该井涉及大修</w:t>
      </w:r>
      <w:r>
        <w:rPr>
          <w:rFonts w:hint="eastAsia"/>
          <w:sz w:val="28"/>
        </w:rPr>
        <w:t>作业、井下复杂情况处理（打捞）</w:t>
      </w:r>
      <w:bookmarkEnd w:id="129"/>
      <w:r>
        <w:rPr>
          <w:rFonts w:hint="eastAsia"/>
          <w:sz w:val="28"/>
          <w:lang w:val="en-US" w:eastAsia="zh-CN"/>
        </w:rPr>
        <w:t>作业；作业1队在乐安油田草4-3-斜326井</w:t>
      </w:r>
      <w:r>
        <w:rPr>
          <w:rFonts w:hint="eastAsia"/>
          <w:sz w:val="28"/>
          <w:szCs w:val="28"/>
        </w:rPr>
        <w:t>进行</w:t>
      </w:r>
      <w:r>
        <w:rPr>
          <w:rFonts w:hint="eastAsia"/>
          <w:sz w:val="28"/>
          <w:szCs w:val="28"/>
          <w:lang w:val="en-US" w:eastAsia="zh-CN"/>
        </w:rPr>
        <w:t>施工，该井涉及小修、堵水/调剖、现场试压作业；技术服务队在尚店油田尚2-斜53井进行施工，该井为光油管酸化作业</w:t>
      </w:r>
      <w:r>
        <w:rPr>
          <w:rFonts w:hint="eastAsia"/>
          <w:sz w:val="28"/>
          <w:szCs w:val="28"/>
        </w:rPr>
        <w:t>。</w:t>
      </w:r>
      <w:r>
        <w:rPr>
          <w:rFonts w:hint="eastAsia"/>
          <w:sz w:val="28"/>
        </w:rPr>
        <w:t>评价组根据</w:t>
      </w:r>
      <w:bookmarkStart w:id="130" w:name="_Hlk535844100"/>
      <w:r>
        <w:rPr>
          <w:rFonts w:hint="eastAsia"/>
          <w:sz w:val="28"/>
        </w:rPr>
        <w:t>胜坨油田坨128-斜32井、</w:t>
      </w:r>
      <w:r>
        <w:rPr>
          <w:rFonts w:hint="eastAsia"/>
          <w:sz w:val="28"/>
          <w:lang w:val="en-US" w:eastAsia="zh-CN"/>
        </w:rPr>
        <w:t>乐安油田草4-3-斜326井</w:t>
      </w:r>
      <w:r>
        <w:rPr>
          <w:rFonts w:hint="eastAsia"/>
          <w:sz w:val="28"/>
        </w:rPr>
        <w:t>及</w:t>
      </w:r>
      <w:bookmarkEnd w:id="130"/>
      <w:r>
        <w:rPr>
          <w:rFonts w:hint="eastAsia" w:ascii="Times New Roman" w:hAnsi="Times New Roman" w:cs="Times New Roman"/>
          <w:sz w:val="28"/>
          <w:lang w:val="en-US" w:eastAsia="zh-CN"/>
        </w:rPr>
        <w:t>尚店油田尚2-斜53井进行</w:t>
      </w:r>
      <w:r>
        <w:rPr>
          <w:rFonts w:hint="eastAsia"/>
          <w:sz w:val="28"/>
        </w:rPr>
        <w:t>检查评价。</w:t>
      </w:r>
    </w:p>
    <w:p>
      <w:pPr>
        <w:keepNext/>
        <w:keepLines/>
        <w:adjustRightInd w:val="0"/>
        <w:snapToGrid w:val="0"/>
        <w:spacing w:line="360" w:lineRule="auto"/>
        <w:outlineLvl w:val="2"/>
        <w:rPr>
          <w:rFonts w:hint="eastAsia" w:eastAsia="黑体"/>
          <w:bCs/>
          <w:snapToGrid w:val="0"/>
          <w:kern w:val="0"/>
          <w:sz w:val="28"/>
          <w:szCs w:val="28"/>
          <w:lang w:val="en-US" w:eastAsia="zh-CN"/>
        </w:rPr>
      </w:pPr>
      <w:bookmarkStart w:id="131" w:name="_Toc472176467"/>
      <w:bookmarkStart w:id="132" w:name="_Toc472176361"/>
      <w:r>
        <w:rPr>
          <w:rFonts w:eastAsia="黑体"/>
          <w:bCs/>
          <w:snapToGrid w:val="0"/>
          <w:kern w:val="0"/>
          <w:sz w:val="28"/>
          <w:szCs w:val="28"/>
        </w:rPr>
        <w:t xml:space="preserve">5.1.1 </w:t>
      </w:r>
      <w:bookmarkEnd w:id="131"/>
      <w:bookmarkEnd w:id="132"/>
      <w:r>
        <w:rPr>
          <w:rFonts w:hint="eastAsia" w:eastAsia="黑体"/>
          <w:bCs/>
          <w:snapToGrid w:val="0"/>
          <w:kern w:val="0"/>
          <w:sz w:val="28"/>
          <w:szCs w:val="28"/>
        </w:rPr>
        <w:t>胜坨油田坨128-斜32井</w:t>
      </w:r>
      <w:r>
        <w:rPr>
          <w:rFonts w:hint="eastAsia" w:eastAsia="黑体"/>
          <w:bCs/>
          <w:snapToGrid w:val="0"/>
          <w:kern w:val="0"/>
          <w:sz w:val="28"/>
          <w:szCs w:val="28"/>
          <w:lang w:eastAsia="zh-CN"/>
        </w:rPr>
        <w:t>（</w:t>
      </w:r>
      <w:r>
        <w:rPr>
          <w:rFonts w:hint="eastAsia" w:eastAsia="黑体"/>
          <w:bCs/>
          <w:snapToGrid w:val="0"/>
          <w:kern w:val="0"/>
          <w:sz w:val="28"/>
          <w:szCs w:val="28"/>
          <w:lang w:val="en-US" w:eastAsia="zh-CN"/>
        </w:rPr>
        <w:t>大修</w:t>
      </w:r>
      <w:r>
        <w:rPr>
          <w:rFonts w:hint="eastAsia" w:eastAsia="黑体"/>
          <w:bCs/>
          <w:snapToGrid w:val="0"/>
          <w:kern w:val="0"/>
          <w:sz w:val="28"/>
          <w:szCs w:val="28"/>
          <w:lang w:eastAsia="zh-CN"/>
        </w:rPr>
        <w:t>作业、井下复杂情况处理（打捞））</w:t>
      </w:r>
    </w:p>
    <w:p>
      <w:pPr>
        <w:pStyle w:val="216"/>
        <w:adjustRightInd w:val="0"/>
        <w:snapToGrid w:val="0"/>
        <w:spacing w:after="0" w:line="360" w:lineRule="auto"/>
        <w:ind w:firstLine="560" w:firstLineChars="200"/>
        <w:rPr>
          <w:rFonts w:hint="eastAsia"/>
          <w:b/>
          <w:bCs w:val="0"/>
          <w:sz w:val="28"/>
          <w:szCs w:val="28"/>
        </w:rPr>
      </w:pPr>
      <w:bookmarkStart w:id="133" w:name="_Hlk535843016"/>
      <w:r>
        <w:rPr>
          <w:rFonts w:hint="eastAsia"/>
          <w:b/>
          <w:bCs w:val="0"/>
          <w:sz w:val="28"/>
          <w:szCs w:val="28"/>
        </w:rPr>
        <w:t>1</w:t>
      </w:r>
      <w:r>
        <w:rPr>
          <w:b/>
          <w:bCs w:val="0"/>
          <w:sz w:val="28"/>
          <w:szCs w:val="28"/>
        </w:rPr>
        <w:t>.</w:t>
      </w:r>
      <w:r>
        <w:rPr>
          <w:rFonts w:hint="eastAsia" w:ascii="宋体" w:hAnsi="宋体" w:eastAsia="宋体" w:cs="宋体"/>
          <w:b/>
          <w:bCs w:val="0"/>
          <w:snapToGrid w:val="0"/>
          <w:kern w:val="0"/>
          <w:sz w:val="28"/>
          <w:szCs w:val="28"/>
          <w:lang w:val="en-US" w:eastAsia="zh-CN"/>
        </w:rPr>
        <w:t>施工</w:t>
      </w:r>
      <w:r>
        <w:rPr>
          <w:rFonts w:hint="eastAsia" w:ascii="宋体" w:hAnsi="宋体" w:eastAsia="宋体" w:cs="宋体"/>
          <w:b/>
          <w:bCs w:val="0"/>
          <w:snapToGrid w:val="0"/>
          <w:kern w:val="0"/>
          <w:sz w:val="28"/>
          <w:szCs w:val="28"/>
        </w:rPr>
        <w:t>情况</w:t>
      </w:r>
      <w:r>
        <w:rPr>
          <w:rFonts w:hint="eastAsia" w:ascii="宋体" w:hAnsi="宋体" w:eastAsia="宋体" w:cs="宋体"/>
          <w:b/>
          <w:bCs w:val="0"/>
          <w:snapToGrid w:val="0"/>
          <w:kern w:val="0"/>
          <w:sz w:val="28"/>
          <w:szCs w:val="28"/>
          <w:lang w:val="en-US" w:eastAsia="zh-CN"/>
        </w:rPr>
        <w:t>简介</w:t>
      </w:r>
    </w:p>
    <w:p>
      <w:pPr>
        <w:pStyle w:val="216"/>
        <w:adjustRightInd w:val="0"/>
        <w:snapToGrid w:val="0"/>
        <w:spacing w:after="0" w:line="360" w:lineRule="auto"/>
        <w:ind w:firstLine="560" w:firstLineChars="200"/>
        <w:rPr>
          <w:rFonts w:hint="eastAsia" w:ascii="Times New Roman" w:hAnsi="Times New Roman" w:cs="Times New Roman"/>
          <w:sz w:val="28"/>
          <w:szCs w:val="28"/>
        </w:rPr>
      </w:pPr>
      <w:r>
        <w:rPr>
          <w:rFonts w:hint="eastAsia" w:ascii="Times New Roman" w:hAnsi="Times New Roman" w:cs="Times New Roman"/>
          <w:sz w:val="28"/>
          <w:szCs w:val="28"/>
          <w:lang w:val="en-US" w:eastAsia="zh-CN"/>
        </w:rPr>
        <w:t>1）</w:t>
      </w:r>
      <w:r>
        <w:rPr>
          <w:rFonts w:hint="eastAsia" w:ascii="Times New Roman" w:hAnsi="Times New Roman" w:cs="Times New Roman"/>
          <w:sz w:val="28"/>
          <w:szCs w:val="28"/>
        </w:rPr>
        <w:t>井场道路及井场周边环境</w:t>
      </w:r>
    </w:p>
    <w:bookmarkEnd w:id="133"/>
    <w:p>
      <w:pPr>
        <w:pStyle w:val="216"/>
        <w:adjustRightInd w:val="0"/>
        <w:snapToGrid w:val="0"/>
        <w:spacing w:after="0" w:line="360" w:lineRule="auto"/>
        <w:ind w:firstLine="560" w:firstLineChars="200"/>
        <w:rPr>
          <w:rFonts w:hint="eastAsia"/>
          <w:sz w:val="28"/>
          <w:szCs w:val="28"/>
        </w:rPr>
      </w:pPr>
      <w:bookmarkStart w:id="134" w:name="_Hlk536085336"/>
      <w:r>
        <w:rPr>
          <w:rFonts w:hint="eastAsia"/>
          <w:sz w:val="28"/>
          <w:szCs w:val="28"/>
        </w:rPr>
        <w:t>胜坨油田坨128-斜32井位于东营市</w:t>
      </w:r>
      <w:r>
        <w:rPr>
          <w:rFonts w:hint="eastAsia"/>
          <w:sz w:val="28"/>
          <w:szCs w:val="28"/>
          <w:lang w:val="en-US" w:eastAsia="zh-CN"/>
        </w:rPr>
        <w:t>东营</w:t>
      </w:r>
      <w:r>
        <w:rPr>
          <w:rFonts w:hint="eastAsia"/>
          <w:sz w:val="28"/>
          <w:szCs w:val="28"/>
        </w:rPr>
        <w:t>区，属于</w:t>
      </w:r>
      <w:r>
        <w:rPr>
          <w:rFonts w:hint="eastAsia"/>
          <w:sz w:val="28"/>
          <w:szCs w:val="28"/>
          <w:lang w:val="en-US" w:eastAsia="en-US"/>
        </w:rPr>
        <w:t>胜利采油厂</w:t>
      </w:r>
      <w:r>
        <w:rPr>
          <w:rFonts w:hint="eastAsia"/>
          <w:sz w:val="28"/>
          <w:szCs w:val="28"/>
        </w:rPr>
        <w:t>采油管理七区</w:t>
      </w:r>
      <w:bookmarkEnd w:id="134"/>
      <w:r>
        <w:rPr>
          <w:rFonts w:hint="eastAsia"/>
          <w:sz w:val="28"/>
          <w:szCs w:val="28"/>
          <w:lang w:eastAsia="zh-CN"/>
        </w:rPr>
        <w:t>，</w:t>
      </w:r>
      <w:r>
        <w:rPr>
          <w:rFonts w:hint="eastAsia"/>
          <w:sz w:val="28"/>
          <w:szCs w:val="28"/>
        </w:rPr>
        <w:t>坨128-斜32井进井路均为素土夯实路</w:t>
      </w:r>
      <w:r>
        <w:rPr>
          <w:rFonts w:hint="eastAsia"/>
          <w:sz w:val="28"/>
          <w:szCs w:val="28"/>
          <w:lang w:eastAsia="zh-CN"/>
        </w:rPr>
        <w:t>，</w:t>
      </w:r>
      <w:r>
        <w:rPr>
          <w:rFonts w:hint="eastAsia"/>
          <w:sz w:val="28"/>
          <w:szCs w:val="28"/>
        </w:rPr>
        <w:t>井道路状况良好；周围为农田及荒地。井场四周设有警戒线，外部人员不能随便进入现场。井场内有值班站房，井场布置能够满足施工需要。井场无污染，井口装置、生产设施配套基本齐全。上述井场井进井道路及周边环境见图5-1。</w:t>
      </w:r>
    </w:p>
    <w:p>
      <w:pPr>
        <w:pStyle w:val="216"/>
        <w:adjustRightInd w:val="0"/>
        <w:snapToGrid w:val="0"/>
        <w:spacing w:after="0" w:line="360" w:lineRule="auto"/>
        <w:ind w:firstLine="420" w:firstLineChars="200"/>
        <w:rPr>
          <w:rFonts w:hint="eastAsia"/>
          <w:sz w:val="28"/>
          <w:szCs w:val="28"/>
        </w:rPr>
      </w:pPr>
      <w:r>
        <w:rPr>
          <w:rFonts w:hint="default"/>
          <w:lang w:eastAsia="zh-CN"/>
        </w:rPr>
        <w:drawing>
          <wp:anchor distT="0" distB="0" distL="114300" distR="114300" simplePos="0" relativeHeight="251662336" behindDoc="0" locked="0" layoutInCell="1" allowOverlap="1">
            <wp:simplePos x="0" y="0"/>
            <wp:positionH relativeFrom="column">
              <wp:posOffset>2812415</wp:posOffset>
            </wp:positionH>
            <wp:positionV relativeFrom="paragraph">
              <wp:posOffset>3810</wp:posOffset>
            </wp:positionV>
            <wp:extent cx="2623820" cy="2206625"/>
            <wp:effectExtent l="0" t="0" r="5080" b="3175"/>
            <wp:wrapNone/>
            <wp:docPr id="5" name="图片 5" descr="17957dccbf2e0322300e0bb2271c2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957dccbf2e0322300e0bb2271c2a8"/>
                    <pic:cNvPicPr>
                      <a:picLocks noChangeAspect="1"/>
                    </pic:cNvPicPr>
                  </pic:nvPicPr>
                  <pic:blipFill>
                    <a:blip r:embed="rId23"/>
                    <a:srcRect t="-1569" r="9792"/>
                    <a:stretch>
                      <a:fillRect/>
                    </a:stretch>
                  </pic:blipFill>
                  <pic:spPr>
                    <a:xfrm>
                      <a:off x="0" y="0"/>
                      <a:ext cx="2623820" cy="2206625"/>
                    </a:xfrm>
                    <a:prstGeom prst="rect">
                      <a:avLst/>
                    </a:prstGeom>
                  </pic:spPr>
                </pic:pic>
              </a:graphicData>
            </a:graphic>
          </wp:anchor>
        </w:drawing>
      </w:r>
      <w:r>
        <w:rPr>
          <w:rFonts w:hint="default"/>
          <w:lang w:eastAsia="zh-CN"/>
        </w:rPr>
        <w:drawing>
          <wp:anchor distT="0" distB="0" distL="114300" distR="114300" simplePos="0" relativeHeight="251661312" behindDoc="0" locked="0" layoutInCell="1" allowOverlap="1">
            <wp:simplePos x="0" y="0"/>
            <wp:positionH relativeFrom="column">
              <wp:posOffset>71120</wp:posOffset>
            </wp:positionH>
            <wp:positionV relativeFrom="paragraph">
              <wp:posOffset>24765</wp:posOffset>
            </wp:positionV>
            <wp:extent cx="2649220" cy="2207895"/>
            <wp:effectExtent l="0" t="0" r="17780" b="1905"/>
            <wp:wrapNone/>
            <wp:docPr id="4" name="图片 4" descr="IMG_20220527_112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0220527_112220"/>
                    <pic:cNvPicPr>
                      <a:picLocks noChangeAspect="1"/>
                    </pic:cNvPicPr>
                  </pic:nvPicPr>
                  <pic:blipFill>
                    <a:blip r:embed="rId24"/>
                    <a:srcRect l="714" t="50198" b="1910"/>
                    <a:stretch>
                      <a:fillRect/>
                    </a:stretch>
                  </pic:blipFill>
                  <pic:spPr>
                    <a:xfrm>
                      <a:off x="0" y="0"/>
                      <a:ext cx="2649220" cy="2207895"/>
                    </a:xfrm>
                    <a:prstGeom prst="rect">
                      <a:avLst/>
                    </a:prstGeom>
                  </pic:spPr>
                </pic:pic>
              </a:graphicData>
            </a:graphic>
          </wp:anchor>
        </w:drawing>
      </w:r>
    </w:p>
    <w:p>
      <w:pPr>
        <w:pStyle w:val="216"/>
        <w:adjustRightInd w:val="0"/>
        <w:snapToGrid w:val="0"/>
        <w:spacing w:after="0" w:line="360" w:lineRule="auto"/>
        <w:ind w:firstLine="560" w:firstLineChars="200"/>
        <w:rPr>
          <w:rFonts w:hint="eastAsia"/>
          <w:sz w:val="28"/>
          <w:szCs w:val="28"/>
        </w:rPr>
      </w:pPr>
    </w:p>
    <w:p>
      <w:pPr>
        <w:pStyle w:val="216"/>
        <w:adjustRightInd w:val="0"/>
        <w:snapToGrid w:val="0"/>
        <w:spacing w:after="0" w:line="360" w:lineRule="auto"/>
        <w:ind w:firstLine="560" w:firstLineChars="200"/>
        <w:rPr>
          <w:rFonts w:hint="eastAsia"/>
          <w:sz w:val="28"/>
          <w:szCs w:val="28"/>
        </w:rPr>
      </w:pPr>
    </w:p>
    <w:p>
      <w:pPr>
        <w:pStyle w:val="216"/>
        <w:adjustRightInd w:val="0"/>
        <w:snapToGrid w:val="0"/>
        <w:spacing w:after="0" w:line="360" w:lineRule="auto"/>
        <w:ind w:firstLine="560" w:firstLineChars="200"/>
        <w:rPr>
          <w:rFonts w:hint="eastAsia"/>
          <w:sz w:val="28"/>
          <w:szCs w:val="28"/>
        </w:rPr>
      </w:pPr>
    </w:p>
    <w:p>
      <w:pPr>
        <w:pStyle w:val="216"/>
        <w:adjustRightInd w:val="0"/>
        <w:snapToGrid w:val="0"/>
        <w:spacing w:after="0" w:line="360" w:lineRule="auto"/>
        <w:ind w:firstLine="560" w:firstLineChars="200"/>
        <w:rPr>
          <w:rFonts w:hint="eastAsia"/>
          <w:sz w:val="28"/>
          <w:szCs w:val="28"/>
        </w:rPr>
      </w:pPr>
    </w:p>
    <w:p>
      <w:pPr>
        <w:pStyle w:val="216"/>
        <w:adjustRightInd w:val="0"/>
        <w:snapToGrid w:val="0"/>
        <w:spacing w:after="0" w:line="360" w:lineRule="auto"/>
        <w:ind w:firstLine="560" w:firstLineChars="200"/>
        <w:rPr>
          <w:rFonts w:hint="eastAsia"/>
          <w:sz w:val="28"/>
          <w:szCs w:val="28"/>
        </w:rPr>
      </w:pPr>
    </w:p>
    <w:p>
      <w:pPr>
        <w:pStyle w:val="216"/>
        <w:adjustRightInd w:val="0"/>
        <w:snapToGrid w:val="0"/>
        <w:spacing w:after="0" w:line="360" w:lineRule="auto"/>
        <w:ind w:firstLine="560" w:firstLineChars="200"/>
        <w:rPr>
          <w:rFonts w:hint="eastAsia"/>
          <w:sz w:val="28"/>
          <w:szCs w:val="28"/>
        </w:rPr>
      </w:pPr>
    </w:p>
    <w:p>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jc w:val="center"/>
        <w:textAlignment w:val="auto"/>
        <w:rPr>
          <w:rFonts w:hint="eastAsia" w:ascii="Times New Roman" w:hAnsi="Times New Roman" w:cs="Times New Roman"/>
          <w:b/>
        </w:rPr>
      </w:pPr>
      <w:r>
        <w:rPr>
          <w:rFonts w:hint="eastAsia" w:ascii="Times New Roman" w:hAnsi="Times New Roman" w:cs="Times New Roman"/>
          <w:b/>
        </w:rPr>
        <w:t>图5-1</w:t>
      </w:r>
      <w:r>
        <w:rPr>
          <w:rFonts w:hint="eastAsia" w:cs="Times New Roman"/>
          <w:b/>
          <w:lang w:val="en-US" w:eastAsia="zh-CN"/>
        </w:rPr>
        <w:t xml:space="preserve">  </w:t>
      </w:r>
      <w:r>
        <w:rPr>
          <w:rFonts w:hint="eastAsia" w:ascii="Times New Roman" w:hAnsi="Times New Roman" w:cs="Times New Roman"/>
          <w:b/>
        </w:rPr>
        <w:t>胜坨油田坨128-斜32井进场道路及周边环境</w:t>
      </w:r>
    </w:p>
    <w:p>
      <w:pPr>
        <w:pStyle w:val="216"/>
        <w:numPr>
          <w:ilvl w:val="0"/>
          <w:numId w:val="28"/>
        </w:numPr>
        <w:adjustRightInd w:val="0"/>
        <w:snapToGrid w:val="0"/>
        <w:spacing w:after="0" w:line="360" w:lineRule="auto"/>
        <w:ind w:firstLine="560" w:firstLineChars="20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施工工序</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cs="Times New Roman"/>
          <w:sz w:val="28"/>
          <w:szCs w:val="28"/>
          <w:lang w:val="en-US" w:eastAsia="zh-CN"/>
        </w:rPr>
      </w:pPr>
      <w:r>
        <w:rPr>
          <w:rFonts w:hint="eastAsia" w:ascii="宋体" w:hAnsi="宋体" w:eastAsia="宋体" w:cs="宋体"/>
          <w:sz w:val="28"/>
          <w:szCs w:val="28"/>
          <w:lang w:val="en-US" w:eastAsia="zh-CN"/>
        </w:rPr>
        <w:t>1.</w:t>
      </w:r>
      <w:r>
        <w:rPr>
          <w:rFonts w:hint="default" w:ascii="Times New Roman" w:hAnsi="Times New Roman" w:cs="Times New Roman"/>
          <w:sz w:val="28"/>
          <w:szCs w:val="28"/>
          <w:lang w:val="en-US" w:eastAsia="zh-CN"/>
        </w:rPr>
        <w:t>装封井器，井口安装防喷器，并注意井控。起出原井管柱，仔细检查油管、大四通、悬挂器、套管短节及井下工具使用情况，更换不合格工具及油管。</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cs="Times New Roman"/>
          <w:sz w:val="28"/>
          <w:szCs w:val="28"/>
          <w:lang w:val="en-US" w:eastAsia="zh-CN"/>
        </w:rPr>
      </w:pPr>
      <w:r>
        <w:rPr>
          <w:rFonts w:hint="eastAsia" w:ascii="宋体" w:hAnsi="宋体" w:eastAsia="宋体" w:cs="宋体"/>
          <w:sz w:val="28"/>
          <w:szCs w:val="28"/>
          <w:lang w:val="en-US" w:eastAsia="zh-CN"/>
        </w:rPr>
        <w:t>2.</w:t>
      </w:r>
      <w:r>
        <w:rPr>
          <w:rFonts w:hint="default" w:ascii="Times New Roman" w:hAnsi="Times New Roman" w:cs="Times New Roman"/>
          <w:sz w:val="28"/>
          <w:szCs w:val="28"/>
          <w:lang w:val="en-US" w:eastAsia="zh-CN"/>
        </w:rPr>
        <w:t>大修打捞</w:t>
      </w:r>
      <w:r>
        <w:rPr>
          <w:rFonts w:hint="eastAsia" w:ascii="Times New Roman" w:hAnsi="Times New Roman" w:cs="Times New Roman"/>
          <w:sz w:val="28"/>
          <w:szCs w:val="28"/>
          <w:lang w:val="en-US" w:eastAsia="zh-CN"/>
        </w:rPr>
        <w:t>。</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cs="Times New Roman"/>
          <w:sz w:val="28"/>
          <w:szCs w:val="28"/>
          <w:lang w:val="en-US" w:eastAsia="zh-CN"/>
        </w:rPr>
      </w:pPr>
      <w:r>
        <w:rPr>
          <w:rFonts w:hint="eastAsia" w:ascii="宋体" w:hAnsi="宋体" w:eastAsia="宋体" w:cs="宋体"/>
          <w:sz w:val="28"/>
          <w:szCs w:val="28"/>
          <w:lang w:val="en-US" w:eastAsia="zh-CN"/>
        </w:rPr>
        <w:t>3.</w:t>
      </w:r>
      <w:r>
        <w:rPr>
          <w:rFonts w:hint="default" w:ascii="Times New Roman" w:hAnsi="Times New Roman" w:cs="Times New Roman"/>
          <w:sz w:val="28"/>
          <w:szCs w:val="28"/>
          <w:lang w:val="en-US" w:eastAsia="zh-CN"/>
        </w:rPr>
        <w:t>通井。用Φ114通井规通井至井底。</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cs="Times New Roman"/>
          <w:sz w:val="28"/>
          <w:szCs w:val="28"/>
          <w:lang w:val="en-US" w:eastAsia="zh-CN"/>
        </w:rPr>
      </w:pPr>
      <w:r>
        <w:rPr>
          <w:rFonts w:hint="eastAsia" w:ascii="宋体" w:hAnsi="宋体" w:eastAsia="宋体" w:cs="宋体"/>
          <w:sz w:val="28"/>
          <w:szCs w:val="28"/>
          <w:lang w:val="en-US" w:eastAsia="zh-CN"/>
        </w:rPr>
        <w:t>4.</w:t>
      </w:r>
      <w:r>
        <w:rPr>
          <w:rFonts w:hint="default" w:ascii="Times New Roman" w:hAnsi="Times New Roman" w:cs="Times New Roman"/>
          <w:sz w:val="28"/>
          <w:szCs w:val="28"/>
          <w:lang w:val="en-US" w:eastAsia="zh-CN"/>
        </w:rPr>
        <w:t>全井测40臂</w:t>
      </w:r>
      <w:r>
        <w:rPr>
          <w:rFonts w:hint="eastAsia" w:ascii="Times New Roman" w:hAnsi="Times New Roman" w:cs="Times New Roman"/>
          <w:sz w:val="28"/>
          <w:szCs w:val="28"/>
          <w:lang w:val="en-US" w:eastAsia="zh-CN"/>
        </w:rPr>
        <w:t>。</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cs="Times New Roman"/>
          <w:sz w:val="28"/>
          <w:szCs w:val="28"/>
          <w:lang w:val="en-US" w:eastAsia="zh-CN"/>
        </w:rPr>
      </w:pPr>
      <w:r>
        <w:rPr>
          <w:rFonts w:hint="eastAsia" w:ascii="宋体" w:hAnsi="宋体" w:eastAsia="宋体" w:cs="宋体"/>
          <w:sz w:val="28"/>
          <w:szCs w:val="28"/>
          <w:lang w:val="en-US" w:eastAsia="zh-CN"/>
        </w:rPr>
        <w:t>5.</w:t>
      </w:r>
      <w:r>
        <w:rPr>
          <w:rFonts w:hint="default" w:ascii="Times New Roman" w:hAnsi="Times New Roman" w:cs="Times New Roman"/>
          <w:sz w:val="28"/>
          <w:szCs w:val="28"/>
          <w:lang w:val="en-US" w:eastAsia="zh-CN"/>
        </w:rPr>
        <w:t>按设计要求下入完井管柱，Φ58mm通管规通管</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cs="Times New Roman"/>
          <w:sz w:val="28"/>
          <w:szCs w:val="28"/>
          <w:lang w:val="en-US" w:eastAsia="zh-CN"/>
        </w:rPr>
      </w:pPr>
      <w:r>
        <w:rPr>
          <w:rFonts w:hint="eastAsia" w:ascii="宋体" w:hAnsi="宋体" w:eastAsia="宋体" w:cs="宋体"/>
          <w:sz w:val="28"/>
          <w:szCs w:val="28"/>
          <w:lang w:val="en-US" w:eastAsia="zh-CN"/>
        </w:rPr>
        <w:t>6.</w:t>
      </w:r>
      <w:r>
        <w:rPr>
          <w:rFonts w:hint="default" w:ascii="Times New Roman" w:hAnsi="Times New Roman" w:cs="Times New Roman"/>
          <w:sz w:val="28"/>
          <w:szCs w:val="28"/>
          <w:lang w:val="en-US" w:eastAsia="zh-CN"/>
        </w:rPr>
        <w:t>试压，打压8、12、18</w:t>
      </w:r>
      <w:r>
        <w:rPr>
          <w:rFonts w:hint="eastAsia" w:cs="Times New Roman"/>
          <w:sz w:val="28"/>
          <w:szCs w:val="28"/>
          <w:lang w:val="en-US" w:eastAsia="zh-CN"/>
        </w:rPr>
        <w:t>Mpa</w:t>
      </w:r>
      <w:r>
        <w:rPr>
          <w:rFonts w:hint="default" w:ascii="Times New Roman" w:hAnsi="Times New Roman" w:cs="Times New Roman"/>
          <w:sz w:val="28"/>
          <w:szCs w:val="28"/>
          <w:lang w:val="en-US" w:eastAsia="zh-CN"/>
        </w:rPr>
        <w:t>，各稳压5分钟不降合格，继续打压至压力突降。</w:t>
      </w:r>
    </w:p>
    <w:p>
      <w:pPr>
        <w:pStyle w:val="216"/>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560" w:firstLineChars="200"/>
        <w:textAlignment w:val="auto"/>
        <w:rPr>
          <w:rFonts w:hint="default" w:ascii="Times New Roman" w:hAnsi="Times New Roman" w:cs="Times New Roman"/>
          <w:sz w:val="28"/>
          <w:szCs w:val="28"/>
          <w:lang w:val="en-US" w:eastAsia="zh-CN"/>
        </w:rPr>
      </w:pPr>
      <w:r>
        <w:rPr>
          <w:rFonts w:hint="eastAsia" w:ascii="宋体" w:hAnsi="宋体" w:eastAsia="宋体" w:cs="宋体"/>
          <w:sz w:val="28"/>
          <w:szCs w:val="28"/>
          <w:lang w:val="en-US" w:eastAsia="zh-CN"/>
        </w:rPr>
        <w:t>7.</w:t>
      </w:r>
      <w:r>
        <w:rPr>
          <w:rFonts w:hint="default" w:ascii="Times New Roman" w:hAnsi="Times New Roman" w:cs="Times New Roman"/>
          <w:sz w:val="28"/>
          <w:szCs w:val="28"/>
          <w:lang w:val="en-US" w:eastAsia="zh-CN"/>
        </w:rPr>
        <w:t>井口齐全、不渗不漏、洗井正常、注水合格后交井</w:t>
      </w:r>
      <w:r>
        <w:rPr>
          <w:rFonts w:hint="eastAsia" w:ascii="Times New Roman" w:hAnsi="Times New Roman" w:cs="Times New Roman"/>
          <w:sz w:val="28"/>
          <w:szCs w:val="28"/>
          <w:lang w:val="en-US" w:eastAsia="zh-CN"/>
        </w:rPr>
        <w:t>。</w:t>
      </w:r>
    </w:p>
    <w:p>
      <w:pPr>
        <w:pStyle w:val="216"/>
        <w:adjustRightInd w:val="0"/>
        <w:snapToGrid w:val="0"/>
        <w:spacing w:after="0" w:line="360" w:lineRule="auto"/>
        <w:ind w:firstLine="560" w:firstLineChars="200"/>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w:t>
      </w: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井身机构及井控设备配置</w:t>
      </w:r>
    </w:p>
    <w:p>
      <w:pPr>
        <w:keepNext w:val="0"/>
        <w:keepLines w:val="0"/>
        <w:pageBreakBefore w:val="0"/>
        <w:widowControl/>
        <w:kinsoku/>
        <w:wordWrap/>
        <w:overflowPunct/>
        <w:topLinePunct w:val="0"/>
        <w:autoSpaceDE/>
        <w:autoSpaceDN/>
        <w:bidi w:val="0"/>
        <w:adjustRightInd w:val="0"/>
        <w:snapToGrid w:val="0"/>
        <w:spacing w:before="0" w:after="0" w:line="240" w:lineRule="auto"/>
        <w:jc w:val="center"/>
        <w:textAlignment w:val="auto"/>
        <w:outlineLvl w:val="9"/>
        <w:rPr>
          <w:rFonts w:hint="default" w:ascii="Times New Roman" w:hAnsi="Times New Roman" w:eastAsia="宋体" w:cs="Times New Roman"/>
          <w:b/>
          <w:kern w:val="2"/>
          <w:sz w:val="21"/>
          <w:szCs w:val="21"/>
          <w:lang w:val="en-US" w:eastAsia="zh-CN" w:bidi="ar-SA"/>
        </w:rPr>
      </w:pPr>
      <w:r>
        <w:rPr>
          <w:rFonts w:hint="eastAsia" w:ascii="Times New Roman" w:hAnsi="Times New Roman" w:eastAsia="宋体" w:cs="Times New Roman"/>
          <w:b/>
          <w:kern w:val="2"/>
          <w:sz w:val="21"/>
          <w:szCs w:val="21"/>
          <w:lang w:val="en-US" w:eastAsia="zh-CN" w:bidi="ar-SA"/>
        </w:rPr>
        <w:t>表5-1  井身结构情况</w:t>
      </w:r>
    </w:p>
    <w:tbl>
      <w:tblPr>
        <w:tblStyle w:val="281"/>
        <w:tblW w:w="856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2180"/>
        <w:gridCol w:w="630"/>
        <w:gridCol w:w="630"/>
        <w:gridCol w:w="622"/>
        <w:gridCol w:w="608"/>
        <w:gridCol w:w="820"/>
        <w:gridCol w:w="1113"/>
        <w:gridCol w:w="1031"/>
        <w:gridCol w:w="92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2180" w:type="dxa"/>
            <w:vMerge w:val="restart"/>
            <w:tcBorders>
              <w:tl2br w:val="nil"/>
              <w:tr2bl w:val="nil"/>
            </w:tcBorders>
            <w:noWrap w:val="0"/>
            <w:tcMar>
              <w:top w:w="10" w:type="dxa"/>
              <w:left w:w="1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套管层次</w:t>
            </w:r>
          </w:p>
        </w:tc>
        <w:tc>
          <w:tcPr>
            <w:tcW w:w="630"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外径</w:t>
            </w:r>
          </w:p>
        </w:tc>
        <w:tc>
          <w:tcPr>
            <w:tcW w:w="630" w:type="dxa"/>
            <w:vMerge w:val="restart"/>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钢级</w:t>
            </w:r>
          </w:p>
        </w:tc>
        <w:tc>
          <w:tcPr>
            <w:tcW w:w="622"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壁厚</w:t>
            </w:r>
          </w:p>
        </w:tc>
        <w:tc>
          <w:tcPr>
            <w:tcW w:w="608"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内径</w:t>
            </w:r>
          </w:p>
        </w:tc>
        <w:tc>
          <w:tcPr>
            <w:tcW w:w="820"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抗内压</w:t>
            </w:r>
          </w:p>
        </w:tc>
        <w:tc>
          <w:tcPr>
            <w:tcW w:w="1113"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联入/顶深</w:t>
            </w:r>
          </w:p>
        </w:tc>
        <w:tc>
          <w:tcPr>
            <w:tcW w:w="1031"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下入深度</w:t>
            </w:r>
          </w:p>
        </w:tc>
        <w:tc>
          <w:tcPr>
            <w:tcW w:w="927"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水泥返深</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2180"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b w:val="0"/>
                <w:bCs w:val="0"/>
                <w:i w:val="0"/>
                <w:iCs w:val="0"/>
                <w:smallCaps w:val="0"/>
                <w:color w:val="000000"/>
                <w:kern w:val="0"/>
                <w:sz w:val="18"/>
                <w:szCs w:val="18"/>
              </w:rPr>
            </w:pPr>
          </w:p>
        </w:tc>
        <w:tc>
          <w:tcPr>
            <w:tcW w:w="630"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lang w:val="en-US" w:eastAsia="en-US"/>
              </w:rPr>
              <w:t>mm</w:t>
            </w:r>
          </w:p>
        </w:tc>
        <w:tc>
          <w:tcPr>
            <w:tcW w:w="630"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b w:val="0"/>
                <w:bCs w:val="0"/>
                <w:i w:val="0"/>
                <w:iCs w:val="0"/>
                <w:smallCaps w:val="0"/>
                <w:color w:val="000000"/>
                <w:kern w:val="0"/>
                <w:sz w:val="18"/>
                <w:szCs w:val="18"/>
                <w:lang w:val="en-US" w:eastAsia="en-US"/>
              </w:rPr>
            </w:pPr>
          </w:p>
        </w:tc>
        <w:tc>
          <w:tcPr>
            <w:tcW w:w="622"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lang w:val="en-US" w:eastAsia="en-US"/>
              </w:rPr>
              <w:t>mm</w:t>
            </w:r>
          </w:p>
        </w:tc>
        <w:tc>
          <w:tcPr>
            <w:tcW w:w="608"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lang w:val="en-US" w:eastAsia="en-US"/>
              </w:rPr>
              <w:t>mm</w:t>
            </w:r>
          </w:p>
        </w:tc>
        <w:tc>
          <w:tcPr>
            <w:tcW w:w="820"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lang w:val="en-US" w:eastAsia="en-US"/>
              </w:rPr>
              <w:t>MPa</w:t>
            </w:r>
          </w:p>
        </w:tc>
        <w:tc>
          <w:tcPr>
            <w:tcW w:w="1113"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lang w:val="en-US" w:eastAsia="en-US"/>
              </w:rPr>
              <w:t>m</w:t>
            </w:r>
          </w:p>
        </w:tc>
        <w:tc>
          <w:tcPr>
            <w:tcW w:w="1031"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lang w:val="en-US" w:eastAsia="en-US"/>
              </w:rPr>
              <w:t>m</w:t>
            </w:r>
          </w:p>
        </w:tc>
        <w:tc>
          <w:tcPr>
            <w:tcW w:w="927"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lang w:val="en-US" w:eastAsia="en-US"/>
              </w:rPr>
              <w:t>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18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表层套管</w:t>
            </w:r>
          </w:p>
        </w:tc>
        <w:tc>
          <w:tcPr>
            <w:tcW w:w="63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339.7</w:t>
            </w:r>
          </w:p>
        </w:tc>
        <w:tc>
          <w:tcPr>
            <w:tcW w:w="63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J55</w:t>
            </w:r>
          </w:p>
        </w:tc>
        <w:tc>
          <w:tcPr>
            <w:tcW w:w="622"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9.65</w:t>
            </w:r>
          </w:p>
        </w:tc>
        <w:tc>
          <w:tcPr>
            <w:tcW w:w="608"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320.4</w:t>
            </w:r>
          </w:p>
        </w:tc>
        <w:tc>
          <w:tcPr>
            <w:tcW w:w="82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p>
        </w:tc>
        <w:tc>
          <w:tcPr>
            <w:tcW w:w="1113"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p>
        </w:tc>
        <w:tc>
          <w:tcPr>
            <w:tcW w:w="1031"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339.7</w:t>
            </w:r>
          </w:p>
        </w:tc>
        <w:tc>
          <w:tcPr>
            <w:tcW w:w="927"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18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油层套管</w:t>
            </w:r>
          </w:p>
        </w:tc>
        <w:tc>
          <w:tcPr>
            <w:tcW w:w="63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139.7</w:t>
            </w:r>
          </w:p>
        </w:tc>
        <w:tc>
          <w:tcPr>
            <w:tcW w:w="63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N80</w:t>
            </w:r>
          </w:p>
        </w:tc>
        <w:tc>
          <w:tcPr>
            <w:tcW w:w="622"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7.72</w:t>
            </w:r>
          </w:p>
        </w:tc>
        <w:tc>
          <w:tcPr>
            <w:tcW w:w="608"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124.26</w:t>
            </w:r>
          </w:p>
        </w:tc>
        <w:tc>
          <w:tcPr>
            <w:tcW w:w="82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p>
        </w:tc>
        <w:tc>
          <w:tcPr>
            <w:tcW w:w="1113"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4.67</w:t>
            </w:r>
          </w:p>
        </w:tc>
        <w:tc>
          <w:tcPr>
            <w:tcW w:w="1031"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2363.26</w:t>
            </w:r>
          </w:p>
        </w:tc>
        <w:tc>
          <w:tcPr>
            <w:tcW w:w="927"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1113.5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18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油层套管</w:t>
            </w:r>
          </w:p>
        </w:tc>
        <w:tc>
          <w:tcPr>
            <w:tcW w:w="63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139.7</w:t>
            </w:r>
          </w:p>
        </w:tc>
        <w:tc>
          <w:tcPr>
            <w:tcW w:w="63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P110</w:t>
            </w:r>
          </w:p>
        </w:tc>
        <w:tc>
          <w:tcPr>
            <w:tcW w:w="622"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9.17</w:t>
            </w:r>
          </w:p>
        </w:tc>
        <w:tc>
          <w:tcPr>
            <w:tcW w:w="608"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121.36</w:t>
            </w:r>
          </w:p>
        </w:tc>
        <w:tc>
          <w:tcPr>
            <w:tcW w:w="82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p>
        </w:tc>
        <w:tc>
          <w:tcPr>
            <w:tcW w:w="1113"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4.67</w:t>
            </w:r>
          </w:p>
        </w:tc>
        <w:tc>
          <w:tcPr>
            <w:tcW w:w="1031"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3017.46</w:t>
            </w:r>
          </w:p>
        </w:tc>
        <w:tc>
          <w:tcPr>
            <w:tcW w:w="927"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1113.5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180" w:type="dxa"/>
            <w:tcBorders>
              <w:tl2br w:val="nil"/>
              <w:tr2bl w:val="nil"/>
            </w:tcBorders>
            <w:noWrap w:val="0"/>
            <w:tcMar>
              <w:top w:w="0" w:type="dxa"/>
              <w:left w:w="1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lang w:val="en-US" w:eastAsia="en-US"/>
              </w:rPr>
              <w:t>特殊套管位置</w:t>
            </w:r>
          </w:p>
        </w:tc>
        <w:tc>
          <w:tcPr>
            <w:tcW w:w="6381" w:type="dxa"/>
            <w:gridSpan w:val="8"/>
            <w:tcBorders>
              <w:tl2br w:val="nil"/>
              <w:tr2bl w:val="nil"/>
            </w:tcBorders>
            <w:noWrap w:val="0"/>
            <w:tcMar>
              <w:top w:w="0" w:type="dxa"/>
              <w:left w:w="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1598.51-1600.67,2239.62-2241.78,2647.97-2650.14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180" w:type="dxa"/>
            <w:tcBorders>
              <w:tl2br w:val="nil"/>
              <w:tr2bl w:val="nil"/>
            </w:tcBorders>
            <w:noWrap w:val="0"/>
            <w:tcMar>
              <w:top w:w="0" w:type="dxa"/>
              <w:left w:w="1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lang w:val="en-US" w:eastAsia="en-US"/>
              </w:rPr>
              <w:t>套管接箍位置</w:t>
            </w:r>
          </w:p>
        </w:tc>
        <w:tc>
          <w:tcPr>
            <w:tcW w:w="6381" w:type="dxa"/>
            <w:gridSpan w:val="8"/>
            <w:tcBorders>
              <w:tl2br w:val="nil"/>
              <w:tr2bl w:val="nil"/>
            </w:tcBorders>
            <w:noWrap w:val="0"/>
            <w:tcMar>
              <w:top w:w="0" w:type="dxa"/>
              <w:left w:w="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2950.01，2961.23，2972.37，2983.01，2994.66，3005.7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180" w:type="dxa"/>
            <w:tcBorders>
              <w:tl2br w:val="nil"/>
              <w:tr2bl w:val="nil"/>
            </w:tcBorders>
            <w:noWrap w:val="0"/>
            <w:tcMar>
              <w:top w:w="0" w:type="dxa"/>
              <w:left w:w="1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套管完好情况说明</w:t>
            </w:r>
          </w:p>
        </w:tc>
        <w:tc>
          <w:tcPr>
            <w:tcW w:w="6381" w:type="dxa"/>
            <w:gridSpan w:val="8"/>
            <w:tcBorders>
              <w:tl2br w:val="nil"/>
              <w:tr2bl w:val="nil"/>
            </w:tcBorders>
            <w:noWrap w:val="0"/>
            <w:tcMar>
              <w:top w:w="0" w:type="dxa"/>
              <w:left w:w="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套管无破损，鱼顶为半个油管节箍2360米。</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180" w:type="dxa"/>
            <w:tcBorders>
              <w:tl2br w:val="nil"/>
              <w:tr2bl w:val="nil"/>
            </w:tcBorders>
            <w:noWrap w:val="0"/>
            <w:tcMar>
              <w:top w:w="0" w:type="dxa"/>
              <w:left w:w="1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特殊说明</w:t>
            </w:r>
          </w:p>
        </w:tc>
        <w:tc>
          <w:tcPr>
            <w:tcW w:w="6381" w:type="dxa"/>
            <w:gridSpan w:val="8"/>
            <w:tcBorders>
              <w:tl2br w:val="nil"/>
              <w:tr2bl w:val="nil"/>
            </w:tcBorders>
            <w:noWrap w:val="0"/>
            <w:tcMar>
              <w:top w:w="0" w:type="dxa"/>
              <w:left w:w="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p>
        </w:tc>
      </w:tr>
    </w:tbl>
    <w:p>
      <w:pPr>
        <w:keepNext w:val="0"/>
        <w:keepLines w:val="0"/>
        <w:pageBreakBefore w:val="0"/>
        <w:widowControl/>
        <w:kinsoku/>
        <w:wordWrap/>
        <w:overflowPunct/>
        <w:topLinePunct w:val="0"/>
        <w:autoSpaceDE/>
        <w:autoSpaceDN/>
        <w:bidi w:val="0"/>
        <w:adjustRightInd w:val="0"/>
        <w:snapToGrid w:val="0"/>
        <w:spacing w:before="157" w:beforeLines="50" w:after="0" w:line="240" w:lineRule="auto"/>
        <w:jc w:val="center"/>
        <w:textAlignment w:val="auto"/>
        <w:outlineLvl w:val="9"/>
        <w:rPr>
          <w:rFonts w:hint="default" w:ascii="Times New Roman" w:hAnsi="Times New Roman" w:eastAsia="宋体" w:cs="Times New Roman"/>
          <w:b/>
          <w:kern w:val="2"/>
          <w:sz w:val="21"/>
          <w:szCs w:val="21"/>
          <w:lang w:val="en-US" w:eastAsia="zh-CN" w:bidi="ar-SA"/>
        </w:rPr>
      </w:pPr>
      <w:r>
        <w:rPr>
          <w:rFonts w:hint="eastAsia" w:ascii="Times New Roman" w:hAnsi="Times New Roman" w:eastAsia="宋体" w:cs="Times New Roman"/>
          <w:b/>
          <w:kern w:val="2"/>
          <w:sz w:val="21"/>
          <w:szCs w:val="21"/>
          <w:lang w:val="en-US" w:eastAsia="zh-CN" w:bidi="ar-SA"/>
        </w:rPr>
        <w:t>表5-</w:t>
      </w:r>
      <w:r>
        <w:rPr>
          <w:rFonts w:hint="eastAsia" w:ascii="Times New Roman" w:hAnsi="Times New Roman" w:cs="Times New Roman"/>
          <w:b/>
          <w:kern w:val="2"/>
          <w:sz w:val="21"/>
          <w:szCs w:val="21"/>
          <w:lang w:val="en-US" w:eastAsia="zh-CN" w:bidi="ar-SA"/>
        </w:rPr>
        <w:t>2</w:t>
      </w:r>
      <w:r>
        <w:rPr>
          <w:rFonts w:hint="eastAsia" w:ascii="Times New Roman" w:hAnsi="Times New Roman" w:eastAsia="宋体" w:cs="Times New Roman"/>
          <w:b/>
          <w:kern w:val="2"/>
          <w:sz w:val="21"/>
          <w:szCs w:val="21"/>
          <w:lang w:val="en-US" w:eastAsia="zh-CN" w:bidi="ar-SA"/>
        </w:rPr>
        <w:t xml:space="preserve">  井控设备配置</w:t>
      </w:r>
      <w:r>
        <w:rPr>
          <w:rFonts w:hint="eastAsia" w:ascii="Times New Roman" w:hAnsi="Times New Roman" w:cs="Times New Roman"/>
          <w:b/>
          <w:kern w:val="2"/>
          <w:sz w:val="21"/>
          <w:szCs w:val="21"/>
          <w:lang w:val="en-US" w:eastAsia="zh-CN" w:bidi="ar-SA"/>
        </w:rPr>
        <w:t>情况</w:t>
      </w:r>
    </w:p>
    <w:tbl>
      <w:tblPr>
        <w:tblStyle w:val="281"/>
        <w:tblW w:w="854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159"/>
        <w:gridCol w:w="1051"/>
        <w:gridCol w:w="694"/>
        <w:gridCol w:w="743"/>
        <w:gridCol w:w="489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1159" w:type="dxa"/>
            <w:tcBorders>
              <w:tl2br w:val="nil"/>
              <w:tr2bl w:val="nil"/>
            </w:tcBorders>
            <w:noWrap w:val="0"/>
            <w:tcMar>
              <w:top w:w="10" w:type="dxa"/>
              <w:left w:w="11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设备类型</w:t>
            </w:r>
          </w:p>
        </w:tc>
        <w:tc>
          <w:tcPr>
            <w:tcW w:w="1051"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设备型号</w:t>
            </w:r>
          </w:p>
        </w:tc>
        <w:tc>
          <w:tcPr>
            <w:tcW w:w="694"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单位</w:t>
            </w:r>
          </w:p>
        </w:tc>
        <w:tc>
          <w:tcPr>
            <w:tcW w:w="743"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数量</w:t>
            </w:r>
          </w:p>
        </w:tc>
        <w:tc>
          <w:tcPr>
            <w:tcW w:w="4895"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Fonts w:hint="default" w:ascii="宋体" w:hAnsi="宋体" w:eastAsia="宋体" w:cs="宋体"/>
                <w:b w:val="0"/>
                <w:bCs w:val="0"/>
                <w:i w:val="0"/>
                <w:iCs w:val="0"/>
                <w:smallCaps w:val="0"/>
                <w:color w:val="000000"/>
                <w:kern w:val="0"/>
                <w:sz w:val="18"/>
                <w:szCs w:val="18"/>
              </w:rPr>
              <w:t>现场试压要求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159"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作业液压双闸板防喷器</w:t>
            </w:r>
          </w:p>
        </w:tc>
        <w:tc>
          <w:tcPr>
            <w:tcW w:w="1051"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2FZ18-35</w:t>
            </w:r>
          </w:p>
        </w:tc>
        <w:tc>
          <w:tcPr>
            <w:tcW w:w="694"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台</w:t>
            </w:r>
          </w:p>
        </w:tc>
        <w:tc>
          <w:tcPr>
            <w:tcW w:w="743"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1</w:t>
            </w:r>
          </w:p>
        </w:tc>
        <w:tc>
          <w:tcPr>
            <w:tcW w:w="4895"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left"/>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试压35MPa，稳压30min，压降不超过0.7MPa为合格，试压合格。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159"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油管旋塞阀</w:t>
            </w:r>
          </w:p>
        </w:tc>
        <w:tc>
          <w:tcPr>
            <w:tcW w:w="1051"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XSF-35</w:t>
            </w:r>
          </w:p>
        </w:tc>
        <w:tc>
          <w:tcPr>
            <w:tcW w:w="694"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台</w:t>
            </w:r>
          </w:p>
        </w:tc>
        <w:tc>
          <w:tcPr>
            <w:tcW w:w="743"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1</w:t>
            </w:r>
          </w:p>
        </w:tc>
        <w:tc>
          <w:tcPr>
            <w:tcW w:w="4895"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left"/>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根据井口、防喷器的额定工作压力确定试压压力，稳压15min，压降不超过0.7MPa为合格。（备注：钻杆旋塞阀）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159"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油管旋塞阀</w:t>
            </w:r>
          </w:p>
        </w:tc>
        <w:tc>
          <w:tcPr>
            <w:tcW w:w="1051"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XSF-35</w:t>
            </w:r>
          </w:p>
        </w:tc>
        <w:tc>
          <w:tcPr>
            <w:tcW w:w="694"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台</w:t>
            </w:r>
          </w:p>
        </w:tc>
        <w:tc>
          <w:tcPr>
            <w:tcW w:w="743"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1</w:t>
            </w:r>
          </w:p>
        </w:tc>
        <w:tc>
          <w:tcPr>
            <w:tcW w:w="4895"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left"/>
              <w:rPr>
                <w:rStyle w:val="54"/>
                <w:rFonts w:hint="default" w:ascii="宋体" w:hAnsi="宋体" w:eastAsia="宋体" w:cs="宋体"/>
                <w:b w:val="0"/>
                <w:bCs w:val="0"/>
                <w:i w:val="0"/>
                <w:iCs w:val="0"/>
                <w:smallCaps w:val="0"/>
                <w:color w:val="000000"/>
                <w:kern w:val="0"/>
                <w:sz w:val="18"/>
                <w:szCs w:val="18"/>
              </w:rPr>
            </w:pPr>
            <w:r>
              <w:rPr>
                <w:rStyle w:val="54"/>
                <w:rFonts w:hint="default" w:ascii="宋体" w:hAnsi="宋体" w:eastAsia="宋体" w:cs="宋体"/>
                <w:b w:val="0"/>
                <w:bCs w:val="0"/>
                <w:i w:val="0"/>
                <w:iCs w:val="0"/>
                <w:smallCaps w:val="0"/>
                <w:color w:val="000000"/>
                <w:kern w:val="0"/>
                <w:sz w:val="18"/>
                <w:szCs w:val="18"/>
              </w:rPr>
              <w:t>根据井口、防喷器的额定工作压力确定试压压力，稳压15min，压降不超过0.7MPa为合格。（备注：钻杆旋塞阀）</w:t>
            </w:r>
          </w:p>
        </w:tc>
      </w:tr>
    </w:tbl>
    <w:p>
      <w:pPr>
        <w:pStyle w:val="216"/>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560" w:firstLineChars="200"/>
        <w:textAlignment w:val="auto"/>
        <w:rPr>
          <w:rFonts w:hint="eastAsia"/>
          <w:sz w:val="28"/>
          <w:szCs w:val="28"/>
          <w:lang w:eastAsia="zh-CN"/>
        </w:rPr>
      </w:pPr>
      <w:r>
        <w:rPr>
          <w:rFonts w:hint="eastAsia"/>
          <w:sz w:val="28"/>
          <w:szCs w:val="28"/>
        </w:rPr>
        <w:t>井控设备安装示意图</w:t>
      </w:r>
      <w:r>
        <w:rPr>
          <w:rFonts w:hint="eastAsia"/>
          <w:sz w:val="28"/>
          <w:szCs w:val="28"/>
          <w:lang w:eastAsia="zh-CN"/>
        </w:rPr>
        <w:t>：</w:t>
      </w:r>
    </w:p>
    <w:p>
      <w:pPr>
        <w:pStyle w:val="216"/>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560" w:firstLineChars="200"/>
        <w:textAlignment w:val="auto"/>
        <w:rPr>
          <w:rFonts w:hint="eastAsia"/>
          <w:sz w:val="28"/>
          <w:szCs w:val="28"/>
          <w:lang w:eastAsia="zh-CN"/>
        </w:rPr>
      </w:pPr>
    </w:p>
    <w:p>
      <w:pPr>
        <w:pStyle w:val="216"/>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560" w:firstLineChars="200"/>
        <w:textAlignment w:val="auto"/>
        <w:rPr>
          <w:rFonts w:hint="eastAsia"/>
          <w:sz w:val="28"/>
          <w:szCs w:val="28"/>
          <w:lang w:eastAsia="zh-CN"/>
        </w:rPr>
      </w:pPr>
    </w:p>
    <w:p>
      <w:pPr>
        <w:pStyle w:val="216"/>
        <w:adjustRightInd w:val="0"/>
        <w:snapToGrid w:val="0"/>
        <w:spacing w:after="0" w:line="360" w:lineRule="auto"/>
        <w:ind w:firstLine="560" w:firstLineChars="200"/>
        <w:rPr>
          <w:rFonts w:hint="eastAsia"/>
          <w:sz w:val="28"/>
          <w:szCs w:val="28"/>
        </w:rPr>
      </w:pPr>
      <w:r>
        <w:rPr>
          <w:rFonts w:hint="eastAsia"/>
          <w:sz w:val="28"/>
          <w:szCs w:val="28"/>
          <w:lang w:val="en-US" w:eastAsia="en-US"/>
        </w:rPr>
        <w:drawing>
          <wp:anchor distT="0" distB="0" distL="114300" distR="114300" simplePos="0" relativeHeight="251669504" behindDoc="0" locked="0" layoutInCell="1" allowOverlap="1">
            <wp:simplePos x="0" y="0"/>
            <wp:positionH relativeFrom="column">
              <wp:posOffset>-206375</wp:posOffset>
            </wp:positionH>
            <wp:positionV relativeFrom="paragraph">
              <wp:posOffset>60960</wp:posOffset>
            </wp:positionV>
            <wp:extent cx="5759450" cy="2408555"/>
            <wp:effectExtent l="0" t="0" r="12700" b="10795"/>
            <wp:wrapNone/>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25"/>
                    <a:stretch>
                      <a:fillRect/>
                    </a:stretch>
                  </pic:blipFill>
                  <pic:spPr>
                    <a:xfrm>
                      <a:off x="0" y="0"/>
                      <a:ext cx="5759450" cy="2408555"/>
                    </a:xfrm>
                    <a:prstGeom prst="rect">
                      <a:avLst/>
                    </a:prstGeom>
                    <a:noFill/>
                    <a:ln>
                      <a:noFill/>
                    </a:ln>
                  </pic:spPr>
                </pic:pic>
              </a:graphicData>
            </a:graphic>
          </wp:anchor>
        </w:drawing>
      </w:r>
    </w:p>
    <w:p>
      <w:pPr>
        <w:pStyle w:val="216"/>
        <w:adjustRightInd w:val="0"/>
        <w:snapToGrid w:val="0"/>
        <w:spacing w:after="0" w:line="360" w:lineRule="auto"/>
        <w:ind w:firstLine="560" w:firstLineChars="200"/>
        <w:rPr>
          <w:rFonts w:hint="eastAsia"/>
          <w:sz w:val="28"/>
          <w:szCs w:val="28"/>
        </w:rPr>
      </w:pPr>
    </w:p>
    <w:p>
      <w:pPr>
        <w:pStyle w:val="216"/>
        <w:adjustRightInd w:val="0"/>
        <w:snapToGrid w:val="0"/>
        <w:spacing w:after="0" w:line="360" w:lineRule="auto"/>
        <w:ind w:firstLine="560" w:firstLineChars="200"/>
        <w:rPr>
          <w:rFonts w:hint="eastAsia"/>
          <w:sz w:val="28"/>
          <w:szCs w:val="28"/>
        </w:rPr>
      </w:pPr>
    </w:p>
    <w:p>
      <w:pPr>
        <w:pStyle w:val="216"/>
        <w:adjustRightInd w:val="0"/>
        <w:snapToGrid w:val="0"/>
        <w:spacing w:after="0" w:line="360" w:lineRule="auto"/>
        <w:ind w:firstLine="560" w:firstLineChars="200"/>
        <w:rPr>
          <w:rFonts w:hint="eastAsia"/>
          <w:sz w:val="28"/>
          <w:szCs w:val="28"/>
        </w:rPr>
      </w:pPr>
    </w:p>
    <w:p>
      <w:pPr>
        <w:pStyle w:val="216"/>
        <w:adjustRightInd w:val="0"/>
        <w:snapToGrid w:val="0"/>
        <w:spacing w:after="0" w:line="360" w:lineRule="auto"/>
        <w:ind w:firstLine="560" w:firstLineChars="200"/>
        <w:rPr>
          <w:rFonts w:hint="eastAsia"/>
          <w:sz w:val="28"/>
          <w:szCs w:val="28"/>
        </w:rPr>
      </w:pPr>
    </w:p>
    <w:p>
      <w:pPr>
        <w:pStyle w:val="216"/>
        <w:adjustRightInd w:val="0"/>
        <w:snapToGrid w:val="0"/>
        <w:spacing w:after="0" w:line="360" w:lineRule="auto"/>
        <w:ind w:firstLine="560" w:firstLineChars="200"/>
        <w:rPr>
          <w:rFonts w:hint="eastAsia"/>
          <w:sz w:val="28"/>
          <w:szCs w:val="28"/>
        </w:rPr>
      </w:pPr>
    </w:p>
    <w:p>
      <w:pPr>
        <w:pStyle w:val="216"/>
        <w:adjustRightInd w:val="0"/>
        <w:snapToGrid w:val="0"/>
        <w:spacing w:after="0" w:line="360" w:lineRule="auto"/>
        <w:ind w:firstLine="560" w:firstLineChars="200"/>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3）平面布置情况</w:t>
      </w:r>
    </w:p>
    <w:p>
      <w:pPr>
        <w:pStyle w:val="216"/>
        <w:keepNext w:val="0"/>
        <w:keepLines w:val="0"/>
        <w:pageBreakBefore w:val="0"/>
        <w:widowControl/>
        <w:kinsoku/>
        <w:wordWrap/>
        <w:overflowPunct/>
        <w:topLinePunct w:val="0"/>
        <w:autoSpaceDE/>
        <w:autoSpaceDN/>
        <w:bidi w:val="0"/>
        <w:adjustRightInd w:val="0"/>
        <w:snapToGrid w:val="0"/>
        <w:spacing w:before="625" w:beforeLines="200" w:after="0" w:line="360" w:lineRule="auto"/>
        <w:ind w:firstLine="420" w:firstLineChars="200"/>
        <w:jc w:val="center"/>
        <w:textAlignment w:val="auto"/>
        <w:rPr>
          <w:rFonts w:hint="eastAsia" w:ascii="Times New Roman" w:hAnsi="Times New Roman" w:eastAsia="宋体" w:cs="Times New Roman"/>
          <w:b/>
          <w:kern w:val="2"/>
          <w:sz w:val="21"/>
          <w:szCs w:val="21"/>
          <w:lang w:val="en-US" w:eastAsia="en-US" w:bidi="ar-SA"/>
        </w:rPr>
      </w:pPr>
      <w:r>
        <w:rPr>
          <w:rFonts w:hint="eastAsia" w:ascii="Times New Roman" w:hAnsi="Times New Roman" w:eastAsia="宋体" w:cs="Times New Roman"/>
          <w:b/>
          <w:kern w:val="2"/>
          <w:sz w:val="21"/>
          <w:szCs w:val="21"/>
          <w:lang w:val="en-US" w:eastAsia="en-US" w:bidi="ar-SA"/>
        </w:rPr>
        <w:t>图5-</w:t>
      </w:r>
      <w:r>
        <w:rPr>
          <w:rFonts w:hint="eastAsia" w:cs="Times New Roman"/>
          <w:b/>
          <w:kern w:val="2"/>
          <w:sz w:val="21"/>
          <w:szCs w:val="21"/>
          <w:lang w:val="en-US" w:eastAsia="zh-CN" w:bidi="ar-SA"/>
        </w:rPr>
        <w:t>2</w:t>
      </w:r>
      <w:r>
        <w:rPr>
          <w:rFonts w:hint="eastAsia" w:ascii="Times New Roman" w:hAnsi="Times New Roman" w:cs="Times New Roman"/>
          <w:b/>
          <w:kern w:val="2"/>
          <w:sz w:val="21"/>
          <w:szCs w:val="21"/>
          <w:lang w:val="en-US" w:eastAsia="zh-CN" w:bidi="ar-SA"/>
        </w:rPr>
        <w:t xml:space="preserve">  井控设备安装示意图</w:t>
      </w:r>
    </w:p>
    <w:p>
      <w:pPr>
        <w:pStyle w:val="216"/>
        <w:adjustRightInd w:val="0"/>
        <w:snapToGrid w:val="0"/>
        <w:spacing w:after="0" w:line="360" w:lineRule="auto"/>
        <w:ind w:firstLine="560" w:firstLineChars="20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4）设备设施及现场施工情况</w:t>
      </w:r>
    </w:p>
    <w:p>
      <w:pPr>
        <w:pStyle w:val="216"/>
        <w:adjustRightInd w:val="0"/>
        <w:snapToGrid w:val="0"/>
        <w:spacing w:after="0" w:line="360" w:lineRule="auto"/>
        <w:ind w:firstLine="560" w:firstLineChars="20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大修、井下复杂情况处理（打捞）</w:t>
      </w:r>
      <w:r>
        <w:rPr>
          <w:rFonts w:hint="default" w:ascii="Times New Roman" w:hAnsi="Times New Roman" w:cs="Times New Roman"/>
          <w:sz w:val="28"/>
          <w:szCs w:val="28"/>
          <w:lang w:val="en-US" w:eastAsia="zh-CN"/>
        </w:rPr>
        <w:t>设备设施</w:t>
      </w:r>
      <w:r>
        <w:rPr>
          <w:rFonts w:hint="eastAsia" w:ascii="Times New Roman" w:hAnsi="Times New Roman" w:cs="Times New Roman"/>
          <w:sz w:val="28"/>
          <w:szCs w:val="28"/>
          <w:lang w:val="en-US" w:eastAsia="zh-CN"/>
        </w:rPr>
        <w:t>详见表5-3。</w:t>
      </w:r>
    </w:p>
    <w:p>
      <w:pPr>
        <w:pStyle w:val="216"/>
        <w:adjustRightInd w:val="0"/>
        <w:snapToGrid w:val="0"/>
        <w:spacing w:after="0" w:line="360" w:lineRule="auto"/>
        <w:ind w:firstLine="420" w:firstLineChars="200"/>
        <w:rPr>
          <w:rFonts w:hint="default" w:ascii="Times New Roman" w:hAnsi="Times New Roman" w:cs="Times New Roman"/>
          <w:sz w:val="28"/>
          <w:szCs w:val="28"/>
          <w:lang w:val="en-US" w:eastAsia="zh-CN"/>
        </w:rPr>
      </w:pPr>
      <w:r>
        <w:rPr>
          <w:rFonts w:hint="default" w:ascii="Times New Roman" w:hAnsi="Times New Roman" w:cs="Times New Roman"/>
          <w:b/>
          <w:bCs/>
          <w:sz w:val="21"/>
          <w:szCs w:val="21"/>
          <w:lang w:val="en-US" w:eastAsia="zh-CN"/>
        </w:rPr>
        <w:drawing>
          <wp:anchor distT="0" distB="0" distL="114300" distR="114300" simplePos="0" relativeHeight="251670528" behindDoc="0" locked="0" layoutInCell="1" allowOverlap="1">
            <wp:simplePos x="0" y="0"/>
            <wp:positionH relativeFrom="column">
              <wp:posOffset>560070</wp:posOffset>
            </wp:positionH>
            <wp:positionV relativeFrom="paragraph">
              <wp:posOffset>372110</wp:posOffset>
            </wp:positionV>
            <wp:extent cx="3922395" cy="2260600"/>
            <wp:effectExtent l="0" t="0" r="1905" b="6350"/>
            <wp:wrapSquare wrapText="bothSides"/>
            <wp:docPr id="23" name="图片 23" descr="IMG_6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6451"/>
                    <pic:cNvPicPr>
                      <a:picLocks noChangeAspect="1"/>
                    </pic:cNvPicPr>
                  </pic:nvPicPr>
                  <pic:blipFill>
                    <a:blip r:embed="rId26"/>
                    <a:stretch>
                      <a:fillRect/>
                    </a:stretch>
                  </pic:blipFill>
                  <pic:spPr>
                    <a:xfrm>
                      <a:off x="0" y="0"/>
                      <a:ext cx="3922395" cy="2260600"/>
                    </a:xfrm>
                    <a:prstGeom prst="rect">
                      <a:avLst/>
                    </a:prstGeom>
                  </pic:spPr>
                </pic:pic>
              </a:graphicData>
            </a:graphic>
          </wp:anchor>
        </w:drawing>
      </w:r>
      <w:r>
        <w:rPr>
          <w:rFonts w:hint="default" w:ascii="Times New Roman" w:hAnsi="Times New Roman" w:cs="Times New Roman"/>
          <w:b/>
          <w:bCs/>
          <w:sz w:val="21"/>
          <w:szCs w:val="21"/>
          <w:lang w:val="en-US" w:eastAsia="zh-CN"/>
        </w:rPr>
        <w:drawing>
          <wp:anchor distT="0" distB="0" distL="114300" distR="114300" simplePos="0" relativeHeight="251665408" behindDoc="0" locked="0" layoutInCell="1" allowOverlap="1">
            <wp:simplePos x="0" y="0"/>
            <wp:positionH relativeFrom="column">
              <wp:posOffset>532130</wp:posOffset>
            </wp:positionH>
            <wp:positionV relativeFrom="page">
              <wp:posOffset>7175500</wp:posOffset>
            </wp:positionV>
            <wp:extent cx="3930015" cy="2446020"/>
            <wp:effectExtent l="0" t="0" r="13335" b="11430"/>
            <wp:wrapTopAndBottom/>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27"/>
                    <a:stretch>
                      <a:fillRect/>
                    </a:stretch>
                  </pic:blipFill>
                  <pic:spPr>
                    <a:xfrm>
                      <a:off x="0" y="0"/>
                      <a:ext cx="3930015" cy="2446020"/>
                    </a:xfrm>
                    <a:prstGeom prst="rect">
                      <a:avLst/>
                    </a:prstGeom>
                    <a:noFill/>
                    <a:ln>
                      <a:noFill/>
                    </a:ln>
                  </pic:spPr>
                </pic:pic>
              </a:graphicData>
            </a:graphic>
          </wp:anchor>
        </w:drawing>
      </w:r>
      <w:r>
        <w:rPr>
          <w:rFonts w:hint="eastAsia" w:ascii="Times New Roman" w:hAnsi="Times New Roman" w:cs="Times New Roman"/>
          <w:sz w:val="28"/>
          <w:szCs w:val="28"/>
          <w:lang w:val="en-US" w:eastAsia="zh-CN"/>
        </w:rPr>
        <w:t>设备设施及现场</w:t>
      </w:r>
      <w:r>
        <w:rPr>
          <w:rFonts w:hint="default" w:ascii="Times New Roman" w:hAnsi="Times New Roman" w:cs="Times New Roman"/>
          <w:sz w:val="28"/>
          <w:szCs w:val="28"/>
          <w:lang w:val="en-US" w:eastAsia="zh-CN"/>
        </w:rPr>
        <w:t>情况见图5-3。</w:t>
      </w:r>
    </w:p>
    <w:p>
      <w:pPr>
        <w:pStyle w:val="216"/>
        <w:adjustRightInd w:val="0"/>
        <w:snapToGrid w:val="0"/>
        <w:spacing w:after="0" w:line="360" w:lineRule="auto"/>
        <w:ind w:firstLine="420" w:firstLineChars="200"/>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drawing>
          <wp:anchor distT="0" distB="0" distL="114300" distR="114300" simplePos="0" relativeHeight="251666432" behindDoc="0" locked="0" layoutInCell="1" allowOverlap="1">
            <wp:simplePos x="0" y="0"/>
            <wp:positionH relativeFrom="column">
              <wp:posOffset>553720</wp:posOffset>
            </wp:positionH>
            <wp:positionV relativeFrom="page">
              <wp:posOffset>968375</wp:posOffset>
            </wp:positionV>
            <wp:extent cx="4154805" cy="2647315"/>
            <wp:effectExtent l="0" t="0" r="17145" b="635"/>
            <wp:wrapTopAndBottom/>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pic:cNvPicPr>
                      <a:picLocks noChangeAspect="1"/>
                    </pic:cNvPicPr>
                  </pic:nvPicPr>
                  <pic:blipFill>
                    <a:blip r:embed="rId28"/>
                    <a:stretch>
                      <a:fillRect/>
                    </a:stretch>
                  </pic:blipFill>
                  <pic:spPr>
                    <a:xfrm>
                      <a:off x="0" y="0"/>
                      <a:ext cx="4154805" cy="2647315"/>
                    </a:xfrm>
                    <a:prstGeom prst="rect">
                      <a:avLst/>
                    </a:prstGeom>
                    <a:noFill/>
                    <a:ln>
                      <a:noFill/>
                    </a:ln>
                  </pic:spPr>
                </pic:pic>
              </a:graphicData>
            </a:graphic>
          </wp:anchor>
        </w:drawing>
      </w:r>
      <w:r>
        <w:rPr>
          <w:rFonts w:hint="default" w:ascii="Times New Roman" w:hAnsi="Times New Roman" w:cs="Times New Roman"/>
          <w:b/>
          <w:bCs/>
          <w:sz w:val="21"/>
          <w:szCs w:val="21"/>
          <w:lang w:val="en-US" w:eastAsia="zh-CN"/>
        </w:rPr>
        <w:t>图5-3</w:t>
      </w:r>
      <w:r>
        <w:rPr>
          <w:rFonts w:hint="eastAsia" w:cs="Times New Roman"/>
          <w:b/>
          <w:bCs/>
          <w:sz w:val="21"/>
          <w:szCs w:val="21"/>
          <w:lang w:val="en-US" w:eastAsia="zh-CN"/>
        </w:rPr>
        <w:t xml:space="preserve">  </w:t>
      </w:r>
      <w:r>
        <w:rPr>
          <w:rFonts w:hint="default" w:ascii="Times New Roman" w:hAnsi="Times New Roman" w:cs="Times New Roman"/>
          <w:b/>
          <w:bCs/>
          <w:sz w:val="21"/>
          <w:szCs w:val="21"/>
          <w:lang w:val="en-US" w:eastAsia="zh-CN"/>
        </w:rPr>
        <w:t>设备设施及现场情况</w:t>
      </w:r>
      <w:r>
        <w:rPr>
          <w:rFonts w:hint="eastAsia" w:cs="Times New Roman"/>
          <w:b/>
          <w:bCs/>
          <w:sz w:val="21"/>
          <w:szCs w:val="21"/>
          <w:lang w:val="en-US" w:eastAsia="zh-CN"/>
        </w:rPr>
        <w:t>图</w:t>
      </w:r>
    </w:p>
    <w:p>
      <w:pPr>
        <w:widowControl/>
        <w:adjustRightInd w:val="0"/>
        <w:snapToGrid w:val="0"/>
        <w:spacing w:after="0" w:line="360" w:lineRule="auto"/>
        <w:ind w:firstLine="560" w:firstLineChars="200"/>
        <w:jc w:val="left"/>
        <w:rPr>
          <w:rFonts w:hint="eastAsia"/>
          <w:sz w:val="28"/>
          <w:szCs w:val="28"/>
        </w:rPr>
      </w:pPr>
      <w:r>
        <w:rPr>
          <w:rFonts w:hint="eastAsia"/>
          <w:sz w:val="28"/>
          <w:szCs w:val="28"/>
        </w:rPr>
        <w:t>本次评价的胜坨油田坨128-斜32井</w:t>
      </w:r>
      <w:r>
        <w:rPr>
          <w:rFonts w:hint="eastAsia"/>
          <w:sz w:val="28"/>
          <w:szCs w:val="28"/>
          <w:lang w:val="en-US" w:eastAsia="zh-CN"/>
        </w:rPr>
        <w:t>主要设备设施定期检测，配备正压式空气呼吸器、硫化氢报警仪等数量满足要求，并定期检测合格，使用日期在检测有效期范围内</w:t>
      </w:r>
      <w:r>
        <w:rPr>
          <w:rFonts w:hint="eastAsia"/>
          <w:sz w:val="28"/>
          <w:szCs w:val="28"/>
        </w:rPr>
        <w:t>。</w:t>
      </w:r>
    </w:p>
    <w:p>
      <w:pPr>
        <w:widowControl/>
        <w:adjustRightInd w:val="0"/>
        <w:snapToGrid w:val="0"/>
        <w:spacing w:after="0" w:line="360" w:lineRule="auto"/>
        <w:ind w:firstLine="560" w:firstLineChars="200"/>
        <w:jc w:val="left"/>
        <w:rPr>
          <w:rFonts w:hint="eastAsia" w:ascii="Times New Roman" w:hAnsi="Times New Roman" w:eastAsia="宋体" w:cs="Times New Roman"/>
          <w:b/>
          <w:bCs w:val="0"/>
          <w:kern w:val="2"/>
          <w:sz w:val="28"/>
          <w:szCs w:val="28"/>
          <w:lang w:val="en-US" w:eastAsia="zh-CN" w:bidi="ar-SA"/>
        </w:rPr>
      </w:pPr>
      <w:r>
        <w:rPr>
          <w:rFonts w:hint="eastAsia" w:ascii="Times New Roman" w:hAnsi="Times New Roman" w:eastAsia="宋体" w:cs="Times New Roman"/>
          <w:b/>
          <w:bCs w:val="0"/>
          <w:kern w:val="2"/>
          <w:sz w:val="28"/>
          <w:szCs w:val="28"/>
          <w:lang w:val="en-US" w:eastAsia="zh-CN" w:bidi="ar-SA"/>
        </w:rPr>
        <w:t>2</w:t>
      </w:r>
      <w:r>
        <w:rPr>
          <w:rFonts w:ascii="Times New Roman" w:hAnsi="Times New Roman" w:eastAsia="宋体" w:cs="Times New Roman"/>
          <w:b/>
          <w:bCs w:val="0"/>
          <w:kern w:val="2"/>
          <w:sz w:val="28"/>
          <w:szCs w:val="28"/>
          <w:lang w:val="en-US" w:eastAsia="zh-CN" w:bidi="ar-SA"/>
        </w:rPr>
        <w:t>.</w:t>
      </w:r>
      <w:r>
        <w:rPr>
          <w:rFonts w:hint="eastAsia" w:ascii="Times New Roman" w:hAnsi="Times New Roman" w:eastAsia="宋体" w:cs="Times New Roman"/>
          <w:b/>
          <w:bCs w:val="0"/>
          <w:kern w:val="2"/>
          <w:sz w:val="28"/>
          <w:szCs w:val="28"/>
          <w:lang w:val="en-US" w:eastAsia="zh-CN" w:bidi="ar-SA"/>
        </w:rPr>
        <w:t>安全检查表评价</w:t>
      </w:r>
    </w:p>
    <w:p>
      <w:pPr>
        <w:pStyle w:val="216"/>
        <w:adjustRightInd w:val="0"/>
        <w:snapToGrid w:val="0"/>
        <w:spacing w:after="0" w:line="360" w:lineRule="auto"/>
        <w:ind w:firstLine="560" w:firstLineChars="200"/>
        <w:jc w:val="both"/>
        <w:rPr>
          <w:rFonts w:hint="eastAsia" w:eastAsia="宋体"/>
          <w:b/>
          <w:sz w:val="24"/>
          <w:szCs w:val="28"/>
          <w:lang w:val="en-US" w:eastAsia="zh-CN"/>
        </w:rPr>
      </w:pPr>
      <w:r>
        <w:rPr>
          <w:rFonts w:hint="eastAsia"/>
          <w:sz w:val="28"/>
        </w:rPr>
        <w:t>本节</w:t>
      </w:r>
      <w:r>
        <w:rPr>
          <w:sz w:val="28"/>
        </w:rPr>
        <w:t>根据</w:t>
      </w:r>
      <w:r>
        <w:rPr>
          <w:rFonts w:hint="eastAsia"/>
          <w:sz w:val="28"/>
        </w:rPr>
        <w:t>《石油天然气钻井、开发、储运防火防爆安全生产技术规程》（SY</w:t>
      </w:r>
      <w:r>
        <w:rPr>
          <w:rFonts w:hint="eastAsia"/>
          <w:sz w:val="28"/>
          <w:lang w:val="en-US" w:eastAsia="zh-CN"/>
        </w:rPr>
        <w:t>/T</w:t>
      </w:r>
      <w:r>
        <w:rPr>
          <w:rFonts w:hint="eastAsia"/>
          <w:sz w:val="28"/>
        </w:rPr>
        <w:t>5225-201</w:t>
      </w:r>
      <w:r>
        <w:rPr>
          <w:rFonts w:hint="eastAsia"/>
          <w:sz w:val="28"/>
          <w:lang w:val="en-US" w:eastAsia="zh-CN"/>
        </w:rPr>
        <w:t>9</w:t>
      </w:r>
      <w:r>
        <w:rPr>
          <w:rFonts w:hint="eastAsia"/>
          <w:sz w:val="28"/>
        </w:rPr>
        <w:t>）、</w:t>
      </w:r>
      <w:bookmarkStart w:id="135" w:name="_Hlk535847748"/>
      <w:r>
        <w:rPr>
          <w:rFonts w:hint="eastAsia"/>
          <w:sz w:val="28"/>
        </w:rPr>
        <w:t>《井下作业安全规程》（SY</w:t>
      </w:r>
      <w:r>
        <w:rPr>
          <w:rFonts w:hint="eastAsia"/>
          <w:sz w:val="28"/>
          <w:lang w:val="en-US" w:eastAsia="zh-CN"/>
        </w:rPr>
        <w:t>/T</w:t>
      </w:r>
      <w:r>
        <w:rPr>
          <w:rFonts w:hint="eastAsia"/>
          <w:sz w:val="28"/>
        </w:rPr>
        <w:t>5727-20</w:t>
      </w:r>
      <w:r>
        <w:rPr>
          <w:rFonts w:hint="eastAsia"/>
          <w:sz w:val="28"/>
          <w:lang w:val="en-US" w:eastAsia="zh-CN"/>
        </w:rPr>
        <w:t>20</w:t>
      </w:r>
      <w:r>
        <w:rPr>
          <w:rFonts w:hint="eastAsia"/>
          <w:sz w:val="28"/>
        </w:rPr>
        <w:t>）</w:t>
      </w:r>
      <w:bookmarkEnd w:id="135"/>
      <w:r>
        <w:rPr>
          <w:rFonts w:hint="eastAsia"/>
          <w:sz w:val="28"/>
        </w:rPr>
        <w:t>、《井下作业井控技术规程》（SY/T6690-2016）等标准</w:t>
      </w:r>
      <w:r>
        <w:rPr>
          <w:sz w:val="28"/>
        </w:rPr>
        <w:t>，</w:t>
      </w:r>
      <w:r>
        <w:rPr>
          <w:rFonts w:hint="eastAsia"/>
          <w:sz w:val="28"/>
        </w:rPr>
        <w:t>对本项目生产单元进行安全评价</w:t>
      </w:r>
      <w:r>
        <w:rPr>
          <w:sz w:val="28"/>
        </w:rPr>
        <w:t>，</w:t>
      </w:r>
      <w:r>
        <w:rPr>
          <w:rFonts w:hint="eastAsia"/>
          <w:sz w:val="28"/>
        </w:rPr>
        <w:t>具体</w:t>
      </w:r>
      <w:r>
        <w:rPr>
          <w:sz w:val="28"/>
        </w:rPr>
        <w:t>评价</w:t>
      </w:r>
      <w:r>
        <w:rPr>
          <w:rFonts w:hint="eastAsia"/>
          <w:sz w:val="28"/>
        </w:rPr>
        <w:t>过程</w:t>
      </w:r>
      <w:r>
        <w:rPr>
          <w:sz w:val="28"/>
        </w:rPr>
        <w:t>见</w:t>
      </w:r>
      <w:r>
        <w:rPr>
          <w:rFonts w:hint="eastAsia"/>
          <w:sz w:val="28"/>
        </w:rPr>
        <w:t>表</w:t>
      </w:r>
      <w:r>
        <w:rPr>
          <w:rFonts w:hint="eastAsia"/>
          <w:sz w:val="28"/>
          <w:lang w:eastAsia="zh-CN"/>
        </w:rPr>
        <w:t>。</w:t>
      </w:r>
    </w:p>
    <w:p>
      <w:pPr>
        <w:pStyle w:val="216"/>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b/>
          <w:sz w:val="21"/>
          <w:szCs w:val="21"/>
        </w:rPr>
      </w:pPr>
      <w:r>
        <w:rPr>
          <w:rFonts w:hint="eastAsia"/>
          <w:b/>
          <w:sz w:val="21"/>
          <w:szCs w:val="21"/>
        </w:rPr>
        <w:t>表5-</w:t>
      </w:r>
      <w:r>
        <w:rPr>
          <w:rFonts w:hint="eastAsia"/>
          <w:b/>
          <w:sz w:val="21"/>
          <w:szCs w:val="21"/>
          <w:lang w:val="en-US" w:eastAsia="zh-CN"/>
        </w:rPr>
        <w:t>3</w:t>
      </w:r>
      <w:r>
        <w:rPr>
          <w:rFonts w:hint="eastAsia"/>
          <w:b/>
          <w:sz w:val="21"/>
          <w:szCs w:val="21"/>
        </w:rPr>
        <w:t xml:space="preserve">  生产单元安全检查表</w:t>
      </w:r>
    </w:p>
    <w:tbl>
      <w:tblPr>
        <w:tblStyle w:val="52"/>
        <w:tblW w:w="914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95"/>
        <w:gridCol w:w="3167"/>
        <w:gridCol w:w="1815"/>
        <w:gridCol w:w="703"/>
        <w:gridCol w:w="29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49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宋体"/>
                <w:b/>
                <w:color w:val="auto"/>
                <w:sz w:val="21"/>
                <w:szCs w:val="21"/>
              </w:rPr>
            </w:pPr>
            <w:r>
              <w:rPr>
                <w:rFonts w:hint="eastAsia" w:ascii="Times New Roman" w:hAnsi="Times New Roman" w:cs="宋体"/>
                <w:b/>
                <w:color w:val="auto"/>
                <w:sz w:val="21"/>
                <w:szCs w:val="21"/>
              </w:rPr>
              <w:t>序号</w:t>
            </w: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宋体"/>
                <w:b/>
                <w:color w:val="auto"/>
                <w:sz w:val="21"/>
                <w:szCs w:val="21"/>
              </w:rPr>
            </w:pPr>
            <w:r>
              <w:rPr>
                <w:rFonts w:hint="eastAsia" w:ascii="Times New Roman" w:hAnsi="Times New Roman" w:cs="宋体"/>
                <w:b/>
                <w:color w:val="auto"/>
                <w:sz w:val="21"/>
                <w:szCs w:val="21"/>
              </w:rPr>
              <w:t>检查项目</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宋体"/>
                <w:b/>
                <w:color w:val="auto"/>
                <w:sz w:val="21"/>
                <w:szCs w:val="21"/>
              </w:rPr>
            </w:pPr>
            <w:r>
              <w:rPr>
                <w:rFonts w:hint="eastAsia" w:ascii="Times New Roman" w:hAnsi="Times New Roman" w:cs="宋体"/>
                <w:b/>
                <w:color w:val="auto"/>
                <w:sz w:val="21"/>
                <w:szCs w:val="21"/>
              </w:rPr>
              <w:t>检查依据</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宋体"/>
                <w:b/>
                <w:color w:val="auto"/>
                <w:sz w:val="21"/>
                <w:szCs w:val="21"/>
                <w:lang w:val="en-US" w:eastAsia="zh-CN"/>
              </w:rPr>
            </w:pPr>
            <w:r>
              <w:rPr>
                <w:rFonts w:hint="eastAsia" w:ascii="Times New Roman" w:hAnsi="Times New Roman" w:cs="宋体"/>
                <w:b/>
                <w:color w:val="auto"/>
                <w:sz w:val="21"/>
                <w:szCs w:val="21"/>
                <w:lang w:val="en-US" w:eastAsia="zh-CN"/>
              </w:rPr>
              <w:t>检查结果</w:t>
            </w:r>
          </w:p>
        </w:tc>
        <w:tc>
          <w:tcPr>
            <w:tcW w:w="296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宋体"/>
                <w:b/>
                <w:color w:val="auto"/>
                <w:sz w:val="21"/>
                <w:szCs w:val="21"/>
              </w:rPr>
            </w:pPr>
            <w:r>
              <w:rPr>
                <w:rFonts w:hint="eastAsia" w:ascii="Times New Roman" w:hAnsi="Times New Roman" w:cs="宋体"/>
                <w:b/>
                <w:color w:val="auto"/>
                <w:sz w:val="21"/>
                <w:szCs w:val="21"/>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一</w:t>
            </w:r>
          </w:p>
        </w:tc>
        <w:tc>
          <w:tcPr>
            <w:tcW w:w="31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井场平面布置</w:t>
            </w:r>
          </w:p>
        </w:tc>
        <w:tc>
          <w:tcPr>
            <w:tcW w:w="1815"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70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eastAsia="宋体"/>
                <w:color w:val="auto"/>
                <w:sz w:val="21"/>
                <w:szCs w:val="21"/>
                <w:lang w:val="en-US" w:eastAsia="zh-CN"/>
              </w:rPr>
              <w:t>值班房、发电房、储油罐应放置于季节风的上风向，且距井口不应小于30m，防喷器远程控制台应面对修井机侧前方25m以外摆放。</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eastAsia="宋体"/>
                <w:bCs/>
                <w:color w:val="auto"/>
                <w:sz w:val="21"/>
                <w:szCs w:val="21"/>
                <w:lang w:val="en-US" w:eastAsia="zh-CN"/>
              </w:rPr>
            </w:pPr>
            <w:r>
              <w:rPr>
                <w:rFonts w:hint="eastAsia"/>
                <w:bCs/>
                <w:color w:val="auto"/>
                <w:sz w:val="21"/>
                <w:szCs w:val="21"/>
              </w:rPr>
              <w:t>SY</w:t>
            </w:r>
            <w:r>
              <w:rPr>
                <w:rFonts w:hint="eastAsia" w:ascii="Times New Roman" w:eastAsia="宋体"/>
                <w:bCs/>
                <w:color w:val="auto"/>
                <w:sz w:val="21"/>
                <w:szCs w:val="21"/>
                <w:lang w:val="en-US" w:eastAsia="zh-CN"/>
              </w:rPr>
              <w:t>/T</w:t>
            </w:r>
            <w:r>
              <w:rPr>
                <w:rFonts w:hint="eastAsia"/>
                <w:bCs/>
                <w:color w:val="auto"/>
                <w:sz w:val="21"/>
                <w:szCs w:val="21"/>
              </w:rPr>
              <w:t>5727-20</w:t>
            </w:r>
            <w:r>
              <w:rPr>
                <w:rFonts w:hint="eastAsia" w:ascii="Times New Roman" w:eastAsia="宋体"/>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color w:val="auto"/>
                <w:sz w:val="21"/>
                <w:szCs w:val="21"/>
              </w:rPr>
              <w:t>3.</w:t>
            </w:r>
            <w:r>
              <w:rPr>
                <w:rFonts w:hint="eastAsia" w:ascii="Times New Roman" w:eastAsia="宋体"/>
                <w:color w:val="auto"/>
                <w:sz w:val="21"/>
                <w:szCs w:val="21"/>
                <w:lang w:val="en-US" w:eastAsia="zh-CN"/>
              </w:rPr>
              <w:t>2</w:t>
            </w:r>
            <w:r>
              <w:rPr>
                <w:rFonts w:hint="default"/>
                <w:color w:val="auto"/>
                <w:sz w:val="21"/>
                <w:szCs w:val="21"/>
              </w:rPr>
              <w:t>.</w:t>
            </w:r>
            <w:r>
              <w:rPr>
                <w:rFonts w:hint="eastAsia" w:ascii="Times New Roman" w:eastAsia="宋体"/>
                <w:color w:val="auto"/>
                <w:sz w:val="21"/>
                <w:szCs w:val="21"/>
                <w:lang w:val="en-US" w:eastAsia="zh-CN"/>
              </w:rPr>
              <w:t>3</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经现场测量，</w:t>
            </w:r>
            <w:r>
              <w:rPr>
                <w:rFonts w:hint="default" w:ascii="Times New Roman" w:hAnsi="Times New Roman" w:eastAsia="宋体" w:cs="Times New Roman"/>
                <w:color w:val="auto"/>
                <w:kern w:val="2"/>
                <w:sz w:val="21"/>
                <w:szCs w:val="21"/>
                <w:lang w:val="en-US" w:eastAsia="zh-CN" w:bidi="ar-SA"/>
              </w:rPr>
              <w:t>值班房与井口距离</w:t>
            </w:r>
            <w:r>
              <w:rPr>
                <w:rFonts w:hint="eastAsia" w:cs="Times New Roman"/>
                <w:color w:val="auto"/>
                <w:kern w:val="2"/>
                <w:sz w:val="21"/>
                <w:szCs w:val="21"/>
                <w:lang w:val="en-US" w:eastAsia="zh-CN" w:bidi="ar-SA"/>
              </w:rPr>
              <w:t>约60</w:t>
            </w:r>
            <w:r>
              <w:rPr>
                <w:rFonts w:hint="default" w:ascii="Times New Roman" w:hAnsi="Times New Roman" w:eastAsia="宋体" w:cs="Times New Roman"/>
                <w:color w:val="auto"/>
                <w:kern w:val="2"/>
                <w:sz w:val="21"/>
                <w:szCs w:val="21"/>
                <w:lang w:val="en-US" w:eastAsia="zh-CN" w:bidi="ar-SA"/>
              </w:rPr>
              <w:t>m</w:t>
            </w:r>
            <w:r>
              <w:rPr>
                <w:rFonts w:hint="eastAsia" w:cs="Times New Roman"/>
                <w:color w:val="auto"/>
                <w:kern w:val="2"/>
                <w:sz w:val="21"/>
                <w:szCs w:val="21"/>
                <w:lang w:val="en-US" w:eastAsia="zh-CN" w:bidi="ar-SA"/>
              </w:rPr>
              <w:t>，</w:t>
            </w:r>
            <w:r>
              <w:rPr>
                <w:rFonts w:hint="default" w:ascii="Times New Roman" w:hAnsi="Times New Roman" w:eastAsia="宋体" w:cs="Times New Roman"/>
                <w:color w:val="auto"/>
                <w:kern w:val="2"/>
                <w:sz w:val="21"/>
                <w:szCs w:val="21"/>
                <w:lang w:val="en-US" w:eastAsia="zh-CN" w:bidi="ar-SA"/>
              </w:rPr>
              <w:t>远程控制台距井口</w:t>
            </w:r>
            <w:r>
              <w:rPr>
                <w:rFonts w:hint="eastAsia" w:ascii="Times New Roman" w:hAnsi="Times New Roman" w:eastAsia="宋体" w:cs="Times New Roman"/>
                <w:color w:val="auto"/>
                <w:kern w:val="2"/>
                <w:sz w:val="21"/>
                <w:szCs w:val="21"/>
                <w:lang w:val="en-US" w:eastAsia="zh-CN" w:bidi="ar-SA"/>
              </w:rPr>
              <w:t>21.5</w:t>
            </w:r>
            <w:r>
              <w:rPr>
                <w:rFonts w:hint="default" w:ascii="Times New Roman" w:hAnsi="Times New Roman" w:eastAsia="宋体" w:cs="Times New Roman"/>
                <w:color w:val="auto"/>
                <w:kern w:val="2"/>
                <w:sz w:val="21"/>
                <w:szCs w:val="21"/>
                <w:lang w:val="en-US" w:eastAsia="zh-CN" w:bidi="ar-SA"/>
              </w:rPr>
              <w:t>m</w:t>
            </w: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放喷管线及测试流程出口应接至距井口不小于30m以外的安全地带，高压油气井或高含硫化氢等有毒有害气体的井，管线应接至距井口不小于75m以远的安全地带。</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SY/T6690-2016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5.1.3.6</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经现场测量，</w:t>
            </w:r>
            <w:r>
              <w:rPr>
                <w:rFonts w:hint="default" w:ascii="Times New Roman" w:hAnsi="Times New Roman" w:eastAsia="宋体" w:cs="Times New Roman"/>
                <w:color w:val="auto"/>
                <w:kern w:val="2"/>
                <w:sz w:val="21"/>
                <w:szCs w:val="21"/>
                <w:lang w:val="en-US" w:eastAsia="zh-CN" w:bidi="ar-SA"/>
              </w:rPr>
              <w:t>放喷管线出口距井口</w:t>
            </w:r>
            <w:r>
              <w:rPr>
                <w:rFonts w:hint="eastAsia" w:cs="Times New Roman"/>
                <w:color w:val="auto"/>
                <w:kern w:val="2"/>
                <w:sz w:val="21"/>
                <w:szCs w:val="21"/>
                <w:lang w:val="en-US" w:eastAsia="zh-CN" w:bidi="ar-SA"/>
              </w:rPr>
              <w:t>30</w:t>
            </w:r>
            <w:r>
              <w:rPr>
                <w:rFonts w:hint="default" w:ascii="Times New Roman" w:hAnsi="Times New Roman" w:eastAsia="宋体" w:cs="Times New Roman"/>
                <w:color w:val="auto"/>
                <w:kern w:val="2"/>
                <w:sz w:val="21"/>
                <w:szCs w:val="21"/>
                <w:lang w:val="en-US" w:eastAsia="zh-CN" w:bidi="ar-SA"/>
              </w:rPr>
              <w:t>m</w:t>
            </w: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放喷管线及测试流程管线每隔10m~15m、转弯处用地锚或地脚螺栓水泥基墩(长、宽、高分别为0.8m，0.6m，0. 8m)或预制基墩固定牢靠；水泥基墩预埋地脚螺栓直径不小于20mm，埋深不小于0.5m，固定压板圆弧应与放喷管线管径匹配，加装缓冲减震垫；跨越河沟、水塘等障碍宽度大于10m以上时应架桥支撑牢固：高压井、高产气井放喷管线出口处用双地锚(基墩)固定。</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SY/T6690-2016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5.1.3.7</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kern w:val="0"/>
                <w:szCs w:val="21"/>
              </w:rPr>
              <w:t>√</w:t>
            </w:r>
          </w:p>
        </w:tc>
        <w:tc>
          <w:tcPr>
            <w:tcW w:w="2967" w:type="dxa"/>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放喷管线每隔</w:t>
            </w:r>
            <w:r>
              <w:rPr>
                <w:rFonts w:hint="eastAsia" w:ascii="Times New Roman" w:hAnsi="Times New Roman" w:cs="Times New Roman"/>
                <w:color w:val="auto"/>
                <w:sz w:val="21"/>
                <w:szCs w:val="21"/>
                <w:lang w:val="en-US" w:eastAsia="zh-CN"/>
              </w:rPr>
              <w:t>大约</w:t>
            </w:r>
            <w:r>
              <w:rPr>
                <w:rFonts w:hint="eastAsia" w:ascii="Times New Roman" w:hAnsi="Times New Roman" w:eastAsia="宋体" w:cs="Times New Roman"/>
                <w:color w:val="auto"/>
                <w:sz w:val="21"/>
                <w:szCs w:val="21"/>
                <w:lang w:val="en-US" w:eastAsia="zh-CN"/>
              </w:rPr>
              <w:t>1</w:t>
            </w:r>
            <w:r>
              <w:rPr>
                <w:rFonts w:hint="eastAsia" w:ascii="Times New Roman" w:hAnsi="Times New Roman"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m用地锚固定牢靠；地锚</w:t>
            </w:r>
            <w:r>
              <w:rPr>
                <w:rFonts w:hint="eastAsia" w:ascii="Times New Roman" w:hAnsi="Times New Roman" w:cs="Times New Roman"/>
                <w:color w:val="auto"/>
                <w:sz w:val="21"/>
                <w:szCs w:val="21"/>
                <w:lang w:val="en-US" w:eastAsia="zh-CN"/>
              </w:rPr>
              <w:t>埋深1.5m。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二</w:t>
            </w:r>
          </w:p>
        </w:tc>
        <w:tc>
          <w:tcPr>
            <w:tcW w:w="31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设备、设施</w:t>
            </w:r>
          </w:p>
        </w:tc>
        <w:tc>
          <w:tcPr>
            <w:tcW w:w="1815"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70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both"/>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2.1</w:t>
            </w:r>
          </w:p>
        </w:tc>
        <w:tc>
          <w:tcPr>
            <w:tcW w:w="31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井下作业设备、设施</w:t>
            </w:r>
          </w:p>
        </w:tc>
        <w:tc>
          <w:tcPr>
            <w:tcW w:w="1815"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703"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eastAsia" w:ascii="Times New Roman" w:hAnsi="Times New Roman" w:eastAsia="宋体" w:cs="Times New Roman"/>
                <w:b/>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安全设备的设计、制造、安装、使用、检测、维修、改造和报废，应当符合国家标准或者行业标准。</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生产经营单位必须对安全设备进行经常性维护、保养，并定期检测，保证正常运转。维护、保养、检测应当作好记录，并由有关人员签字。</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生产经营单位不得关闭、破坏直接关系生产安全的监控、报警、防护、救生设备、设施，或者篡改、隐瞒、销毁其相关数据、信息。</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color w:val="auto"/>
                <w:sz w:val="21"/>
                <w:szCs w:val="21"/>
                <w:lang w:val="en-US" w:eastAsia="zh-CN"/>
              </w:rPr>
              <w:t>《</w:t>
            </w:r>
            <w:r>
              <w:rPr>
                <w:rFonts w:hint="eastAsia" w:ascii="Times New Roman" w:hAnsi="Times New Roman" w:eastAsia="宋体" w:cs="Times New Roman"/>
                <w:color w:val="auto"/>
                <w:sz w:val="21"/>
                <w:szCs w:val="21"/>
                <w:lang w:val="en-US" w:eastAsia="zh-CN"/>
              </w:rPr>
              <w:t>安全生产法</w:t>
            </w:r>
            <w:r>
              <w:rPr>
                <w:rFonts w:hint="eastAsia" w:ascii="宋体" w:hAnsi="宋体" w:eastAsia="宋体" w:cs="宋体"/>
                <w:color w:val="auto"/>
                <w:sz w:val="21"/>
                <w:szCs w:val="21"/>
                <w:lang w:val="en-US" w:eastAsia="zh-CN"/>
              </w:rPr>
              <w:t>》</w:t>
            </w:r>
            <w:r>
              <w:rPr>
                <w:rFonts w:hint="eastAsia" w:ascii="Times New Roman" w:hAnsi="Times New Roman" w:eastAsia="宋体" w:cs="Times New Roman"/>
                <w:color w:val="auto"/>
                <w:sz w:val="21"/>
                <w:szCs w:val="21"/>
                <w:lang w:val="en-US" w:eastAsia="zh-CN"/>
              </w:rPr>
              <w:t>第三十六条</w:t>
            </w:r>
          </w:p>
        </w:tc>
        <w:tc>
          <w:tcPr>
            <w:tcW w:w="703"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rPr>
              <w:t>√</w:t>
            </w:r>
          </w:p>
        </w:tc>
        <w:tc>
          <w:tcPr>
            <w:tcW w:w="2967" w:type="dxa"/>
            <w:vAlign w:val="center"/>
          </w:tcPr>
          <w:p>
            <w:pPr>
              <w:pStyle w:val="80"/>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cs="Times New Roman"/>
                <w:color w:val="auto"/>
                <w:lang w:eastAsia="zh-CN"/>
              </w:rPr>
              <w:t>定期检查，由检查人签字；并定期由第三方机构检测。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安装自封、半封或组合防喷器，保证在起下管柱中能及时安全地封闭油套环形空间和整个套管空间。所有高压油气井应采用液压封井器，配置远程液压控制台和连接高压节油管汇。远程控制台电</w:t>
            </w:r>
            <w:r>
              <w:rPr>
                <w:rFonts w:hint="eastAsia" w:ascii="Times New Roman" w:hAnsi="Times New Roman" w:eastAsia="宋体" w:cs="Times New Roman"/>
                <w:color w:val="auto"/>
                <w:sz w:val="21"/>
                <w:szCs w:val="21"/>
                <w:lang w:val="en-US" w:eastAsia="zh-CN"/>
              </w:rPr>
              <w:t>源</w:t>
            </w:r>
            <w:r>
              <w:rPr>
                <w:rFonts w:hint="default" w:ascii="Times New Roman" w:hAnsi="Times New Roman" w:cs="Times New Roman"/>
                <w:color w:val="auto"/>
                <w:sz w:val="21"/>
                <w:szCs w:val="21"/>
                <w:lang w:val="en-US" w:eastAsia="zh-CN"/>
              </w:rPr>
              <w:t>应从发电房内用专线引出并单</w:t>
            </w:r>
            <w:r>
              <w:rPr>
                <w:rFonts w:hint="eastAsia" w:ascii="Times New Roman" w:hAnsi="Times New Roman" w:eastAsia="宋体" w:cs="Times New Roman"/>
                <w:color w:val="auto"/>
                <w:sz w:val="21"/>
                <w:szCs w:val="21"/>
                <w:lang w:val="en-US" w:eastAsia="zh-CN"/>
              </w:rPr>
              <w:t>独</w:t>
            </w:r>
            <w:r>
              <w:rPr>
                <w:rFonts w:hint="default" w:ascii="Times New Roman" w:hAnsi="Times New Roman" w:cs="Times New Roman"/>
                <w:color w:val="auto"/>
                <w:sz w:val="21"/>
                <w:szCs w:val="21"/>
                <w:lang w:val="en-US" w:eastAsia="zh-CN"/>
              </w:rPr>
              <w:t>设置控制开关。</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cs="Times New Roman"/>
                <w:bCs/>
                <w:color w:val="auto"/>
                <w:sz w:val="21"/>
                <w:szCs w:val="21"/>
              </w:rPr>
              <w:t>.</w:t>
            </w:r>
            <w:r>
              <w:rPr>
                <w:rFonts w:hint="eastAsia" w:ascii="Times New Roman" w:hAnsi="Times New Roman" w:eastAsia="宋体" w:cs="Times New Roman"/>
                <w:bCs/>
                <w:color w:val="auto"/>
                <w:sz w:val="21"/>
                <w:szCs w:val="21"/>
                <w:lang w:val="en-US" w:eastAsia="zh-CN"/>
              </w:rPr>
              <w:t>2.1</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color w:val="auto"/>
                <w:kern w:val="0"/>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配置远程液压控制台</w:t>
            </w:r>
            <w:r>
              <w:rPr>
                <w:rFonts w:hint="eastAsia" w:ascii="Times New Roman" w:hAnsi="Times New Roman" w:cs="Times New Roman"/>
                <w:color w:val="auto"/>
                <w:sz w:val="21"/>
                <w:szCs w:val="21"/>
                <w:lang w:val="en-US" w:eastAsia="zh-CN"/>
              </w:rPr>
              <w:t>，远程控制台电源由专线引出并设独立开关。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井控装置</w:t>
            </w:r>
            <w:r>
              <w:rPr>
                <w:rFonts w:hint="eastAsia"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除自封或环形封井器</w:t>
            </w:r>
            <w:r>
              <w:rPr>
                <w:rFonts w:hint="eastAsia" w:ascii="Times New Roman" w:hAnsi="Times New Roman" w:eastAsia="宋体" w:cs="Times New Roman"/>
                <w:color w:val="auto"/>
                <w:sz w:val="21"/>
                <w:szCs w:val="21"/>
                <w:lang w:val="en-US" w:eastAsia="zh-CN"/>
              </w:rPr>
              <w:t>外）</w:t>
            </w:r>
            <w:r>
              <w:rPr>
                <w:rFonts w:hint="default" w:ascii="Times New Roman" w:hAnsi="Times New Roman" w:cs="Times New Roman"/>
                <w:color w:val="auto"/>
                <w:sz w:val="21"/>
                <w:szCs w:val="21"/>
                <w:lang w:val="en-US" w:eastAsia="zh-CN"/>
              </w:rPr>
              <w:t>、变径法兰、高压防喷管的压力等级</w:t>
            </w:r>
            <w:r>
              <w:rPr>
                <w:rFonts w:hint="eastAsia"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应大于生产时预计的最高关井井口压力，或大于</w:t>
            </w:r>
            <w:r>
              <w:rPr>
                <w:rFonts w:hint="eastAsia" w:ascii="Times New Roman" w:hAnsi="Times New Roman" w:eastAsia="宋体" w:cs="Times New Roman"/>
                <w:color w:val="auto"/>
                <w:sz w:val="21"/>
                <w:szCs w:val="21"/>
                <w:lang w:val="en-US" w:eastAsia="zh-CN"/>
              </w:rPr>
              <w:t>油</w:t>
            </w:r>
            <w:r>
              <w:rPr>
                <w:rFonts w:hint="default" w:ascii="Times New Roman" w:hAnsi="Times New Roman" w:cs="Times New Roman"/>
                <w:color w:val="auto"/>
                <w:sz w:val="21"/>
                <w:szCs w:val="21"/>
                <w:lang w:val="en-US" w:eastAsia="zh-CN"/>
              </w:rPr>
              <w:t>气层最高地层压力，按试压规定试压合格。井控装置的安装、试压、使用和管理按 SY/T 6690 的规定执行。</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cs="Times New Roman"/>
                <w:bCs/>
                <w:color w:val="auto"/>
                <w:sz w:val="21"/>
                <w:szCs w:val="21"/>
              </w:rPr>
              <w:t>.</w:t>
            </w:r>
            <w:r>
              <w:rPr>
                <w:rFonts w:hint="eastAsia" w:ascii="Times New Roman" w:hAnsi="Times New Roman" w:eastAsia="宋体" w:cs="Times New Roman"/>
                <w:bCs/>
                <w:color w:val="auto"/>
                <w:sz w:val="21"/>
                <w:szCs w:val="21"/>
                <w:lang w:val="en-US" w:eastAsia="zh-CN"/>
              </w:rPr>
              <w:t>2.3</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color w:val="auto"/>
                <w:kern w:val="0"/>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现场查看《井控装置现场试压报告单》防喷器、旋塞阀、压井及节流管汇试压结论为合格。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井口装置及其他设备应不漏油、不漏气、不漏</w:t>
            </w:r>
            <w:r>
              <w:rPr>
                <w:rFonts w:hint="eastAsia" w:ascii="Times New Roman" w:hAnsi="Times New Roman" w:eastAsia="宋体" w:cs="Times New Roman"/>
                <w:color w:val="auto"/>
                <w:sz w:val="21"/>
                <w:szCs w:val="21"/>
                <w:lang w:val="en-US" w:eastAsia="zh-CN"/>
              </w:rPr>
              <w:t>电</w:t>
            </w:r>
            <w:r>
              <w:rPr>
                <w:rFonts w:hint="default" w:ascii="Times New Roman" w:hAnsi="Times New Roman" w:cs="Times New Roman"/>
                <w:color w:val="auto"/>
                <w:sz w:val="21"/>
                <w:szCs w:val="21"/>
                <w:lang w:val="en-US" w:eastAsia="zh-CN"/>
              </w:rPr>
              <w:t>。当发生漏油、漏电时，应采取如下措施</w:t>
            </w:r>
            <w:r>
              <w:rPr>
                <w:rFonts w:hint="eastAsia" w:ascii="Times New Roman" w:hAnsi="Times New Roman" w:eastAsia="宋体" w:cs="Times New Roman"/>
                <w:color w:val="auto"/>
                <w:sz w:val="21"/>
                <w:szCs w:val="21"/>
                <w:lang w:val="en-US" w:eastAsia="zh-CN"/>
              </w:rPr>
              <w:t>：</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auto"/>
                <w:sz w:val="21"/>
                <w:szCs w:val="21"/>
              </w:rPr>
            </w:pPr>
            <w:r>
              <w:rPr>
                <w:rFonts w:hint="eastAsia"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井口装置一旦泄漏油、气、水时，应先放压，后整改</w:t>
            </w:r>
            <w:r>
              <w:rPr>
                <w:rFonts w:hint="eastAsia"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若不能放压或不能完全放压需要卸掉井口整改时</w:t>
            </w:r>
            <w:r>
              <w:rPr>
                <w:rFonts w:hint="eastAsia"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应无压井</w:t>
            </w:r>
            <w:r>
              <w:rPr>
                <w:rFonts w:hint="eastAsia"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 xml:space="preserve">后整改。 </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一一地面设备发生泄漏动力油时，应采取措施予以整改</w:t>
            </w:r>
            <w:r>
              <w:rPr>
                <w:rFonts w:hint="eastAsia"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 xml:space="preserve">严重漏油时，应停机整改。 </w:t>
            </w:r>
          </w:p>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color w:val="auto"/>
                <w:sz w:val="21"/>
                <w:szCs w:val="21"/>
              </w:rPr>
            </w:pPr>
            <w:r>
              <w:rPr>
                <w:rFonts w:hint="eastAsia"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 xml:space="preserve">地面油气管线、流程装置发生泄漏油、气时，应关闭泄漏流程的上、下游闸门，对泄漏部位整改。 </w:t>
            </w:r>
          </w:p>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r>
              <w:rPr>
                <w:rFonts w:hint="default" w:ascii="Times New Roman" w:hAnsi="Times New Roman" w:cs="Times New Roman"/>
                <w:color w:val="auto"/>
                <w:sz w:val="21"/>
                <w:szCs w:val="21"/>
                <w:lang w:val="en-US" w:eastAsia="zh-CN"/>
              </w:rPr>
              <w:t>发现地面设备漏电，应断开电源开关。</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cs="Times New Roman"/>
                <w:bCs/>
                <w:color w:val="auto"/>
                <w:sz w:val="21"/>
                <w:szCs w:val="21"/>
              </w:rPr>
              <w:t>.</w:t>
            </w:r>
            <w:r>
              <w:rPr>
                <w:rFonts w:hint="eastAsia" w:ascii="Times New Roman" w:hAnsi="Times New Roman" w:eastAsia="宋体" w:cs="Times New Roman"/>
                <w:bCs/>
                <w:color w:val="auto"/>
                <w:sz w:val="21"/>
                <w:szCs w:val="21"/>
                <w:lang w:val="en-US" w:eastAsia="zh-CN"/>
              </w:rPr>
              <w:t>3.2</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color w:val="auto"/>
                <w:kern w:val="0"/>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井口装置及其他设备</w:t>
            </w:r>
            <w:r>
              <w:rPr>
                <w:rFonts w:hint="eastAsia" w:ascii="Times New Roman" w:hAnsi="Times New Roman" w:cs="Times New Roman"/>
                <w:color w:val="auto"/>
                <w:sz w:val="21"/>
                <w:szCs w:val="21"/>
                <w:lang w:val="en-US" w:eastAsia="zh-CN"/>
              </w:rPr>
              <w:t>无漏油，漏电。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压井管线、出口管线应是</w:t>
            </w:r>
            <w:r>
              <w:rPr>
                <w:rFonts w:hint="eastAsia" w:ascii="Times New Roman" w:hAnsi="Times New Roman" w:cs="Times New Roman"/>
                <w:color w:val="auto"/>
                <w:sz w:val="21"/>
                <w:szCs w:val="21"/>
                <w:lang w:val="en-US" w:eastAsia="zh-CN"/>
              </w:rPr>
              <w:t>钢</w:t>
            </w:r>
            <w:r>
              <w:rPr>
                <w:rFonts w:hint="eastAsia" w:ascii="Times New Roman" w:hAnsi="Times New Roman" w:eastAsia="宋体" w:cs="Times New Roman"/>
                <w:color w:val="auto"/>
                <w:sz w:val="21"/>
                <w:szCs w:val="21"/>
                <w:lang w:val="en-US" w:eastAsia="zh-CN"/>
              </w:rPr>
              <w:t>质管线，各段的压力等级、防腐能力应符合设计要求，满足油气井施工需要；进、出口管线应固定牢固，按相应等级的压力设计分段试压合格。</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cs="Times New Roman"/>
                <w:bCs/>
                <w:color w:val="auto"/>
                <w:sz w:val="21"/>
                <w:szCs w:val="21"/>
              </w:rPr>
              <w:t>.</w:t>
            </w:r>
            <w:r>
              <w:rPr>
                <w:rFonts w:hint="eastAsia" w:ascii="Times New Roman" w:hAnsi="Times New Roman" w:eastAsia="宋体" w:cs="Times New Roman"/>
                <w:bCs/>
                <w:color w:val="auto"/>
                <w:sz w:val="21"/>
                <w:szCs w:val="21"/>
                <w:lang w:val="en-US" w:eastAsia="zh-CN"/>
              </w:rPr>
              <w:t>3.4</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color w:val="auto"/>
                <w:kern w:val="0"/>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出口管线</w:t>
            </w:r>
            <w:r>
              <w:rPr>
                <w:rFonts w:hint="eastAsia" w:ascii="Times New Roman" w:hAnsi="Times New Roman" w:cs="Times New Roman"/>
                <w:color w:val="auto"/>
                <w:sz w:val="21"/>
                <w:szCs w:val="21"/>
                <w:lang w:val="en-US" w:eastAsia="zh-CN"/>
              </w:rPr>
              <w:t>等为钢</w:t>
            </w:r>
            <w:r>
              <w:rPr>
                <w:rFonts w:hint="default" w:ascii="Times New Roman" w:hAnsi="Times New Roman" w:cs="Times New Roman"/>
                <w:color w:val="auto"/>
                <w:sz w:val="21"/>
                <w:szCs w:val="21"/>
                <w:lang w:val="en-US" w:eastAsia="zh-CN"/>
              </w:rPr>
              <w:t>质管线</w:t>
            </w:r>
            <w:r>
              <w:rPr>
                <w:rFonts w:hint="eastAsia" w:ascii="Times New Roman" w:hAnsi="Times New Roman" w:cs="Times New Roman"/>
                <w:color w:val="auto"/>
                <w:sz w:val="21"/>
                <w:szCs w:val="21"/>
                <w:lang w:val="en-US" w:eastAsia="zh-CN"/>
              </w:rPr>
              <w:t>，压力经试压检测合格。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放喷管线应是钢质管线，各段的压力等级、防硫化氢腐蚀能力应符合设计要求，满足油气井放喷需要，管线固定牢固按相应等级的压力设计分段试压合格。</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cs="Times New Roman"/>
                <w:bCs/>
                <w:color w:val="auto"/>
                <w:sz w:val="21"/>
                <w:szCs w:val="21"/>
              </w:rPr>
              <w:t>.</w:t>
            </w:r>
            <w:r>
              <w:rPr>
                <w:rFonts w:hint="eastAsia" w:ascii="Times New Roman" w:hAnsi="Times New Roman" w:eastAsia="宋体" w:cs="Times New Roman"/>
                <w:bCs/>
                <w:color w:val="auto"/>
                <w:sz w:val="21"/>
                <w:szCs w:val="21"/>
                <w:lang w:val="en-US" w:eastAsia="zh-CN"/>
              </w:rPr>
              <w:t>3.8</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color w:val="auto"/>
                <w:kern w:val="0"/>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放喷管线</w:t>
            </w:r>
            <w:r>
              <w:rPr>
                <w:rFonts w:hint="eastAsia" w:ascii="Times New Roman" w:hAnsi="Times New Roman" w:cs="Times New Roman"/>
                <w:color w:val="auto"/>
                <w:sz w:val="21"/>
                <w:szCs w:val="21"/>
                <w:lang w:val="en-US" w:eastAsia="zh-CN"/>
              </w:rPr>
              <w:t>为</w:t>
            </w:r>
            <w:r>
              <w:rPr>
                <w:rFonts w:hint="default" w:ascii="Times New Roman" w:hAnsi="Times New Roman" w:cs="Times New Roman"/>
                <w:color w:val="auto"/>
                <w:sz w:val="21"/>
                <w:szCs w:val="21"/>
                <w:lang w:val="en-US" w:eastAsia="zh-CN"/>
              </w:rPr>
              <w:t>钢质管线，压力经试压检测合格。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所有设备应按设备操作规程进行安装，做到“平、稳、正、全、牢”。</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3.</w:t>
            </w:r>
            <w:r>
              <w:rPr>
                <w:rFonts w:hint="eastAsia" w:ascii="Times New Roman" w:hAnsi="Times New Roman" w:eastAsia="宋体" w:cs="Times New Roman"/>
                <w:bCs/>
                <w:color w:val="auto"/>
                <w:sz w:val="21"/>
                <w:szCs w:val="21"/>
                <w:lang w:val="en-US" w:eastAsia="zh-CN"/>
              </w:rPr>
              <w:t>3</w:t>
            </w:r>
            <w:r>
              <w:rPr>
                <w:rFonts w:hint="default" w:ascii="Times New Roman" w:hAnsi="Times New Roman" w:cs="Times New Roman"/>
                <w:bCs/>
                <w:color w:val="auto"/>
                <w:sz w:val="21"/>
                <w:szCs w:val="21"/>
              </w:rPr>
              <w:t>.1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设备安装平稳</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设备部件、附件、安全装置、护罩等应齐全、完好，不得缺损、变形，且固定牢靠。</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3.</w:t>
            </w:r>
            <w:r>
              <w:rPr>
                <w:rFonts w:hint="eastAsia" w:ascii="Times New Roman" w:hAnsi="Times New Roman" w:eastAsia="宋体" w:cs="Times New Roman"/>
                <w:bCs/>
                <w:color w:val="auto"/>
                <w:sz w:val="21"/>
                <w:szCs w:val="21"/>
                <w:lang w:val="en-US" w:eastAsia="zh-CN"/>
              </w:rPr>
              <w:t>3</w:t>
            </w:r>
            <w:r>
              <w:rPr>
                <w:rFonts w:hint="default" w:ascii="Times New Roman" w:hAnsi="Times New Roman" w:cs="Times New Roman"/>
                <w:bCs/>
                <w:color w:val="auto"/>
                <w:sz w:val="21"/>
                <w:szCs w:val="21"/>
              </w:rPr>
              <w:t>.</w:t>
            </w:r>
            <w:r>
              <w:rPr>
                <w:rFonts w:hint="eastAsia" w:ascii="Times New Roman" w:hAnsi="Times New Roman" w:eastAsia="宋体" w:cs="Times New Roman"/>
                <w:bCs/>
                <w:color w:val="auto"/>
                <w:sz w:val="21"/>
                <w:szCs w:val="21"/>
                <w:lang w:val="en-US" w:eastAsia="zh-CN"/>
              </w:rPr>
              <w:t>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设备部件、附件、安全装置、护罩齐全</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无</w:t>
            </w:r>
            <w:r>
              <w:rPr>
                <w:rFonts w:hint="default" w:ascii="Times New Roman" w:hAnsi="Times New Roman" w:cs="Times New Roman"/>
                <w:color w:val="auto"/>
                <w:sz w:val="21"/>
                <w:szCs w:val="21"/>
              </w:rPr>
              <w:t>缺损变形</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设备运转部位转动灵活，各种阀件应灵活可靠、安全保险；设备油水应符合要求，保证油、气、水路通畅，不渗不漏。</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3.</w:t>
            </w:r>
            <w:r>
              <w:rPr>
                <w:rFonts w:hint="eastAsia" w:ascii="Times New Roman" w:hAnsi="Times New Roman" w:eastAsia="宋体" w:cs="Times New Roman"/>
                <w:bCs/>
                <w:color w:val="auto"/>
                <w:sz w:val="21"/>
                <w:szCs w:val="21"/>
                <w:lang w:val="en-US" w:eastAsia="zh-CN"/>
              </w:rPr>
              <w:t>3</w:t>
            </w:r>
            <w:r>
              <w:rPr>
                <w:rFonts w:hint="default" w:ascii="Times New Roman" w:hAnsi="Times New Roman" w:cs="Times New Roman"/>
                <w:bCs/>
                <w:color w:val="auto"/>
                <w:sz w:val="21"/>
                <w:szCs w:val="21"/>
              </w:rPr>
              <w:t>.</w:t>
            </w:r>
            <w:r>
              <w:rPr>
                <w:rFonts w:hint="eastAsia" w:ascii="Times New Roman" w:hAnsi="Times New Roman" w:eastAsia="宋体" w:cs="Times New Roman"/>
                <w:bCs/>
                <w:color w:val="auto"/>
                <w:sz w:val="21"/>
                <w:szCs w:val="21"/>
                <w:lang w:val="en-US" w:eastAsia="zh-CN"/>
              </w:rPr>
              <w:t>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设备运转部位转动灵活，各种阀件应灵活可靠</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所有紧固件、连接件应紧固可靠，销子应有锁紧保险装置；紧固件螺纹外露部分要涂抹润滑脂。</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3.</w:t>
            </w:r>
            <w:r>
              <w:rPr>
                <w:rFonts w:hint="eastAsia" w:ascii="Times New Roman" w:hAnsi="Times New Roman" w:eastAsia="宋体" w:cs="Times New Roman"/>
                <w:bCs/>
                <w:color w:val="auto"/>
                <w:sz w:val="21"/>
                <w:szCs w:val="21"/>
                <w:lang w:val="en-US" w:eastAsia="zh-CN"/>
              </w:rPr>
              <w:t>3</w:t>
            </w:r>
            <w:r>
              <w:rPr>
                <w:rFonts w:hint="default" w:ascii="Times New Roman" w:hAnsi="Times New Roman" w:cs="Times New Roman"/>
                <w:bCs/>
                <w:color w:val="auto"/>
                <w:sz w:val="21"/>
                <w:szCs w:val="21"/>
              </w:rPr>
              <w:t>.</w:t>
            </w:r>
            <w:r>
              <w:rPr>
                <w:rFonts w:hint="eastAsia" w:ascii="Times New Roman" w:hAnsi="Times New Roman" w:eastAsia="宋体" w:cs="Times New Roman"/>
                <w:bCs/>
                <w:color w:val="auto"/>
                <w:sz w:val="21"/>
                <w:szCs w:val="21"/>
                <w:lang w:val="en-US" w:eastAsia="zh-CN"/>
              </w:rPr>
              <w:t>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紧固件、连接件紧固可靠</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井架不应有变形等缺损，定期检测应符合SY/T6326中的规定</w:t>
            </w:r>
            <w:r>
              <w:rPr>
                <w:rFonts w:hint="eastAsia" w:ascii="Times New Roman" w:hAnsi="Times New Roman" w:eastAsia="宋体" w:cs="Times New Roman"/>
                <w:color w:val="auto"/>
                <w:sz w:val="21"/>
                <w:szCs w:val="21"/>
                <w:lang w:eastAsia="zh-CN"/>
              </w:rPr>
              <w:t>。</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3.4.1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现场检查设备台账，井架定期检测，无变形缺损。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井架逃生装置应符合SY/T 7028的规定。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4.1 设计有二层操作平台的钻井、修井井架，都应至少配备一套逃生装置。</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cs="Times New Roman"/>
                <w:color w:val="auto"/>
                <w:sz w:val="21"/>
                <w:szCs w:val="21"/>
                <w:lang w:eastAsia="zh-CN"/>
              </w:rPr>
            </w:pPr>
            <w:r>
              <w:rPr>
                <w:rFonts w:hint="default" w:ascii="Times New Roman" w:hAnsi="Times New Roman" w:cs="Times New Roman"/>
                <w:color w:val="auto"/>
                <w:sz w:val="21"/>
                <w:szCs w:val="21"/>
              </w:rPr>
              <w:t>5.1 每套逃生装置应有供应商出具的产品检验合格证、使用说明书、零部件配置清单等。9.1 每套装置至少应配备两副与逃生装置相配套的多功能安全带，井架工在二层操作平台T作时应全过程穿着多功能安全带</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cs="Times New Roman"/>
                <w:color w:val="auto"/>
                <w:sz w:val="21"/>
                <w:szCs w:val="21"/>
                <w:lang w:eastAsia="zh-CN"/>
              </w:rPr>
            </w:pPr>
            <w:r>
              <w:rPr>
                <w:rFonts w:hint="eastAsia" w:ascii="Times New Roman" w:hAnsi="Times New Roman" w:eastAsia="宋体" w:cs="Times New Roman"/>
                <w:color w:val="auto"/>
                <w:sz w:val="21"/>
                <w:szCs w:val="21"/>
                <w:lang w:eastAsia="zh-CN"/>
              </w:rPr>
              <w:t>9.9 下滑人员的落地点处，应设置缓冲沙坑或软垫。</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 xml:space="preserve">9.10 </w:t>
            </w:r>
            <w:r>
              <w:rPr>
                <w:rFonts w:hint="eastAsia" w:ascii="Times New Roman" w:hAnsi="Times New Roman" w:eastAsia="宋体" w:cs="Times New Roman"/>
                <w:color w:val="auto"/>
                <w:sz w:val="21"/>
                <w:szCs w:val="21"/>
                <w:lang w:eastAsia="zh-CN"/>
              </w:rPr>
              <w:t>下滑人员的落地点，应尽量选择在季风方向的上风口处。</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3.4.3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二层平台配备一套逃生装置</w:t>
            </w:r>
            <w:r>
              <w:rPr>
                <w:rFonts w:hint="eastAsia" w:ascii="Times New Roman" w:hAnsi="Times New Roman" w:cs="Times New Roman"/>
                <w:color w:val="auto"/>
                <w:sz w:val="21"/>
                <w:szCs w:val="21"/>
                <w:lang w:eastAsia="zh-CN"/>
              </w:rPr>
              <w:t>，配备两副多功能安全带，下滑人员的落地点处设软垫。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井架及二层平台不应摆放和悬挂与生产无关的物品，工具应拴牢保险绳。</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rPr>
              <w:t>3.5.</w:t>
            </w:r>
            <w:r>
              <w:rPr>
                <w:rFonts w:hint="eastAsia" w:ascii="Times New Roman" w:hAnsi="Times New Roman" w:eastAsia="宋体" w:cs="Times New Roman"/>
                <w:color w:val="auto"/>
                <w:sz w:val="21"/>
                <w:szCs w:val="21"/>
                <w:lang w:val="en-US" w:eastAsia="zh-CN"/>
              </w:rPr>
              <w:t>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井架及二层平台</w:t>
            </w:r>
            <w:r>
              <w:rPr>
                <w:rFonts w:hint="eastAsia" w:ascii="Times New Roman" w:hAnsi="Times New Roman" w:cs="Times New Roman"/>
                <w:color w:val="auto"/>
                <w:sz w:val="21"/>
                <w:szCs w:val="21"/>
                <w:lang w:val="en-US" w:eastAsia="zh-CN"/>
              </w:rPr>
              <w:t>未</w:t>
            </w:r>
            <w:r>
              <w:rPr>
                <w:rFonts w:hint="default" w:ascii="Times New Roman" w:hAnsi="Times New Roman" w:cs="Times New Roman"/>
                <w:color w:val="auto"/>
                <w:sz w:val="21"/>
                <w:szCs w:val="21"/>
              </w:rPr>
              <w:t>摆放和悬挂与生产无关的物品</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设备护栏、梯子齐全、紧固、完好。</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6</w:t>
            </w:r>
            <w:r>
              <w:rPr>
                <w:rFonts w:hint="default" w:ascii="Times New Roman" w:hAnsi="Times New Roman" w:cs="Times New Roman"/>
                <w:color w:val="auto"/>
                <w:sz w:val="21"/>
                <w:szCs w:val="21"/>
              </w:rPr>
              <w:t>.1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设备护栏、梯子齐全</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天车应安装操作安全防护装置，并有钢丝绳防跳槽装置。</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6</w:t>
            </w:r>
            <w:r>
              <w:rPr>
                <w:rFonts w:hint="default" w:ascii="Times New Roman" w:hAnsi="Times New Roman" w:cs="Times New Roman"/>
                <w:color w:val="auto"/>
                <w:sz w:val="21"/>
                <w:szCs w:val="21"/>
              </w:rPr>
              <w:t>.</w:t>
            </w:r>
            <w:r>
              <w:rPr>
                <w:rFonts w:hint="eastAsia" w:ascii="Times New Roman" w:hAnsi="Times New Roman" w:eastAsia="宋体" w:cs="Times New Roman"/>
                <w:color w:val="auto"/>
                <w:sz w:val="21"/>
                <w:szCs w:val="21"/>
                <w:lang w:val="en-US" w:eastAsia="zh-CN"/>
              </w:rPr>
              <w:t>2</w:t>
            </w:r>
          </w:p>
        </w:tc>
        <w:tc>
          <w:tcPr>
            <w:tcW w:w="703" w:type="dxa"/>
            <w:vAlign w:val="center"/>
          </w:tcPr>
          <w:p>
            <w:pPr>
              <w:keepNext w:val="0"/>
              <w:keepLines w:val="0"/>
              <w:suppressLineNumbers w:val="0"/>
              <w:adjustRightInd w:val="0"/>
              <w:snapToGrid w:val="0"/>
              <w:spacing w:before="20" w:beforeAutospacing="0" w:after="2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cs="Times New Roman"/>
                <w:color w:val="auto"/>
                <w:sz w:val="21"/>
                <w:szCs w:val="21"/>
                <w:lang w:eastAsia="zh-CN"/>
              </w:rPr>
            </w:pPr>
            <w:r>
              <w:rPr>
                <w:rFonts w:hint="default" w:ascii="Times New Roman" w:hAnsi="Times New Roman" w:cs="Times New Roman"/>
                <w:color w:val="auto"/>
                <w:sz w:val="21"/>
                <w:szCs w:val="21"/>
              </w:rPr>
              <w:t>天车</w:t>
            </w:r>
            <w:r>
              <w:rPr>
                <w:rFonts w:hint="eastAsia" w:ascii="Times New Roman" w:hAnsi="Times New Roman" w:cs="Times New Roman"/>
                <w:color w:val="auto"/>
                <w:sz w:val="21"/>
                <w:szCs w:val="21"/>
                <w:lang w:val="en-US" w:eastAsia="zh-CN"/>
              </w:rPr>
              <w:t>设围栏防护</w:t>
            </w:r>
            <w:r>
              <w:rPr>
                <w:rFonts w:hint="default" w:ascii="Times New Roman" w:hAnsi="Times New Roman" w:cs="Times New Roman"/>
                <w:color w:val="auto"/>
                <w:sz w:val="21"/>
                <w:szCs w:val="21"/>
              </w:rPr>
              <w:t>，并有钢丝绳防跳槽装置</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应使用直径不小15.5mm的钢丝绳，绷绳无打结、断股。</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7.2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钢丝绳直径不小15.5mm</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cs="Times New Roman"/>
                <w:color w:val="auto"/>
                <w:sz w:val="21"/>
                <w:szCs w:val="21"/>
                <w:lang w:eastAsia="zh-CN"/>
              </w:rPr>
            </w:pPr>
            <w:r>
              <w:rPr>
                <w:rFonts w:hint="default" w:ascii="Times New Roman" w:hAnsi="Times New Roman" w:cs="Times New Roman"/>
                <w:color w:val="auto"/>
                <w:sz w:val="21"/>
                <w:szCs w:val="21"/>
              </w:rPr>
              <w:t>井架绷绳若出现以下任何一种情况不应继续使用</w:t>
            </w:r>
            <w:r>
              <w:rPr>
                <w:rFonts w:hint="eastAsia" w:ascii="Times New Roman" w:hAnsi="Times New Roman" w:eastAsia="宋体" w:cs="Times New Roman"/>
                <w:color w:val="auto"/>
                <w:sz w:val="21"/>
                <w:szCs w:val="21"/>
                <w:lang w:eastAsia="zh-CN"/>
              </w:rPr>
              <w:t>：</w:t>
            </w:r>
          </w:p>
          <w:p>
            <w:pPr>
              <w:keepNext w:val="0"/>
              <w:keepLines w:val="0"/>
              <w:pageBreakBefore w:val="0"/>
              <w:widowControl w:val="0"/>
              <w:numPr>
                <w:ilvl w:val="0"/>
                <w:numId w:val="30"/>
              </w:numPr>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Times New Roman" w:hAnsi="Times New Roman" w:cs="Times New Roman"/>
                <w:color w:val="auto"/>
                <w:sz w:val="21"/>
                <w:szCs w:val="21"/>
                <w:lang w:eastAsia="zh-CN"/>
              </w:rPr>
            </w:pPr>
            <w:r>
              <w:rPr>
                <w:rFonts w:hint="eastAsia" w:ascii="Times New Roman" w:hAnsi="Times New Roman" w:eastAsia="宋体" w:cs="Times New Roman"/>
                <w:color w:val="auto"/>
                <w:sz w:val="21"/>
                <w:szCs w:val="21"/>
                <w:lang w:eastAsia="zh-CN"/>
              </w:rPr>
              <w:t>一纽绳中发现随机分布的六根断丝。</w:t>
            </w:r>
          </w:p>
          <w:p>
            <w:pPr>
              <w:keepNext w:val="0"/>
              <w:keepLines w:val="0"/>
              <w:pageBreakBefore w:val="0"/>
              <w:widowControl w:val="0"/>
              <w:numPr>
                <w:ilvl w:val="0"/>
                <w:numId w:val="30"/>
              </w:numPr>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eastAsia="zh-CN"/>
              </w:rPr>
              <w:t>一纽绳中的一股中发现有三根断丝。</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7.3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井架绷绳</w:t>
            </w:r>
            <w:r>
              <w:rPr>
                <w:rFonts w:hint="eastAsia" w:ascii="Times New Roman" w:hAnsi="Times New Roman" w:cs="Times New Roman"/>
                <w:color w:val="auto"/>
                <w:sz w:val="21"/>
                <w:szCs w:val="21"/>
                <w:lang w:val="en-US" w:eastAsia="zh-CN"/>
              </w:rPr>
              <w:t>无断丝。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绷绳端的卡固应用不少于3个等径绳卡。</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7.4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绷绳端</w:t>
            </w:r>
            <w:r>
              <w:rPr>
                <w:rFonts w:hint="eastAsia" w:ascii="Times New Roman" w:hAnsi="Times New Roman" w:cs="Times New Roman"/>
                <w:color w:val="auto"/>
                <w:sz w:val="21"/>
                <w:szCs w:val="21"/>
                <w:lang w:val="en-US" w:eastAsia="zh-CN"/>
              </w:rPr>
              <w:t>设4</w:t>
            </w:r>
            <w:r>
              <w:rPr>
                <w:rFonts w:hint="default" w:ascii="Times New Roman" w:hAnsi="Times New Roman" w:cs="Times New Roman"/>
                <w:color w:val="auto"/>
                <w:sz w:val="21"/>
                <w:szCs w:val="21"/>
              </w:rPr>
              <w:t>个卡固</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使用修井机作业时，应根据修井机型号选择满足安全需要的承载绷绳，两端各用4个相应规格的绳卡卡固。</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7.8</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两端各用4个绳卡卡固</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有二层台时，逃生绷绳上端应固定在便于逃生处，逃生绷绳与地面夹角应为30° ~ 75"，着陆点应设缓冲沙坑(物)。</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7.9</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逃生绷绳与地面夹角应为</w:t>
            </w:r>
            <w:r>
              <w:rPr>
                <w:rFonts w:hint="eastAsia" w:ascii="Times New Roman" w:hAnsi="Times New Roman" w:cs="Times New Roman"/>
                <w:color w:val="auto"/>
                <w:sz w:val="21"/>
                <w:szCs w:val="21"/>
                <w:lang w:val="en-US" w:eastAsia="zh-CN"/>
              </w:rPr>
              <w:t>45</w:t>
            </w:r>
            <w:r>
              <w:rPr>
                <w:rFonts w:hint="default" w:ascii="Times New Roman" w:hAnsi="Times New Roman" w:cs="Times New Roman"/>
                <w:color w:val="auto"/>
                <w:sz w:val="21"/>
                <w:szCs w:val="21"/>
              </w:rPr>
              <w:t>°，着陆点</w:t>
            </w:r>
            <w:r>
              <w:rPr>
                <w:rFonts w:hint="eastAsia" w:ascii="Times New Roman" w:hAnsi="Times New Roman" w:cs="Times New Roman"/>
                <w:color w:val="auto"/>
                <w:sz w:val="21"/>
                <w:szCs w:val="21"/>
                <w:lang w:val="en-US" w:eastAsia="zh-CN"/>
              </w:rPr>
              <w:t>设软垫。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地锚不应打在虚土或水坑等松软地中。</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8.3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地锚</w:t>
            </w:r>
            <w:r>
              <w:rPr>
                <w:rFonts w:hint="eastAsia" w:ascii="Times New Roman" w:hAnsi="Times New Roman" w:cs="Times New Roman"/>
                <w:color w:val="auto"/>
                <w:sz w:val="21"/>
                <w:szCs w:val="21"/>
                <w:lang w:val="en-US" w:eastAsia="zh-CN"/>
              </w:rPr>
              <w:t>固定牢固。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地锚外露不高于100mm。</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8.4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地锚外露</w:t>
            </w:r>
            <w:r>
              <w:rPr>
                <w:rFonts w:hint="eastAsia" w:ascii="Times New Roman" w:hAnsi="Times New Roman" w:cs="Times New Roman"/>
                <w:color w:val="auto"/>
                <w:sz w:val="21"/>
                <w:szCs w:val="21"/>
                <w:lang w:val="en-US" w:eastAsia="zh-CN"/>
              </w:rPr>
              <w:t>80mm。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传动、转动部位护栏</w:t>
            </w:r>
            <w:r>
              <w:rPr>
                <w:rFonts w:hint="eastAsia" w:ascii="Times New Roman" w:hAnsi="Times New Roman" w:eastAsia="宋体" w:cs="Times New Roman"/>
                <w:color w:val="auto"/>
                <w:sz w:val="21"/>
                <w:szCs w:val="21"/>
                <w:lang w:eastAsia="zh-CN"/>
              </w:rPr>
              <w:t>（罩）</w:t>
            </w:r>
            <w:r>
              <w:rPr>
                <w:rFonts w:hint="default" w:ascii="Times New Roman" w:hAnsi="Times New Roman" w:cs="Times New Roman"/>
                <w:color w:val="auto"/>
                <w:sz w:val="21"/>
                <w:szCs w:val="21"/>
              </w:rPr>
              <w:t>齐全牢靠。</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9.1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转动部位护栏齐全牢靠</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修井机作业时，各千斤支座稳固，停放在地基平整坚实处，并锁紧各支腿备帽。额定钩载800kN及以上修井机应使用船型底座。</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9.4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修井机停放地基平整坚实</w:t>
            </w:r>
            <w:r>
              <w:rPr>
                <w:rFonts w:hint="eastAsia" w:ascii="Times New Roman" w:hAnsi="Times New Roman" w:cs="Times New Roman"/>
                <w:color w:val="auto"/>
                <w:sz w:val="21"/>
                <w:szCs w:val="21"/>
                <w:lang w:eastAsia="zh-CN"/>
              </w:rPr>
              <w:t>。</w:t>
            </w:r>
          </w:p>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刹车系统应完好可靠，有专人负责检查保养，带式刹车刹把和液控盘刹驻车制动手柄应配有锁止装置。</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10.1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带式刹车刹把</w:t>
            </w:r>
            <w:r>
              <w:rPr>
                <w:rFonts w:hint="eastAsia" w:ascii="Times New Roman" w:hAnsi="Times New Roman" w:cs="Times New Roman"/>
                <w:color w:val="auto"/>
                <w:sz w:val="21"/>
                <w:szCs w:val="21"/>
                <w:lang w:val="en-US" w:eastAsia="zh-CN"/>
              </w:rPr>
              <w:t>设</w:t>
            </w:r>
            <w:r>
              <w:rPr>
                <w:rFonts w:hint="default" w:ascii="Times New Roman" w:hAnsi="Times New Roman" w:cs="Times New Roman"/>
                <w:color w:val="auto"/>
                <w:sz w:val="21"/>
                <w:szCs w:val="21"/>
              </w:rPr>
              <w:t>锁止装置</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气控系统气压低于0.7MPa不得操作绞车进行作业。</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10.2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气控系统气压</w:t>
            </w:r>
            <w:r>
              <w:rPr>
                <w:rFonts w:hint="eastAsia" w:ascii="Times New Roman" w:hAnsi="Times New Roman" w:cs="Times New Roman"/>
                <w:color w:val="auto"/>
                <w:sz w:val="21"/>
                <w:szCs w:val="21"/>
                <w:lang w:val="en-US" w:eastAsia="zh-CN"/>
              </w:rPr>
              <w:t>0.8Mpa-1Mpa。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刹带无变形、无裂纹，刹带顶丝、顶轮、弹簧齐全完好，间隙合格。刹带片磨损剩余厚度不应超过刹车片固定螺栓上平面，固定螺栓齐全紧固。</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10.4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刹带无变形、裂纹</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应配备防碰装置，防碰天车装置灵活好用，防碰距离应不小于2.5m</w:t>
            </w:r>
            <w:r>
              <w:rPr>
                <w:rFonts w:hint="eastAsia" w:ascii="Times New Roman" w:hAnsi="Times New Roman" w:eastAsia="宋体" w:cs="Times New Roman"/>
                <w:color w:val="auto"/>
                <w:sz w:val="21"/>
                <w:szCs w:val="21"/>
                <w:lang w:eastAsia="zh-CN"/>
              </w:rPr>
              <w:t>，</w:t>
            </w:r>
            <w:r>
              <w:rPr>
                <w:rFonts w:hint="default" w:ascii="Times New Roman" w:hAnsi="Times New Roman" w:cs="Times New Roman"/>
                <w:color w:val="auto"/>
                <w:sz w:val="21"/>
                <w:szCs w:val="21"/>
              </w:rPr>
              <w:t>定期检查防碰装置的完</w:t>
            </w:r>
            <w:r>
              <w:rPr>
                <w:rFonts w:hint="eastAsia" w:ascii="Times New Roman" w:hAnsi="Times New Roman" w:eastAsia="宋体" w:cs="Times New Roman"/>
                <w:color w:val="auto"/>
                <w:sz w:val="21"/>
                <w:szCs w:val="21"/>
                <w:lang w:eastAsia="zh-CN"/>
              </w:rPr>
              <w:t>好性。</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3.10.9</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防碰天车装置灵活好用，防碰距离</w:t>
            </w: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rPr>
              <w:t>m</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使用修井机作业时，死绳固定器应可靠有效。</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3.11.4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死绳固定器可靠有效</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指重表</w:t>
            </w:r>
            <w:r>
              <w:rPr>
                <w:rFonts w:hint="eastAsia" w:ascii="Times New Roman" w:hAnsi="Times New Roman" w:eastAsia="宋体" w:cs="Times New Roman"/>
                <w:color w:val="auto"/>
                <w:sz w:val="21"/>
                <w:szCs w:val="21"/>
                <w:lang w:eastAsia="zh-CN"/>
              </w:rPr>
              <w:t>（</w:t>
            </w:r>
            <w:r>
              <w:rPr>
                <w:rFonts w:hint="default" w:ascii="Times New Roman" w:hAnsi="Times New Roman" w:cs="Times New Roman"/>
                <w:color w:val="auto"/>
                <w:sz w:val="21"/>
                <w:szCs w:val="21"/>
              </w:rPr>
              <w:t>拉力表</w:t>
            </w:r>
            <w:r>
              <w:rPr>
                <w:rFonts w:hint="eastAsia" w:ascii="Times New Roman" w:hAnsi="Times New Roman" w:eastAsia="宋体" w:cs="Times New Roman"/>
                <w:color w:val="auto"/>
                <w:sz w:val="21"/>
                <w:szCs w:val="21"/>
                <w:lang w:eastAsia="zh-CN"/>
              </w:rPr>
              <w:t>）</w:t>
            </w:r>
            <w:r>
              <w:rPr>
                <w:rFonts w:hint="default" w:ascii="Times New Roman" w:hAnsi="Times New Roman" w:cs="Times New Roman"/>
                <w:color w:val="auto"/>
                <w:sz w:val="21"/>
                <w:szCs w:val="21"/>
              </w:rPr>
              <w:t>应定期校验，确保灵敏、准确，表面清洁。</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3.11.6</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拉力表定期</w:t>
            </w:r>
            <w:r>
              <w:rPr>
                <w:rFonts w:hint="eastAsia" w:ascii="Times New Roman" w:hAnsi="Times New Roman" w:cs="Times New Roman"/>
                <w:color w:val="auto"/>
                <w:sz w:val="21"/>
                <w:szCs w:val="21"/>
                <w:lang w:val="en-US" w:eastAsia="zh-CN"/>
              </w:rPr>
              <w:t>校验。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游动滑车、天车、滑轮应转动灵活、护罩完好。</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3.12.1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天车</w:t>
            </w:r>
            <w:r>
              <w:rPr>
                <w:rFonts w:hint="eastAsia" w:ascii="Times New Roman" w:hAnsi="Times New Roman" w:cs="Times New Roman"/>
                <w:color w:val="auto"/>
                <w:sz w:val="21"/>
                <w:szCs w:val="21"/>
                <w:lang w:val="en-US" w:eastAsia="zh-CN"/>
              </w:rPr>
              <w:t>等</w:t>
            </w:r>
            <w:r>
              <w:rPr>
                <w:rFonts w:hint="default" w:ascii="Times New Roman" w:hAnsi="Times New Roman" w:cs="Times New Roman"/>
                <w:color w:val="auto"/>
                <w:sz w:val="21"/>
                <w:szCs w:val="21"/>
              </w:rPr>
              <w:t>转动灵活</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大钩弹簧、保险(锁)销应完好，转动灵活，耳环螺栓应紧固。</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3.12.2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大钩弹簧、保险(锁)销完好</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压井、替喷、放喷、气举、气化水洗井的施工，流程连接应使用钢质硬管线并用地锚</w:t>
            </w:r>
            <w:r>
              <w:rPr>
                <w:rFonts w:hint="eastAsia" w:ascii="Times New Roman" w:hAnsi="Times New Roman" w:eastAsia="宋体" w:cs="Times New Roman"/>
                <w:color w:val="auto"/>
                <w:sz w:val="21"/>
                <w:szCs w:val="21"/>
                <w:lang w:eastAsia="zh-CN"/>
              </w:rPr>
              <w:t>（</w:t>
            </w:r>
            <w:r>
              <w:rPr>
                <w:rFonts w:hint="default" w:ascii="Times New Roman" w:hAnsi="Times New Roman" w:cs="Times New Roman"/>
                <w:color w:val="auto"/>
                <w:sz w:val="21"/>
                <w:szCs w:val="21"/>
              </w:rPr>
              <w:t>水泥基墩等</w:t>
            </w:r>
            <w:r>
              <w:rPr>
                <w:rFonts w:hint="eastAsia" w:ascii="Times New Roman" w:hAnsi="Times New Roman" w:eastAsia="宋体" w:cs="Times New Roman"/>
                <w:color w:val="auto"/>
                <w:sz w:val="21"/>
                <w:szCs w:val="21"/>
                <w:lang w:eastAsia="zh-CN"/>
              </w:rPr>
              <w:t>）</w:t>
            </w:r>
            <w:r>
              <w:rPr>
                <w:rFonts w:hint="default" w:ascii="Times New Roman" w:hAnsi="Times New Roman" w:cs="Times New Roman"/>
                <w:color w:val="auto"/>
                <w:sz w:val="21"/>
                <w:szCs w:val="21"/>
              </w:rPr>
              <w:t>固定，放喷管线转弯处应使用角度不小于120°钢质弯头或90°带抗冲蚀功能的弯头。</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3.16.1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压井</w:t>
            </w:r>
            <w:r>
              <w:rPr>
                <w:rFonts w:hint="eastAsia" w:ascii="Times New Roman" w:hAnsi="Times New Roman" w:cs="Times New Roman"/>
                <w:color w:val="auto"/>
                <w:sz w:val="21"/>
                <w:szCs w:val="21"/>
                <w:lang w:val="en-US" w:eastAsia="zh-CN"/>
              </w:rPr>
              <w:t>等</w:t>
            </w:r>
            <w:r>
              <w:rPr>
                <w:rFonts w:hint="default" w:ascii="Times New Roman" w:hAnsi="Times New Roman" w:cs="Times New Roman"/>
                <w:color w:val="auto"/>
                <w:sz w:val="21"/>
                <w:szCs w:val="21"/>
              </w:rPr>
              <w:t>流程连接使用钢质硬管线并用地锚固定，放喷管线</w:t>
            </w:r>
            <w:r>
              <w:rPr>
                <w:rFonts w:hint="eastAsia" w:ascii="Times New Roman" w:hAnsi="Times New Roman" w:cs="Times New Roman"/>
                <w:color w:val="auto"/>
                <w:sz w:val="21"/>
                <w:szCs w:val="21"/>
                <w:lang w:val="en-US" w:eastAsia="zh-CN"/>
              </w:rPr>
              <w:t>无</w:t>
            </w:r>
            <w:r>
              <w:rPr>
                <w:rFonts w:hint="default" w:ascii="Times New Roman" w:hAnsi="Times New Roman" w:cs="Times New Roman"/>
                <w:color w:val="auto"/>
                <w:sz w:val="21"/>
                <w:szCs w:val="21"/>
              </w:rPr>
              <w:t>转弯</w:t>
            </w:r>
            <w:r>
              <w:rPr>
                <w:rFonts w:hint="eastAsia" w:ascii="Times New Roman" w:hAnsi="Times New Roman" w:cs="Times New Roman"/>
                <w:color w:val="auto"/>
                <w:sz w:val="21"/>
                <w:szCs w:val="21"/>
                <w:lang w:eastAsia="zh-CN"/>
              </w:rPr>
              <w:t>。</w:t>
            </w:r>
          </w:p>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节流压井管汇各连接部位应采用螺纹或标准法兰进行连接。流程各部位应试压合格。</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3.16.2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节流压井管汇流程各部位</w:t>
            </w:r>
            <w:r>
              <w:rPr>
                <w:rFonts w:hint="eastAsia" w:ascii="Times New Roman" w:hAnsi="Times New Roman" w:cs="Times New Roman"/>
                <w:color w:val="auto"/>
                <w:sz w:val="21"/>
                <w:szCs w:val="21"/>
                <w:lang w:val="en-US" w:eastAsia="zh-CN"/>
              </w:rPr>
              <w:t>经</w:t>
            </w:r>
            <w:r>
              <w:rPr>
                <w:rFonts w:hint="default" w:ascii="Times New Roman" w:hAnsi="Times New Roman" w:cs="Times New Roman"/>
                <w:color w:val="auto"/>
                <w:sz w:val="21"/>
                <w:szCs w:val="21"/>
              </w:rPr>
              <w:t>试压合格</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出口管线应使用钢质管线，中间10m</w:t>
            </w:r>
            <w:r>
              <w:rPr>
                <w:rFonts w:hint="eastAsia" w:ascii="宋体" w:hAnsi="宋体" w:eastAsia="宋体" w:cs="宋体"/>
                <w:color w:val="auto"/>
                <w:sz w:val="21"/>
                <w:szCs w:val="21"/>
              </w:rPr>
              <w:t>～</w:t>
            </w:r>
            <w:r>
              <w:rPr>
                <w:rFonts w:hint="default" w:ascii="Times New Roman" w:hAnsi="Times New Roman" w:cs="Times New Roman"/>
                <w:color w:val="auto"/>
                <w:sz w:val="21"/>
                <w:szCs w:val="21"/>
              </w:rPr>
              <w:t>15m 和转弯处用地锚(水泥基墩等)固定。</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3.16.5</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出口管线使用钢质管线，中间</w:t>
            </w:r>
          </w:p>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地锚固定</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节流管汇和压井管汇的额定工作压力应不小于防喷器的额定工作压力，各闸门开关应有状态标识。</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3.17.5</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节流管汇</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压井管汇</w:t>
            </w:r>
            <w:r>
              <w:rPr>
                <w:rFonts w:hint="eastAsia" w:ascii="Times New Roman" w:hAnsi="Times New Roman" w:cs="Times New Roman"/>
                <w:color w:val="auto"/>
                <w:sz w:val="21"/>
                <w:szCs w:val="21"/>
                <w:lang w:val="en-US" w:eastAsia="zh-CN"/>
              </w:rPr>
              <w:t>和</w:t>
            </w:r>
            <w:r>
              <w:rPr>
                <w:rFonts w:hint="default" w:ascii="Times New Roman" w:hAnsi="Times New Roman" w:cs="Times New Roman"/>
                <w:color w:val="auto"/>
                <w:sz w:val="21"/>
                <w:szCs w:val="21"/>
              </w:rPr>
              <w:t>防喷器</w:t>
            </w:r>
            <w:r>
              <w:rPr>
                <w:rFonts w:hint="eastAsia" w:ascii="Times New Roman" w:hAnsi="Times New Roman" w:cs="Times New Roman"/>
                <w:color w:val="auto"/>
                <w:sz w:val="21"/>
                <w:szCs w:val="21"/>
                <w:lang w:val="en-US" w:eastAsia="zh-CN"/>
              </w:rPr>
              <w:t>经试压合格，</w:t>
            </w:r>
            <w:r>
              <w:rPr>
                <w:rFonts w:hint="default" w:ascii="Times New Roman" w:hAnsi="Times New Roman" w:cs="Times New Roman"/>
                <w:color w:val="auto"/>
                <w:sz w:val="21"/>
                <w:szCs w:val="21"/>
              </w:rPr>
              <w:t>各闸门开关</w:t>
            </w:r>
            <w:r>
              <w:rPr>
                <w:rFonts w:hint="eastAsia" w:ascii="Times New Roman" w:hAnsi="Times New Roman" w:cs="Times New Roman"/>
                <w:color w:val="auto"/>
                <w:sz w:val="21"/>
                <w:szCs w:val="21"/>
                <w:lang w:val="en-US" w:eastAsia="zh-CN"/>
              </w:rPr>
              <w:t>设</w:t>
            </w:r>
            <w:r>
              <w:rPr>
                <w:rFonts w:hint="default" w:ascii="Times New Roman" w:hAnsi="Times New Roman" w:cs="Times New Roman"/>
                <w:color w:val="auto"/>
                <w:sz w:val="21"/>
                <w:szCs w:val="21"/>
              </w:rPr>
              <w:t>有状态标识</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压井管汇和节流管汇应安装在钻台或操作台以外，并摆放平整。</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3.17.6</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压井管汇和节流管汇安装在操作台以外，并摆放平整</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防喷器液压管线应有防碾压保护。</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3.17.7</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防喷器液压管线</w:t>
            </w:r>
            <w:r>
              <w:rPr>
                <w:rFonts w:hint="eastAsia" w:cs="Times New Roman"/>
                <w:color w:val="auto"/>
                <w:sz w:val="21"/>
                <w:szCs w:val="21"/>
                <w:lang w:val="en-US" w:eastAsia="zh-CN"/>
              </w:rPr>
              <w:t>未</w:t>
            </w:r>
            <w:r>
              <w:rPr>
                <w:rFonts w:hint="eastAsia" w:ascii="Times New Roman" w:hAnsi="Times New Roman" w:cs="Times New Roman"/>
                <w:color w:val="auto"/>
                <w:sz w:val="21"/>
                <w:szCs w:val="21"/>
                <w:lang w:val="en-US" w:eastAsia="zh-CN"/>
              </w:rPr>
              <w:t>设</w:t>
            </w:r>
            <w:r>
              <w:rPr>
                <w:rFonts w:hint="default" w:ascii="Times New Roman" w:hAnsi="Times New Roman" w:cs="Times New Roman"/>
                <w:color w:val="auto"/>
                <w:sz w:val="21"/>
                <w:szCs w:val="21"/>
              </w:rPr>
              <w:t>防碾压保护</w:t>
            </w:r>
            <w:r>
              <w:rPr>
                <w:rFonts w:hint="eastAsia" w:ascii="Times New Roman" w:hAnsi="Times New Roman"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井口应备有与井内管柱匹配的并接好旋塞阀的防喷短节，旋塞阀开关灵活并处于开启状态。</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3.17.10</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井口备有接好旋塞阀的防喷短节</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防喷设施和工具、用具应齐全完好，摆放整齐。</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3.17.11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防喷设施和工具齐全完好，摆放整齐</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作业设备：a)施工作业设备安装平稳、固定牢靠，各部位连接紧固，无松动、开焊等；b)井架、井架底座结构件连接螺栓、弹簧垫、销子、抗剪销及保险别针齐全紧固，地锚坚固，绷绳无缺陷；c)游动和提升系统不应有严重磨损，应转动灵活、护罩完好；d)顶驱导轨无变形，裂纹，导轨连接销及U型卡锁销齐全紧固，保护功能齐全，有效报警系统工作正常；e)司钻操作台固定牢靠，仪表完好、清晰，各阀件齐全，标识清楚；f) 固控系统安装牢固，防护罩、网、护栏等完好；g) 泥浆泵安装牢固，护罩齐全，安全阀检定合格；h)压裂（酸化）机组应符合设计要求，运转正常，发动机紧急熄火装置性能良好，安全销有效；i) 压裂管汇车应定期进行检测，吊钩、钢丝绳无缺陷；j) 混砂车密度计外观无破损、固定牢固，必须加锁，有放射源警示牌；k) 蒸汽发生器应符合设计要求，并经检验，自控系统正常，指示灯完好、报警器定值正常；l) 所有设备安全附件检测有效，测量仪表数值准确，校验有效</w:t>
            </w:r>
            <w:r>
              <w:rPr>
                <w:rFonts w:hint="eastAsia" w:ascii="Times New Roman" w:hAnsi="Times New Roman" w:eastAsia="宋体" w:cs="Times New Roman"/>
                <w:color w:val="auto"/>
                <w:sz w:val="21"/>
                <w:szCs w:val="21"/>
                <w:lang w:eastAsia="zh-CN"/>
              </w:rPr>
              <w:t>。</w:t>
            </w:r>
          </w:p>
        </w:tc>
        <w:tc>
          <w:tcPr>
            <w:tcW w:w="1815" w:type="dxa"/>
            <w:vAlign w:val="center"/>
          </w:tcPr>
          <w:p>
            <w:pPr>
              <w:keepNext w:val="0"/>
              <w:keepLines w:val="0"/>
              <w:suppressLineNumbers w:val="0"/>
              <w:adjustRightInd w:val="0"/>
              <w:snapToGrid w:val="0"/>
              <w:spacing w:before="20" w:beforeAutospacing="0" w:after="20" w:afterAutospacing="0"/>
              <w:ind w:left="0" w:right="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AQ2041-2012</w:t>
            </w:r>
          </w:p>
          <w:p>
            <w:pPr>
              <w:keepNext w:val="0"/>
              <w:keepLines w:val="0"/>
              <w:suppressLineNumbers w:val="0"/>
              <w:adjustRightInd w:val="0"/>
              <w:snapToGrid w:val="0"/>
              <w:spacing w:before="156" w:beforeLines="50" w:beforeAutospacing="0" w:after="156" w:afterLines="50" w:afterAutospacing="0"/>
              <w:ind w:left="0" w:leftChars="0" w:right="0" w:rightChars="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color w:val="auto"/>
                <w:sz w:val="21"/>
                <w:szCs w:val="21"/>
              </w:rPr>
              <w:t>5</w:t>
            </w:r>
            <w:r>
              <w:rPr>
                <w:rFonts w:hint="default" w:ascii="Times New Roman" w:hAnsi="Times New Roman" w:cs="Times New Roman"/>
                <w:color w:val="auto"/>
                <w:sz w:val="21"/>
                <w:szCs w:val="21"/>
              </w:rPr>
              <w:t>.5.5.2</w:t>
            </w:r>
          </w:p>
        </w:tc>
        <w:tc>
          <w:tcPr>
            <w:tcW w:w="703" w:type="dxa"/>
            <w:vAlign w:val="center"/>
          </w:tcPr>
          <w:p>
            <w:pPr>
              <w:keepNext w:val="0"/>
              <w:keepLines w:val="0"/>
              <w:suppressLineNumbers w:val="0"/>
              <w:adjustRightInd w:val="0"/>
              <w:snapToGrid w:val="0"/>
              <w:spacing w:before="156" w:beforeLines="50" w:beforeAutospacing="0" w:after="156" w:afterLines="50" w:afterAutospacing="0"/>
              <w:ind w:left="0" w:leftChars="0" w:right="0" w:rightChars="0"/>
              <w:jc w:val="center"/>
              <w:rPr>
                <w:rFonts w:hint="eastAsia"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施工作业设备安装平稳、固定牢靠</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井架、井架底座连接紧固，地锚坚固，绷绳无缺陷；游动和提升系统转动灵活、护罩完好</w:t>
            </w:r>
            <w:r>
              <w:rPr>
                <w:rFonts w:hint="eastAsia" w:ascii="Times New Roman" w:hAnsi="Times New Roman" w:cs="Times New Roman"/>
                <w:color w:val="auto"/>
                <w:sz w:val="21"/>
                <w:szCs w:val="21"/>
                <w:lang w:eastAsia="zh-CN"/>
              </w:rPr>
              <w:t>；司钻操作台固定牢靠。</w:t>
            </w:r>
          </w:p>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p>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放喷管线及测试流程应采用钢质管线，至少应接一条，其通径不小于50mm，转弯处应使用不小于90°的锻造钢质弯头。气井(高气油比井)不使用活动弯头连接，含硫化氢气井宜根据现场风向设置主副放喷池，放喷管线应不少于两条，且相互为大于90°夹角的两个方向接出井场。</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SY/T6690-2016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5.1.3.5</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放喷管线采用钢质管线</w:t>
            </w:r>
            <w:r>
              <w:rPr>
                <w:rFonts w:hint="eastAsia" w:ascii="Times New Roman" w:hAnsi="Times New Roman"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tabs>
                <w:tab w:val="left" w:pos="347"/>
              </w:tabs>
              <w:adjustRightInd w:val="0"/>
              <w:snapToGrid w:val="0"/>
              <w:spacing w:before="62" w:beforeLines="20" w:beforeAutospacing="0" w:after="62" w:afterLines="20" w:afterAutospacing="0"/>
              <w:ind w:left="0" w:leftChars="0" w:right="0" w:rightChars="0" w:firstLine="0" w:firstLineChars="0"/>
              <w:jc w:val="left"/>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三</w:t>
            </w:r>
          </w:p>
        </w:tc>
        <w:tc>
          <w:tcPr>
            <w:tcW w:w="31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eastAsia" w:ascii="Times New Roman" w:hAnsi="Times New Roman" w:eastAsia="宋体" w:cs="Times New Roman"/>
                <w:b/>
                <w:bCs/>
                <w:color w:val="auto"/>
                <w:sz w:val="21"/>
                <w:szCs w:val="21"/>
                <w:lang w:eastAsia="zh-CN"/>
              </w:rPr>
              <w:t>安全警示标志</w:t>
            </w:r>
          </w:p>
        </w:tc>
        <w:tc>
          <w:tcPr>
            <w:tcW w:w="1815"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c>
          <w:tcPr>
            <w:tcW w:w="703"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生产经营单位应当在有较大危险因素的生产经营场所和有关设施、设备上，设置明显的安全警示标志。</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color w:val="auto"/>
                <w:sz w:val="21"/>
                <w:szCs w:val="21"/>
                <w:lang w:val="en-US" w:eastAsia="zh-CN"/>
              </w:rPr>
              <w:t>《</w:t>
            </w:r>
            <w:r>
              <w:rPr>
                <w:rFonts w:hint="eastAsia" w:ascii="Times New Roman" w:hAnsi="Times New Roman" w:eastAsia="宋体" w:cs="Times New Roman"/>
                <w:color w:val="auto"/>
                <w:sz w:val="21"/>
                <w:szCs w:val="21"/>
                <w:lang w:val="en-US" w:eastAsia="zh-CN"/>
              </w:rPr>
              <w:t>安全生产法</w:t>
            </w:r>
            <w:r>
              <w:rPr>
                <w:rFonts w:hint="eastAsia" w:ascii="宋体" w:hAnsi="宋体" w:eastAsia="宋体" w:cs="宋体"/>
                <w:color w:val="auto"/>
                <w:sz w:val="21"/>
                <w:szCs w:val="21"/>
                <w:lang w:val="en-US" w:eastAsia="zh-CN"/>
              </w:rPr>
              <w:t>》</w:t>
            </w:r>
            <w:r>
              <w:rPr>
                <w:rFonts w:hint="eastAsia" w:ascii="Times New Roman" w:hAnsi="Times New Roman" w:eastAsia="宋体" w:cs="Times New Roman"/>
                <w:color w:val="auto"/>
                <w:sz w:val="21"/>
                <w:szCs w:val="21"/>
                <w:lang w:val="en-US" w:eastAsia="zh-CN"/>
              </w:rPr>
              <w:t>第三十五条</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宋体" w:hAnsi="宋体" w:eastAsia="宋体" w:cs="宋体"/>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设有</w:t>
            </w:r>
            <w:r>
              <w:rPr>
                <w:rFonts w:hint="default" w:ascii="Times New Roman" w:hAnsi="Times New Roman" w:cs="Times New Roman"/>
                <w:color w:val="auto"/>
                <w:sz w:val="21"/>
                <w:szCs w:val="21"/>
              </w:rPr>
              <w:t>明显的安全警示标志。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油气井作业施工区域内严禁烟火，工区内所有人员禁止吸烟。在井场进行动火施工作业按相关动火作业安全规定执行。</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cs="Times New Roman"/>
                <w:bCs/>
                <w:color w:val="auto"/>
                <w:sz w:val="21"/>
                <w:szCs w:val="21"/>
              </w:rPr>
              <w:t>.1.</w:t>
            </w:r>
            <w:r>
              <w:rPr>
                <w:rFonts w:hint="eastAsia" w:ascii="Times New Roman" w:hAnsi="Times New Roman" w:eastAsia="宋体" w:cs="Times New Roman"/>
                <w:bCs/>
                <w:color w:val="auto"/>
                <w:sz w:val="21"/>
                <w:szCs w:val="21"/>
                <w:lang w:val="en-US" w:eastAsia="zh-CN"/>
              </w:rPr>
              <w:t>2</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设有</w:t>
            </w:r>
            <w:r>
              <w:rPr>
                <w:rFonts w:hint="default" w:ascii="Times New Roman" w:hAnsi="Times New Roman" w:cs="Times New Roman"/>
                <w:color w:val="auto"/>
                <w:sz w:val="21"/>
                <w:szCs w:val="21"/>
              </w:rPr>
              <w:t>严禁烟火</w:t>
            </w:r>
            <w:r>
              <w:rPr>
                <w:rFonts w:hint="default" w:ascii="Times New Roman" w:hAnsi="Times New Roman" w:cs="Times New Roman"/>
                <w:color w:val="auto"/>
                <w:sz w:val="21"/>
                <w:szCs w:val="21"/>
                <w:lang w:eastAsia="zh-CN"/>
              </w:rPr>
              <w:t>标志。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油、气井场内应设置明显的防火防爆标志及风向标。</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cs="Times New Roman"/>
                <w:bCs/>
                <w:color w:val="auto"/>
                <w:sz w:val="21"/>
                <w:szCs w:val="21"/>
              </w:rPr>
              <w:t>.1.</w:t>
            </w:r>
            <w:r>
              <w:rPr>
                <w:rFonts w:hint="eastAsia" w:ascii="Times New Roman" w:hAnsi="Times New Roman" w:eastAsia="宋体" w:cs="Times New Roman"/>
                <w:bCs/>
                <w:color w:val="auto"/>
                <w:sz w:val="21"/>
                <w:szCs w:val="21"/>
                <w:lang w:val="en-US" w:eastAsia="zh-CN"/>
              </w:rPr>
              <w:t>10</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设有</w:t>
            </w:r>
            <w:r>
              <w:rPr>
                <w:rFonts w:hint="default" w:ascii="Times New Roman" w:hAnsi="Times New Roman" w:cs="Times New Roman"/>
                <w:color w:val="auto"/>
                <w:sz w:val="21"/>
                <w:szCs w:val="21"/>
              </w:rPr>
              <w:t>防火防爆标志及风向标。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现场应根据施工情况设置以下（包括但不限于）醒目的安全警示标志，并放在相应的位置，安全标志应符合 GB 2894-2008 中第4章的规定：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 xml:space="preserve">a) </w:t>
            </w:r>
            <w:r>
              <w:rPr>
                <w:rFonts w:hint="eastAsia" w:ascii="Times New Roman" w:hAnsi="Times New Roman" w:eastAsia="宋体" w:cs="Times New Roman"/>
                <w:color w:val="auto"/>
                <w:sz w:val="21"/>
                <w:szCs w:val="21"/>
                <w:lang w:eastAsia="zh-CN"/>
              </w:rPr>
              <w:t>“</w:t>
            </w:r>
            <w:r>
              <w:rPr>
                <w:rFonts w:hint="eastAsia" w:ascii="Times New Roman" w:hAnsi="Times New Roman" w:cs="Times New Roman"/>
                <w:color w:val="auto"/>
                <w:sz w:val="21"/>
                <w:szCs w:val="21"/>
              </w:rPr>
              <w:t>必须带安全帽</w:t>
            </w:r>
            <w:r>
              <w:rPr>
                <w:rFonts w:hint="eastAsia" w:ascii="Times New Roman" w:hAnsi="Times New Roman" w:eastAsia="宋体" w:cs="Times New Roman"/>
                <w:color w:val="auto"/>
                <w:sz w:val="21"/>
                <w:szCs w:val="21"/>
                <w:lang w:eastAsia="zh-CN"/>
              </w:rPr>
              <w:t>”</w:t>
            </w:r>
            <w:r>
              <w:rPr>
                <w:rFonts w:hint="eastAsia" w:ascii="Times New Roman" w:hAnsi="Times New Roman" w:cs="Times New Roman"/>
                <w:color w:val="auto"/>
                <w:sz w:val="21"/>
                <w:szCs w:val="21"/>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 xml:space="preserve">b) </w:t>
            </w:r>
            <w:r>
              <w:rPr>
                <w:rFonts w:hint="eastAsia" w:ascii="Times New Roman" w:hAnsi="Times New Roman" w:eastAsia="宋体" w:cs="Times New Roman"/>
                <w:color w:val="auto"/>
                <w:sz w:val="21"/>
                <w:szCs w:val="21"/>
                <w:lang w:eastAsia="zh-CN"/>
              </w:rPr>
              <w:t>“</w:t>
            </w:r>
            <w:r>
              <w:rPr>
                <w:rFonts w:hint="eastAsia" w:ascii="Times New Roman" w:hAnsi="Times New Roman" w:cs="Times New Roman"/>
                <w:color w:val="auto"/>
                <w:sz w:val="21"/>
                <w:szCs w:val="21"/>
              </w:rPr>
              <w:t>禁止烟火</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 xml:space="preserve">c) </w:t>
            </w:r>
            <w:r>
              <w:rPr>
                <w:rFonts w:hint="eastAsia" w:ascii="Times New Roman" w:hAnsi="Times New Roman" w:eastAsia="宋体" w:cs="Times New Roman"/>
                <w:color w:val="auto"/>
                <w:sz w:val="21"/>
                <w:szCs w:val="21"/>
                <w:lang w:eastAsia="zh-CN"/>
              </w:rPr>
              <w:t>“</w:t>
            </w:r>
            <w:r>
              <w:rPr>
                <w:rFonts w:hint="eastAsia" w:ascii="Times New Roman" w:hAnsi="Times New Roman" w:cs="Times New Roman"/>
                <w:color w:val="auto"/>
                <w:sz w:val="21"/>
                <w:szCs w:val="21"/>
              </w:rPr>
              <w:t>必须系安全带</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 xml:space="preserve">d) </w:t>
            </w:r>
            <w:r>
              <w:rPr>
                <w:rFonts w:hint="eastAsia" w:ascii="Times New Roman" w:hAnsi="Times New Roman" w:eastAsia="宋体" w:cs="Times New Roman"/>
                <w:color w:val="auto"/>
                <w:sz w:val="21"/>
                <w:szCs w:val="21"/>
                <w:lang w:eastAsia="zh-CN"/>
              </w:rPr>
              <w:t>“</w:t>
            </w:r>
            <w:r>
              <w:rPr>
                <w:rFonts w:hint="eastAsia" w:ascii="Times New Roman" w:hAnsi="Times New Roman" w:cs="Times New Roman"/>
                <w:color w:val="auto"/>
                <w:sz w:val="21"/>
                <w:szCs w:val="21"/>
              </w:rPr>
              <w:t>当心触电</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e）</w:t>
            </w:r>
            <w:r>
              <w:rPr>
                <w:rFonts w:hint="eastAsia" w:ascii="Times New Roman" w:hAnsi="Times New Roman" w:eastAsia="宋体" w:cs="Times New Roman"/>
                <w:color w:val="auto"/>
                <w:sz w:val="21"/>
                <w:szCs w:val="21"/>
                <w:lang w:eastAsia="zh-CN"/>
              </w:rPr>
              <w:t>“</w:t>
            </w:r>
            <w:r>
              <w:rPr>
                <w:rFonts w:hint="eastAsia" w:ascii="Times New Roman" w:hAnsi="Times New Roman" w:cs="Times New Roman"/>
                <w:color w:val="auto"/>
                <w:sz w:val="21"/>
                <w:szCs w:val="21"/>
              </w:rPr>
              <w:t>当心机械伤人</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 xml:space="preserve">f) </w:t>
            </w:r>
            <w:r>
              <w:rPr>
                <w:rFonts w:hint="eastAsia" w:ascii="Times New Roman" w:hAnsi="Times New Roman" w:eastAsia="宋体" w:cs="Times New Roman"/>
                <w:color w:val="auto"/>
                <w:sz w:val="21"/>
                <w:szCs w:val="21"/>
                <w:lang w:eastAsia="zh-CN"/>
              </w:rPr>
              <w:t>“</w:t>
            </w:r>
            <w:r>
              <w:rPr>
                <w:rFonts w:hint="eastAsia" w:ascii="Times New Roman" w:hAnsi="Times New Roman" w:cs="Times New Roman"/>
                <w:color w:val="auto"/>
                <w:sz w:val="21"/>
                <w:szCs w:val="21"/>
              </w:rPr>
              <w:t>当心坠落</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 xml:space="preserve">g) </w:t>
            </w:r>
            <w:r>
              <w:rPr>
                <w:rFonts w:hint="eastAsia" w:ascii="Times New Roman" w:hAnsi="Times New Roman" w:eastAsia="宋体" w:cs="Times New Roman"/>
                <w:color w:val="auto"/>
                <w:sz w:val="21"/>
                <w:szCs w:val="21"/>
                <w:lang w:eastAsia="zh-CN"/>
              </w:rPr>
              <w:t>“</w:t>
            </w:r>
            <w:r>
              <w:rPr>
                <w:rFonts w:hint="eastAsia" w:ascii="Times New Roman" w:hAnsi="Times New Roman" w:cs="Times New Roman"/>
                <w:color w:val="auto"/>
                <w:sz w:val="21"/>
                <w:szCs w:val="21"/>
              </w:rPr>
              <w:t>当心落物</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 xml:space="preserve">h) </w:t>
            </w:r>
            <w:r>
              <w:rPr>
                <w:rFonts w:hint="eastAsia" w:ascii="Times New Roman" w:hAnsi="Times New Roman" w:eastAsia="宋体" w:cs="Times New Roman"/>
                <w:color w:val="auto"/>
                <w:sz w:val="21"/>
                <w:szCs w:val="21"/>
                <w:lang w:eastAsia="zh-CN"/>
              </w:rPr>
              <w:t>“</w:t>
            </w:r>
            <w:r>
              <w:rPr>
                <w:rFonts w:hint="eastAsia" w:ascii="Times New Roman" w:hAnsi="Times New Roman" w:cs="Times New Roman"/>
                <w:color w:val="auto"/>
                <w:sz w:val="21"/>
                <w:szCs w:val="21"/>
              </w:rPr>
              <w:t>当心井喷</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rPr>
              <w:t xml:space="preserve">i) </w:t>
            </w:r>
            <w:r>
              <w:rPr>
                <w:rFonts w:hint="eastAsia" w:ascii="Times New Roman" w:hAnsi="Times New Roman" w:eastAsia="宋体" w:cs="Times New Roman"/>
                <w:color w:val="auto"/>
                <w:sz w:val="21"/>
                <w:szCs w:val="21"/>
                <w:lang w:eastAsia="zh-CN"/>
              </w:rPr>
              <w:t>“当心中毒”。</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rPr>
              <w:t xml:space="preserve">j) </w:t>
            </w:r>
            <w:r>
              <w:rPr>
                <w:rFonts w:hint="eastAsia" w:ascii="Times New Roman" w:hAnsi="Times New Roman" w:eastAsia="宋体" w:cs="Times New Roman"/>
                <w:color w:val="auto"/>
                <w:sz w:val="21"/>
                <w:szCs w:val="21"/>
                <w:lang w:eastAsia="zh-CN"/>
              </w:rPr>
              <w:t>“</w:t>
            </w:r>
            <w:r>
              <w:rPr>
                <w:rFonts w:hint="eastAsia" w:ascii="Times New Roman" w:hAnsi="Times New Roman" w:cs="Times New Roman"/>
                <w:color w:val="auto"/>
                <w:sz w:val="21"/>
                <w:szCs w:val="21"/>
              </w:rPr>
              <w:t>高压工作区</w:t>
            </w:r>
            <w:r>
              <w:rPr>
                <w:rFonts w:hint="eastAsia" w:ascii="Times New Roman" w:hAnsi="Times New Roman" w:eastAsia="宋体" w:cs="Times New Roman"/>
                <w:color w:val="auto"/>
                <w:sz w:val="21"/>
                <w:szCs w:val="21"/>
                <w:lang w:eastAsia="zh-CN"/>
              </w:rPr>
              <w:t>”</w:t>
            </w:r>
            <w:r>
              <w:rPr>
                <w:rFonts w:hint="eastAsia" w:ascii="Times New Roman" w:hAnsi="Times New Roman" w:cs="Times New Roman"/>
                <w:color w:val="auto"/>
                <w:sz w:val="21"/>
                <w:szCs w:val="21"/>
              </w:rPr>
              <w:t>（需要高压施工时）</w:t>
            </w:r>
            <w:r>
              <w:rPr>
                <w:rFonts w:hint="eastAsia" w:ascii="Times New Roman" w:hAnsi="Times New Roman" w:eastAsia="宋体" w:cs="Times New Roman"/>
                <w:color w:val="auto"/>
                <w:sz w:val="21"/>
                <w:szCs w:val="21"/>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437" w:firstLineChars="0"/>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k）</w:t>
            </w:r>
            <w:r>
              <w:rPr>
                <w:rFonts w:hint="eastAsia" w:ascii="Times New Roman" w:hAnsi="Times New Roman" w:cs="Times New Roman"/>
                <w:color w:val="auto"/>
                <w:sz w:val="21"/>
                <w:szCs w:val="21"/>
              </w:rPr>
              <w:t>对使用380V以上电压的抽油机，还应在配电箱处挂“高压危险”警示牌。</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2</w:t>
            </w:r>
            <w:r>
              <w:rPr>
                <w:rFonts w:hint="default" w:ascii="Times New Roman" w:hAnsi="Times New Roman" w:cs="Times New Roman"/>
                <w:color w:val="auto"/>
                <w:sz w:val="21"/>
                <w:szCs w:val="21"/>
              </w:rPr>
              <w:t>.1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现场设置有一定数量的</w:t>
            </w:r>
            <w:r>
              <w:rPr>
                <w:rFonts w:hint="default" w:ascii="Times New Roman" w:hAnsi="Times New Roman" w:cs="Times New Roman"/>
                <w:color w:val="auto"/>
                <w:sz w:val="21"/>
                <w:szCs w:val="21"/>
              </w:rPr>
              <w:t>安全警示标志</w:t>
            </w:r>
            <w:r>
              <w:rPr>
                <w:rFonts w:hint="eastAsia" w:ascii="Times New Roman" w:hAnsi="Times New Roman"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井场应设置逃生路线标志、紧急集合点和风向标，设有安全通道并保证畅通。</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rPr>
              <w:t>3.</w:t>
            </w:r>
            <w:r>
              <w:rPr>
                <w:rFonts w:hint="eastAsia" w:ascii="Times New Roman" w:hAnsi="Times New Roman" w:eastAsia="宋体" w:cs="Times New Roman"/>
                <w:color w:val="auto"/>
                <w:sz w:val="21"/>
                <w:szCs w:val="21"/>
                <w:lang w:val="en-US" w:eastAsia="zh-CN"/>
              </w:rPr>
              <w:t>2</w:t>
            </w:r>
            <w:r>
              <w:rPr>
                <w:rFonts w:hint="default" w:ascii="Times New Roman" w:hAnsi="Times New Roman" w:cs="Times New Roman"/>
                <w:color w:val="auto"/>
                <w:sz w:val="21"/>
                <w:szCs w:val="21"/>
              </w:rPr>
              <w:t>.</w:t>
            </w:r>
            <w:r>
              <w:rPr>
                <w:rFonts w:hint="eastAsia" w:ascii="Times New Roman" w:hAnsi="Times New Roman" w:eastAsia="宋体" w:cs="Times New Roman"/>
                <w:color w:val="auto"/>
                <w:sz w:val="21"/>
                <w:szCs w:val="21"/>
                <w:lang w:val="en-US" w:eastAsia="zh-CN"/>
              </w:rPr>
              <w:t>5</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井场设紧急集合点和风向标，安全通道保证畅通。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标牌安装应牢固、可靠，位置醒目、内容清晰，字体应采用蚀刻。</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SY/T7425-2018</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5.2.13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标牌安装应牢固、可靠</w:t>
            </w:r>
            <w:r>
              <w:rPr>
                <w:rFonts w:hint="eastAsia" w:ascii="Times New Roman" w:hAnsi="Times New Roman"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both"/>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四</w:t>
            </w:r>
          </w:p>
        </w:tc>
        <w:tc>
          <w:tcPr>
            <w:tcW w:w="31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sz w:val="21"/>
                <w:szCs w:val="21"/>
                <w:lang w:eastAsia="zh-CN"/>
              </w:rPr>
              <w:t>供配电及接地</w:t>
            </w:r>
          </w:p>
        </w:tc>
        <w:tc>
          <w:tcPr>
            <w:tcW w:w="1815"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c>
          <w:tcPr>
            <w:tcW w:w="703"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c>
          <w:tcPr>
            <w:tcW w:w="2967"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auto"/>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井架本体可作为引下线，应保证电气连接。接地装置接地电阻不应大于4Ω，接地点不应少于两处，且对称布置。</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3.4.7</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井架</w:t>
            </w:r>
            <w:r>
              <w:rPr>
                <w:rFonts w:hint="eastAsia" w:ascii="Times New Roman" w:hAnsi="Times New Roman" w:cs="Times New Roman"/>
                <w:color w:val="auto"/>
                <w:sz w:val="21"/>
                <w:szCs w:val="21"/>
                <w:lang w:val="en-US" w:eastAsia="zh-CN"/>
              </w:rPr>
              <w:t>经防雷检测合格，设两处接地点。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远程控制台电源应使用单独的开关控制，满足三相五线制并安装保护接地线。</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3.17.9</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远程控制台电源使用单独的开关控制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不应将供电线路直接挂在设备、井架、绷绳、罐等金属物体上。</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3.</w:t>
            </w:r>
            <w:r>
              <w:rPr>
                <w:rFonts w:hint="eastAsia" w:ascii="Times New Roman" w:hAnsi="Times New Roman" w:eastAsia="宋体" w:cs="Times New Roman"/>
                <w:bCs/>
                <w:color w:val="auto"/>
                <w:sz w:val="21"/>
                <w:szCs w:val="21"/>
                <w:lang w:val="en-US" w:eastAsia="zh-CN"/>
              </w:rPr>
              <w:t>19.1.8</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供电线路</w:t>
            </w:r>
            <w:r>
              <w:rPr>
                <w:rFonts w:hint="eastAsia" w:ascii="Times New Roman" w:hAnsi="Times New Roman" w:eastAsia="宋体" w:cs="Times New Roman"/>
                <w:color w:val="auto"/>
                <w:kern w:val="2"/>
                <w:sz w:val="21"/>
                <w:szCs w:val="21"/>
                <w:lang w:val="en-US" w:eastAsia="zh-CN" w:bidi="ar-SA"/>
              </w:rPr>
              <w:t>利用2.5m架空杆架空敷设。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值班房配线应采用绝缘导线，进户线过墙应穿绝缘管保护，并设防雨弯。</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3.</w:t>
            </w:r>
            <w:r>
              <w:rPr>
                <w:rFonts w:hint="eastAsia" w:ascii="Times New Roman" w:hAnsi="Times New Roman" w:eastAsia="宋体" w:cs="Times New Roman"/>
                <w:bCs/>
                <w:color w:val="auto"/>
                <w:sz w:val="21"/>
                <w:szCs w:val="21"/>
                <w:lang w:val="en-US" w:eastAsia="zh-CN"/>
              </w:rPr>
              <w:t>19.2.1</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值班房配线采用绝缘导线，进户线过墙穿绝缘管保护</w:t>
            </w: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配电箱应防雨通风、保持干燥。</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rPr>
              <w:t>3.19.4.1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配电箱</w:t>
            </w:r>
            <w:r>
              <w:rPr>
                <w:rFonts w:hint="eastAsia" w:ascii="Times New Roman" w:hAnsi="Times New Roman" w:eastAsia="宋体" w:cs="Times New Roman"/>
                <w:color w:val="auto"/>
                <w:kern w:val="2"/>
                <w:sz w:val="21"/>
                <w:szCs w:val="21"/>
                <w:lang w:val="en-US" w:eastAsia="zh-CN" w:bidi="ar-SA"/>
              </w:rPr>
              <w:t>设置在</w:t>
            </w:r>
            <w:r>
              <w:rPr>
                <w:rFonts w:hint="default" w:ascii="Times New Roman" w:hAnsi="Times New Roman" w:eastAsia="宋体" w:cs="Times New Roman"/>
                <w:color w:val="auto"/>
                <w:kern w:val="2"/>
                <w:sz w:val="21"/>
                <w:szCs w:val="21"/>
                <w:lang w:val="en-US" w:eastAsia="zh-CN" w:bidi="ar-SA"/>
              </w:rPr>
              <w:t>防雨通风</w:t>
            </w:r>
            <w:r>
              <w:rPr>
                <w:rFonts w:hint="eastAsia" w:ascii="Times New Roman" w:hAnsi="Times New Roman" w:eastAsia="宋体" w:cs="Times New Roman"/>
                <w:color w:val="auto"/>
                <w:kern w:val="2"/>
                <w:sz w:val="21"/>
                <w:szCs w:val="21"/>
                <w:lang w:val="en-US" w:eastAsia="zh-CN" w:bidi="ar-SA"/>
              </w:rPr>
              <w:t>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center"/>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配电箱应安装端正、牢固。配电箱前地面有绝缘保护，并有足够的工作空间和通道。</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5727-20</w:t>
            </w:r>
            <w:r>
              <w:rPr>
                <w:rFonts w:hint="eastAsia" w:ascii="Times New Roman" w:hAnsi="Times New Roman" w:eastAsia="宋体"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cs="Times New Roman"/>
                <w:color w:val="auto"/>
                <w:sz w:val="21"/>
                <w:szCs w:val="21"/>
              </w:rPr>
              <w:t>3.19.4.</w:t>
            </w:r>
            <w:r>
              <w:rPr>
                <w:rFonts w:hint="eastAsia" w:ascii="Times New Roman" w:hAnsi="Times New Roman" w:eastAsia="宋体" w:cs="Times New Roman"/>
                <w:color w:val="auto"/>
                <w:sz w:val="21"/>
                <w:szCs w:val="21"/>
                <w:lang w:val="en-US" w:eastAsia="zh-CN"/>
              </w:rPr>
              <w:t>2</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widowControl w:val="0"/>
              <w:suppressLineNumbers w:val="0"/>
              <w:adjustRightInd w:val="0"/>
              <w:snapToGrid w:val="0"/>
              <w:spacing w:before="20" w:beforeAutospacing="0" w:after="2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配电箱前地面</w:t>
            </w:r>
            <w:r>
              <w:rPr>
                <w:rFonts w:hint="eastAsia" w:ascii="Times New Roman" w:hAnsi="Times New Roman" w:eastAsia="宋体" w:cs="Times New Roman"/>
                <w:color w:val="auto"/>
                <w:kern w:val="2"/>
                <w:sz w:val="21"/>
                <w:szCs w:val="21"/>
                <w:lang w:val="en-US" w:eastAsia="zh-CN" w:bidi="ar-SA"/>
              </w:rPr>
              <w:t>设</w:t>
            </w:r>
            <w:r>
              <w:rPr>
                <w:rFonts w:hint="default" w:ascii="Times New Roman" w:hAnsi="Times New Roman" w:eastAsia="宋体" w:cs="Times New Roman"/>
                <w:color w:val="auto"/>
                <w:kern w:val="2"/>
                <w:sz w:val="21"/>
                <w:szCs w:val="21"/>
                <w:lang w:val="en-US" w:eastAsia="zh-CN" w:bidi="ar-SA"/>
              </w:rPr>
              <w:t>有绝缘</w:t>
            </w:r>
            <w:r>
              <w:rPr>
                <w:rFonts w:hint="eastAsia" w:ascii="Times New Roman" w:hAnsi="Times New Roman" w:eastAsia="宋体" w:cs="Times New Roman"/>
                <w:color w:val="auto"/>
                <w:kern w:val="2"/>
                <w:sz w:val="21"/>
                <w:szCs w:val="21"/>
                <w:lang w:val="en-US" w:eastAsia="zh-CN" w:bidi="ar-SA"/>
              </w:rPr>
              <w:t>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配电箱、电机、电取暖器等用电设备的金属壳体都应做保护接零(接PE线)。</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rPr>
              <w:t>SY</w:t>
            </w:r>
            <w:r>
              <w:rPr>
                <w:rFonts w:hint="default" w:ascii="Times New Roman" w:hAnsi="Times New Roman" w:cs="Times New Roman"/>
                <w:bCs/>
                <w:color w:val="auto"/>
                <w:sz w:val="21"/>
                <w:szCs w:val="21"/>
                <w:lang w:val="en-US" w:eastAsia="zh-CN"/>
              </w:rPr>
              <w:t>/T</w:t>
            </w:r>
            <w:r>
              <w:rPr>
                <w:rFonts w:hint="default" w:ascii="Times New Roman" w:hAnsi="Times New Roman" w:cs="Times New Roman"/>
                <w:bCs/>
                <w:color w:val="auto"/>
                <w:sz w:val="21"/>
                <w:szCs w:val="21"/>
              </w:rPr>
              <w:t>5727-20</w:t>
            </w:r>
            <w:r>
              <w:rPr>
                <w:rFonts w:hint="default" w:ascii="Times New Roman" w:hAnsi="Times New Roman"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3.19.</w:t>
            </w:r>
            <w:r>
              <w:rPr>
                <w:rFonts w:hint="eastAsia" w:ascii="Times New Roman" w:hAnsi="Times New Roman" w:eastAsia="宋体" w:cs="Times New Roman"/>
                <w:bCs/>
                <w:color w:val="auto"/>
                <w:sz w:val="21"/>
                <w:szCs w:val="21"/>
                <w:lang w:val="en-US" w:eastAsia="zh-CN"/>
              </w:rPr>
              <w:t>8</w:t>
            </w:r>
            <w:r>
              <w:rPr>
                <w:rFonts w:hint="default" w:ascii="Times New Roman" w:hAnsi="Times New Roman" w:cs="Times New Roman"/>
                <w:bCs/>
                <w:color w:val="auto"/>
                <w:sz w:val="21"/>
                <w:szCs w:val="21"/>
              </w:rPr>
              <w:t>.1</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配电箱、电机</w:t>
            </w:r>
            <w:r>
              <w:rPr>
                <w:rFonts w:hint="eastAsia" w:ascii="Times New Roman" w:hAnsi="Times New Roman" w:eastAsia="宋体" w:cs="Times New Roman"/>
                <w:color w:val="auto"/>
                <w:kern w:val="2"/>
                <w:sz w:val="21"/>
                <w:szCs w:val="21"/>
                <w:lang w:val="en-US" w:eastAsia="zh-CN" w:bidi="ar-SA"/>
              </w:rPr>
              <w:t>等</w:t>
            </w:r>
            <w:r>
              <w:rPr>
                <w:rFonts w:hint="default" w:ascii="Times New Roman" w:hAnsi="Times New Roman" w:eastAsia="宋体" w:cs="Times New Roman"/>
                <w:color w:val="auto"/>
                <w:kern w:val="2"/>
                <w:sz w:val="21"/>
                <w:szCs w:val="21"/>
                <w:lang w:val="en-US" w:eastAsia="zh-CN" w:bidi="ar-SA"/>
              </w:rPr>
              <w:t>做保护</w:t>
            </w:r>
            <w:r>
              <w:rPr>
                <w:rFonts w:hint="eastAsia" w:ascii="Times New Roman" w:hAnsi="Times New Roman" w:eastAsia="宋体" w:cs="Times New Roman"/>
                <w:color w:val="auto"/>
                <w:kern w:val="2"/>
                <w:sz w:val="21"/>
                <w:szCs w:val="21"/>
                <w:lang w:val="en-US" w:eastAsia="zh-CN" w:bidi="ar-SA"/>
              </w:rPr>
              <w:t>接地。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 xml:space="preserve">施工中进出井场的车辆排气管应安装阻火器。施工井场地面裸露的油、气管线及电缆，应采取防止车辆碾压的保护措施。 </w:t>
            </w:r>
          </w:p>
        </w:tc>
        <w:tc>
          <w:tcPr>
            <w:tcW w:w="1815"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auto"/>
                <w:sz w:val="21"/>
                <w:szCs w:val="21"/>
                <w:lang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w:t>
            </w:r>
            <w:r>
              <w:rPr>
                <w:rFonts w:hint="eastAsia" w:ascii="Times New Roman" w:hAnsi="Times New Roman" w:cs="Times New Roman"/>
                <w:bCs/>
                <w:color w:val="auto"/>
                <w:sz w:val="21"/>
                <w:szCs w:val="21"/>
              </w:rPr>
              <w:t>.1.</w:t>
            </w:r>
            <w:r>
              <w:rPr>
                <w:rFonts w:hint="eastAsia" w:ascii="Times New Roman" w:hAnsi="Times New Roman" w:eastAsia="宋体" w:cs="Times New Roman"/>
                <w:bCs/>
                <w:color w:val="auto"/>
                <w:sz w:val="21"/>
                <w:szCs w:val="21"/>
                <w:lang w:val="en-US" w:eastAsia="zh-CN"/>
              </w:rPr>
              <w:t>4</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进出井场的车辆排气管安装阻火器</w:t>
            </w: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4" w:hRule="atLeas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left"/>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五</w:t>
            </w: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施工过程安全管理</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游动滑车大钩应定期进行探伤检修，并符合SY/T 6605的规定。</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SY/T5727-2020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3.12.3</w:t>
            </w:r>
          </w:p>
        </w:tc>
        <w:tc>
          <w:tcPr>
            <w:tcW w:w="703"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游动滑车大钩定期</w:t>
            </w:r>
            <w:r>
              <w:rPr>
                <w:rFonts w:hint="eastAsia" w:ascii="Times New Roman" w:hAnsi="Times New Roman" w:eastAsia="宋体" w:cs="Times New Roman"/>
                <w:color w:val="auto"/>
                <w:kern w:val="2"/>
                <w:sz w:val="21"/>
                <w:szCs w:val="21"/>
                <w:lang w:val="en-US" w:eastAsia="zh-CN" w:bidi="ar-SA"/>
              </w:rPr>
              <w:t>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施工作业人员应经相应的岗位技能培训，培训合格方可上岗。</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rPr>
              <w:t>SY</w:t>
            </w:r>
            <w:r>
              <w:rPr>
                <w:rFonts w:hint="default" w:ascii="Times New Roman" w:hAnsi="Times New Roman" w:cs="Times New Roman"/>
                <w:bCs/>
                <w:color w:val="auto"/>
                <w:sz w:val="21"/>
                <w:szCs w:val="21"/>
                <w:lang w:val="en-US" w:eastAsia="zh-CN"/>
              </w:rPr>
              <w:t>/T</w:t>
            </w:r>
            <w:r>
              <w:rPr>
                <w:rFonts w:hint="default" w:ascii="Times New Roman" w:hAnsi="Times New Roman" w:cs="Times New Roman"/>
                <w:bCs/>
                <w:color w:val="auto"/>
                <w:sz w:val="21"/>
                <w:szCs w:val="21"/>
              </w:rPr>
              <w:t>5727-20</w:t>
            </w:r>
            <w:r>
              <w:rPr>
                <w:rFonts w:hint="default" w:ascii="Times New Roman" w:hAnsi="Times New Roman"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4.1.1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现场作业人员持“三小证”上岗。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进入现场人员应正确穿戴和使用劳动防护用品及其他防护用具，并做好安全防护设施的维护。高处作业者应系安全带，并将随身携带的工具系上防掉绳，作业前将安全带在井架上系牢。</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rPr>
              <w:t>SY</w:t>
            </w:r>
            <w:r>
              <w:rPr>
                <w:rFonts w:hint="default" w:ascii="Times New Roman" w:hAnsi="Times New Roman" w:cs="Times New Roman"/>
                <w:bCs/>
                <w:color w:val="auto"/>
                <w:sz w:val="21"/>
                <w:szCs w:val="21"/>
                <w:lang w:val="en-US" w:eastAsia="zh-CN"/>
              </w:rPr>
              <w:t>/T</w:t>
            </w:r>
            <w:r>
              <w:rPr>
                <w:rFonts w:hint="default" w:ascii="Times New Roman" w:hAnsi="Times New Roman" w:cs="Times New Roman"/>
                <w:bCs/>
                <w:color w:val="auto"/>
                <w:sz w:val="21"/>
                <w:szCs w:val="21"/>
              </w:rPr>
              <w:t>5727-20</w:t>
            </w:r>
            <w:r>
              <w:rPr>
                <w:rFonts w:hint="default" w:ascii="Times New Roman" w:hAnsi="Times New Roman"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4.1.2</w:t>
            </w:r>
          </w:p>
        </w:tc>
        <w:tc>
          <w:tcPr>
            <w:tcW w:w="703"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pStyle w:val="80"/>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正确穿戴和使用劳动防护用品及其他防护用具</w:t>
            </w:r>
            <w:r>
              <w:rPr>
                <w:rFonts w:hint="default" w:ascii="Times New Roman" w:hAnsi="Times New Roman" w:cs="Times New Roman"/>
                <w:color w:val="auto"/>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应根据井下作业地质设计、工程设计编制施工设计，并按企业规定分级审批。</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rPr>
              <w:t>SY</w:t>
            </w:r>
            <w:r>
              <w:rPr>
                <w:rFonts w:hint="default" w:ascii="Times New Roman" w:hAnsi="Times New Roman" w:cs="Times New Roman"/>
                <w:bCs/>
                <w:color w:val="auto"/>
                <w:sz w:val="21"/>
                <w:szCs w:val="21"/>
                <w:lang w:val="en-US" w:eastAsia="zh-CN"/>
              </w:rPr>
              <w:t>/T</w:t>
            </w:r>
            <w:r>
              <w:rPr>
                <w:rFonts w:hint="default" w:ascii="Times New Roman" w:hAnsi="Times New Roman" w:cs="Times New Roman"/>
                <w:bCs/>
                <w:color w:val="auto"/>
                <w:sz w:val="21"/>
                <w:szCs w:val="21"/>
              </w:rPr>
              <w:t>5727-20</w:t>
            </w:r>
            <w:r>
              <w:rPr>
                <w:rFonts w:hint="default" w:ascii="Times New Roman" w:hAnsi="Times New Roman"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4.1.5</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编制</w:t>
            </w:r>
            <w:r>
              <w:rPr>
                <w:rFonts w:hint="eastAsia" w:cs="Times New Roman"/>
                <w:color w:val="auto"/>
                <w:kern w:val="2"/>
                <w:sz w:val="21"/>
                <w:szCs w:val="21"/>
                <w:lang w:val="en-US" w:eastAsia="zh-CN" w:bidi="ar-SA"/>
              </w:rPr>
              <w:t>有</w:t>
            </w:r>
            <w:r>
              <w:rPr>
                <w:rFonts w:hint="default" w:ascii="Times New Roman" w:hAnsi="Times New Roman" w:eastAsia="宋体" w:cs="Times New Roman"/>
                <w:color w:val="auto"/>
                <w:kern w:val="2"/>
                <w:sz w:val="21"/>
                <w:szCs w:val="21"/>
                <w:lang w:val="en-US" w:eastAsia="zh-CN" w:bidi="ar-SA"/>
              </w:rPr>
              <w:t>施工</w:t>
            </w:r>
            <w:r>
              <w:rPr>
                <w:rFonts w:hint="eastAsia" w:cs="Times New Roman"/>
                <w:color w:val="auto"/>
                <w:kern w:val="2"/>
                <w:sz w:val="21"/>
                <w:szCs w:val="21"/>
                <w:lang w:val="en-US" w:eastAsia="zh-CN" w:bidi="ar-SA"/>
              </w:rPr>
              <w:t>设计</w:t>
            </w:r>
            <w:r>
              <w:rPr>
                <w:rFonts w:hint="eastAsia" w:ascii="Times New Roman" w:hAnsi="Times New Roman" w:eastAsia="宋体" w:cs="Times New Roman"/>
                <w:color w:val="auto"/>
                <w:kern w:val="2"/>
                <w:sz w:val="21"/>
                <w:szCs w:val="21"/>
                <w:lang w:val="en-US" w:eastAsia="zh-CN" w:bidi="ar-SA"/>
              </w:rPr>
              <w:t>并经审批。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根据施工环境变化应进行风险识别、评估，采取风险控制措施并制订应急预案。</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rPr>
              <w:t>SY</w:t>
            </w:r>
            <w:r>
              <w:rPr>
                <w:rFonts w:hint="default" w:ascii="Times New Roman" w:hAnsi="Times New Roman" w:cs="Times New Roman"/>
                <w:bCs/>
                <w:color w:val="auto"/>
                <w:sz w:val="21"/>
                <w:szCs w:val="21"/>
                <w:lang w:val="en-US" w:eastAsia="zh-CN"/>
              </w:rPr>
              <w:t>/T</w:t>
            </w:r>
            <w:r>
              <w:rPr>
                <w:rFonts w:hint="default" w:ascii="Times New Roman" w:hAnsi="Times New Roman" w:cs="Times New Roman"/>
                <w:bCs/>
                <w:color w:val="auto"/>
                <w:sz w:val="21"/>
                <w:szCs w:val="21"/>
              </w:rPr>
              <w:t>5727-20</w:t>
            </w:r>
            <w:r>
              <w:rPr>
                <w:rFonts w:hint="default" w:ascii="Times New Roman" w:hAnsi="Times New Roman"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4.1.6</w:t>
            </w:r>
          </w:p>
        </w:tc>
        <w:tc>
          <w:tcPr>
            <w:tcW w:w="703"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pStyle w:val="80"/>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lang w:eastAsia="zh-CN"/>
              </w:rPr>
              <w:t>已制订</w:t>
            </w:r>
            <w:r>
              <w:rPr>
                <w:rFonts w:hint="default" w:ascii="Times New Roman" w:hAnsi="Times New Roman" w:cs="Times New Roman"/>
                <w:color w:val="auto"/>
                <w:szCs w:val="21"/>
              </w:rPr>
              <w:t>应急预案。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 xml:space="preserve">施工过程中需要进行动火、动土、进入有限空间等特殊作业时，应按照作业许可的规定，办理作业许可。 </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auto"/>
                <w:sz w:val="21"/>
                <w:szCs w:val="21"/>
                <w:lang w:eastAsia="zh-CN"/>
              </w:rPr>
            </w:pPr>
            <w:r>
              <w:rPr>
                <w:rFonts w:hint="eastAsia" w:ascii="Times New Roman" w:hAnsi="Times New Roman" w:cs="Times New Roman"/>
                <w:bCs/>
                <w:color w:val="auto"/>
                <w:sz w:val="21"/>
                <w:szCs w:val="21"/>
              </w:rPr>
              <w:t>SY</w:t>
            </w:r>
            <w:r>
              <w:rPr>
                <w:rFonts w:hint="eastAsia" w:ascii="Times New Roman" w:hAnsi="Times New Roman" w:eastAsia="宋体" w:cs="Times New Roman"/>
                <w:bCs/>
                <w:color w:val="auto"/>
                <w:sz w:val="21"/>
                <w:szCs w:val="21"/>
                <w:lang w:val="en-US" w:eastAsia="zh-CN"/>
              </w:rPr>
              <w:t>/T</w:t>
            </w:r>
            <w:r>
              <w:rPr>
                <w:rFonts w:hint="eastAsia" w:ascii="Times New Roman" w:hAnsi="Times New Roman" w:cs="Times New Roman"/>
                <w:bCs/>
                <w:color w:val="auto"/>
                <w:sz w:val="21"/>
                <w:szCs w:val="21"/>
              </w:rPr>
              <w:t>5225-201</w:t>
            </w:r>
            <w:r>
              <w:rPr>
                <w:rFonts w:hint="eastAsia" w:ascii="Times New Roman" w:hAnsi="Times New Roman" w:eastAsia="宋体" w:cs="Times New Roman"/>
                <w:bCs/>
                <w:color w:val="auto"/>
                <w:sz w:val="21"/>
                <w:szCs w:val="21"/>
                <w:lang w:val="en-US" w:eastAsia="zh-CN"/>
              </w:rPr>
              <w:t>9</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8.1.2</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施工过程</w:t>
            </w:r>
            <w:r>
              <w:rPr>
                <w:rFonts w:hint="eastAsia" w:ascii="Times New Roman" w:hAnsi="Times New Roman" w:eastAsia="宋体" w:cs="Times New Roman"/>
                <w:color w:val="auto"/>
                <w:kern w:val="2"/>
                <w:sz w:val="21"/>
                <w:szCs w:val="21"/>
                <w:lang w:val="en-US" w:eastAsia="zh-CN" w:bidi="ar-SA"/>
              </w:rPr>
              <w:t>涉及的临时用电</w:t>
            </w:r>
            <w:r>
              <w:rPr>
                <w:rFonts w:hint="default" w:ascii="Times New Roman" w:hAnsi="Times New Roman" w:eastAsia="宋体" w:cs="Times New Roman"/>
                <w:color w:val="auto"/>
                <w:kern w:val="2"/>
                <w:sz w:val="21"/>
                <w:szCs w:val="21"/>
                <w:lang w:val="en-US" w:eastAsia="zh-CN" w:bidi="ar-SA"/>
              </w:rPr>
              <w:t>等特殊作业</w:t>
            </w:r>
            <w:r>
              <w:rPr>
                <w:rFonts w:hint="eastAsia" w:ascii="Times New Roman" w:hAnsi="Times New Roman" w:eastAsia="宋体" w:cs="Times New Roman"/>
                <w:color w:val="auto"/>
                <w:kern w:val="2"/>
                <w:sz w:val="21"/>
                <w:szCs w:val="21"/>
                <w:lang w:val="en-US" w:eastAsia="zh-CN" w:bidi="ar-SA"/>
              </w:rPr>
              <w:t>办理作业票。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按施工设计要求做好施工前准备，经开工验收合格方可开工。</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rPr>
              <w:t>SY</w:t>
            </w:r>
            <w:r>
              <w:rPr>
                <w:rFonts w:hint="default" w:ascii="Times New Roman" w:hAnsi="Times New Roman" w:cs="Times New Roman"/>
                <w:bCs/>
                <w:color w:val="auto"/>
                <w:sz w:val="21"/>
                <w:szCs w:val="21"/>
                <w:lang w:val="en-US" w:eastAsia="zh-CN"/>
              </w:rPr>
              <w:t>/T</w:t>
            </w:r>
            <w:r>
              <w:rPr>
                <w:rFonts w:hint="default" w:ascii="Times New Roman" w:hAnsi="Times New Roman" w:cs="Times New Roman"/>
                <w:bCs/>
                <w:color w:val="auto"/>
                <w:sz w:val="21"/>
                <w:szCs w:val="21"/>
              </w:rPr>
              <w:t>5727-20</w:t>
            </w:r>
            <w:r>
              <w:rPr>
                <w:rFonts w:hint="default" w:ascii="Times New Roman" w:hAnsi="Times New Roman"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4.1.7</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经现场检查，施工经开工验收合格，并留存开工验收单。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个人防护用具、气体监测仪器的配备、使用操作、应急抢险和紧急疏散应符合SY/T 6610-2017中第5章、第6章、第7章的规定。</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rPr>
              <w:t>SY</w:t>
            </w:r>
            <w:r>
              <w:rPr>
                <w:rFonts w:hint="default" w:ascii="Times New Roman" w:hAnsi="Times New Roman" w:cs="Times New Roman"/>
                <w:bCs/>
                <w:color w:val="auto"/>
                <w:sz w:val="21"/>
                <w:szCs w:val="21"/>
                <w:lang w:val="en-US" w:eastAsia="zh-CN"/>
              </w:rPr>
              <w:t>/T</w:t>
            </w:r>
            <w:r>
              <w:rPr>
                <w:rFonts w:hint="default" w:ascii="Times New Roman" w:hAnsi="Times New Roman" w:cs="Times New Roman"/>
                <w:bCs/>
                <w:color w:val="auto"/>
                <w:sz w:val="21"/>
                <w:szCs w:val="21"/>
              </w:rPr>
              <w:t>5727-20</w:t>
            </w:r>
            <w:r>
              <w:rPr>
                <w:rFonts w:hint="default" w:ascii="Times New Roman" w:hAnsi="Times New Roman" w:cs="Times New Roman"/>
                <w:bCs/>
                <w:color w:val="auto"/>
                <w:sz w:val="21"/>
                <w:szCs w:val="21"/>
                <w:lang w:val="en-US" w:eastAsia="zh-CN"/>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 w:val="21"/>
                <w:szCs w:val="21"/>
                <w:lang w:val="en-US" w:eastAsia="zh-CN"/>
              </w:rPr>
              <w:t>4.6.3</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现场配备便携式硫化氢检测仪、正压式空气呼吸器等设备设施，并经检测合格。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根据设计，施工作业过程中，有产生井内压力变化的环节，应有具体的井控防范措施。</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SY/T6690-2016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6.10.1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施工设计中有具体的</w:t>
            </w:r>
            <w:r>
              <w:rPr>
                <w:rFonts w:hint="default" w:ascii="Times New Roman" w:hAnsi="Times New Roman" w:eastAsia="宋体" w:cs="Times New Roman"/>
                <w:color w:val="auto"/>
                <w:kern w:val="2"/>
                <w:sz w:val="21"/>
                <w:szCs w:val="21"/>
                <w:lang w:val="en-US" w:eastAsia="zh-CN" w:bidi="ar-SA"/>
              </w:rPr>
              <w:t>井控</w:t>
            </w:r>
            <w:r>
              <w:rPr>
                <w:rFonts w:hint="eastAsia" w:ascii="Times New Roman" w:hAnsi="Times New Roman" w:eastAsia="宋体" w:cs="Times New Roman"/>
                <w:color w:val="auto"/>
                <w:kern w:val="2"/>
                <w:sz w:val="21"/>
                <w:szCs w:val="21"/>
                <w:lang w:val="en-US" w:eastAsia="zh-CN" w:bidi="ar-SA"/>
              </w:rPr>
              <w:t>防范措施。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0"/>
              </w:numPr>
              <w:suppressLineNumbers w:val="0"/>
              <w:adjustRightInd w:val="0"/>
              <w:snapToGrid w:val="0"/>
              <w:spacing w:before="62" w:beforeLines="20" w:beforeAutospacing="0" w:after="62" w:afterLines="20" w:afterAutospacing="0"/>
              <w:ind w:left="0" w:leftChars="0" w:right="0" w:rightChars="0"/>
              <w:jc w:val="left"/>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六</w:t>
            </w:r>
          </w:p>
        </w:tc>
        <w:tc>
          <w:tcPr>
            <w:tcW w:w="31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
                <w:bCs/>
                <w:color w:val="auto"/>
                <w:kern w:val="2"/>
                <w:sz w:val="21"/>
                <w:szCs w:val="21"/>
                <w:lang w:val="en-US" w:eastAsia="zh-CN" w:bidi="ar-SA"/>
              </w:rPr>
              <w:t>检验检测</w:t>
            </w:r>
          </w:p>
        </w:tc>
        <w:tc>
          <w:tcPr>
            <w:tcW w:w="181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auto"/>
                <w:kern w:val="2"/>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rPr>
              <w:t>正压式空气呼吸器应每年检验一次；气瓶应每三年检验一次，其安全使用年限不得超过1</w:t>
            </w:r>
            <w:r>
              <w:rPr>
                <w:rFonts w:hint="default" w:ascii="Times New Roman" w:hAnsi="Times New Roman" w:cs="Times New Roman"/>
                <w:color w:val="auto"/>
                <w:kern w:val="0"/>
                <w:sz w:val="21"/>
                <w:szCs w:val="21"/>
              </w:rPr>
              <w:t>5</w:t>
            </w:r>
            <w:r>
              <w:rPr>
                <w:rFonts w:hint="eastAsia" w:ascii="Times New Roman" w:hAnsi="Times New Roman" w:cs="Times New Roman"/>
                <w:color w:val="auto"/>
                <w:kern w:val="0"/>
                <w:sz w:val="21"/>
                <w:szCs w:val="21"/>
              </w:rPr>
              <w:t>年。</w:t>
            </w:r>
          </w:p>
        </w:tc>
        <w:tc>
          <w:tcPr>
            <w:tcW w:w="1815"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SY</w:t>
            </w:r>
            <w:r>
              <w:rPr>
                <w:rFonts w:hint="eastAsia" w:ascii="Times New Roman" w:hAnsi="Times New Roman" w:cs="Times New Roman"/>
                <w:color w:val="auto"/>
                <w:kern w:val="0"/>
                <w:sz w:val="21"/>
                <w:szCs w:val="21"/>
                <w:lang w:val="en-US" w:eastAsia="zh-CN"/>
              </w:rPr>
              <w:t>/</w:t>
            </w:r>
            <w:r>
              <w:rPr>
                <w:rFonts w:hint="eastAsia" w:ascii="Times New Roman" w:hAnsi="Times New Roman" w:cs="Times New Roman"/>
                <w:color w:val="auto"/>
                <w:kern w:val="0"/>
                <w:sz w:val="21"/>
                <w:szCs w:val="21"/>
              </w:rPr>
              <w:t>T 6277-2017</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rPr>
              <w:t>5</w:t>
            </w:r>
            <w:r>
              <w:rPr>
                <w:rFonts w:hint="default" w:ascii="Times New Roman" w:hAnsi="Times New Roman" w:cs="Times New Roman"/>
                <w:color w:val="auto"/>
                <w:kern w:val="0"/>
                <w:sz w:val="21"/>
                <w:szCs w:val="21"/>
              </w:rPr>
              <w:t>.1.6.1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color w:val="auto"/>
                <w:kern w:val="0"/>
                <w:sz w:val="21"/>
                <w:szCs w:val="21"/>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现场建立有空气呼吸器台账，并经定期检测合格。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rPr>
              <w:t>便携式硫化氢检测仪每年至少检验一次。</w:t>
            </w:r>
          </w:p>
        </w:tc>
        <w:tc>
          <w:tcPr>
            <w:tcW w:w="1815"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SY</w:t>
            </w:r>
            <w:r>
              <w:rPr>
                <w:rFonts w:hint="eastAsia" w:ascii="Times New Roman" w:hAnsi="Times New Roman" w:cs="Times New Roman"/>
                <w:color w:val="auto"/>
                <w:kern w:val="0"/>
                <w:sz w:val="21"/>
                <w:szCs w:val="21"/>
                <w:lang w:val="en-US" w:eastAsia="zh-CN"/>
              </w:rPr>
              <w:t>/</w:t>
            </w:r>
            <w:r>
              <w:rPr>
                <w:rFonts w:hint="eastAsia" w:ascii="Times New Roman" w:hAnsi="Times New Roman" w:cs="Times New Roman"/>
                <w:color w:val="auto"/>
                <w:kern w:val="0"/>
                <w:sz w:val="21"/>
                <w:szCs w:val="21"/>
              </w:rPr>
              <w:t>T 6277-2017</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5.2.6</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auto"/>
                <w:kern w:val="0"/>
                <w:sz w:val="21"/>
                <w:szCs w:val="21"/>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现场建立</w:t>
            </w:r>
            <w:r>
              <w:rPr>
                <w:rFonts w:hint="eastAsia" w:ascii="Times New Roman" w:hAnsi="Times New Roman" w:eastAsia="宋体" w:cs="Times New Roman"/>
                <w:color w:val="auto"/>
                <w:kern w:val="2"/>
                <w:sz w:val="21"/>
                <w:szCs w:val="21"/>
                <w:lang w:val="en-US" w:eastAsia="zh-CN" w:bidi="ar-SA"/>
              </w:rPr>
              <w:t>有硫化氢检测仪</w:t>
            </w:r>
            <w:r>
              <w:rPr>
                <w:rFonts w:hint="default" w:ascii="Times New Roman" w:hAnsi="Times New Roman" w:eastAsia="宋体" w:cs="Times New Roman"/>
                <w:color w:val="auto"/>
                <w:kern w:val="2"/>
                <w:sz w:val="21"/>
                <w:szCs w:val="21"/>
                <w:lang w:val="en-US" w:eastAsia="zh-CN" w:bidi="ar-SA"/>
              </w:rPr>
              <w:t>台账，并经定期检测合格。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eastAsia" w:ascii="Times New Roman" w:hAnsi="Times New Roman" w:cs="Times New Roman"/>
                <w:color w:val="auto"/>
                <w:kern w:val="0"/>
                <w:sz w:val="21"/>
                <w:szCs w:val="21"/>
              </w:rPr>
            </w:pPr>
            <w:r>
              <w:rPr>
                <w:rFonts w:hint="eastAsia" w:ascii="Times New Roman" w:hAnsi="Times New Roman" w:cs="Times New Roman"/>
                <w:color w:val="auto"/>
                <w:kern w:val="0"/>
                <w:sz w:val="21"/>
                <w:szCs w:val="21"/>
              </w:rPr>
              <w:t>在用石油钻、修井用吊具应进行定期检验。定期检验周期为2年。</w:t>
            </w:r>
          </w:p>
        </w:tc>
        <w:tc>
          <w:tcPr>
            <w:tcW w:w="1815"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lang w:eastAsia="zh-CN"/>
              </w:rPr>
            </w:pPr>
            <w:r>
              <w:rPr>
                <w:rFonts w:hint="eastAsia" w:ascii="Times New Roman" w:hAnsi="Times New Roman" w:cs="Times New Roman"/>
                <w:color w:val="auto"/>
                <w:kern w:val="0"/>
                <w:sz w:val="21"/>
                <w:szCs w:val="21"/>
              </w:rPr>
              <w:t>SY</w:t>
            </w:r>
            <w:r>
              <w:rPr>
                <w:rFonts w:hint="eastAsia" w:ascii="Times New Roman" w:hAnsi="Times New Roman" w:cs="Times New Roman"/>
                <w:color w:val="auto"/>
                <w:kern w:val="0"/>
                <w:sz w:val="21"/>
                <w:szCs w:val="21"/>
                <w:lang w:val="en-US" w:eastAsia="zh-CN"/>
              </w:rPr>
              <w:t>/</w:t>
            </w:r>
            <w:r>
              <w:rPr>
                <w:rFonts w:hint="eastAsia" w:ascii="Times New Roman" w:hAnsi="Times New Roman" w:cs="Times New Roman"/>
                <w:color w:val="auto"/>
                <w:kern w:val="0"/>
                <w:sz w:val="21"/>
                <w:szCs w:val="21"/>
              </w:rPr>
              <w:t>T 6</w:t>
            </w:r>
            <w:r>
              <w:rPr>
                <w:rFonts w:hint="eastAsia" w:ascii="Times New Roman" w:hAnsi="Times New Roman" w:cs="Times New Roman"/>
                <w:color w:val="auto"/>
                <w:kern w:val="0"/>
                <w:sz w:val="21"/>
                <w:szCs w:val="21"/>
                <w:lang w:val="en-US" w:eastAsia="zh-CN"/>
              </w:rPr>
              <w:t>605</w:t>
            </w:r>
            <w:r>
              <w:rPr>
                <w:rFonts w:hint="eastAsia" w:ascii="Times New Roman" w:hAnsi="Times New Roman" w:cs="Times New Roman"/>
                <w:color w:val="auto"/>
                <w:kern w:val="0"/>
                <w:sz w:val="21"/>
                <w:szCs w:val="21"/>
              </w:rPr>
              <w:t>-201</w:t>
            </w:r>
            <w:r>
              <w:rPr>
                <w:rFonts w:hint="eastAsia" w:ascii="Times New Roman" w:hAnsi="Times New Roman" w:cs="Times New Roman"/>
                <w:color w:val="auto"/>
                <w:kern w:val="0"/>
                <w:sz w:val="21"/>
                <w:szCs w:val="21"/>
                <w:lang w:val="en-US" w:eastAsia="zh-CN"/>
              </w:rPr>
              <w:t>8</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ascii="Times New Roman" w:hAnsi="Times New Roman" w:cs="Times New Roman"/>
                <w:color w:val="auto"/>
                <w:kern w:val="0"/>
                <w:sz w:val="21"/>
                <w:szCs w:val="21"/>
              </w:rPr>
            </w:pPr>
            <w:r>
              <w:rPr>
                <w:rFonts w:hint="eastAsia" w:ascii="Times New Roman" w:hAnsi="Times New Roman" w:cs="Times New Roman"/>
                <w:color w:val="auto"/>
                <w:kern w:val="0"/>
                <w:sz w:val="21"/>
                <w:szCs w:val="21"/>
              </w:rPr>
              <w:t>6.1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color w:val="auto"/>
                <w:kern w:val="0"/>
                <w:sz w:val="21"/>
                <w:szCs w:val="21"/>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修井用吊具进行</w:t>
            </w:r>
            <w:r>
              <w:rPr>
                <w:rFonts w:hint="eastAsia" w:ascii="Times New Roman" w:hAnsi="Times New Roman" w:eastAsia="宋体" w:cs="Times New Roman"/>
                <w:color w:val="auto"/>
                <w:kern w:val="2"/>
                <w:sz w:val="21"/>
                <w:szCs w:val="21"/>
                <w:lang w:val="en-US" w:eastAsia="zh-CN" w:bidi="ar-SA"/>
              </w:rPr>
              <w:t>了</w:t>
            </w:r>
            <w:r>
              <w:rPr>
                <w:rFonts w:hint="default" w:ascii="Times New Roman" w:hAnsi="Times New Roman" w:eastAsia="宋体" w:cs="Times New Roman"/>
                <w:color w:val="auto"/>
                <w:kern w:val="2"/>
                <w:sz w:val="21"/>
                <w:szCs w:val="21"/>
                <w:lang w:val="en-US" w:eastAsia="zh-CN" w:bidi="ar-SA"/>
              </w:rPr>
              <w:t>定期检验</w:t>
            </w: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widowControl w:val="0"/>
              <w:numPr>
                <w:ilvl w:val="0"/>
                <w:numId w:val="0"/>
              </w:numPr>
              <w:suppressLineNumbers w:val="0"/>
              <w:overflowPunct w:val="0"/>
              <w:adjustRightInd w:val="0"/>
              <w:snapToGrid w:val="0"/>
              <w:spacing w:before="0" w:beforeAutospacing="0" w:after="0" w:afterAutospacing="0"/>
              <w:ind w:left="0" w:right="0" w:rightChars="0"/>
              <w:jc w:val="left"/>
              <w:rPr>
                <w:rFonts w:hint="eastAsia" w:ascii="Times New Roman" w:hAnsi="Times New Roman" w:cs="Times New Roman"/>
                <w:color w:val="auto"/>
                <w:kern w:val="0"/>
                <w:sz w:val="21"/>
                <w:szCs w:val="21"/>
                <w:lang w:val="en-US" w:eastAsia="zh-CN"/>
              </w:rPr>
            </w:pPr>
            <w:r>
              <w:rPr>
                <w:rFonts w:hint="eastAsia" w:ascii="Times New Roman" w:hAnsi="Times New Roman" w:eastAsia="宋体" w:cs="Times New Roman"/>
                <w:color w:val="auto"/>
                <w:kern w:val="0"/>
                <w:sz w:val="21"/>
                <w:szCs w:val="21"/>
                <w:lang w:eastAsia="zh-CN"/>
              </w:rPr>
              <w:t>安全阀的校验周期应当符合以下要求</w:t>
            </w:r>
            <w:r>
              <w:rPr>
                <w:rFonts w:hint="eastAsia" w:ascii="Times New Roman" w:hAnsi="Times New Roman" w:cs="Times New Roman"/>
                <w:color w:val="auto"/>
                <w:kern w:val="0"/>
                <w:sz w:val="21"/>
                <w:szCs w:val="21"/>
                <w:lang w:val="en-US" w:eastAsia="zh-CN"/>
              </w:rPr>
              <w:t>：</w:t>
            </w:r>
          </w:p>
          <w:p>
            <w:pPr>
              <w:keepNext w:val="0"/>
              <w:keepLines w:val="0"/>
              <w:widowControl w:val="0"/>
              <w:numPr>
                <w:ilvl w:val="0"/>
                <w:numId w:val="31"/>
              </w:numPr>
              <w:suppressLineNumbers w:val="0"/>
              <w:overflowPunct w:val="0"/>
              <w:adjustRightInd w:val="0"/>
              <w:snapToGrid w:val="0"/>
              <w:spacing w:before="0" w:beforeAutospacing="0" w:after="0" w:afterAutospacing="0"/>
              <w:ind w:left="0" w:right="0" w:rightChars="0"/>
              <w:jc w:val="left"/>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安全阀定期校验，一般每年至少一次，安全技术规范有相应规定的从其规定；</w:t>
            </w:r>
          </w:p>
          <w:p>
            <w:pPr>
              <w:keepNext w:val="0"/>
              <w:keepLines w:val="0"/>
              <w:widowControl w:val="0"/>
              <w:numPr>
                <w:ilvl w:val="0"/>
                <w:numId w:val="31"/>
              </w:numPr>
              <w:suppressLineNumbers w:val="0"/>
              <w:overflowPunct w:val="0"/>
              <w:adjustRightInd w:val="0"/>
              <w:snapToGrid w:val="0"/>
              <w:spacing w:before="0" w:beforeAutospacing="0" w:after="0" w:afterAutospacing="0"/>
              <w:ind w:left="0" w:leftChars="0" w:right="0" w:rightChars="0"/>
              <w:jc w:val="left"/>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rPr>
              <w:t>经解体、修理或更换部件的安全阀，应当重新进行校验。</w:t>
            </w:r>
          </w:p>
        </w:tc>
        <w:tc>
          <w:tcPr>
            <w:tcW w:w="1815"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eastAsia" w:ascii="Times New Roman" w:hAnsi="Times New Roman" w:eastAsia="宋体" w:cs="Times New Roman"/>
                <w:color w:val="auto"/>
                <w:spacing w:val="-6"/>
                <w:kern w:val="0"/>
                <w:sz w:val="21"/>
                <w:szCs w:val="21"/>
                <w:lang w:eastAsia="zh-CN"/>
              </w:rPr>
            </w:pPr>
            <w:r>
              <w:rPr>
                <w:rFonts w:hint="eastAsia" w:ascii="Times New Roman" w:hAnsi="Times New Roman" w:cs="Times New Roman"/>
                <w:color w:val="auto"/>
                <w:spacing w:val="-6"/>
                <w:kern w:val="0"/>
                <w:sz w:val="21"/>
                <w:szCs w:val="21"/>
              </w:rPr>
              <w:t>TSGZF001-2006</w:t>
            </w:r>
            <w:r>
              <w:rPr>
                <w:rFonts w:hint="eastAsia" w:cs="Times New Roman"/>
                <w:color w:val="auto"/>
                <w:spacing w:val="-6"/>
                <w:kern w:val="0"/>
                <w:sz w:val="21"/>
                <w:szCs w:val="21"/>
                <w:lang w:eastAsia="zh-CN"/>
              </w:rPr>
              <w:t>（</w:t>
            </w:r>
            <w:r>
              <w:rPr>
                <w:rFonts w:hint="eastAsia" w:cs="Times New Roman"/>
                <w:color w:val="auto"/>
                <w:spacing w:val="-6"/>
                <w:kern w:val="0"/>
                <w:sz w:val="21"/>
                <w:szCs w:val="21"/>
                <w:lang w:val="en-US" w:eastAsia="zh-CN"/>
              </w:rPr>
              <w:t>2009第1号修改单</w:t>
            </w:r>
            <w:r>
              <w:rPr>
                <w:rFonts w:hint="eastAsia" w:cs="Times New Roman"/>
                <w:color w:val="auto"/>
                <w:spacing w:val="-6"/>
                <w:kern w:val="0"/>
                <w:sz w:val="21"/>
                <w:szCs w:val="21"/>
                <w:lang w:eastAsia="zh-CN"/>
              </w:rPr>
              <w:t>）</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 w:val="21"/>
                <w:szCs w:val="21"/>
                <w:lang w:val="en-US" w:eastAsia="zh-CN"/>
              </w:rPr>
              <w:t>B6.3.1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color w:val="auto"/>
                <w:kern w:val="0"/>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现场</w:t>
            </w:r>
            <w:r>
              <w:rPr>
                <w:rFonts w:hint="default" w:ascii="Times New Roman" w:hAnsi="Times New Roman" w:eastAsia="宋体" w:cs="Times New Roman"/>
                <w:color w:val="auto"/>
                <w:kern w:val="2"/>
                <w:sz w:val="21"/>
                <w:szCs w:val="21"/>
                <w:lang w:val="en-US" w:eastAsia="zh-CN" w:bidi="ar-SA"/>
              </w:rPr>
              <w:t>安全阀定期校验</w:t>
            </w:r>
            <w:r>
              <w:rPr>
                <w:rFonts w:hint="eastAsia" w:ascii="Times New Roman" w:hAnsi="Times New Roman" w:eastAsia="宋体" w:cs="Times New Roman"/>
                <w:color w:val="auto"/>
                <w:kern w:val="2"/>
                <w:sz w:val="21"/>
                <w:szCs w:val="21"/>
                <w:lang w:val="en-US" w:eastAsia="zh-CN" w:bidi="ar-SA"/>
              </w:rPr>
              <w:t>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vAlign w:val="center"/>
          </w:tcPr>
          <w:p>
            <w:pPr>
              <w:keepNext w:val="0"/>
              <w:keepLines w:val="0"/>
              <w:widowControl w:val="0"/>
              <w:numPr>
                <w:ilvl w:val="0"/>
                <w:numId w:val="29"/>
              </w:numPr>
              <w:suppressLineNumbers w:val="0"/>
              <w:adjustRightInd w:val="0"/>
              <w:snapToGrid w:val="0"/>
              <w:spacing w:before="62" w:beforeLines="20" w:beforeAutospacing="0" w:after="62" w:afterLines="20" w:afterAutospacing="0"/>
              <w:ind w:right="0"/>
              <w:jc w:val="left"/>
              <w:rPr>
                <w:rFonts w:hint="default" w:ascii="Times New Roman" w:hAnsi="Times New Roman" w:eastAsia="宋体" w:cs="Times New Roman"/>
                <w:color w:val="auto"/>
                <w:kern w:val="2"/>
                <w:sz w:val="21"/>
                <w:szCs w:val="21"/>
                <w:lang w:val="en-US" w:eastAsia="zh-CN" w:bidi="ar-SA"/>
              </w:rPr>
            </w:pPr>
          </w:p>
        </w:tc>
        <w:tc>
          <w:tcPr>
            <w:tcW w:w="3167" w:type="dxa"/>
            <w:vAlign w:val="center"/>
          </w:tcPr>
          <w:p>
            <w:pPr>
              <w:keepNext w:val="0"/>
              <w:keepLines w:val="0"/>
              <w:widowControl w:val="0"/>
              <w:numPr>
                <w:ilvl w:val="0"/>
                <w:numId w:val="0"/>
              </w:numPr>
              <w:suppressLineNumbers w:val="0"/>
              <w:overflowPunct w:val="0"/>
              <w:adjustRightInd w:val="0"/>
              <w:snapToGrid w:val="0"/>
              <w:spacing w:before="0" w:beforeAutospacing="0" w:after="0" w:afterAutospacing="0"/>
              <w:ind w:left="0" w:right="0" w:rightChars="0"/>
              <w:jc w:val="left"/>
              <w:rPr>
                <w:rFonts w:hint="eastAsia" w:ascii="Times New Roman" w:hAnsi="Times New Roman" w:cs="Times New Roman"/>
                <w:color w:val="auto"/>
                <w:kern w:val="0"/>
                <w:sz w:val="21"/>
                <w:szCs w:val="21"/>
                <w:lang w:val="en-US" w:eastAsia="zh-CN"/>
              </w:rPr>
            </w:pPr>
            <w:r>
              <w:rPr>
                <w:rFonts w:hint="eastAsia" w:ascii="Times New Roman" w:hAnsi="Times New Roman" w:cs="Times New Roman"/>
                <w:color w:val="auto"/>
                <w:kern w:val="0"/>
                <w:sz w:val="21"/>
                <w:szCs w:val="21"/>
                <w:lang w:val="en-US" w:eastAsia="zh-CN"/>
              </w:rPr>
              <w:t>井队防雷装置应由专业防雷检测机构定期检测，检测周期不应超过一年。</w:t>
            </w:r>
          </w:p>
        </w:tc>
        <w:tc>
          <w:tcPr>
            <w:tcW w:w="1815" w:type="dxa"/>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SY/T7386-2017</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ascii="Times New Roman" w:hAnsi="Times New Roman" w:cs="Times New Roman"/>
                <w:color w:val="auto"/>
                <w:kern w:val="0"/>
                <w:sz w:val="21"/>
                <w:szCs w:val="21"/>
                <w:lang w:val="en-US" w:eastAsia="zh-CN"/>
              </w:rPr>
            </w:pPr>
            <w:r>
              <w:rPr>
                <w:rFonts w:hint="eastAsia" w:ascii="Times New Roman" w:hAnsi="Times New Roman" w:eastAsia="宋体" w:cs="Times New Roman"/>
                <w:color w:val="auto"/>
                <w:sz w:val="21"/>
                <w:szCs w:val="21"/>
                <w:lang w:val="en-US" w:eastAsia="zh-CN"/>
              </w:rPr>
              <w:t>6.1.1</w:t>
            </w:r>
          </w:p>
        </w:tc>
        <w:tc>
          <w:tcPr>
            <w:tcW w:w="703"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rPr>
              <w:t>√</w:t>
            </w:r>
          </w:p>
        </w:tc>
        <w:tc>
          <w:tcPr>
            <w:tcW w:w="2967"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井架底座由专业防雷检测机构定期检测合格。</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sz w:val="28"/>
          <w:szCs w:val="28"/>
        </w:rPr>
      </w:pPr>
      <w:r>
        <w:rPr>
          <w:rFonts w:hint="eastAsia"/>
          <w:sz w:val="28"/>
          <w:szCs w:val="28"/>
        </w:rPr>
        <w:t>评价小结：</w:t>
      </w:r>
    </w:p>
    <w:p>
      <w:pPr>
        <w:adjustRightInd w:val="0"/>
        <w:snapToGrid w:val="0"/>
        <w:spacing w:line="360" w:lineRule="auto"/>
        <w:ind w:firstLine="560" w:firstLineChars="200"/>
        <w:rPr>
          <w:rFonts w:hint="eastAsia" w:ascii="Times New Roman" w:hAnsi="Times New Roman" w:eastAsia="宋体" w:cs="Times New Roman"/>
          <w:b w:val="0"/>
          <w:kern w:val="2"/>
          <w:sz w:val="28"/>
          <w:szCs w:val="28"/>
          <w:lang w:val="en-US" w:eastAsia="zh-CN" w:bidi="ar-SA"/>
        </w:rPr>
      </w:pPr>
      <w:r>
        <w:rPr>
          <w:rFonts w:hint="eastAsia"/>
          <w:sz w:val="28"/>
          <w:szCs w:val="28"/>
        </w:rPr>
        <w:t>胜坨油田坨128-斜32井安全检查表共设</w:t>
      </w:r>
      <w:r>
        <w:rPr>
          <w:rFonts w:hint="eastAsia" w:ascii="Times New Roman" w:eastAsia="宋体"/>
          <w:sz w:val="28"/>
          <w:szCs w:val="28"/>
          <w:lang w:val="en-US" w:eastAsia="zh-CN"/>
        </w:rPr>
        <w:t>7</w:t>
      </w:r>
      <w:r>
        <w:rPr>
          <w:rFonts w:hint="eastAsia"/>
          <w:sz w:val="28"/>
          <w:szCs w:val="28"/>
          <w:lang w:val="en-US" w:eastAsia="zh-CN"/>
        </w:rPr>
        <w:t>3</w:t>
      </w:r>
      <w:r>
        <w:rPr>
          <w:rFonts w:hint="eastAsia"/>
          <w:sz w:val="28"/>
          <w:szCs w:val="28"/>
        </w:rPr>
        <w:t>项检查内容，</w:t>
      </w:r>
      <w:r>
        <w:rPr>
          <w:rFonts w:hint="eastAsia" w:ascii="Times New Roman" w:eastAsia="宋体"/>
          <w:sz w:val="28"/>
          <w:szCs w:val="28"/>
          <w:lang w:val="en-US" w:eastAsia="zh-CN"/>
        </w:rPr>
        <w:t>7</w:t>
      </w:r>
      <w:r>
        <w:rPr>
          <w:rFonts w:hint="eastAsia"/>
          <w:sz w:val="28"/>
          <w:szCs w:val="28"/>
          <w:lang w:val="en-US" w:eastAsia="zh-CN"/>
        </w:rPr>
        <w:t>1</w:t>
      </w:r>
      <w:r>
        <w:rPr>
          <w:rFonts w:hint="eastAsia"/>
          <w:sz w:val="28"/>
          <w:szCs w:val="28"/>
        </w:rPr>
        <w:t>项符合要求，</w:t>
      </w:r>
      <w:r>
        <w:rPr>
          <w:rFonts w:hint="eastAsia" w:ascii="Times New Roman" w:eastAsia="宋体"/>
          <w:sz w:val="28"/>
          <w:szCs w:val="28"/>
          <w:lang w:val="en-US" w:eastAsia="zh-CN"/>
        </w:rPr>
        <w:t>2</w:t>
      </w:r>
      <w:r>
        <w:rPr>
          <w:rFonts w:hint="eastAsia"/>
          <w:sz w:val="28"/>
          <w:szCs w:val="28"/>
        </w:rPr>
        <w:t>项不符合：</w:t>
      </w:r>
      <w:r>
        <w:rPr>
          <w:rFonts w:hint="eastAsia" w:ascii="Times New Roman" w:eastAsia="宋体"/>
          <w:sz w:val="28"/>
          <w:szCs w:val="28"/>
          <w:lang w:val="en-US" w:eastAsia="zh-CN"/>
        </w:rPr>
        <w:t>1.防喷器</w:t>
      </w:r>
      <w:r>
        <w:rPr>
          <w:rFonts w:hint="eastAsia" w:ascii="Times New Roman" w:hAnsi="Times New Roman" w:eastAsia="宋体" w:cs="Times New Roman"/>
          <w:b w:val="0"/>
          <w:kern w:val="2"/>
          <w:sz w:val="28"/>
          <w:szCs w:val="28"/>
          <w:lang w:val="en-US" w:eastAsia="zh-CN" w:bidi="ar-SA"/>
        </w:rPr>
        <w:t>远程控制台距井口21.5m。</w:t>
      </w:r>
      <w:r>
        <w:rPr>
          <w:rFonts w:hint="eastAsia" w:cs="Times New Roman"/>
          <w:b w:val="0"/>
          <w:kern w:val="2"/>
          <w:sz w:val="28"/>
          <w:szCs w:val="28"/>
          <w:lang w:val="en-US" w:eastAsia="zh-CN" w:bidi="ar-SA"/>
        </w:rPr>
        <w:t>2</w:t>
      </w:r>
      <w:r>
        <w:rPr>
          <w:rFonts w:hint="eastAsia" w:ascii="Times New Roman" w:hAnsi="Times New Roman" w:cs="Times New Roman"/>
          <w:b w:val="0"/>
          <w:kern w:val="2"/>
          <w:sz w:val="28"/>
          <w:szCs w:val="28"/>
          <w:lang w:val="en-US" w:eastAsia="zh-CN" w:bidi="ar-SA"/>
        </w:rPr>
        <w:t>.</w:t>
      </w:r>
      <w:r>
        <w:rPr>
          <w:rFonts w:hint="eastAsia" w:ascii="Times New Roman" w:hAnsi="Times New Roman" w:eastAsia="宋体" w:cs="Times New Roman"/>
          <w:b w:val="0"/>
          <w:kern w:val="2"/>
          <w:sz w:val="28"/>
          <w:szCs w:val="28"/>
          <w:lang w:val="en-US" w:eastAsia="zh-CN" w:bidi="ar-SA"/>
        </w:rPr>
        <w:t>防喷器液压管线</w:t>
      </w:r>
      <w:r>
        <w:rPr>
          <w:rFonts w:hint="eastAsia" w:cs="Times New Roman"/>
          <w:b w:val="0"/>
          <w:kern w:val="2"/>
          <w:sz w:val="28"/>
          <w:szCs w:val="28"/>
          <w:lang w:val="en-US" w:eastAsia="zh-CN" w:bidi="ar-SA"/>
        </w:rPr>
        <w:t>未</w:t>
      </w:r>
      <w:r>
        <w:rPr>
          <w:rFonts w:hint="eastAsia" w:ascii="Times New Roman" w:hAnsi="Times New Roman" w:eastAsia="宋体" w:cs="Times New Roman"/>
          <w:b w:val="0"/>
          <w:kern w:val="2"/>
          <w:sz w:val="28"/>
          <w:szCs w:val="28"/>
          <w:lang w:val="en-US" w:eastAsia="zh-CN" w:bidi="ar-SA"/>
        </w:rPr>
        <w:t>设防碾压保护。</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left"/>
        <w:textAlignment w:val="auto"/>
        <w:outlineLvl w:val="2"/>
        <w:rPr>
          <w:rFonts w:hint="eastAsia" w:ascii="Times New Roman" w:hAnsi="Times New Roman" w:eastAsia="宋体" w:cs="Times New Roman"/>
          <w:b/>
          <w:kern w:val="2"/>
          <w:sz w:val="28"/>
          <w:szCs w:val="28"/>
          <w:lang w:val="en-US" w:eastAsia="zh-CN" w:bidi="ar-SA"/>
        </w:rPr>
      </w:pPr>
      <w:r>
        <w:rPr>
          <w:rFonts w:hint="eastAsia" w:ascii="Times New Roman" w:hAnsi="Times New Roman" w:eastAsia="宋体" w:cs="Times New Roman"/>
          <w:b/>
          <w:kern w:val="2"/>
          <w:sz w:val="28"/>
          <w:szCs w:val="28"/>
          <w:lang w:val="en-US" w:eastAsia="zh-CN" w:bidi="ar-SA"/>
        </w:rPr>
        <w:t xml:space="preserve">5.1.2 </w:t>
      </w:r>
      <w:r>
        <w:rPr>
          <w:rFonts w:hint="eastAsia" w:eastAsia="黑体"/>
          <w:bCs/>
          <w:snapToGrid w:val="0"/>
          <w:kern w:val="0"/>
          <w:sz w:val="28"/>
          <w:szCs w:val="28"/>
          <w:lang w:val="en-US" w:eastAsia="zh-CN"/>
        </w:rPr>
        <w:t>乐安油田草4-3-斜326井（小修、堵水/调剖、现场试压作业）</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textAlignment w:val="auto"/>
        <w:rPr>
          <w:rFonts w:hint="eastAsia"/>
          <w:b/>
          <w:bCs/>
          <w:sz w:val="28"/>
          <w:szCs w:val="28"/>
          <w:lang w:val="en-US" w:eastAsia="zh-CN"/>
        </w:rPr>
      </w:pPr>
      <w:r>
        <w:rPr>
          <w:rFonts w:hint="eastAsia"/>
          <w:b/>
          <w:bCs/>
          <w:sz w:val="28"/>
          <w:szCs w:val="28"/>
          <w:lang w:val="en-US" w:eastAsia="zh-CN"/>
        </w:rPr>
        <w:t>1.施工情况简介</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textAlignment w:val="auto"/>
        <w:rPr>
          <w:rFonts w:hint="eastAsia"/>
          <w:sz w:val="28"/>
          <w:szCs w:val="28"/>
          <w:lang w:val="en-US" w:eastAsia="zh-CN"/>
        </w:rPr>
      </w:pPr>
      <w:r>
        <w:rPr>
          <w:rFonts w:hint="eastAsia"/>
          <w:sz w:val="28"/>
          <w:szCs w:val="28"/>
          <w:lang w:val="en-US" w:eastAsia="zh-CN"/>
        </w:rPr>
        <w:t>1）井场道路及井场周边环境</w:t>
      </w:r>
    </w:p>
    <w:p>
      <w:pPr>
        <w:pStyle w:val="216"/>
        <w:adjustRightInd w:val="0"/>
        <w:snapToGrid w:val="0"/>
        <w:spacing w:after="0" w:line="360" w:lineRule="auto"/>
        <w:ind w:firstLine="560" w:firstLineChars="200"/>
        <w:rPr>
          <w:rFonts w:hint="eastAsia"/>
          <w:sz w:val="28"/>
          <w:szCs w:val="28"/>
          <w:lang w:val="en-US" w:eastAsia="zh-CN"/>
        </w:rPr>
      </w:pPr>
      <w:r>
        <w:rPr>
          <w:rFonts w:hint="eastAsia"/>
          <w:sz w:val="28"/>
          <w:szCs w:val="28"/>
          <w:lang w:val="en-US" w:eastAsia="zh-CN"/>
        </w:rPr>
        <w:t>乐安油田草4-3-斜326井</w:t>
      </w:r>
      <w:r>
        <w:rPr>
          <w:rFonts w:hint="eastAsia"/>
          <w:sz w:val="28"/>
          <w:szCs w:val="28"/>
        </w:rPr>
        <w:t>位于东营市，属</w:t>
      </w:r>
      <w:r>
        <w:rPr>
          <w:rFonts w:hint="eastAsia"/>
          <w:sz w:val="28"/>
          <w:szCs w:val="28"/>
          <w:lang w:val="en-US" w:eastAsia="en-US"/>
        </w:rPr>
        <w:t>石油开发中心有限公司</w:t>
      </w:r>
      <w:r>
        <w:rPr>
          <w:rFonts w:hint="eastAsia"/>
          <w:sz w:val="28"/>
          <w:szCs w:val="28"/>
          <w:lang w:val="en-US" w:eastAsia="zh-CN"/>
        </w:rPr>
        <w:t>胜科管理区</w:t>
      </w:r>
      <w:r>
        <w:rPr>
          <w:rFonts w:hint="eastAsia"/>
          <w:sz w:val="28"/>
          <w:szCs w:val="28"/>
        </w:rPr>
        <w:t>。</w:t>
      </w:r>
      <w:r>
        <w:rPr>
          <w:rFonts w:hint="eastAsia"/>
          <w:sz w:val="28"/>
          <w:szCs w:val="28"/>
          <w:lang w:val="en-US" w:eastAsia="zh-CN"/>
        </w:rPr>
        <w:t>乐安油田草4-3-斜326井进井路为水泥路面</w:t>
      </w:r>
      <w:r>
        <w:rPr>
          <w:rFonts w:hint="eastAsia"/>
          <w:sz w:val="28"/>
          <w:szCs w:val="28"/>
          <w:lang w:eastAsia="zh-CN"/>
        </w:rPr>
        <w:t>，</w:t>
      </w:r>
      <w:r>
        <w:rPr>
          <w:rFonts w:hint="eastAsia"/>
          <w:sz w:val="28"/>
          <w:szCs w:val="28"/>
        </w:rPr>
        <w:t>井道路状况良好；周围为农田及荒地，距离井口500m范围内没有学校、医院、大型油库等人口密集性、高危险性场所。井场四周设有警戒线，外部人员不能随便进入现场。井场内有值班站房，井场布置能够满足施工需要。井场无污染，井口装置、生产设施配套基本齐全。上述井场井进井道路及周边环境见图5-</w:t>
      </w:r>
      <w:r>
        <w:rPr>
          <w:rFonts w:hint="eastAsia"/>
          <w:sz w:val="28"/>
          <w:szCs w:val="28"/>
          <w:lang w:val="en-US" w:eastAsia="zh-CN"/>
        </w:rPr>
        <w:t>4。</w:t>
      </w:r>
    </w:p>
    <w:p>
      <w:pPr>
        <w:pStyle w:val="216"/>
        <w:adjustRightInd w:val="0"/>
        <w:snapToGrid w:val="0"/>
        <w:spacing w:after="0" w:line="360" w:lineRule="auto"/>
        <w:ind w:firstLine="560" w:firstLineChars="200"/>
        <w:jc w:val="center"/>
        <w:rPr>
          <w:rFonts w:hint="eastAsia"/>
          <w:b/>
        </w:rPr>
      </w:pPr>
      <w:r>
        <w:rPr>
          <w:rFonts w:hint="default"/>
          <w:sz w:val="28"/>
          <w:szCs w:val="28"/>
          <w:lang w:val="en-US" w:eastAsia="zh-CN"/>
        </w:rPr>
        <w:drawing>
          <wp:anchor distT="0" distB="0" distL="114300" distR="114300" simplePos="0" relativeHeight="251668480" behindDoc="0" locked="0" layoutInCell="1" allowOverlap="1">
            <wp:simplePos x="0" y="0"/>
            <wp:positionH relativeFrom="column">
              <wp:posOffset>2705735</wp:posOffset>
            </wp:positionH>
            <wp:positionV relativeFrom="paragraph">
              <wp:posOffset>-2303145</wp:posOffset>
            </wp:positionV>
            <wp:extent cx="2563495" cy="2262505"/>
            <wp:effectExtent l="0" t="0" r="8255" b="4445"/>
            <wp:wrapNone/>
            <wp:docPr id="15" name="图片 15" descr="IMG_6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6328"/>
                    <pic:cNvPicPr>
                      <a:picLocks noChangeAspect="1"/>
                    </pic:cNvPicPr>
                  </pic:nvPicPr>
                  <pic:blipFill>
                    <a:blip r:embed="rId29"/>
                    <a:stretch>
                      <a:fillRect/>
                    </a:stretch>
                  </pic:blipFill>
                  <pic:spPr>
                    <a:xfrm>
                      <a:off x="0" y="0"/>
                      <a:ext cx="2563495" cy="2262505"/>
                    </a:xfrm>
                    <a:prstGeom prst="rect">
                      <a:avLst/>
                    </a:prstGeom>
                  </pic:spPr>
                </pic:pic>
              </a:graphicData>
            </a:graphic>
          </wp:anchor>
        </w:drawing>
      </w:r>
      <w:r>
        <w:rPr>
          <w:rFonts w:hint="default"/>
          <w:sz w:val="28"/>
          <w:szCs w:val="28"/>
          <w:lang w:val="en-US" w:eastAsia="zh-CN"/>
        </w:rPr>
        <w:drawing>
          <wp:anchor distT="0" distB="0" distL="114300" distR="114300" simplePos="0" relativeHeight="251667456" behindDoc="0" locked="0" layoutInCell="1" allowOverlap="1">
            <wp:simplePos x="0" y="0"/>
            <wp:positionH relativeFrom="column">
              <wp:posOffset>-1905</wp:posOffset>
            </wp:positionH>
            <wp:positionV relativeFrom="paragraph">
              <wp:posOffset>29210</wp:posOffset>
            </wp:positionV>
            <wp:extent cx="2565400" cy="2296795"/>
            <wp:effectExtent l="0" t="0" r="6350" b="8255"/>
            <wp:wrapTopAndBottom/>
            <wp:docPr id="10" name="图片 10" descr="IMG_6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6312"/>
                    <pic:cNvPicPr>
                      <a:picLocks noChangeAspect="1"/>
                    </pic:cNvPicPr>
                  </pic:nvPicPr>
                  <pic:blipFill>
                    <a:blip r:embed="rId30"/>
                    <a:stretch>
                      <a:fillRect/>
                    </a:stretch>
                  </pic:blipFill>
                  <pic:spPr>
                    <a:xfrm>
                      <a:off x="0" y="0"/>
                      <a:ext cx="2565400" cy="2296795"/>
                    </a:xfrm>
                    <a:prstGeom prst="rect">
                      <a:avLst/>
                    </a:prstGeom>
                  </pic:spPr>
                </pic:pic>
              </a:graphicData>
            </a:graphic>
          </wp:anchor>
        </w:drawing>
      </w:r>
      <w:r>
        <w:rPr>
          <w:rFonts w:hint="eastAsia"/>
          <w:b/>
        </w:rPr>
        <w:t>图5-</w:t>
      </w:r>
      <w:r>
        <w:rPr>
          <w:rFonts w:hint="eastAsia"/>
          <w:b/>
          <w:lang w:val="en-US" w:eastAsia="zh-CN"/>
        </w:rPr>
        <w:t xml:space="preserve">4  </w:t>
      </w:r>
      <w:r>
        <w:rPr>
          <w:rFonts w:hint="eastAsia" w:ascii="Times New Roman" w:eastAsia="宋体"/>
          <w:b/>
          <w:lang w:val="en-US" w:eastAsia="zh-CN"/>
        </w:rPr>
        <w:t>乐安油田草4-3-斜326</w:t>
      </w:r>
      <w:r>
        <w:rPr>
          <w:rFonts w:hint="eastAsia"/>
          <w:b/>
        </w:rPr>
        <w:t>井进场道路及周边环境</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2）施工工序</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1.开工准备：搬上动力，按“三标”要求做好开工准备，按标准安装好防喷器材。</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2.起原井注水管：无溢流后起出原井管柱，仔细检查，详细记录管柱的腐蚀、结垢情况。</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3.探冲砂：下光油管底带笔尖探冲砂至1221.7m。</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4.通井：通井：下Φ152mm×1500mm通井规通井至人工井底1221.7m。注意通井过程中有无遇阻显示。若通井中途遇阻加压不允许超过30KN。</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5.刮管：下GX-T178刮管器刮至人工井底1221.7m。在座封位置上下10m反复刮管3-5次，本井注入水反洗井至进出口水质一致，起出刮管管柱，查看工具完好情况。</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6.验套：下验套工具验套。要求试压12MPa稳压30分钟，压力下降小于0.5MPa为合格。</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7.下调剖管柱、测试资料：下89mm光油管底带笔尖至1090米。按照录取资料要求测试水井的井口压降曲线、吸水剖面、注水指示指数等。</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8.连接管线、试压：连接地面设备与注入管线，试压21MPa，30min压力不降为合格。注水试注流程合格后，注水20m3，求取稳定的注入压力。</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9.调剖：施工过程中可根据注入压力变化适当调整注入排量和段塞用量。</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10.按设计要求下完井管柱</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11.反洗井：打开内管和双管环空闸门， 从油套环空进液，内管返出，排量500l/min，洗至进出口水质一致。</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12.验管、试注上层、验封：打开套管及双管环空闸门，由内外管环空打液压至5MPa，稳压3分钟，压力不降为合格，继续打压至压力突降（约10MPa），打开SZSKP-112双管配水器，试注上层并验封，</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13.试注下层、验封：打开套管及内外管环空闸门，由内管试注下层并验封，合格后交井。</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14.资料录取要求：按照开发管理制度和相关标准要求取全取准各项资料。</w:t>
      </w:r>
    </w:p>
    <w:p>
      <w:pPr>
        <w:widowControl/>
        <w:numPr>
          <w:ilvl w:val="0"/>
          <w:numId w:val="28"/>
        </w:numPr>
        <w:adjustRightInd w:val="0"/>
        <w:snapToGrid w:val="0"/>
        <w:spacing w:after="0" w:line="360" w:lineRule="auto"/>
        <w:ind w:left="0" w:leftChars="0"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井身机构及井控设备配置</w:t>
      </w:r>
    </w:p>
    <w:p>
      <w:pPr>
        <w:keepNext w:val="0"/>
        <w:keepLines w:val="0"/>
        <w:pageBreakBefore w:val="0"/>
        <w:widowControl/>
        <w:kinsoku/>
        <w:wordWrap/>
        <w:overflowPunct/>
        <w:topLinePunct w:val="0"/>
        <w:autoSpaceDE/>
        <w:autoSpaceDN/>
        <w:bidi w:val="0"/>
        <w:adjustRightInd w:val="0"/>
        <w:snapToGrid w:val="0"/>
        <w:spacing w:before="0" w:after="0" w:line="240" w:lineRule="auto"/>
        <w:jc w:val="center"/>
        <w:textAlignment w:val="auto"/>
        <w:outlineLvl w:val="9"/>
        <w:rPr>
          <w:rFonts w:hint="default" w:ascii="Times New Roman" w:hAnsi="Times New Roman" w:eastAsia="宋体" w:cs="Times New Roman"/>
          <w:b/>
          <w:kern w:val="2"/>
          <w:sz w:val="21"/>
          <w:szCs w:val="21"/>
          <w:lang w:val="en-US" w:eastAsia="zh-CN" w:bidi="ar-SA"/>
        </w:rPr>
      </w:pPr>
      <w:r>
        <w:rPr>
          <w:rFonts w:hint="eastAsia" w:ascii="Times New Roman" w:hAnsi="Times New Roman" w:eastAsia="宋体" w:cs="Times New Roman"/>
          <w:b/>
          <w:kern w:val="2"/>
          <w:sz w:val="21"/>
          <w:szCs w:val="21"/>
          <w:lang w:val="en-US" w:eastAsia="zh-CN" w:bidi="ar-SA"/>
        </w:rPr>
        <w:t>表5-</w:t>
      </w:r>
      <w:r>
        <w:rPr>
          <w:rFonts w:hint="eastAsia" w:cs="Times New Roman"/>
          <w:b/>
          <w:kern w:val="2"/>
          <w:sz w:val="21"/>
          <w:szCs w:val="21"/>
          <w:lang w:val="en-US" w:eastAsia="zh-CN" w:bidi="ar-SA"/>
        </w:rPr>
        <w:t>4</w:t>
      </w:r>
      <w:r>
        <w:rPr>
          <w:rFonts w:hint="eastAsia" w:ascii="Times New Roman" w:hAnsi="Times New Roman" w:eastAsia="宋体" w:cs="Times New Roman"/>
          <w:b/>
          <w:kern w:val="2"/>
          <w:sz w:val="21"/>
          <w:szCs w:val="21"/>
          <w:lang w:val="en-US" w:eastAsia="zh-CN" w:bidi="ar-SA"/>
        </w:rPr>
        <w:t xml:space="preserve">  井身结构情况</w:t>
      </w:r>
    </w:p>
    <w:tbl>
      <w:tblPr>
        <w:tblStyle w:val="281"/>
        <w:tblW w:w="861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322"/>
        <w:gridCol w:w="910"/>
        <w:gridCol w:w="1074"/>
        <w:gridCol w:w="696"/>
        <w:gridCol w:w="786"/>
        <w:gridCol w:w="817"/>
        <w:gridCol w:w="1112"/>
        <w:gridCol w:w="1029"/>
        <w:gridCol w:w="86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20" w:hRule="atLeast"/>
          <w:tblHeader/>
          <w:jc w:val="center"/>
        </w:trPr>
        <w:tc>
          <w:tcPr>
            <w:tcW w:w="1322" w:type="dxa"/>
            <w:vMerge w:val="restart"/>
            <w:tcBorders>
              <w:tl2br w:val="nil"/>
              <w:tr2bl w:val="nil"/>
            </w:tcBorders>
            <w:noWrap w:val="0"/>
            <w:tcMar>
              <w:top w:w="10" w:type="dxa"/>
              <w:left w:w="1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套管层次</w:t>
            </w:r>
          </w:p>
        </w:tc>
        <w:tc>
          <w:tcPr>
            <w:tcW w:w="910"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外径</w:t>
            </w:r>
          </w:p>
        </w:tc>
        <w:tc>
          <w:tcPr>
            <w:tcW w:w="1074" w:type="dxa"/>
            <w:vMerge w:val="restart"/>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钢级</w:t>
            </w:r>
          </w:p>
        </w:tc>
        <w:tc>
          <w:tcPr>
            <w:tcW w:w="696"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壁厚</w:t>
            </w:r>
          </w:p>
        </w:tc>
        <w:tc>
          <w:tcPr>
            <w:tcW w:w="786"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内径</w:t>
            </w:r>
          </w:p>
        </w:tc>
        <w:tc>
          <w:tcPr>
            <w:tcW w:w="817"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抗内压</w:t>
            </w:r>
          </w:p>
        </w:tc>
        <w:tc>
          <w:tcPr>
            <w:tcW w:w="1112"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联入/顶深</w:t>
            </w:r>
          </w:p>
        </w:tc>
        <w:tc>
          <w:tcPr>
            <w:tcW w:w="1029"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下入深度</w:t>
            </w:r>
          </w:p>
        </w:tc>
        <w:tc>
          <w:tcPr>
            <w:tcW w:w="865"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水泥返深</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0" w:hRule="atLeast"/>
          <w:tblHeader/>
          <w:jc w:val="center"/>
        </w:trPr>
        <w:tc>
          <w:tcPr>
            <w:tcW w:w="1322"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bCs/>
                <w:i w:val="0"/>
                <w:iCs w:val="0"/>
                <w:smallCaps w:val="0"/>
                <w:color w:val="000000"/>
                <w:kern w:val="0"/>
                <w:sz w:val="21"/>
                <w:szCs w:val="21"/>
              </w:rPr>
            </w:pPr>
          </w:p>
        </w:tc>
        <w:tc>
          <w:tcPr>
            <w:tcW w:w="910"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mm</w:t>
            </w:r>
          </w:p>
        </w:tc>
        <w:tc>
          <w:tcPr>
            <w:tcW w:w="1074"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bCs/>
                <w:i w:val="0"/>
                <w:iCs w:val="0"/>
                <w:smallCaps w:val="0"/>
                <w:color w:val="000000"/>
                <w:kern w:val="0"/>
                <w:sz w:val="21"/>
                <w:szCs w:val="21"/>
                <w:lang w:val="en-US" w:eastAsia="en-US"/>
              </w:rPr>
            </w:pPr>
          </w:p>
        </w:tc>
        <w:tc>
          <w:tcPr>
            <w:tcW w:w="696"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mm</w:t>
            </w:r>
          </w:p>
        </w:tc>
        <w:tc>
          <w:tcPr>
            <w:tcW w:w="786"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mm</w:t>
            </w:r>
          </w:p>
        </w:tc>
        <w:tc>
          <w:tcPr>
            <w:tcW w:w="817"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MPa</w:t>
            </w:r>
          </w:p>
        </w:tc>
        <w:tc>
          <w:tcPr>
            <w:tcW w:w="1112"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w:t>
            </w:r>
          </w:p>
        </w:tc>
        <w:tc>
          <w:tcPr>
            <w:tcW w:w="1029"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w:t>
            </w:r>
          </w:p>
        </w:tc>
        <w:tc>
          <w:tcPr>
            <w:tcW w:w="865"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68" w:hRule="atLeast"/>
          <w:jc w:val="center"/>
        </w:trPr>
        <w:tc>
          <w:tcPr>
            <w:tcW w:w="1322"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表层套管</w:t>
            </w:r>
          </w:p>
        </w:tc>
        <w:tc>
          <w:tcPr>
            <w:tcW w:w="91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339.7</w:t>
            </w:r>
          </w:p>
        </w:tc>
        <w:tc>
          <w:tcPr>
            <w:tcW w:w="1074"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J55</w:t>
            </w:r>
          </w:p>
        </w:tc>
        <w:tc>
          <w:tcPr>
            <w:tcW w:w="696"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9.65</w:t>
            </w:r>
          </w:p>
        </w:tc>
        <w:tc>
          <w:tcPr>
            <w:tcW w:w="786"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320.4</w:t>
            </w:r>
          </w:p>
        </w:tc>
        <w:tc>
          <w:tcPr>
            <w:tcW w:w="817"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18.8</w:t>
            </w:r>
          </w:p>
        </w:tc>
        <w:tc>
          <w:tcPr>
            <w:tcW w:w="1112"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5.0</w:t>
            </w:r>
          </w:p>
        </w:tc>
        <w:tc>
          <w:tcPr>
            <w:tcW w:w="1029"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207.39</w:t>
            </w:r>
          </w:p>
        </w:tc>
        <w:tc>
          <w:tcPr>
            <w:tcW w:w="865"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13" w:hRule="atLeast"/>
          <w:jc w:val="center"/>
        </w:trPr>
        <w:tc>
          <w:tcPr>
            <w:tcW w:w="1322"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油层套管</w:t>
            </w:r>
          </w:p>
        </w:tc>
        <w:tc>
          <w:tcPr>
            <w:tcW w:w="91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177.8</w:t>
            </w:r>
          </w:p>
        </w:tc>
        <w:tc>
          <w:tcPr>
            <w:tcW w:w="1074"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TP110H</w:t>
            </w:r>
          </w:p>
        </w:tc>
        <w:tc>
          <w:tcPr>
            <w:tcW w:w="696"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9.19</w:t>
            </w:r>
          </w:p>
        </w:tc>
        <w:tc>
          <w:tcPr>
            <w:tcW w:w="786"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159.42</w:t>
            </w:r>
          </w:p>
        </w:tc>
        <w:tc>
          <w:tcPr>
            <w:tcW w:w="817"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68.6</w:t>
            </w:r>
          </w:p>
        </w:tc>
        <w:tc>
          <w:tcPr>
            <w:tcW w:w="1112"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4.71</w:t>
            </w:r>
          </w:p>
        </w:tc>
        <w:tc>
          <w:tcPr>
            <w:tcW w:w="1029"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1232.5</w:t>
            </w:r>
          </w:p>
        </w:tc>
        <w:tc>
          <w:tcPr>
            <w:tcW w:w="865"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5.02</w:t>
            </w:r>
          </w:p>
        </w:tc>
      </w:tr>
    </w:tbl>
    <w:p>
      <w:pPr>
        <w:keepNext w:val="0"/>
        <w:keepLines w:val="0"/>
        <w:pageBreakBefore w:val="0"/>
        <w:widowControl/>
        <w:kinsoku/>
        <w:wordWrap/>
        <w:overflowPunct/>
        <w:topLinePunct w:val="0"/>
        <w:autoSpaceDE/>
        <w:autoSpaceDN/>
        <w:bidi w:val="0"/>
        <w:adjustRightInd w:val="0"/>
        <w:snapToGrid w:val="0"/>
        <w:spacing w:before="157" w:beforeLines="50" w:after="0" w:line="240" w:lineRule="auto"/>
        <w:jc w:val="center"/>
        <w:textAlignment w:val="auto"/>
        <w:outlineLvl w:val="9"/>
        <w:rPr>
          <w:rFonts w:hint="default" w:ascii="Times New Roman" w:hAnsi="Times New Roman" w:eastAsia="宋体" w:cs="Times New Roman"/>
          <w:b/>
          <w:kern w:val="2"/>
          <w:sz w:val="21"/>
          <w:szCs w:val="21"/>
          <w:lang w:val="en-US" w:eastAsia="zh-CN" w:bidi="ar-SA"/>
        </w:rPr>
      </w:pPr>
      <w:r>
        <w:rPr>
          <w:rFonts w:hint="eastAsia" w:ascii="Times New Roman" w:hAnsi="Times New Roman" w:eastAsia="宋体" w:cs="Times New Roman"/>
          <w:b/>
          <w:kern w:val="2"/>
          <w:sz w:val="21"/>
          <w:szCs w:val="21"/>
          <w:lang w:val="en-US" w:eastAsia="zh-CN" w:bidi="ar-SA"/>
        </w:rPr>
        <w:t>表5-</w:t>
      </w:r>
      <w:r>
        <w:rPr>
          <w:rFonts w:hint="eastAsia" w:cs="Times New Roman"/>
          <w:b/>
          <w:kern w:val="2"/>
          <w:sz w:val="21"/>
          <w:szCs w:val="21"/>
          <w:lang w:val="en-US" w:eastAsia="zh-CN" w:bidi="ar-SA"/>
        </w:rPr>
        <w:t>5</w:t>
      </w:r>
      <w:r>
        <w:rPr>
          <w:rFonts w:hint="eastAsia" w:ascii="Times New Roman" w:hAnsi="Times New Roman" w:eastAsia="宋体" w:cs="Times New Roman"/>
          <w:b/>
          <w:kern w:val="2"/>
          <w:sz w:val="21"/>
          <w:szCs w:val="21"/>
          <w:lang w:val="en-US" w:eastAsia="zh-CN" w:bidi="ar-SA"/>
        </w:rPr>
        <w:t xml:space="preserve">  井控设备配置</w:t>
      </w:r>
      <w:r>
        <w:rPr>
          <w:rFonts w:hint="eastAsia" w:ascii="Times New Roman" w:hAnsi="Times New Roman" w:cs="Times New Roman"/>
          <w:b/>
          <w:kern w:val="2"/>
          <w:sz w:val="21"/>
          <w:szCs w:val="21"/>
          <w:lang w:val="en-US" w:eastAsia="zh-CN" w:bidi="ar-SA"/>
        </w:rPr>
        <w:t>情况</w:t>
      </w:r>
    </w:p>
    <w:tbl>
      <w:tblPr>
        <w:tblStyle w:val="281"/>
        <w:tblW w:w="854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1193"/>
        <w:gridCol w:w="734"/>
        <w:gridCol w:w="638"/>
        <w:gridCol w:w="47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20" w:hRule="atLeast"/>
          <w:tblHeader/>
          <w:jc w:val="center"/>
        </w:trPr>
        <w:tc>
          <w:tcPr>
            <w:tcW w:w="1272" w:type="dxa"/>
            <w:tcBorders>
              <w:tl2br w:val="nil"/>
              <w:tr2bl w:val="nil"/>
            </w:tcBorders>
            <w:noWrap w:val="0"/>
            <w:tcMar>
              <w:top w:w="10" w:type="dxa"/>
              <w:left w:w="11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设备类型</w:t>
            </w:r>
          </w:p>
        </w:tc>
        <w:tc>
          <w:tcPr>
            <w:tcW w:w="1193"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设备型号</w:t>
            </w:r>
          </w:p>
        </w:tc>
        <w:tc>
          <w:tcPr>
            <w:tcW w:w="734"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单位</w:t>
            </w:r>
          </w:p>
        </w:tc>
        <w:tc>
          <w:tcPr>
            <w:tcW w:w="638"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数量</w:t>
            </w:r>
          </w:p>
        </w:tc>
        <w:tc>
          <w:tcPr>
            <w:tcW w:w="4705"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现场试压要求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272"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作业手动双闸板防喷器</w:t>
            </w:r>
          </w:p>
        </w:tc>
        <w:tc>
          <w:tcPr>
            <w:tcW w:w="1193"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2SFZ18-35</w:t>
            </w:r>
          </w:p>
        </w:tc>
        <w:tc>
          <w:tcPr>
            <w:tcW w:w="734"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套</w:t>
            </w:r>
          </w:p>
        </w:tc>
        <w:tc>
          <w:tcPr>
            <w:tcW w:w="638"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1</w:t>
            </w:r>
          </w:p>
        </w:tc>
        <w:tc>
          <w:tcPr>
            <w:tcW w:w="4705"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left"/>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根据井口、防喷器的额定工作压力确定试压压力21MPa，稳压15min，压降不超过0.7MPa为合格。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272"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油管旋塞阀</w:t>
            </w:r>
          </w:p>
        </w:tc>
        <w:tc>
          <w:tcPr>
            <w:tcW w:w="1193"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XSF-35</w:t>
            </w:r>
          </w:p>
        </w:tc>
        <w:tc>
          <w:tcPr>
            <w:tcW w:w="734"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个</w:t>
            </w:r>
          </w:p>
        </w:tc>
        <w:tc>
          <w:tcPr>
            <w:tcW w:w="638"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2</w:t>
            </w:r>
          </w:p>
        </w:tc>
        <w:tc>
          <w:tcPr>
            <w:tcW w:w="4705"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left"/>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根据井口、防喷器的额定工作压力确定试压压力21MPa，稳压15min，压降不超过0.7MPa为合格。</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before="157" w:beforeLines="50" w:after="0" w:line="360" w:lineRule="auto"/>
        <w:ind w:leftChars="200"/>
        <w:jc w:val="left"/>
        <w:textAlignment w:val="auto"/>
        <w:rPr>
          <w:rFonts w:hint="default" w:ascii="Times New Roman" w:hAnsi="Times New Roman" w:eastAsia="宋体" w:cs="Times New Roman"/>
          <w:kern w:val="2"/>
          <w:sz w:val="28"/>
          <w:szCs w:val="28"/>
          <w:lang w:val="en-US" w:eastAsia="zh-CN" w:bidi="ar-SA"/>
        </w:rPr>
      </w:pPr>
      <w:r>
        <w:rPr>
          <w:rFonts w:hint="eastAsia" w:ascii="Times New Roman" w:hAnsi="Times New Roman" w:cs="Times New Roman"/>
          <w:kern w:val="2"/>
          <w:sz w:val="28"/>
          <w:szCs w:val="28"/>
          <w:lang w:val="en-US" w:eastAsia="zh-CN" w:bidi="ar-SA"/>
        </w:rPr>
        <w:t>下井工具：</w:t>
      </w:r>
    </w:p>
    <w:p>
      <w:pPr>
        <w:widowControl/>
        <w:numPr>
          <w:ilvl w:val="0"/>
          <w:numId w:val="0"/>
        </w:numPr>
        <w:adjustRightInd w:val="0"/>
        <w:snapToGrid w:val="0"/>
        <w:spacing w:after="0" w:line="360" w:lineRule="auto"/>
        <w:ind w:leftChars="200"/>
        <w:jc w:val="center"/>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drawing>
          <wp:inline distT="0" distB="0" distL="0" distR="0">
            <wp:extent cx="3657600" cy="3569335"/>
            <wp:effectExtent l="0" t="0" r="0" b="1206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31" cstate="print"/>
                    <a:srcRect/>
                    <a:stretch>
                      <a:fillRect/>
                    </a:stretch>
                  </pic:blipFill>
                  <pic:spPr>
                    <a:xfrm>
                      <a:off x="0" y="0"/>
                      <a:ext cx="3657600" cy="3569335"/>
                    </a:xfrm>
                    <a:prstGeom prst="rect">
                      <a:avLst/>
                    </a:prstGeom>
                    <a:noFill/>
                    <a:ln w="9525">
                      <a:noFill/>
                      <a:miter lim="800000"/>
                      <a:headEnd/>
                      <a:tailEnd/>
                    </a:ln>
                  </pic:spPr>
                </pic:pic>
              </a:graphicData>
            </a:graphic>
          </wp:inline>
        </w:drawing>
      </w:r>
    </w:p>
    <w:p>
      <w:pPr>
        <w:widowControl/>
        <w:adjustRightInd w:val="0"/>
        <w:snapToGrid w:val="0"/>
        <w:spacing w:after="0" w:line="360" w:lineRule="auto"/>
        <w:ind w:firstLine="420" w:firstLineChars="200"/>
        <w:jc w:val="center"/>
        <w:rPr>
          <w:rFonts w:hint="eastAsia" w:ascii="Times New Roman" w:hAnsi="Times New Roman" w:eastAsia="宋体" w:cs="Times New Roman"/>
          <w:kern w:val="2"/>
          <w:sz w:val="28"/>
          <w:szCs w:val="28"/>
          <w:lang w:val="en-US" w:eastAsia="zh-CN" w:bidi="ar-SA"/>
        </w:rPr>
      </w:pPr>
      <w:r>
        <w:rPr>
          <w:rFonts w:hint="eastAsia"/>
          <w:b/>
        </w:rPr>
        <w:t>图5-</w:t>
      </w:r>
      <w:r>
        <w:rPr>
          <w:rFonts w:hint="eastAsia"/>
          <w:b/>
          <w:lang w:val="en-US" w:eastAsia="zh-CN"/>
        </w:rPr>
        <w:t xml:space="preserve">5  </w:t>
      </w:r>
      <w:r>
        <w:rPr>
          <w:rFonts w:hint="eastAsia" w:ascii="Times New Roman" w:eastAsia="宋体"/>
          <w:b/>
          <w:lang w:val="en-US" w:eastAsia="zh-CN"/>
        </w:rPr>
        <w:t>乐安油田草4-3-斜326</w:t>
      </w:r>
      <w:r>
        <w:rPr>
          <w:rFonts w:hint="eastAsia" w:ascii="Times New Roman" w:hAnsi="Times New Roman" w:eastAsia="宋体" w:cs="Times New Roman"/>
          <w:b/>
          <w:kern w:val="2"/>
          <w:sz w:val="21"/>
          <w:szCs w:val="24"/>
          <w:lang w:val="en-US" w:eastAsia="zh-CN" w:bidi="ar-SA"/>
        </w:rPr>
        <w:t>管柱图</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4）设备设施及现场施工情况</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eastAsia" w:ascii="Times New Roman" w:hAnsi="Times New Roman" w:cs="Times New Roman"/>
          <w:kern w:val="2"/>
          <w:sz w:val="28"/>
          <w:szCs w:val="24"/>
          <w:lang w:val="en-US" w:eastAsia="zh-CN" w:bidi="ar-SA"/>
        </w:rPr>
      </w:pPr>
      <w:r>
        <w:rPr>
          <w:rFonts w:hint="default" w:ascii="Times New Roman" w:hAnsi="Times New Roman" w:eastAsia="宋体" w:cs="Times New Roman"/>
          <w:kern w:val="2"/>
          <w:sz w:val="28"/>
          <w:szCs w:val="24"/>
          <w:lang w:val="en-US" w:eastAsia="zh-CN" w:bidi="ar-SA"/>
        </w:rPr>
        <w:t>乐安油田草4-3-斜326井小修、</w:t>
      </w:r>
      <w:r>
        <w:rPr>
          <w:rFonts w:hint="eastAsia" w:cs="Times New Roman"/>
          <w:kern w:val="2"/>
          <w:sz w:val="28"/>
          <w:szCs w:val="24"/>
          <w:lang w:val="en-US" w:eastAsia="zh-CN" w:bidi="ar-SA"/>
        </w:rPr>
        <w:t>堵水/调剖</w:t>
      </w:r>
      <w:r>
        <w:rPr>
          <w:rFonts w:hint="default" w:ascii="Times New Roman" w:hAnsi="Times New Roman" w:eastAsia="宋体" w:cs="Times New Roman"/>
          <w:kern w:val="2"/>
          <w:sz w:val="28"/>
          <w:szCs w:val="24"/>
          <w:lang w:val="en-US" w:eastAsia="zh-CN" w:bidi="ar-SA"/>
        </w:rPr>
        <w:t>、现场试压作业</w:t>
      </w:r>
      <w:r>
        <w:rPr>
          <w:rFonts w:hint="eastAsia" w:ascii="Times New Roman" w:hAnsi="Times New Roman" w:cs="Times New Roman"/>
          <w:kern w:val="2"/>
          <w:sz w:val="28"/>
          <w:szCs w:val="24"/>
          <w:lang w:val="en-US" w:eastAsia="zh-CN" w:bidi="ar-SA"/>
        </w:rPr>
        <w:t>主要设备如下表：</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eastAsia" w:ascii="Times New Roman" w:hAnsi="Times New Roman" w:cs="Times New Roman"/>
          <w:kern w:val="2"/>
          <w:sz w:val="28"/>
          <w:szCs w:val="24"/>
          <w:lang w:val="en-US" w:eastAsia="zh-CN" w:bidi="ar-SA"/>
        </w:rPr>
        <w:sectPr>
          <w:footerReference r:id="rId1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widowControl/>
        <w:adjustRightInd w:val="0"/>
        <w:snapToGrid w:val="0"/>
        <w:spacing w:after="0" w:line="360" w:lineRule="auto"/>
        <w:ind w:firstLine="560" w:firstLineChars="200"/>
        <w:jc w:val="left"/>
        <w:rPr>
          <w:rFonts w:hint="default"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设备设施及现场</w:t>
      </w:r>
      <w:r>
        <w:rPr>
          <w:rFonts w:hint="default" w:ascii="Times New Roman" w:hAnsi="Times New Roman" w:eastAsia="宋体" w:cs="Times New Roman"/>
          <w:kern w:val="2"/>
          <w:sz w:val="28"/>
          <w:szCs w:val="28"/>
          <w:lang w:val="en-US" w:eastAsia="zh-CN" w:bidi="ar-SA"/>
        </w:rPr>
        <w:t>情况见图5-</w:t>
      </w:r>
      <w:r>
        <w:rPr>
          <w:rFonts w:hint="eastAsia" w:cs="Times New Roman"/>
          <w:kern w:val="2"/>
          <w:sz w:val="28"/>
          <w:szCs w:val="28"/>
          <w:lang w:val="en-US" w:eastAsia="zh-CN" w:bidi="ar-SA"/>
        </w:rPr>
        <w:t>6</w:t>
      </w:r>
      <w:r>
        <w:rPr>
          <w:rFonts w:hint="default" w:ascii="Times New Roman" w:hAnsi="Times New Roman" w:eastAsia="宋体" w:cs="Times New Roman"/>
          <w:kern w:val="2"/>
          <w:sz w:val="28"/>
          <w:szCs w:val="28"/>
          <w:lang w:val="en-US" w:eastAsia="zh-CN" w:bidi="ar-SA"/>
        </w:rPr>
        <w:t>。</w:t>
      </w:r>
    </w:p>
    <w:p>
      <w:pPr>
        <w:pStyle w:val="51"/>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lang w:val="en-US" w:eastAsia="zh-CN"/>
        </w:rPr>
      </w:pPr>
      <w:r>
        <w:drawing>
          <wp:inline distT="0" distB="0" distL="114300" distR="114300">
            <wp:extent cx="4886325" cy="3624580"/>
            <wp:effectExtent l="0" t="0" r="9525" b="13970"/>
            <wp:docPr id="2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
                    <pic:cNvPicPr>
                      <a:picLocks noChangeAspect="1"/>
                    </pic:cNvPicPr>
                  </pic:nvPicPr>
                  <pic:blipFill>
                    <a:blip r:embed="rId32"/>
                    <a:stretch>
                      <a:fillRect/>
                    </a:stretch>
                  </pic:blipFill>
                  <pic:spPr>
                    <a:xfrm>
                      <a:off x="0" y="0"/>
                      <a:ext cx="4886325" cy="3624580"/>
                    </a:xfrm>
                    <a:prstGeom prst="rect">
                      <a:avLst/>
                    </a:prstGeom>
                    <a:noFill/>
                    <a:ln>
                      <a:noFill/>
                    </a:ln>
                  </pic:spPr>
                </pic:pic>
              </a:graphicData>
            </a:graphic>
          </wp:inline>
        </w:drawing>
      </w:r>
    </w:p>
    <w:p>
      <w:pPr>
        <w:bidi w:val="0"/>
        <w:jc w:val="center"/>
        <w:rPr>
          <w:rFonts w:hint="default" w:ascii="Times New Roman" w:hAnsi="Times New Roman" w:cs="Times New Roman"/>
          <w:b/>
          <w:bCs/>
          <w:sz w:val="21"/>
          <w:szCs w:val="21"/>
          <w:lang w:val="en-US" w:eastAsia="zh-CN"/>
        </w:rPr>
      </w:pPr>
      <w:r>
        <w:drawing>
          <wp:inline distT="0" distB="0" distL="114300" distR="114300">
            <wp:extent cx="4863465" cy="3307080"/>
            <wp:effectExtent l="0" t="0" r="13335" b="7620"/>
            <wp:docPr id="2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1"/>
                    <pic:cNvPicPr>
                      <a:picLocks noChangeAspect="1"/>
                    </pic:cNvPicPr>
                  </pic:nvPicPr>
                  <pic:blipFill>
                    <a:blip r:embed="rId33"/>
                    <a:stretch>
                      <a:fillRect/>
                    </a:stretch>
                  </pic:blipFill>
                  <pic:spPr>
                    <a:xfrm>
                      <a:off x="0" y="0"/>
                      <a:ext cx="4863465" cy="3307080"/>
                    </a:xfrm>
                    <a:prstGeom prst="rect">
                      <a:avLst/>
                    </a:prstGeom>
                    <a:noFill/>
                    <a:ln>
                      <a:noFill/>
                    </a:ln>
                  </pic:spPr>
                </pic:pic>
              </a:graphicData>
            </a:graphic>
          </wp:inline>
        </w:drawing>
      </w:r>
    </w:p>
    <w:p>
      <w:pPr>
        <w:bidi w:val="0"/>
        <w:jc w:val="center"/>
        <w:rPr>
          <w:rFonts w:hint="eastAsia" w:eastAsia="宋体"/>
          <w:lang w:eastAsia="zh-CN"/>
        </w:rPr>
      </w:pPr>
      <w:r>
        <w:rPr>
          <w:rFonts w:hint="default" w:ascii="Times New Roman" w:hAnsi="Times New Roman" w:cs="Times New Roman"/>
          <w:b/>
          <w:bCs/>
          <w:sz w:val="21"/>
          <w:szCs w:val="21"/>
          <w:lang w:val="en-US" w:eastAsia="zh-CN"/>
        </w:rPr>
        <w:t>图5-</w:t>
      </w:r>
      <w:r>
        <w:rPr>
          <w:rFonts w:hint="eastAsia" w:cs="Times New Roman"/>
          <w:b/>
          <w:bCs/>
          <w:sz w:val="21"/>
          <w:szCs w:val="21"/>
          <w:lang w:val="en-US" w:eastAsia="zh-CN"/>
        </w:rPr>
        <w:t xml:space="preserve">6  </w:t>
      </w:r>
      <w:r>
        <w:rPr>
          <w:rFonts w:hint="default" w:ascii="Times New Roman" w:hAnsi="Times New Roman" w:cs="Times New Roman"/>
          <w:b/>
          <w:bCs/>
          <w:sz w:val="21"/>
          <w:szCs w:val="21"/>
          <w:lang w:val="en-US" w:eastAsia="zh-CN"/>
        </w:rPr>
        <w:t>设备设施及现场情况</w:t>
      </w:r>
      <w:r>
        <w:rPr>
          <w:rFonts w:hint="eastAsia" w:cs="Times New Roman"/>
          <w:b/>
          <w:bCs/>
          <w:sz w:val="21"/>
          <w:szCs w:val="21"/>
          <w:lang w:val="en-US" w:eastAsia="zh-CN"/>
        </w:rPr>
        <w:t>图</w:t>
      </w:r>
    </w:p>
    <w:p>
      <w:pPr>
        <w:widowControl/>
        <w:adjustRightInd w:val="0"/>
        <w:snapToGrid w:val="0"/>
        <w:spacing w:after="0" w:line="360" w:lineRule="auto"/>
        <w:ind w:firstLine="560" w:firstLineChars="200"/>
        <w:jc w:val="left"/>
        <w:rPr>
          <w:rFonts w:hint="eastAsia" w:ascii="Times New Roman" w:hAnsi="Times New Roman" w:eastAsia="宋体" w:cs="Times New Roman"/>
          <w:b/>
          <w:bCs w:val="0"/>
          <w:kern w:val="2"/>
          <w:sz w:val="28"/>
          <w:szCs w:val="28"/>
          <w:lang w:val="en-US" w:eastAsia="zh-CN" w:bidi="ar-SA"/>
        </w:rPr>
      </w:pPr>
      <w:r>
        <w:rPr>
          <w:rFonts w:hint="eastAsia" w:ascii="Times New Roman" w:hAnsi="Times New Roman" w:eastAsia="宋体" w:cs="Times New Roman"/>
          <w:b/>
          <w:bCs w:val="0"/>
          <w:kern w:val="2"/>
          <w:sz w:val="28"/>
          <w:szCs w:val="28"/>
          <w:lang w:val="en-US" w:eastAsia="zh-CN" w:bidi="ar-SA"/>
        </w:rPr>
        <w:t>2</w:t>
      </w:r>
      <w:r>
        <w:rPr>
          <w:rFonts w:ascii="Times New Roman" w:hAnsi="Times New Roman" w:eastAsia="宋体" w:cs="Times New Roman"/>
          <w:b/>
          <w:bCs w:val="0"/>
          <w:kern w:val="2"/>
          <w:sz w:val="28"/>
          <w:szCs w:val="28"/>
          <w:lang w:val="en-US" w:eastAsia="zh-CN" w:bidi="ar-SA"/>
        </w:rPr>
        <w:t>.</w:t>
      </w:r>
      <w:r>
        <w:rPr>
          <w:rFonts w:hint="eastAsia" w:ascii="Times New Roman" w:hAnsi="Times New Roman" w:eastAsia="宋体" w:cs="Times New Roman"/>
          <w:b/>
          <w:bCs w:val="0"/>
          <w:kern w:val="2"/>
          <w:sz w:val="28"/>
          <w:szCs w:val="28"/>
          <w:lang w:val="en-US" w:eastAsia="zh-CN" w:bidi="ar-SA"/>
        </w:rPr>
        <w:t>安全检查表评价</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sz w:val="28"/>
        </w:rPr>
        <w:t>本节</w:t>
      </w:r>
      <w:r>
        <w:rPr>
          <w:sz w:val="28"/>
        </w:rPr>
        <w:t>根据</w:t>
      </w:r>
      <w:r>
        <w:rPr>
          <w:rFonts w:hint="eastAsia"/>
          <w:sz w:val="28"/>
        </w:rPr>
        <w:t>《石油天然气钻井、开发、储运防火防爆安全生产技术规程》（SY</w:t>
      </w:r>
      <w:r>
        <w:rPr>
          <w:rFonts w:hint="eastAsia" w:ascii="Times New Roman" w:eastAsia="宋体"/>
          <w:sz w:val="28"/>
          <w:lang w:val="en-US" w:eastAsia="zh-CN"/>
        </w:rPr>
        <w:t>/T</w:t>
      </w:r>
      <w:r>
        <w:rPr>
          <w:rFonts w:hint="eastAsia"/>
          <w:sz w:val="28"/>
        </w:rPr>
        <w:t>5225-201</w:t>
      </w:r>
      <w:r>
        <w:rPr>
          <w:rFonts w:hint="eastAsia" w:ascii="Times New Roman" w:eastAsia="宋体"/>
          <w:sz w:val="28"/>
          <w:lang w:val="en-US" w:eastAsia="zh-CN"/>
        </w:rPr>
        <w:t>9</w:t>
      </w:r>
      <w:r>
        <w:rPr>
          <w:rFonts w:hint="eastAsia"/>
          <w:sz w:val="28"/>
        </w:rPr>
        <w:t>）、《井下作业安全规程》（SY</w:t>
      </w:r>
      <w:r>
        <w:rPr>
          <w:rFonts w:hint="eastAsia" w:ascii="Times New Roman" w:eastAsia="宋体"/>
          <w:sz w:val="28"/>
          <w:lang w:val="en-US" w:eastAsia="zh-CN"/>
        </w:rPr>
        <w:t>/T</w:t>
      </w:r>
      <w:r>
        <w:rPr>
          <w:rFonts w:hint="eastAsia"/>
          <w:sz w:val="28"/>
        </w:rPr>
        <w:t>5727-20</w:t>
      </w:r>
      <w:r>
        <w:rPr>
          <w:rFonts w:hint="eastAsia" w:ascii="Times New Roman" w:eastAsia="宋体"/>
          <w:sz w:val="28"/>
          <w:lang w:val="en-US" w:eastAsia="zh-CN"/>
        </w:rPr>
        <w:t>20</w:t>
      </w:r>
      <w:r>
        <w:rPr>
          <w:rFonts w:hint="eastAsia"/>
          <w:sz w:val="28"/>
        </w:rPr>
        <w:t>）、《井下作业井控技术规程》（SY/T6690-2016）等标准</w:t>
      </w:r>
      <w:r>
        <w:rPr>
          <w:sz w:val="28"/>
        </w:rPr>
        <w:t>，</w:t>
      </w:r>
      <w:r>
        <w:rPr>
          <w:rFonts w:hint="eastAsia"/>
          <w:sz w:val="28"/>
        </w:rPr>
        <w:t>对本项目生产单元进行安全评价</w:t>
      </w:r>
      <w:r>
        <w:rPr>
          <w:sz w:val="28"/>
        </w:rPr>
        <w:t>，</w:t>
      </w:r>
      <w:r>
        <w:rPr>
          <w:rFonts w:hint="eastAsia"/>
          <w:sz w:val="28"/>
        </w:rPr>
        <w:t>具体</w:t>
      </w:r>
      <w:r>
        <w:rPr>
          <w:sz w:val="28"/>
        </w:rPr>
        <w:t>评价</w:t>
      </w:r>
      <w:r>
        <w:rPr>
          <w:rFonts w:hint="eastAsia"/>
          <w:sz w:val="28"/>
        </w:rPr>
        <w:t>过程</w:t>
      </w:r>
      <w:r>
        <w:rPr>
          <w:sz w:val="28"/>
        </w:rPr>
        <w:t>见</w:t>
      </w:r>
      <w:r>
        <w:rPr>
          <w:rFonts w:hint="eastAsia"/>
          <w:sz w:val="28"/>
        </w:rPr>
        <w:t>表</w:t>
      </w:r>
      <w:r>
        <w:rPr>
          <w:rFonts w:hint="eastAsia" w:eastAsia="宋体"/>
          <w:sz w:val="28"/>
          <w:lang w:eastAsia="zh-CN"/>
        </w:rPr>
        <w:t>。</w:t>
      </w:r>
    </w:p>
    <w:p>
      <w:pPr>
        <w:pStyle w:val="62"/>
        <w:keepNext w:val="0"/>
        <w:keepLines w:val="0"/>
        <w:pageBreakBefore w:val="0"/>
        <w:widowControl w:val="0"/>
        <w:kinsoku/>
        <w:wordWrap/>
        <w:overflowPunct w:val="0"/>
        <w:topLinePunct/>
        <w:autoSpaceDE/>
        <w:autoSpaceDN/>
        <w:bidi w:val="0"/>
        <w:adjustRightInd/>
        <w:snapToGrid/>
        <w:ind w:firstLine="0" w:firstLineChars="0"/>
        <w:jc w:val="center"/>
        <w:textAlignment w:val="auto"/>
        <w:rPr>
          <w:rFonts w:hint="eastAsia"/>
          <w:b/>
          <w:sz w:val="24"/>
          <w:szCs w:val="28"/>
        </w:rPr>
      </w:pPr>
      <w:r>
        <w:rPr>
          <w:rFonts w:hint="eastAsia"/>
          <w:b/>
          <w:sz w:val="21"/>
          <w:szCs w:val="21"/>
        </w:rPr>
        <w:t>表5-</w:t>
      </w:r>
      <w:r>
        <w:rPr>
          <w:rFonts w:hint="eastAsia"/>
          <w:b/>
          <w:sz w:val="21"/>
          <w:szCs w:val="21"/>
          <w:lang w:val="en-US" w:eastAsia="zh-CN"/>
        </w:rPr>
        <w:t>6</w:t>
      </w:r>
      <w:r>
        <w:rPr>
          <w:rFonts w:hint="eastAsia"/>
          <w:b/>
          <w:sz w:val="21"/>
          <w:szCs w:val="21"/>
        </w:rPr>
        <w:t xml:space="preserve">  生产单元安全检查表</w:t>
      </w:r>
    </w:p>
    <w:tbl>
      <w:tblPr>
        <w:tblStyle w:val="52"/>
        <w:tblW w:w="914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95"/>
        <w:gridCol w:w="3167"/>
        <w:gridCol w:w="1648"/>
        <w:gridCol w:w="870"/>
        <w:gridCol w:w="29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495" w:type="dxa"/>
            <w:tcBorders>
              <w:top w:val="single" w:color="auto" w:sz="12" w:space="0"/>
              <w:left w:val="single" w:color="auto" w:sz="12"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3167" w:type="dxa"/>
            <w:tcBorders>
              <w:top w:val="single" w:color="auto" w:sz="12"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检查项目</w:t>
            </w:r>
          </w:p>
        </w:tc>
        <w:tc>
          <w:tcPr>
            <w:tcW w:w="1648" w:type="dxa"/>
            <w:tcBorders>
              <w:top w:val="single" w:color="auto" w:sz="12"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检查依据</w:t>
            </w:r>
          </w:p>
        </w:tc>
        <w:tc>
          <w:tcPr>
            <w:tcW w:w="870" w:type="dxa"/>
            <w:tcBorders>
              <w:top w:val="single" w:color="auto" w:sz="12"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检查结果</w:t>
            </w:r>
          </w:p>
        </w:tc>
        <w:tc>
          <w:tcPr>
            <w:tcW w:w="2967" w:type="dxa"/>
            <w:tcBorders>
              <w:top w:val="single" w:color="auto" w:sz="12"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0"/>
              </w:numPr>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一</w:t>
            </w: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井场平面布置</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值班房、发电房、储油罐应放置于季节风的上风向，且距井口不应小于30m，防喷器远程控制台应面对修井机侧前方25m以外摆放。</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rPr>
              <w:t>3</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eastAsia" w:cs="Times New Roman"/>
                <w:color w:val="auto"/>
                <w:kern w:val="2"/>
                <w:sz w:val="21"/>
                <w:szCs w:val="21"/>
                <w:lang w:val="en-US" w:eastAsia="zh-CN" w:bidi="ar-SA"/>
              </w:rPr>
              <w:t>经现场测量，</w:t>
            </w:r>
            <w:r>
              <w:rPr>
                <w:rFonts w:hint="default" w:ascii="Times New Roman" w:hAnsi="Times New Roman" w:eastAsia="宋体" w:cs="Times New Roman"/>
                <w:color w:val="auto"/>
                <w:sz w:val="21"/>
                <w:szCs w:val="21"/>
              </w:rPr>
              <w:t>值班房与井口距离大于33</w:t>
            </w:r>
            <w:r>
              <w:rPr>
                <w:rFonts w:hint="eastAsia"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放喷管线及测试流程出口应接至距井口不小于30m以外的安全地带，高压油气井或高含硫化氢等有毒有害气体的井，管线应接至距井口不小于75m以远的安全地带。</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SY/T6690-20165.1.3.6</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eastAsia" w:cs="Times New Roman"/>
                <w:color w:val="auto"/>
                <w:kern w:val="2"/>
                <w:sz w:val="21"/>
                <w:szCs w:val="21"/>
                <w:lang w:val="en-US" w:eastAsia="zh-CN" w:bidi="ar-SA"/>
              </w:rPr>
              <w:t>经现场测量，</w:t>
            </w:r>
            <w:r>
              <w:rPr>
                <w:rFonts w:hint="default" w:ascii="Times New Roman" w:hAnsi="Times New Roman" w:eastAsia="宋体" w:cs="Times New Roman"/>
                <w:color w:val="auto"/>
                <w:sz w:val="21"/>
                <w:szCs w:val="21"/>
              </w:rPr>
              <w:t>井场受限，放喷管线出口距井口15</w:t>
            </w:r>
            <w:r>
              <w:rPr>
                <w:rFonts w:hint="eastAsia"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放喷管线及测试流程管线每隔10m~15m、转弯处用地锚或地脚螺栓水泥基墩(长、宽、高分别为0.8m，0.6m，0. 8m)或预制基墩固定牢靠；水泥基墩预埋地脚螺栓直径不小于20mm，埋深不小于0.5m，固定压板圆弧应与放喷管线管径匹配，加装缓冲减震垫；跨越河沟、水塘等障碍宽度大于10m以上时应架桥支撑牢固：高压井、高产气井放喷管线出口处用双地锚(基墩)固定。</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SY/T6690-20165.1.3.7</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spacing w:before="0" w:beforeLines="0" w:beforeAutospacing="0" w:after="0" w:afterLines="0" w:afterAutospacing="0"/>
              <w:ind w:left="0" w:right="0"/>
              <w:rPr>
                <w:rFonts w:hint="eastAsia" w:ascii="Times New Roman" w:hAnsi="Times New Roman" w:eastAsia="宋体" w:cs="Times New Roman"/>
                <w:color w:val="auto"/>
                <w:sz w:val="21"/>
                <w:szCs w:val="24"/>
              </w:rPr>
            </w:pPr>
            <w:r>
              <w:rPr>
                <w:rFonts w:hint="default" w:ascii="Times New Roman" w:hAnsi="Times New Roman" w:eastAsia="宋体" w:cs="Times New Roman"/>
                <w:color w:val="auto"/>
                <w:sz w:val="21"/>
                <w:szCs w:val="21"/>
              </w:rPr>
              <w:t>放喷管线每隔大约12m用水泥基墩预固定牢靠。</w:t>
            </w:r>
          </w:p>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0"/>
              </w:numPr>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二</w:t>
            </w: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设备、设施</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安全设备的设计、制造、安装、使用、检测、维修、改造和报废，应当符合国家标准或者行业标准。</w:t>
            </w:r>
          </w:p>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生产经营单位必须对安全设备进行经常性维护、保养，并定期检测，保证正常运转。维护、保养、检测应当作好记录，并由有关人员签字。</w:t>
            </w:r>
          </w:p>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生产经营单位不得关闭、破坏直接关系生产安全的监控、报警、防护、救生设备、设施，或者篡改、隐瞒、销毁其相关数据、信息。</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《安全生产法》第三十六条</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4"/>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0"/>
              </w:rPr>
            </w:pPr>
            <w:r>
              <w:rPr>
                <w:rFonts w:hint="default" w:ascii="Times New Roman" w:hAnsi="Times New Roman" w:eastAsia="宋体" w:cs="Times New Roman"/>
                <w:color w:val="auto"/>
                <w:sz w:val="21"/>
                <w:szCs w:val="20"/>
              </w:rPr>
              <w:t>定期检查，由检查人签字；并定期由第三方机构检测。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井控装置（除自封或环形封井器外）、变径法兰、高压防喷管的压力等级：应大于生产时预计的最高关井井口压力，或大于油气层最高地层压力，按试压规定试压合格。井控装置的安装、试压、使用和管理按 SY/T 6690 的规定执行。</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4.2.3</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现场查看《井控装置现场试压报告单》防喷器、旋塞阀、压井及节流管汇试压结论为合格。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井口装置及其他设备应不漏油、不漏气、不漏电。当发生漏油、漏电时，应采取如下措施：</w:t>
            </w:r>
          </w:p>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——井口装置一旦泄漏油、气、水时，应先放压，后整改；若不能放压或不能完全放压需要卸掉井口整改时，应无压井，后整改。 </w:t>
            </w:r>
          </w:p>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一一地面设备发生泄漏动力油时，应采取措施予以整改；严重漏油时，应停机整改。 </w:t>
            </w:r>
          </w:p>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——地面油气管线、流程装置发生泄漏油、气时，应关闭泄漏流程的上、下游闸门，对泄漏部位整改。 </w:t>
            </w:r>
          </w:p>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——发现地面设备漏电，应断开电源开关。</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4.3.2</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井口装置及其他设备无漏油，漏电。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压井管线、出口管线应是钢质管线，各段的压力等级、防腐能力应符合设计要求，满足油气井施工需要；进、出口管线应固定牢固，按相应等级的压力设计分段试压合格。</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4.3.4</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出口管线等为钢质管线，压力经试压检测合格。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放喷管线应是钢质管线，各段的压力等级、防硫化氢腐蚀能力应符合设计要求，满足油气井放喷需要，管线固定牢固按相应等级的压力设计分段试压合格。</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4.3.8</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放喷管线为钢质管线，压力经试压检测合格。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所有设备应按设备操作规程进行安装，做到“平、稳、正、全、牢”。</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rPr>
              <w:t>.1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设备安装平稳。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设备部件、附件、安全装置、护罩等应齐全、完好，不得缺损、变形，且固定牢靠。</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rPr>
              <w:t>2</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设备部件、附件、安全装置、护罩齐全，无缺损变形。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设备运转部位转动灵活，各种阀件应灵活可靠、安全保险；设备油水应符合要求，保证油、气、水路通畅，不渗不漏。</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rPr>
              <w:t>3</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设备运转部位转动灵活，各种阀件应灵活可靠。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所有紧固件、连接件应紧固可靠，销子应有锁紧保险装置；紧固件螺纹外露部分要涂抹润滑脂。</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rPr>
              <w:t>4</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紧固件、连接件紧固可靠。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井架不应有变形等缺损，定期检测应符合SY/T6326中的规定。</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3.4.1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现场检查设备台账，井架定期检测，无变形缺损。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应使用直径不小15.5mm的钢丝绳，绷绳无打结、断股。</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7.2</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钢丝绳直</w:t>
            </w:r>
            <w:r>
              <w:rPr>
                <w:rFonts w:hint="default" w:ascii="Times New Roman" w:hAnsi="Times New Roman" w:cs="Times New Roman"/>
                <w:color w:val="auto"/>
                <w:sz w:val="21"/>
                <w:szCs w:val="21"/>
              </w:rPr>
              <w:t>径不小15.5mm</w:t>
            </w:r>
            <w:r>
              <w:rPr>
                <w:rFonts w:hint="eastAsia" w:cs="Times New Roman"/>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井架绷绳若出现以下任何一种情况不应继续使用：</w:t>
            </w:r>
          </w:p>
          <w:p>
            <w:pPr>
              <w:keepNext w:val="0"/>
              <w:keepLines w:val="0"/>
              <w:numPr>
                <w:ilvl w:val="0"/>
                <w:numId w:val="30"/>
              </w:numPr>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一纽绳中发现随机分布的六根断丝。</w:t>
            </w:r>
          </w:p>
          <w:p>
            <w:pPr>
              <w:keepNext w:val="0"/>
              <w:keepLines w:val="0"/>
              <w:numPr>
                <w:ilvl w:val="0"/>
                <w:numId w:val="30"/>
              </w:numPr>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一纽绳中的一股中发现有三根断丝。</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7.3</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井架绷绳无断丝。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绷绳端的卡固应用不少于3个等径绳卡。</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7.4</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绷绳端设4个卡固。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使用修井机作业时，应根据修井机型号选择满足安全需要的承载绷绳，两端各用4个相应规格的绳卡卡固。</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7.8</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两端各用4个绳卡卡固。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地锚不应打在虚土或水坑等松软地中。</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8.3</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地锚固定牢固。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地锚外露不高于100mm。</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8.4</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地锚外露80mm。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传动、转动部位护栏（罩）齐全牢靠。</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9.1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转动部位护栏齐全牢靠。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修井机作业时，各千斤支座稳固，停放在地基平整坚实处，并锁紧各支腿备帽。额定钩载800kN及以上修井机应使用船型底座。</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9.4</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修井机停放地基平整坚实。</w:t>
            </w:r>
          </w:p>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刹车系统应完好可靠，有专人负责检查保养，带式刹车刹把和液控盘刹驻车制动手柄应配有锁止装置。</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10.1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带式刹车刹把设锁止装置。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气控系统气压低于0.7MPa不得操作绞车进行作业。</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10.2</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气控系统气压0.8Mpa-1Mpa。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刹带无变形、无裂纹，刹带顶丝、顶轮、弹簧齐全完好，间隙合格。刹带片磨损剩余厚度不应超过刹车片固定螺栓上平面，固定螺栓齐全紧固。</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10.4</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刹带无变形、裂纹。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使用修井机作业时，死绳固定器应可靠有效。</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3.11.4</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死绳固定器可靠有效。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指重表（拉力表）应定期校验，确保灵敏、准确，表面清洁。</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3.11.6</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拉力表定期校验。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大钩弹簧、保险(锁)销应完好，转动灵活，耳环螺栓应紧固。</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3.12.2</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大钩弹簧、保险(锁)销完好。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压井、替喷、放喷、气举、气化水洗井的施工，流程连接应使用钢质硬管线并用地锚（水泥基墩等）固定，放喷管线转弯处应使用角度不小于120°钢质弯头或90°带抗冲蚀功能的弯头。</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3.16.1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压井等流程连接使用钢质硬管线并用地锚固定，放喷管线无转弯。</w:t>
            </w:r>
          </w:p>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出口管线应使用钢质管线，中间10m～</w:t>
            </w:r>
            <w:r>
              <w:rPr>
                <w:rFonts w:hint="eastAsia" w:ascii="Times New Roman" w:hAnsi="Times New Roman" w:eastAsia="宋体" w:cs="Times New Roman"/>
                <w:color w:val="auto"/>
                <w:sz w:val="21"/>
                <w:szCs w:val="21"/>
              </w:rPr>
              <w:t xml:space="preserve">15m </w:t>
            </w:r>
            <w:r>
              <w:rPr>
                <w:rFonts w:hint="default" w:ascii="Times New Roman" w:hAnsi="Times New Roman" w:eastAsia="宋体" w:cs="Times New Roman"/>
                <w:color w:val="auto"/>
                <w:sz w:val="21"/>
                <w:szCs w:val="21"/>
              </w:rPr>
              <w:t>和转弯处用地锚(水泥基墩等)固定。</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3.16.5</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出口管线使用钢质管线，中间</w:t>
            </w:r>
          </w:p>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地锚固定。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防喷设施和工具、用具应齐全完好，摆放整齐。</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3.17.11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防喷设施和工具齐全完好，摆放整齐。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作业设备：a)施工作业设备安装平稳、固定牢靠，各部位连接紧固，无松动、开焊等；b)井架、井架底座结构件连接螺栓、弹簧垫、销子、抗剪销及保险别针齐全紧固，地锚坚固，绷绳无缺陷；c)游动和提升系统不应有严重磨损，应转动灵活、护罩完好；d)顶驱导轨无变形，裂纹，导轨连接销及U型卡锁销齐全紧固，保护功能齐全，有效报警系统工作正常；e)司钻操作台固定牢靠，仪表完好、清晰，各阀件齐全，标识清楚；f)固控系统安装牢固，防护罩、网、护栏等完好；g)泥浆泵安装牢固，护罩齐全，安全阀检定合格；h)压裂（酸化）机组应符合设计要求，运转正常，发动机紧急熄火装置性能良好，安全销有效；i)压裂管汇车应定期进行检测，吊钩、钢丝绳无缺陷；j) 混砂车密度计外观无破损、固定牢固，必须加锁，有放射源警示牌；k)蒸汽发生器应符合设计要求，并经检验，自控系统正常，指示灯完好、报警器定值正常；l)所有设备安全附件检测有效，测量仪表数值准确，校验有效。</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AQ2041-2012</w:t>
            </w:r>
          </w:p>
          <w:p>
            <w:pPr>
              <w:keepNext w:val="0"/>
              <w:keepLines w:val="0"/>
              <w:suppressLineNumbers w:val="0"/>
              <w:adjustRightInd w:val="0"/>
              <w:snapToGrid w:val="0"/>
              <w:spacing w:before="156" w:beforeLines="50" w:beforeAutospacing="0" w:after="156" w:afterLines="5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r>
              <w:rPr>
                <w:rFonts w:hint="eastAsia" w:ascii="Times New Roman" w:hAnsi="Times New Roman" w:eastAsia="宋体" w:cs="Times New Roman"/>
                <w:color w:val="auto"/>
                <w:sz w:val="21"/>
                <w:szCs w:val="21"/>
              </w:rPr>
              <w:t>.5.5.2</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156" w:beforeLines="50" w:beforeAutospacing="0" w:after="156" w:afterLines="5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施工作业设备安装平稳、固定牢靠；井架、井架底座连接紧固，地锚坚固，绷绳无缺陷；游动和提升系统转动灵活、护罩完好；司钻操作台固定牢靠。</w:t>
            </w:r>
          </w:p>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p>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放喷管线及测试流程应采用钢质管线，至少应接一条，其通径不小于50mm，转弯处应使用不小于90°的锻造钢质弯头。气井(高气油比井)不使用活动弯头连接，含硫化氢气井宜根据现场风向设置主副放喷池，放喷管线应不少于两条，且相互为大于90°夹角的两个方向接出井场。</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SY/T6690-2016</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5.1.3.5</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放喷管线采用钢质管线。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0"/>
              </w:numPr>
              <w:suppressLineNumbers w:val="0"/>
              <w:tabs>
                <w:tab w:val="left" w:pos="347"/>
              </w:tabs>
              <w:adjustRightInd w:val="0"/>
              <w:snapToGrid w:val="0"/>
              <w:spacing w:before="62" w:beforeLines="20" w:beforeAutospacing="0" w:after="62" w:afterLines="2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三</w:t>
            </w: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安全警示标志</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生产经营单位应当在有较大危险因素的生产经营场所和有关设施、设备上，设置明显的安全警示标志。</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《安全生产法》第三十五条</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设有明显的安全警示标志。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油气井作业施工区域内严禁烟火，工区内所有人员禁止吸烟。在井场进行动火施工作业按相关动火作业安全规定执行。</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4.1.2</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设有严禁烟火标志。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油、气井场内应设置明显的防火防爆标志及风向标。</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4.1.10</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设有防火防爆标志及风向标。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top"/>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现场应根据施工情况设置以下（包括但不限于）醒目的安全警示标志，并放在相应的位置，安全标志应符合 GB 2894-2008 中第4章的规定：</w:t>
            </w:r>
          </w:p>
          <w:p>
            <w:pPr>
              <w:keepNext w:val="0"/>
              <w:keepLines w:val="0"/>
              <w:suppressLineNumbers w:val="0"/>
              <w:adjustRightInd w:val="0"/>
              <w:snapToGrid w:val="0"/>
              <w:spacing w:before="0" w:beforeLines="0" w:beforeAutospacing="0" w:after="0" w:afterLines="0" w:afterAutospacing="0"/>
              <w:ind w:left="0" w:right="0" w:firstLine="437"/>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 “必须带安全帽”。</w:t>
            </w:r>
          </w:p>
          <w:p>
            <w:pPr>
              <w:keepNext w:val="0"/>
              <w:keepLines w:val="0"/>
              <w:suppressLineNumbers w:val="0"/>
              <w:adjustRightInd w:val="0"/>
              <w:snapToGrid w:val="0"/>
              <w:spacing w:before="0" w:beforeLines="0" w:beforeAutospacing="0" w:after="0" w:afterLines="0" w:afterAutospacing="0"/>
              <w:ind w:left="0" w:right="0" w:firstLine="437"/>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 “禁止烟火”。</w:t>
            </w:r>
          </w:p>
          <w:p>
            <w:pPr>
              <w:keepNext w:val="0"/>
              <w:keepLines w:val="0"/>
              <w:suppressLineNumbers w:val="0"/>
              <w:adjustRightInd w:val="0"/>
              <w:snapToGrid w:val="0"/>
              <w:spacing w:before="0" w:beforeLines="0" w:beforeAutospacing="0" w:after="0" w:afterLines="0" w:afterAutospacing="0"/>
              <w:ind w:left="0" w:right="0" w:firstLine="437"/>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 “必须系安全带”。</w:t>
            </w:r>
          </w:p>
          <w:p>
            <w:pPr>
              <w:keepNext w:val="0"/>
              <w:keepLines w:val="0"/>
              <w:suppressLineNumbers w:val="0"/>
              <w:adjustRightInd w:val="0"/>
              <w:snapToGrid w:val="0"/>
              <w:spacing w:before="0" w:beforeLines="0" w:beforeAutospacing="0" w:after="0" w:afterLines="0" w:afterAutospacing="0"/>
              <w:ind w:left="0" w:right="0" w:firstLine="437"/>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 “当心触电”。</w:t>
            </w:r>
          </w:p>
          <w:p>
            <w:pPr>
              <w:keepNext w:val="0"/>
              <w:keepLines w:val="0"/>
              <w:suppressLineNumbers w:val="0"/>
              <w:adjustRightInd w:val="0"/>
              <w:snapToGrid w:val="0"/>
              <w:spacing w:before="0" w:beforeLines="0" w:beforeAutospacing="0" w:after="0" w:afterLines="0" w:afterAutospacing="0"/>
              <w:ind w:left="0" w:right="0" w:firstLine="437"/>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e）“当心机械伤人”。</w:t>
            </w:r>
          </w:p>
          <w:p>
            <w:pPr>
              <w:keepNext w:val="0"/>
              <w:keepLines w:val="0"/>
              <w:suppressLineNumbers w:val="0"/>
              <w:adjustRightInd w:val="0"/>
              <w:snapToGrid w:val="0"/>
              <w:spacing w:before="0" w:beforeLines="0" w:beforeAutospacing="0" w:after="0" w:afterLines="0" w:afterAutospacing="0"/>
              <w:ind w:left="0" w:right="0" w:firstLine="437"/>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f) “当心坠落”。</w:t>
            </w:r>
          </w:p>
          <w:p>
            <w:pPr>
              <w:keepNext w:val="0"/>
              <w:keepLines w:val="0"/>
              <w:suppressLineNumbers w:val="0"/>
              <w:adjustRightInd w:val="0"/>
              <w:snapToGrid w:val="0"/>
              <w:spacing w:before="0" w:beforeLines="0" w:beforeAutospacing="0" w:after="0" w:afterLines="0" w:afterAutospacing="0"/>
              <w:ind w:left="0" w:right="0" w:firstLine="437"/>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 “当心落物”。</w:t>
            </w:r>
          </w:p>
          <w:p>
            <w:pPr>
              <w:keepNext w:val="0"/>
              <w:keepLines w:val="0"/>
              <w:suppressLineNumbers w:val="0"/>
              <w:adjustRightInd w:val="0"/>
              <w:snapToGrid w:val="0"/>
              <w:spacing w:before="0" w:beforeLines="0" w:beforeAutospacing="0" w:after="0" w:afterLines="0" w:afterAutospacing="0"/>
              <w:ind w:left="0" w:right="0" w:firstLine="437"/>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 “当心井喷”。</w:t>
            </w:r>
          </w:p>
          <w:p>
            <w:pPr>
              <w:keepNext w:val="0"/>
              <w:keepLines w:val="0"/>
              <w:suppressLineNumbers w:val="0"/>
              <w:adjustRightInd w:val="0"/>
              <w:snapToGrid w:val="0"/>
              <w:spacing w:before="0" w:beforeLines="0" w:beforeAutospacing="0" w:after="0" w:afterLines="0" w:afterAutospacing="0"/>
              <w:ind w:left="0" w:right="0" w:firstLine="437"/>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i) “当心中毒”。</w:t>
            </w:r>
          </w:p>
          <w:p>
            <w:pPr>
              <w:keepNext w:val="0"/>
              <w:keepLines w:val="0"/>
              <w:suppressLineNumbers w:val="0"/>
              <w:adjustRightInd w:val="0"/>
              <w:snapToGrid w:val="0"/>
              <w:spacing w:before="0" w:beforeLines="0" w:beforeAutospacing="0" w:after="0" w:afterLines="0" w:afterAutospacing="0"/>
              <w:ind w:left="0" w:right="0" w:firstLine="437"/>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j) “高压工作区”（需要高压施工时）。</w:t>
            </w:r>
          </w:p>
          <w:p>
            <w:pPr>
              <w:keepNext w:val="0"/>
              <w:keepLines w:val="0"/>
              <w:suppressLineNumbers w:val="0"/>
              <w:adjustRightInd w:val="0"/>
              <w:snapToGrid w:val="0"/>
              <w:spacing w:before="0" w:beforeLines="0" w:beforeAutospacing="0" w:after="0" w:afterLines="0" w:afterAutospacing="0"/>
              <w:ind w:left="0" w:right="0" w:firstLine="437"/>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k）对使用380V以上电压的抽油机，还应在配电箱处挂“高压危险”警示牌。</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rPr>
              <w:t>.1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修井机机车禁止攀爬警示牌油污，内容模糊不清。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井场应设置逃生路线标志、紧急集合点和风向标，设有安全通道并保证畅通。</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rPr>
              <w:t>5</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井场设紧急集合点和风向标，安全通道保证畅通。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0"/>
              </w:numPr>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四</w:t>
            </w: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供配电及接地</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b/>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井架本体可作为引下线，应保证电气连接。接地装置接地电阻不应大于4Ω，接地点不应少于两处，且对称布置。</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3.4.7</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井架经防雷检测合格，设两处接地点。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不应将供电线路直接挂在设备、井架、绷绳、罐等金属物体上。</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19.1.8</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供电线路利用2.5m架空杆架空敷设。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值班房配线应采用绝缘导线，进户线过墙应穿绝缘管保护，并设防雨弯。</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r>
              <w:rPr>
                <w:rFonts w:hint="default" w:ascii="Times New Roman" w:hAnsi="Times New Roman" w:eastAsia="宋体" w:cs="Times New Roman"/>
                <w:color w:val="auto"/>
                <w:sz w:val="21"/>
                <w:szCs w:val="21"/>
              </w:rPr>
              <w:t>19.2.1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值班房配线采用绝缘导线，进户线过墙穿绝缘管保护。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配电箱应防雨通风、保持干燥。</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3.19.4.1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配电箱设置在防雨通风处。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center"/>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配电箱应安装端正、牢固。配电箱前地面有绝缘保护，并有足够的工作空间和通道。</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3.19.4.</w:t>
            </w:r>
            <w:r>
              <w:rPr>
                <w:rFonts w:hint="default" w:ascii="Times New Roman" w:hAnsi="Times New Roman" w:eastAsia="宋体" w:cs="Times New Roman"/>
                <w:color w:val="auto"/>
                <w:sz w:val="21"/>
                <w:szCs w:val="21"/>
              </w:rPr>
              <w:t>2</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配电箱前地面设有绝缘垫。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配电箱、电机、电取暖器等用电设备的金属壳体都应做保护接零(接PE线)。</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3.19.</w:t>
            </w:r>
            <w:r>
              <w:rPr>
                <w:rFonts w:hint="default" w:ascii="Times New Roman" w:hAnsi="Times New Roman" w:eastAsia="宋体" w:cs="Times New Roman"/>
                <w:color w:val="auto"/>
                <w:sz w:val="21"/>
                <w:szCs w:val="21"/>
              </w:rPr>
              <w:t>8</w:t>
            </w:r>
            <w:r>
              <w:rPr>
                <w:rFonts w:hint="eastAsia" w:ascii="Times New Roman" w:hAnsi="Times New Roman" w:eastAsia="宋体" w:cs="Times New Roman"/>
                <w:color w:val="auto"/>
                <w:sz w:val="21"/>
                <w:szCs w:val="21"/>
              </w:rPr>
              <w:t>.1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配电箱、电机等做保护接地。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施工中进出井场的车辆排气管应安装阻火器。施工井场地面裸露的油、气管线及电缆，应采取防止车辆碾压的保护措施。 </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SY/T5225-2019</w:t>
            </w:r>
          </w:p>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4.1.4</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进出井场的车辆排气管安装阻火器。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4"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0"/>
              </w:numPr>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五</w:t>
            </w: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施工过程安全管理</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b/>
                <w:color w:val="auto"/>
                <w:sz w:val="21"/>
                <w:szCs w:val="21"/>
              </w:rPr>
            </w:pP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b/>
                <w:color w:val="auto"/>
                <w:sz w:val="21"/>
                <w:szCs w:val="21"/>
              </w:rPr>
            </w:pP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b/>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游动滑车大钩应定期进行探伤检修，并符合SY/T 6605的规定。</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3.12.3</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游动滑车大钩定期检测合格。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施工作业人员应经相应的岗位技能培训，培训合格方可上岗。</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现场作业人员持“三小证”上岗。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进入现场人员应正确穿戴和使用劳动防护用品及其他防护用具，并做好安全防护设施的维护。高处作业者应系安全带，并将随身携带的工具系上防掉绳，作业前将安全带在井架上系牢。</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4.1.2</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正确穿戴和使用劳动防护用品及其他防护用具。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应根据井下作业地质设计、工程设计编制施工设计，并按企业规定分级审批。</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4.1.5</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编制施工</w:t>
            </w:r>
            <w:r>
              <w:rPr>
                <w:rFonts w:hint="eastAsia" w:cs="Times New Roman"/>
                <w:color w:val="auto"/>
                <w:sz w:val="21"/>
                <w:szCs w:val="21"/>
                <w:lang w:val="en-US" w:eastAsia="zh-CN"/>
              </w:rPr>
              <w:t>设计</w:t>
            </w:r>
            <w:r>
              <w:rPr>
                <w:rFonts w:hint="default" w:ascii="Times New Roman" w:hAnsi="Times New Roman" w:eastAsia="宋体" w:cs="Times New Roman"/>
                <w:color w:val="auto"/>
                <w:sz w:val="21"/>
                <w:szCs w:val="21"/>
              </w:rPr>
              <w:t>并经审批。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根据施工环境变化应进行风险识别、评估，采取风险控制措施并制订应急预案。</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4.1.6</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0"/>
              </w:rPr>
              <w:t>已制订</w:t>
            </w:r>
            <w:r>
              <w:rPr>
                <w:rFonts w:hint="default" w:ascii="Times New Roman" w:hAnsi="Times New Roman" w:eastAsia="宋体" w:cs="Times New Roman"/>
                <w:color w:val="auto"/>
                <w:sz w:val="21"/>
                <w:szCs w:val="21"/>
              </w:rPr>
              <w:t>应急预案。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施工过程中需要进行动火、动土、进入有限空间等特殊作业时，应按照作业许可的规定，办理作业许可。</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SY/T5225-2019</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8.1.2</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施工过程涉及的临时用电等特殊作业办理作业票。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按施工设计要求做好施工前准备，经开工验收合格方可开工。</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4.1.7</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经现场检查，施工经开工验收合格，并留存开工验收单。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个人防护用具、气体监测仪器的配备、使用操作、应急抢险和紧急疏散应符合SY/T 6610-2017中第5章、第6章、第7章的规定。</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4.6.3</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现场配备便携式硫化氢检测仪、正压式空气呼吸器等设备设施，并经检测合格。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根据设计，施工作业过程中，有产生井内压力变化的环节，应有具体的井控防范措施。</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SY/T6690-2016</w:t>
            </w:r>
            <w:r>
              <w:rPr>
                <w:rFonts w:hint="eastAsia" w:ascii="Times New Roman" w:hAnsi="Times New Roman" w:eastAsia="宋体" w:cs="Times New Roman"/>
                <w:color w:val="auto"/>
                <w:sz w:val="21"/>
                <w:szCs w:val="21"/>
              </w:rPr>
              <w:t>6.10.1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施工设计中有具体的井控防范措施。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0"/>
              </w:numPr>
              <w:suppressLineNumbers w:val="0"/>
              <w:adjustRightInd w:val="0"/>
              <w:snapToGrid w:val="0"/>
              <w:spacing w:before="62" w:beforeLines="20" w:beforeAutospacing="0" w:after="62" w:afterLines="20" w:afterAutospacing="0"/>
              <w:ind w:left="0" w:right="0"/>
              <w:jc w:val="left"/>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六</w:t>
            </w: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检验检测</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b/>
                <w:color w:val="auto"/>
                <w:sz w:val="21"/>
                <w:szCs w:val="21"/>
              </w:rPr>
            </w:pP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b/>
                <w:color w:val="auto"/>
                <w:sz w:val="21"/>
                <w:szCs w:val="21"/>
              </w:rPr>
            </w:pP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b/>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正压式空气呼吸器应每年检验一次；气瓶应每三年检验一次，其安全使用年限不得超过1</w:t>
            </w:r>
            <w:r>
              <w:rPr>
                <w:rFonts w:hint="eastAsia" w:ascii="Times New Roman" w:hAnsi="Times New Roman" w:eastAsia="宋体" w:cs="Times New Roman"/>
                <w:color w:val="auto"/>
                <w:kern w:val="0"/>
                <w:sz w:val="21"/>
                <w:szCs w:val="21"/>
              </w:rPr>
              <w:t>5</w:t>
            </w:r>
            <w:r>
              <w:rPr>
                <w:rFonts w:hint="default" w:ascii="Times New Roman" w:hAnsi="Times New Roman" w:eastAsia="宋体" w:cs="Times New Roman"/>
                <w:color w:val="auto"/>
                <w:kern w:val="0"/>
                <w:sz w:val="21"/>
                <w:szCs w:val="21"/>
              </w:rPr>
              <w:t>年。</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SY/T 6277-2017</w:t>
            </w:r>
          </w:p>
          <w:p>
            <w:pPr>
              <w:keepNext w:val="0"/>
              <w:keepLines w:val="0"/>
              <w:suppressLineNumbers w:val="0"/>
              <w:overflowPunct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5</w:t>
            </w:r>
            <w:r>
              <w:rPr>
                <w:rFonts w:hint="eastAsia" w:ascii="Times New Roman" w:hAnsi="Times New Roman" w:eastAsia="宋体" w:cs="Times New Roman"/>
                <w:color w:val="auto"/>
                <w:kern w:val="0"/>
                <w:sz w:val="21"/>
                <w:szCs w:val="21"/>
              </w:rPr>
              <w:t>.1.6.1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现场建立有空气呼吸器台账，并经定期检测合格。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便携式硫化氢检测仪每年至少检验一次。</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SY/T 6277-2017</w:t>
            </w:r>
          </w:p>
          <w:p>
            <w:pPr>
              <w:keepNext w:val="0"/>
              <w:keepLines w:val="0"/>
              <w:suppressLineNumbers w:val="0"/>
              <w:overflowPunct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kern w:val="0"/>
                <w:sz w:val="21"/>
                <w:szCs w:val="21"/>
              </w:rPr>
            </w:pPr>
            <w:r>
              <w:rPr>
                <w:rFonts w:hint="eastAsia" w:ascii="Times New Roman" w:hAnsi="Times New Roman" w:eastAsia="宋体" w:cs="Times New Roman"/>
                <w:color w:val="auto"/>
                <w:kern w:val="0"/>
                <w:sz w:val="21"/>
                <w:szCs w:val="21"/>
              </w:rPr>
              <w:t>5.2.6</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现场建立有硫化氢检测仪台账，并经定期检测合格。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在用石油钻、修井用吊具应进行定期检验。定期检验周期为2年。</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SY/T 6605-2018</w:t>
            </w:r>
          </w:p>
          <w:p>
            <w:pPr>
              <w:keepNext w:val="0"/>
              <w:keepLines w:val="0"/>
              <w:suppressLineNumbers w:val="0"/>
              <w:overflowPunct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修井用吊具进行了定期检验。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6"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numPr>
                <w:ilvl w:val="0"/>
                <w:numId w:val="0"/>
              </w:numPr>
              <w:suppressLineNumbers w:val="0"/>
              <w:overflowPunct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安全阀的校验周期应当符合以下要求：</w:t>
            </w:r>
          </w:p>
          <w:p>
            <w:pPr>
              <w:keepNext w:val="0"/>
              <w:keepLines w:val="0"/>
              <w:numPr>
                <w:ilvl w:val="0"/>
                <w:numId w:val="31"/>
              </w:numPr>
              <w:suppressLineNumbers w:val="0"/>
              <w:overflowPunct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安全阀定期校验，一般每年至少一次，安全技术规范有相应规定的从其规定；</w:t>
            </w:r>
          </w:p>
          <w:p>
            <w:pPr>
              <w:keepNext w:val="0"/>
              <w:keepLines w:val="0"/>
              <w:numPr>
                <w:ilvl w:val="0"/>
                <w:numId w:val="31"/>
              </w:numPr>
              <w:suppressLineNumbers w:val="0"/>
              <w:overflowPunct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经解体、修理或更换部件的安全阀，应当重新进行校验。</w:t>
            </w:r>
          </w:p>
        </w:tc>
        <w:tc>
          <w:tcPr>
            <w:tcW w:w="1648"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pacing w:val="-6"/>
                <w:kern w:val="0"/>
                <w:sz w:val="21"/>
                <w:szCs w:val="21"/>
              </w:rPr>
            </w:pPr>
            <w:r>
              <w:rPr>
                <w:rFonts w:hint="default" w:ascii="Times New Roman" w:hAnsi="Times New Roman" w:eastAsia="宋体" w:cs="Times New Roman"/>
                <w:color w:val="auto"/>
                <w:spacing w:val="-6"/>
                <w:kern w:val="0"/>
                <w:sz w:val="21"/>
                <w:szCs w:val="21"/>
              </w:rPr>
              <w:t>TSGZF001-2006</w:t>
            </w:r>
            <w:r>
              <w:rPr>
                <w:rFonts w:hint="eastAsia" w:cs="Times New Roman"/>
                <w:color w:val="auto"/>
                <w:spacing w:val="-6"/>
                <w:kern w:val="0"/>
                <w:sz w:val="21"/>
                <w:szCs w:val="21"/>
                <w:lang w:eastAsia="zh-CN"/>
              </w:rPr>
              <w:t>（</w:t>
            </w:r>
            <w:r>
              <w:rPr>
                <w:rFonts w:hint="eastAsia" w:cs="Times New Roman"/>
                <w:color w:val="auto"/>
                <w:spacing w:val="-6"/>
                <w:kern w:val="0"/>
                <w:sz w:val="21"/>
                <w:szCs w:val="21"/>
                <w:lang w:val="en-US" w:eastAsia="zh-CN"/>
              </w:rPr>
              <w:t>2009第1号修改单</w:t>
            </w:r>
            <w:r>
              <w:rPr>
                <w:rFonts w:hint="eastAsia" w:cs="Times New Roman"/>
                <w:color w:val="auto"/>
                <w:spacing w:val="-6"/>
                <w:kern w:val="0"/>
                <w:sz w:val="21"/>
                <w:szCs w:val="21"/>
                <w:lang w:eastAsia="zh-CN"/>
              </w:rPr>
              <w:t>）</w:t>
            </w:r>
          </w:p>
          <w:p>
            <w:pPr>
              <w:keepNext w:val="0"/>
              <w:keepLines w:val="0"/>
              <w:suppressLineNumbers w:val="0"/>
              <w:overflowPunct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B6.3.1</w:t>
            </w:r>
          </w:p>
        </w:tc>
        <w:tc>
          <w:tcPr>
            <w:tcW w:w="870" w:type="dxa"/>
            <w:tcBorders>
              <w:top w:val="single" w:color="auto" w:sz="6" w:space="0"/>
              <w:left w:val="single" w:color="auto" w:sz="6" w:space="0"/>
              <w:bottom w:val="single" w:color="auto" w:sz="6"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6"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现场安全阀定期校验合格。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tcBorders>
              <w:top w:val="single" w:color="auto" w:sz="6" w:space="0"/>
              <w:left w:val="single" w:color="auto" w:sz="12" w:space="0"/>
              <w:bottom w:val="single" w:color="auto" w:sz="12" w:space="0"/>
              <w:right w:val="single" w:color="auto" w:sz="6" w:space="0"/>
              <w:tl2br w:val="nil"/>
              <w:tr2bl w:val="nil"/>
            </w:tcBorders>
            <w:noWrap w:val="0"/>
            <w:vAlign w:val="center"/>
          </w:tcPr>
          <w:p>
            <w:pPr>
              <w:keepNext w:val="0"/>
              <w:keepLines w:val="0"/>
              <w:numPr>
                <w:ilvl w:val="0"/>
                <w:numId w:val="32"/>
              </w:numPr>
              <w:suppressLineNumbers w:val="0"/>
              <w:adjustRightInd w:val="0"/>
              <w:snapToGrid w:val="0"/>
              <w:spacing w:before="62" w:beforeLines="20" w:beforeAutospacing="0" w:after="62" w:afterLines="20" w:afterAutospacing="0"/>
              <w:ind w:right="0"/>
              <w:jc w:val="left"/>
              <w:rPr>
                <w:rFonts w:hint="eastAsia" w:ascii="Times New Roman" w:hAnsi="Times New Roman" w:eastAsia="宋体" w:cs="Times New Roman"/>
                <w:color w:val="auto"/>
                <w:sz w:val="21"/>
                <w:szCs w:val="21"/>
              </w:rPr>
            </w:pPr>
          </w:p>
        </w:tc>
        <w:tc>
          <w:tcPr>
            <w:tcW w:w="3167" w:type="dxa"/>
            <w:tcBorders>
              <w:top w:val="single" w:color="auto" w:sz="6" w:space="0"/>
              <w:left w:val="single" w:color="auto" w:sz="6" w:space="0"/>
              <w:bottom w:val="single" w:color="auto" w:sz="12" w:space="0"/>
              <w:right w:val="single" w:color="auto" w:sz="6" w:space="0"/>
              <w:tl2br w:val="nil"/>
              <w:tr2bl w:val="nil"/>
            </w:tcBorders>
            <w:noWrap w:val="0"/>
            <w:vAlign w:val="center"/>
          </w:tcPr>
          <w:p>
            <w:pPr>
              <w:keepNext w:val="0"/>
              <w:keepLines w:val="0"/>
              <w:numPr>
                <w:ilvl w:val="0"/>
                <w:numId w:val="0"/>
              </w:numPr>
              <w:suppressLineNumbers w:val="0"/>
              <w:overflowPunct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井队防雷装置应由专业防雷检测机构定期检测，检测周期不应超过一年。</w:t>
            </w:r>
          </w:p>
        </w:tc>
        <w:tc>
          <w:tcPr>
            <w:tcW w:w="1648" w:type="dxa"/>
            <w:tcBorders>
              <w:top w:val="single" w:color="auto" w:sz="6" w:space="0"/>
              <w:left w:val="single" w:color="auto" w:sz="6" w:space="0"/>
              <w:bottom w:val="single" w:color="auto" w:sz="12" w:space="0"/>
              <w:right w:val="single" w:color="auto" w:sz="6" w:space="0"/>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SY/T7386-20176.1.1</w:t>
            </w:r>
          </w:p>
        </w:tc>
        <w:tc>
          <w:tcPr>
            <w:tcW w:w="870" w:type="dxa"/>
            <w:tcBorders>
              <w:top w:val="single" w:color="auto" w:sz="6" w:space="0"/>
              <w:left w:val="single" w:color="auto" w:sz="6" w:space="0"/>
              <w:bottom w:val="single" w:color="auto" w:sz="12" w:space="0"/>
              <w:right w:val="single" w:color="auto" w:sz="6"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4"/>
              </w:rPr>
              <w:t>√</w:t>
            </w:r>
          </w:p>
        </w:tc>
        <w:tc>
          <w:tcPr>
            <w:tcW w:w="2967" w:type="dxa"/>
            <w:tcBorders>
              <w:top w:val="single" w:color="auto" w:sz="6" w:space="0"/>
              <w:left w:val="single" w:color="auto" w:sz="6" w:space="0"/>
              <w:bottom w:val="single" w:color="auto" w:sz="12" w:space="0"/>
              <w:right w:val="single" w:color="auto" w:sz="12" w:space="0"/>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井架底座由专业防雷检测机构定期检测合格。</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Times New Roman" w:hAnsi="Times New Roman" w:cs="Times New Roman"/>
          <w:sz w:val="28"/>
        </w:rPr>
      </w:pPr>
      <w:r>
        <w:rPr>
          <w:rFonts w:hint="eastAsia" w:ascii="Times New Roman" w:hAnsi="Times New Roman" w:cs="Times New Roman"/>
          <w:sz w:val="28"/>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乐安油田草4-3-斜326井</w:t>
      </w:r>
      <w:r>
        <w:rPr>
          <w:rFonts w:hint="eastAsia" w:ascii="Times New Roman" w:hAnsi="Times New Roman" w:cs="Times New Roman"/>
          <w:sz w:val="28"/>
        </w:rPr>
        <w:t>安全检查表共设</w:t>
      </w:r>
      <w:r>
        <w:rPr>
          <w:rFonts w:hint="eastAsia" w:cs="Times New Roman"/>
          <w:sz w:val="28"/>
          <w:lang w:val="en-US" w:eastAsia="zh-CN"/>
        </w:rPr>
        <w:t>58</w:t>
      </w:r>
      <w:r>
        <w:rPr>
          <w:rFonts w:hint="eastAsia" w:ascii="Times New Roman" w:hAnsi="Times New Roman" w:cs="Times New Roman"/>
          <w:sz w:val="28"/>
        </w:rPr>
        <w:t>项检查内容，</w:t>
      </w:r>
      <w:r>
        <w:rPr>
          <w:rFonts w:hint="eastAsia" w:cs="Times New Roman"/>
          <w:sz w:val="28"/>
          <w:lang w:val="en-US" w:eastAsia="zh-CN"/>
        </w:rPr>
        <w:t>56</w:t>
      </w:r>
      <w:r>
        <w:rPr>
          <w:rFonts w:hint="eastAsia" w:ascii="Times New Roman" w:hAnsi="Times New Roman" w:cs="Times New Roman"/>
          <w:sz w:val="28"/>
        </w:rPr>
        <w:t>项符合要求，</w:t>
      </w:r>
      <w:r>
        <w:rPr>
          <w:rFonts w:hint="eastAsia" w:cs="Times New Roman"/>
          <w:sz w:val="28"/>
          <w:lang w:val="en-US" w:eastAsia="zh-CN"/>
        </w:rPr>
        <w:t>2</w:t>
      </w:r>
      <w:r>
        <w:rPr>
          <w:rFonts w:hint="eastAsia" w:ascii="Times New Roman" w:hAnsi="Times New Roman" w:cs="Times New Roman"/>
          <w:sz w:val="28"/>
        </w:rPr>
        <w:t>项不符合：</w:t>
      </w:r>
      <w:r>
        <w:rPr>
          <w:rFonts w:hint="eastAsia" w:ascii="Times New Roman" w:hAnsi="Times New Roman" w:cs="Times New Roman"/>
          <w:sz w:val="28"/>
          <w:lang w:val="en-US" w:eastAsia="zh-CN"/>
        </w:rPr>
        <w:t>1.井场受限，放喷管线出口距井口15m。</w:t>
      </w:r>
      <w:r>
        <w:rPr>
          <w:rFonts w:hint="eastAsia" w:cs="Times New Roman"/>
          <w:sz w:val="28"/>
          <w:lang w:val="en-US" w:eastAsia="zh-CN"/>
        </w:rPr>
        <w:t>2</w:t>
      </w:r>
      <w:r>
        <w:rPr>
          <w:rFonts w:hint="eastAsia" w:ascii="Times New Roman" w:hAnsi="Times New Roman" w:cs="Times New Roman"/>
          <w:sz w:val="28"/>
          <w:lang w:val="en-US" w:eastAsia="zh-CN"/>
        </w:rPr>
        <w:t>.修井机机车禁止攀爬警示牌油污，内容模糊不清。</w:t>
      </w:r>
    </w:p>
    <w:p>
      <w:pPr>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left"/>
        <w:textAlignment w:val="auto"/>
        <w:outlineLvl w:val="2"/>
        <w:rPr>
          <w:rFonts w:hint="eastAsia" w:eastAsia="黑体"/>
          <w:bCs/>
          <w:snapToGrid w:val="0"/>
          <w:kern w:val="0"/>
          <w:sz w:val="28"/>
          <w:szCs w:val="28"/>
          <w:lang w:val="en-US" w:eastAsia="zh-CN"/>
        </w:rPr>
      </w:pPr>
      <w:r>
        <w:rPr>
          <w:rFonts w:hint="eastAsia" w:eastAsia="黑体"/>
          <w:bCs/>
          <w:snapToGrid w:val="0"/>
          <w:kern w:val="0"/>
          <w:sz w:val="28"/>
          <w:szCs w:val="28"/>
          <w:lang w:val="en-US" w:eastAsia="zh-CN"/>
        </w:rPr>
        <w:t>5.1.3 尚店油田尚2-斜53井（酸化作业）</w:t>
      </w:r>
    </w:p>
    <w:p>
      <w:pPr>
        <w:widowControl/>
        <w:adjustRightInd w:val="0"/>
        <w:snapToGrid w:val="0"/>
        <w:spacing w:after="0" w:line="360" w:lineRule="auto"/>
        <w:ind w:firstLine="560" w:firstLineChars="200"/>
        <w:jc w:val="left"/>
        <w:rPr>
          <w:rFonts w:hint="eastAsia" w:ascii="Times New Roman" w:hAnsi="Times New Roman" w:cs="Times New Roman"/>
          <w:b/>
          <w:kern w:val="2"/>
          <w:sz w:val="28"/>
          <w:szCs w:val="28"/>
          <w:lang w:val="en-US" w:eastAsia="zh-CN" w:bidi="ar-SA"/>
        </w:rPr>
      </w:pPr>
      <w:r>
        <w:rPr>
          <w:rFonts w:hint="eastAsia" w:ascii="Times New Roman" w:hAnsi="Times New Roman" w:cs="Times New Roman"/>
          <w:b/>
          <w:kern w:val="2"/>
          <w:sz w:val="28"/>
          <w:szCs w:val="28"/>
          <w:lang w:val="en-US" w:eastAsia="zh-CN" w:bidi="ar-SA"/>
        </w:rPr>
        <w:t>1.施工情况简介</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1）井场道路及井场周边环境</w:t>
      </w:r>
    </w:p>
    <w:p>
      <w:pPr>
        <w:widowControl/>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尚店油田尚2-斜53井位于滨州市惠民县，属于鲁胜公司</w:t>
      </w:r>
      <w:r>
        <w:rPr>
          <w:rFonts w:hint="eastAsia" w:ascii="Times New Roman" w:hAnsi="Times New Roman" w:eastAsia="宋体" w:cs="Times New Roman"/>
          <w:kern w:val="2"/>
          <w:sz w:val="28"/>
          <w:szCs w:val="28"/>
          <w:lang w:val="en-US" w:eastAsia="en-US" w:bidi="ar-SA"/>
        </w:rPr>
        <w:t>鲁丰管理区</w:t>
      </w:r>
      <w:r>
        <w:rPr>
          <w:rFonts w:hint="eastAsia" w:ascii="Times New Roman" w:hAnsi="Times New Roman" w:eastAsia="宋体" w:cs="Times New Roman"/>
          <w:kern w:val="2"/>
          <w:sz w:val="28"/>
          <w:szCs w:val="28"/>
          <w:lang w:val="en-US" w:eastAsia="zh-CN" w:bidi="ar-SA"/>
        </w:rPr>
        <w:t>，尚店油田尚2-斜53井进井路均为素土夯实路，井道路状况良好；周围为农田。井场四周设有警戒线，外部人员不能随便进入现场。井场内有值班站房，井场布置能够满足施工需要。井场无污染，井口装置、生产设施配套基本齐全。上述井场井进井道路及周边环境见图5-</w:t>
      </w:r>
      <w:r>
        <w:rPr>
          <w:rFonts w:hint="eastAsia" w:cs="Times New Roman"/>
          <w:kern w:val="2"/>
          <w:sz w:val="28"/>
          <w:szCs w:val="28"/>
          <w:lang w:val="en-US" w:eastAsia="zh-CN" w:bidi="ar-SA"/>
        </w:rPr>
        <w:t>7</w:t>
      </w:r>
      <w:r>
        <w:rPr>
          <w:rFonts w:hint="eastAsia" w:ascii="Times New Roman" w:hAnsi="Times New Roman" w:eastAsia="宋体" w:cs="Times New Roman"/>
          <w:kern w:val="2"/>
          <w:sz w:val="28"/>
          <w:szCs w:val="28"/>
          <w:lang w:val="en-US" w:eastAsia="zh-CN" w:bidi="ar-SA"/>
        </w:rPr>
        <w:t>。</w:t>
      </w:r>
    </w:p>
    <w:p>
      <w:pPr>
        <w:pStyle w:val="2"/>
        <w:rPr>
          <w:rFonts w:hint="eastAsia" w:ascii="Times New Roman" w:hAnsi="Times New Roman" w:eastAsia="宋体" w:cs="Times New Roman"/>
          <w:kern w:val="2"/>
          <w:sz w:val="28"/>
          <w:szCs w:val="28"/>
          <w:lang w:val="en-US" w:eastAsia="zh-CN" w:bidi="ar-SA"/>
        </w:rPr>
      </w:pPr>
    </w:p>
    <w:p>
      <w:pPr>
        <w:pStyle w:val="2"/>
        <w:rPr>
          <w:rFonts w:hint="eastAsia" w:ascii="Times New Roman" w:hAnsi="Times New Roman" w:eastAsia="宋体" w:cs="Times New Roman"/>
          <w:kern w:val="2"/>
          <w:sz w:val="28"/>
          <w:szCs w:val="28"/>
          <w:lang w:val="en-US" w:eastAsia="zh-CN" w:bidi="ar-SA"/>
        </w:rPr>
      </w:pPr>
    </w:p>
    <w:p>
      <w:pPr>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560" w:firstLineChars="200"/>
        <w:jc w:val="center"/>
        <w:textAlignment w:val="auto"/>
        <w:rPr>
          <w:rFonts w:hint="eastAsia" w:ascii="Times New Roman" w:hAnsi="Times New Roman" w:cs="Times New Roman"/>
          <w:b/>
        </w:rPr>
      </w:pPr>
      <w:r>
        <w:rPr>
          <w:rFonts w:hint="eastAsia" w:ascii="Times New Roman" w:hAnsi="Times New Roman" w:eastAsia="宋体" w:cs="Times New Roman"/>
          <w:kern w:val="2"/>
          <w:sz w:val="28"/>
          <w:szCs w:val="28"/>
          <w:lang w:val="en-US" w:eastAsia="zh-CN" w:bidi="ar-SA"/>
        </w:rPr>
        <w:drawing>
          <wp:anchor distT="0" distB="0" distL="114300" distR="114300" simplePos="0" relativeHeight="251672576" behindDoc="0" locked="0" layoutInCell="1" allowOverlap="1">
            <wp:simplePos x="0" y="0"/>
            <wp:positionH relativeFrom="column">
              <wp:posOffset>118745</wp:posOffset>
            </wp:positionH>
            <wp:positionV relativeFrom="paragraph">
              <wp:posOffset>-233045</wp:posOffset>
            </wp:positionV>
            <wp:extent cx="2011680" cy="2696845"/>
            <wp:effectExtent l="0" t="0" r="8255" b="7620"/>
            <wp:wrapSquare wrapText="bothSides"/>
            <wp:docPr id="85" name="图片 85" descr="微信图片_20220616174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微信图片_20220616174200"/>
                    <pic:cNvPicPr>
                      <a:picLocks noChangeAspect="1"/>
                    </pic:cNvPicPr>
                  </pic:nvPicPr>
                  <pic:blipFill>
                    <a:blip r:embed="rId34"/>
                    <a:stretch>
                      <a:fillRect/>
                    </a:stretch>
                  </pic:blipFill>
                  <pic:spPr>
                    <a:xfrm rot="5400000">
                      <a:off x="0" y="0"/>
                      <a:ext cx="2011680" cy="2696845"/>
                    </a:xfrm>
                    <a:prstGeom prst="rect">
                      <a:avLst/>
                    </a:prstGeom>
                  </pic:spPr>
                </pic:pic>
              </a:graphicData>
            </a:graphic>
          </wp:anchor>
        </w:drawing>
      </w:r>
      <w:r>
        <w:rPr>
          <w:rFonts w:hint="eastAsia" w:ascii="Times New Roman" w:hAnsi="Times New Roman" w:cs="Times New Roman"/>
          <w:b/>
          <w:lang w:val="en-US" w:eastAsia="zh-CN"/>
        </w:rPr>
        <w:drawing>
          <wp:anchor distT="0" distB="0" distL="114300" distR="114300" simplePos="0" relativeHeight="251682816" behindDoc="0" locked="0" layoutInCell="1" allowOverlap="1">
            <wp:simplePos x="0" y="0"/>
            <wp:positionH relativeFrom="column">
              <wp:posOffset>2586355</wp:posOffset>
            </wp:positionH>
            <wp:positionV relativeFrom="paragraph">
              <wp:posOffset>114935</wp:posOffset>
            </wp:positionV>
            <wp:extent cx="2632075" cy="2026285"/>
            <wp:effectExtent l="0" t="0" r="15875" b="12065"/>
            <wp:wrapTopAndBottom/>
            <wp:docPr id="80" name="图片 80" descr="2ef6b02076ed24c1f3ff6432cc51a25f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2ef6b02076ed24c1f3ff6432cc51a25f_"/>
                    <pic:cNvPicPr>
                      <a:picLocks noChangeAspect="1"/>
                    </pic:cNvPicPr>
                  </pic:nvPicPr>
                  <pic:blipFill>
                    <a:blip r:embed="rId35"/>
                    <a:stretch>
                      <a:fillRect/>
                    </a:stretch>
                  </pic:blipFill>
                  <pic:spPr>
                    <a:xfrm>
                      <a:off x="0" y="0"/>
                      <a:ext cx="2632075" cy="2026285"/>
                    </a:xfrm>
                    <a:prstGeom prst="rect">
                      <a:avLst/>
                    </a:prstGeom>
                  </pic:spPr>
                </pic:pic>
              </a:graphicData>
            </a:graphic>
          </wp:anchor>
        </w:drawing>
      </w:r>
      <w:r>
        <w:rPr>
          <w:rFonts w:hint="eastAsia" w:ascii="Times New Roman" w:hAnsi="Times New Roman" w:cs="Times New Roman"/>
          <w:b/>
        </w:rPr>
        <w:t>图5-</w:t>
      </w:r>
      <w:r>
        <w:rPr>
          <w:rFonts w:hint="eastAsia" w:cs="Times New Roman"/>
          <w:b/>
          <w:lang w:val="en-US" w:eastAsia="zh-CN"/>
        </w:rPr>
        <w:t xml:space="preserve">7  </w:t>
      </w:r>
      <w:r>
        <w:rPr>
          <w:rFonts w:hint="eastAsia" w:ascii="Times New Roman" w:hAnsi="Times New Roman" w:cs="Times New Roman"/>
          <w:b/>
        </w:rPr>
        <w:t>胜坨油田坨128-斜32井进场道路及周边环境</w:t>
      </w:r>
    </w:p>
    <w:p>
      <w:pPr>
        <w:widowControl/>
        <w:numPr>
          <w:ilvl w:val="0"/>
          <w:numId w:val="33"/>
        </w:numPr>
        <w:adjustRightInd w:val="0"/>
        <w:snapToGrid w:val="0"/>
        <w:spacing w:after="0" w:line="360" w:lineRule="auto"/>
        <w:ind w:firstLine="560" w:firstLineChars="200"/>
        <w:jc w:val="left"/>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施工工序</w:t>
      </w:r>
    </w:p>
    <w:p>
      <w:pPr>
        <w:pStyle w:val="2"/>
        <w:numPr>
          <w:ilvl w:val="0"/>
          <w:numId w:val="34"/>
        </w:numPr>
        <w:rPr>
          <w:rFonts w:hint="eastAsia"/>
          <w:outline w:val="0"/>
          <w:shadow w:val="0"/>
          <w:emboss w:val="0"/>
          <w:imprint w:val="0"/>
          <w:vanish w:val="0"/>
          <w:w w:val="100"/>
          <w:sz w:val="28"/>
          <w:u w:val="none"/>
          <w:lang w:val="en-US" w:eastAsia="zh-CN"/>
        </w:rPr>
      </w:pPr>
      <w:r>
        <w:rPr>
          <w:rFonts w:hint="eastAsia" w:ascii="Times New Roman" w:hAnsi="Times New Roman" w:eastAsia="宋体" w:cs="Times New Roman"/>
          <w:b/>
          <w:color w:val="auto"/>
          <w:kern w:val="2"/>
          <w:sz w:val="21"/>
          <w:szCs w:val="24"/>
          <w:lang w:val="en-US" w:eastAsia="zh-CN" w:bidi="ar-SA"/>
        </w:rPr>
        <w:drawing>
          <wp:anchor distT="0" distB="0" distL="114300" distR="114300" simplePos="0" relativeHeight="251673600" behindDoc="0" locked="0" layoutInCell="1" allowOverlap="1">
            <wp:simplePos x="0" y="0"/>
            <wp:positionH relativeFrom="column">
              <wp:posOffset>824230</wp:posOffset>
            </wp:positionH>
            <wp:positionV relativeFrom="paragraph">
              <wp:posOffset>730885</wp:posOffset>
            </wp:positionV>
            <wp:extent cx="4382135" cy="4224655"/>
            <wp:effectExtent l="0" t="0" r="18415" b="4445"/>
            <wp:wrapTopAndBottom/>
            <wp:docPr id="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
                    <pic:cNvPicPr>
                      <a:picLocks noChangeAspect="1"/>
                    </pic:cNvPicPr>
                  </pic:nvPicPr>
                  <pic:blipFill>
                    <a:blip r:embed="rId36"/>
                    <a:stretch>
                      <a:fillRect/>
                    </a:stretch>
                  </pic:blipFill>
                  <pic:spPr>
                    <a:xfrm>
                      <a:off x="0" y="0"/>
                      <a:ext cx="4382135" cy="4224655"/>
                    </a:xfrm>
                    <a:prstGeom prst="rect">
                      <a:avLst/>
                    </a:prstGeom>
                    <a:noFill/>
                    <a:ln>
                      <a:noFill/>
                    </a:ln>
                  </pic:spPr>
                </pic:pic>
              </a:graphicData>
            </a:graphic>
          </wp:anchor>
        </w:drawing>
      </w:r>
      <w:r>
        <w:rPr>
          <w:rFonts w:hint="eastAsia"/>
          <w:outline w:val="0"/>
          <w:shadow w:val="0"/>
          <w:emboss w:val="0"/>
          <w:imprint w:val="0"/>
          <w:vanish w:val="0"/>
          <w:w w:val="100"/>
          <w:sz w:val="28"/>
          <w:u w:val="none"/>
          <w:lang w:val="en-US" w:eastAsia="zh-CN"/>
        </w:rPr>
        <w:t>下酸化管柱：详见下图SDS2-X53井酸化管柱图，完成尾深1500m。</w:t>
      </w:r>
    </w:p>
    <w:p>
      <w:pPr>
        <w:pStyle w:val="2"/>
        <w:numPr>
          <w:ilvl w:val="0"/>
          <w:numId w:val="0"/>
        </w:numPr>
        <w:jc w:val="center"/>
        <w:rPr>
          <w:rFonts w:hint="eastAsia" w:ascii="Times New Roman" w:hAnsi="Times New Roman" w:eastAsia="宋体" w:cs="Times New Roman"/>
          <w:b/>
          <w:color w:val="auto"/>
          <w:kern w:val="2"/>
          <w:sz w:val="21"/>
          <w:szCs w:val="24"/>
          <w:lang w:val="en-US" w:eastAsia="zh-CN" w:bidi="ar-SA"/>
        </w:rPr>
      </w:pPr>
      <w:r>
        <w:rPr>
          <w:rFonts w:hint="eastAsia" w:ascii="Times New Roman" w:hAnsi="Times New Roman" w:eastAsia="宋体" w:cs="Times New Roman"/>
          <w:b/>
          <w:color w:val="auto"/>
          <w:kern w:val="2"/>
          <w:sz w:val="21"/>
          <w:szCs w:val="24"/>
          <w:lang w:val="en-US" w:eastAsia="en-US" w:bidi="ar-SA"/>
        </w:rPr>
        <w:t>图</w:t>
      </w:r>
      <w:r>
        <w:rPr>
          <w:rFonts w:hint="eastAsia" w:cs="Times New Roman"/>
          <w:b/>
          <w:color w:val="auto"/>
          <w:kern w:val="2"/>
          <w:sz w:val="21"/>
          <w:szCs w:val="24"/>
          <w:lang w:val="en-US" w:eastAsia="zh-CN" w:bidi="ar-SA"/>
        </w:rPr>
        <w:t xml:space="preserve">5-8  </w:t>
      </w:r>
      <w:r>
        <w:rPr>
          <w:rFonts w:hint="eastAsia" w:ascii="Times New Roman" w:hAnsi="Times New Roman" w:eastAsia="宋体" w:cs="Times New Roman"/>
          <w:b/>
          <w:color w:val="auto"/>
          <w:kern w:val="2"/>
          <w:sz w:val="21"/>
          <w:szCs w:val="24"/>
          <w:lang w:val="en-US" w:eastAsia="en-US" w:bidi="ar-SA"/>
        </w:rPr>
        <w:t>SDS2-X53井酸化管柱图</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outline w:val="0"/>
          <w:shadow w:val="0"/>
          <w:emboss w:val="0"/>
          <w:imprint w:val="0"/>
          <w:vanish w:val="0"/>
          <w:w w:val="100"/>
          <w:sz w:val="28"/>
          <w:u w:val="none"/>
          <w:lang w:val="en-US" w:eastAsia="zh-CN"/>
        </w:rPr>
      </w:pPr>
      <w:r>
        <w:rPr>
          <w:rFonts w:hint="eastAsia"/>
          <w:outline w:val="0"/>
          <w:shadow w:val="0"/>
          <w:emboss w:val="0"/>
          <w:imprint w:val="0"/>
          <w:vanish w:val="0"/>
          <w:w w:val="100"/>
          <w:sz w:val="28"/>
          <w:u w:val="none"/>
          <w:lang w:val="en-US" w:eastAsia="zh-CN"/>
        </w:rPr>
        <w:t>2.安装井口，连接施工管线：安装250型井口，连接地面施工管线，地面管线试压25MPa，稳压10min，不降、不刺不漏为合格。（要求井口装置能安全承压25MPa，井口用地锚和钢丝绳固定。）</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outline w:val="0"/>
          <w:shadow w:val="0"/>
          <w:emboss w:val="0"/>
          <w:imprint w:val="0"/>
          <w:vanish w:val="0"/>
          <w:w w:val="100"/>
          <w:sz w:val="28"/>
          <w:u w:val="none"/>
          <w:lang w:val="en-US" w:eastAsia="zh-CN"/>
        </w:rPr>
      </w:pPr>
      <w:r>
        <w:rPr>
          <w:rFonts w:hint="eastAsia"/>
          <w:outline w:val="0"/>
          <w:shadow w:val="0"/>
          <w:emboss w:val="0"/>
          <w:imprint w:val="0"/>
          <w:vanish w:val="0"/>
          <w:w w:val="100"/>
          <w:sz w:val="28"/>
          <w:u w:val="none"/>
          <w:lang w:val="en-US" w:eastAsia="zh-CN"/>
        </w:rPr>
        <w:t>3.试挤：打开井口油管闸门，试挤，记录排量在300L/min时，记录泵压，试挤量在5m</w:t>
      </w:r>
      <w:r>
        <w:rPr>
          <w:rFonts w:hint="eastAsia"/>
          <w:outline w:val="0"/>
          <w:shadow w:val="0"/>
          <w:emboss w:val="0"/>
          <w:imprint w:val="0"/>
          <w:vanish w:val="0"/>
          <w:w w:val="100"/>
          <w:sz w:val="28"/>
          <w:u w:val="none"/>
          <w:vertAlign w:val="superscript"/>
          <w:lang w:val="en-US" w:eastAsia="zh-CN"/>
        </w:rPr>
        <w:t>3</w:t>
      </w:r>
      <w:r>
        <w:rPr>
          <w:rFonts w:hint="eastAsia"/>
          <w:outline w:val="0"/>
          <w:shadow w:val="0"/>
          <w:emboss w:val="0"/>
          <w:imprint w:val="0"/>
          <w:vanish w:val="0"/>
          <w:w w:val="100"/>
          <w:sz w:val="28"/>
          <w:u w:val="none"/>
          <w:lang w:val="en-US" w:eastAsia="zh-CN"/>
        </w:rPr>
        <w:t>以上。</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outline w:val="0"/>
          <w:shadow w:val="0"/>
          <w:emboss w:val="0"/>
          <w:imprint w:val="0"/>
          <w:vanish w:val="0"/>
          <w:w w:val="100"/>
          <w:sz w:val="28"/>
          <w:u w:val="none"/>
          <w:lang w:val="en-US" w:eastAsia="zh-CN"/>
        </w:rPr>
      </w:pPr>
      <w:r>
        <w:rPr>
          <w:rFonts w:hint="eastAsia"/>
          <w:outline w:val="0"/>
          <w:shadow w:val="0"/>
          <w:emboss w:val="0"/>
          <w:imprint w:val="0"/>
          <w:vanish w:val="0"/>
          <w:w w:val="100"/>
          <w:sz w:val="28"/>
          <w:u w:val="none"/>
          <w:lang w:val="en-US" w:eastAsia="zh-CN"/>
        </w:rPr>
        <w:t>4.酸化施工：先正替</w:t>
      </w:r>
      <w:r>
        <w:rPr>
          <w:rFonts w:hint="eastAsia"/>
          <w:outline w:val="0"/>
          <w:shadow w:val="0"/>
          <w:emboss w:val="0"/>
          <w:imprint w:val="0"/>
          <w:vanish w:val="0"/>
          <w:w w:val="100"/>
          <w:sz w:val="28"/>
          <w:highlight w:val="none"/>
          <w:u w:val="none"/>
          <w:lang w:val="en-US" w:eastAsia="zh-CN"/>
        </w:rPr>
        <w:t>施工</w:t>
      </w:r>
      <w:r>
        <w:rPr>
          <w:rFonts w:hint="eastAsia"/>
          <w:outline w:val="0"/>
          <w:shadow w:val="0"/>
          <w:emboss w:val="0"/>
          <w:imprint w:val="0"/>
          <w:vanish w:val="0"/>
          <w:w w:val="100"/>
          <w:sz w:val="28"/>
          <w:u w:val="none"/>
          <w:lang w:val="en-US" w:eastAsia="zh-CN"/>
        </w:rPr>
        <w:t>，关井反应30min；再正挤前置酸16m</w:t>
      </w:r>
      <w:r>
        <w:rPr>
          <w:rFonts w:hint="default" w:ascii="Times New Roman" w:hAnsi="Times New Roman" w:cs="Times New Roman"/>
          <w:outline w:val="0"/>
          <w:shadow w:val="0"/>
          <w:emboss w:val="0"/>
          <w:imprint w:val="0"/>
          <w:vanish w:val="0"/>
          <w:w w:val="100"/>
          <w:sz w:val="28"/>
          <w:u w:val="none"/>
          <w:lang w:val="en-US" w:eastAsia="zh-CN"/>
        </w:rPr>
        <w:t>³</w:t>
      </w:r>
      <w:r>
        <w:rPr>
          <w:rFonts w:hint="eastAsia"/>
          <w:outline w:val="0"/>
          <w:shadow w:val="0"/>
          <w:emboss w:val="0"/>
          <w:imprint w:val="0"/>
          <w:vanish w:val="0"/>
          <w:w w:val="100"/>
          <w:sz w:val="28"/>
          <w:u w:val="none"/>
          <w:lang w:val="en-US" w:eastAsia="zh-CN"/>
        </w:rPr>
        <w:t>，正挤主体酸24m</w:t>
      </w:r>
      <w:r>
        <w:rPr>
          <w:rFonts w:hint="default" w:ascii="Times New Roman" w:hAnsi="Times New Roman" w:cs="Times New Roman"/>
          <w:outline w:val="0"/>
          <w:shadow w:val="0"/>
          <w:emboss w:val="0"/>
          <w:imprint w:val="0"/>
          <w:vanish w:val="0"/>
          <w:w w:val="100"/>
          <w:sz w:val="28"/>
          <w:u w:val="none"/>
          <w:lang w:val="en-US" w:eastAsia="zh-CN"/>
        </w:rPr>
        <w:t>³</w:t>
      </w:r>
      <w:r>
        <w:rPr>
          <w:rFonts w:hint="eastAsia"/>
          <w:outline w:val="0"/>
          <w:shadow w:val="0"/>
          <w:emboss w:val="0"/>
          <w:imprint w:val="0"/>
          <w:vanish w:val="0"/>
          <w:w w:val="100"/>
          <w:sz w:val="28"/>
          <w:u w:val="none"/>
          <w:lang w:val="en-US" w:eastAsia="zh-CN"/>
        </w:rPr>
        <w:t>；正挤后置酸10m</w:t>
      </w:r>
      <w:r>
        <w:rPr>
          <w:rFonts w:hint="default" w:ascii="Times New Roman" w:hAnsi="Times New Roman" w:cs="Times New Roman"/>
          <w:outline w:val="0"/>
          <w:shadow w:val="0"/>
          <w:emboss w:val="0"/>
          <w:imprint w:val="0"/>
          <w:vanish w:val="0"/>
          <w:w w:val="100"/>
          <w:sz w:val="28"/>
          <w:u w:val="none"/>
          <w:lang w:val="en-US" w:eastAsia="zh-CN"/>
        </w:rPr>
        <w:t>³</w:t>
      </w:r>
      <w:r>
        <w:rPr>
          <w:rFonts w:hint="eastAsia"/>
          <w:outline w:val="0"/>
          <w:shadow w:val="0"/>
          <w:emboss w:val="0"/>
          <w:imprint w:val="0"/>
          <w:vanish w:val="0"/>
          <w:w w:val="100"/>
          <w:sz w:val="28"/>
          <w:u w:val="none"/>
          <w:lang w:val="en-US" w:eastAsia="zh-CN"/>
        </w:rPr>
        <w:t>，后正挤</w:t>
      </w:r>
      <w:r>
        <w:rPr>
          <w:rFonts w:hint="eastAsia"/>
          <w:outline w:val="0"/>
          <w:shadow w:val="0"/>
          <w:emboss w:val="0"/>
          <w:imprint w:val="0"/>
          <w:vanish w:val="0"/>
          <w:w w:val="100"/>
          <w:sz w:val="28"/>
          <w:highlight w:val="none"/>
          <w:u w:val="none"/>
          <w:lang w:val="en-US" w:eastAsia="zh-CN"/>
        </w:rPr>
        <w:t>顶替液</w:t>
      </w:r>
      <w:r>
        <w:rPr>
          <w:rFonts w:hint="eastAsia"/>
          <w:outline w:val="0"/>
          <w:shadow w:val="0"/>
          <w:emboss w:val="0"/>
          <w:imprint w:val="0"/>
          <w:vanish w:val="0"/>
          <w:w w:val="100"/>
          <w:sz w:val="28"/>
          <w:u w:val="none"/>
          <w:lang w:val="en-US" w:eastAsia="zh-CN"/>
        </w:rPr>
        <w:t>15m</w:t>
      </w:r>
      <w:r>
        <w:rPr>
          <w:rFonts w:hint="default" w:ascii="Times New Roman" w:hAnsi="Times New Roman" w:cs="Times New Roman"/>
          <w:outline w:val="0"/>
          <w:shadow w:val="0"/>
          <w:emboss w:val="0"/>
          <w:imprint w:val="0"/>
          <w:vanish w:val="0"/>
          <w:w w:val="100"/>
          <w:sz w:val="28"/>
          <w:u w:val="none"/>
          <w:lang w:val="en-US" w:eastAsia="zh-CN"/>
        </w:rPr>
        <w:t>³</w:t>
      </w:r>
      <w:r>
        <w:rPr>
          <w:rFonts w:hint="eastAsia"/>
          <w:outline w:val="0"/>
          <w:shadow w:val="0"/>
          <w:emboss w:val="0"/>
          <w:imprint w:val="0"/>
          <w:vanish w:val="0"/>
          <w:w w:val="100"/>
          <w:sz w:val="28"/>
          <w:u w:val="none"/>
          <w:lang w:val="en-US" w:eastAsia="zh-CN"/>
        </w:rPr>
        <w:t>；关井反应1h。施工排量：10～20m</w:t>
      </w:r>
      <w:r>
        <w:rPr>
          <w:rFonts w:hint="eastAsia" w:ascii="Times New Roman" w:eastAsiaTheme="majorEastAsia"/>
          <w:outline w:val="0"/>
          <w:shadow w:val="0"/>
          <w:emboss w:val="0"/>
          <w:imprint w:val="0"/>
          <w:vanish w:val="0"/>
          <w:w w:val="100"/>
          <w:sz w:val="28"/>
          <w:u w:val="none"/>
          <w:vertAlign w:val="superscript"/>
          <w:lang w:val="en-US" w:eastAsia="zh-CN"/>
        </w:rPr>
        <w:t>3</w:t>
      </w:r>
      <w:r>
        <w:rPr>
          <w:rFonts w:hint="eastAsia"/>
          <w:outline w:val="0"/>
          <w:shadow w:val="0"/>
          <w:emboss w:val="0"/>
          <w:imprint w:val="0"/>
          <w:vanish w:val="0"/>
          <w:w w:val="100"/>
          <w:sz w:val="28"/>
          <w:u w:val="none"/>
          <w:lang w:val="en-US" w:eastAsia="zh-CN"/>
        </w:rPr>
        <w:t>/h，施工限压20MPa，根据现场情况，采取尽量大的施工排量。</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outline w:val="0"/>
          <w:shadow w:val="0"/>
          <w:emboss w:val="0"/>
          <w:imprint w:val="0"/>
          <w:vanish w:val="0"/>
          <w:w w:val="100"/>
          <w:sz w:val="28"/>
          <w:u w:val="none"/>
          <w:lang w:val="en-US" w:eastAsia="zh-CN"/>
        </w:rPr>
      </w:pPr>
      <w:r>
        <w:rPr>
          <w:rFonts w:hint="eastAsia"/>
          <w:outline w:val="0"/>
          <w:shadow w:val="0"/>
          <w:emboss w:val="0"/>
          <w:imprint w:val="0"/>
          <w:vanish w:val="0"/>
          <w:w w:val="100"/>
          <w:sz w:val="28"/>
          <w:u w:val="none"/>
          <w:lang w:val="en-US" w:eastAsia="zh-CN"/>
        </w:rPr>
        <w:t>5.混气排液：处理后的污水50m³＋6000Nm³氮气洗井(按现场情况控制返排量，返排至PH=7左右；根据现场返出液情况，多备1-2车污水)。连接好混气排液管线后，先启动氮气车组，氮气车组气举掏空1200m-1500m（压力显示12-15Mpa）后，再启动700型泵车，共同混气排液。当PH值降至6-7时，同时返出液与洗井进液一致后停止混排施工。若返排液PH值达不到6-7可使用适量的烧碱进行中和后拉运处理。（备40m³回收罐，出口接减喷器，放喷管使用硬管线连接并使用地锚固定。）</w:t>
      </w:r>
    </w:p>
    <w:p>
      <w:pPr>
        <w:keepNext w:val="0"/>
        <w:keepLines w:val="0"/>
        <w:pageBreakBefore w:val="0"/>
        <w:widowControl/>
        <w:numPr>
          <w:ilvl w:val="0"/>
          <w:numId w:val="33"/>
        </w:numPr>
        <w:kinsoku/>
        <w:wordWrap/>
        <w:overflowPunct/>
        <w:topLinePunct w:val="0"/>
        <w:autoSpaceDE/>
        <w:autoSpaceDN/>
        <w:bidi w:val="0"/>
        <w:adjustRightInd w:val="0"/>
        <w:snapToGrid w:val="0"/>
        <w:spacing w:after="0" w:line="360" w:lineRule="auto"/>
        <w:ind w:firstLine="560" w:firstLineChars="200"/>
        <w:jc w:val="left"/>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井身机构及井控设备配置</w:t>
      </w:r>
    </w:p>
    <w:p>
      <w:pPr>
        <w:keepNext w:val="0"/>
        <w:keepLines w:val="0"/>
        <w:pageBreakBefore w:val="0"/>
        <w:widowControl/>
        <w:kinsoku/>
        <w:wordWrap/>
        <w:overflowPunct/>
        <w:topLinePunct w:val="0"/>
        <w:autoSpaceDE/>
        <w:autoSpaceDN/>
        <w:bidi w:val="0"/>
        <w:adjustRightInd w:val="0"/>
        <w:snapToGrid w:val="0"/>
        <w:spacing w:before="0" w:after="0" w:line="240" w:lineRule="auto"/>
        <w:jc w:val="center"/>
        <w:textAlignment w:val="auto"/>
        <w:outlineLvl w:val="9"/>
        <w:rPr>
          <w:rFonts w:hint="eastAsia" w:ascii="Times New Roman" w:hAnsi="Times New Roman" w:eastAsia="宋体" w:cs="Times New Roman"/>
          <w:b/>
          <w:kern w:val="2"/>
          <w:sz w:val="21"/>
          <w:szCs w:val="21"/>
          <w:lang w:val="en-US" w:eastAsia="zh-CN" w:bidi="ar-SA"/>
        </w:rPr>
      </w:pPr>
      <w:r>
        <w:rPr>
          <w:rFonts w:hint="eastAsia" w:ascii="Times New Roman" w:hAnsi="Times New Roman" w:eastAsia="宋体" w:cs="Times New Roman"/>
          <w:b/>
          <w:kern w:val="2"/>
          <w:sz w:val="21"/>
          <w:szCs w:val="21"/>
          <w:lang w:val="en-US" w:eastAsia="zh-CN" w:bidi="ar-SA"/>
        </w:rPr>
        <w:t>表5-</w:t>
      </w:r>
      <w:r>
        <w:rPr>
          <w:rFonts w:hint="eastAsia" w:cs="Times New Roman"/>
          <w:b/>
          <w:kern w:val="2"/>
          <w:sz w:val="21"/>
          <w:szCs w:val="21"/>
          <w:lang w:val="en-US" w:eastAsia="zh-CN" w:bidi="ar-SA"/>
        </w:rPr>
        <w:t>7</w:t>
      </w:r>
      <w:r>
        <w:rPr>
          <w:rFonts w:hint="eastAsia" w:ascii="Times New Roman" w:hAnsi="Times New Roman" w:eastAsia="宋体" w:cs="Times New Roman"/>
          <w:b/>
          <w:kern w:val="2"/>
          <w:sz w:val="21"/>
          <w:szCs w:val="21"/>
          <w:lang w:val="en-US" w:eastAsia="zh-CN" w:bidi="ar-SA"/>
        </w:rPr>
        <w:t xml:space="preserve">  井身结构情况</w:t>
      </w:r>
    </w:p>
    <w:tbl>
      <w:tblPr>
        <w:tblStyle w:val="281"/>
        <w:tblW w:w="8439"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2031"/>
        <w:gridCol w:w="618"/>
        <w:gridCol w:w="721"/>
        <w:gridCol w:w="599"/>
        <w:gridCol w:w="600"/>
        <w:gridCol w:w="809"/>
        <w:gridCol w:w="1103"/>
        <w:gridCol w:w="1022"/>
        <w:gridCol w:w="93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2031" w:type="dxa"/>
            <w:vMerge w:val="restart"/>
            <w:tcBorders>
              <w:tl2br w:val="nil"/>
              <w:tr2bl w:val="nil"/>
            </w:tcBorders>
            <w:noWrap w:val="0"/>
            <w:tcMar>
              <w:top w:w="10" w:type="dxa"/>
              <w:left w:w="1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套管层次</w:t>
            </w:r>
          </w:p>
        </w:tc>
        <w:tc>
          <w:tcPr>
            <w:tcW w:w="618"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外径</w:t>
            </w:r>
          </w:p>
        </w:tc>
        <w:tc>
          <w:tcPr>
            <w:tcW w:w="721" w:type="dxa"/>
            <w:vMerge w:val="restart"/>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钢级</w:t>
            </w:r>
          </w:p>
        </w:tc>
        <w:tc>
          <w:tcPr>
            <w:tcW w:w="599"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壁厚</w:t>
            </w:r>
          </w:p>
        </w:tc>
        <w:tc>
          <w:tcPr>
            <w:tcW w:w="600"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内径</w:t>
            </w:r>
          </w:p>
        </w:tc>
        <w:tc>
          <w:tcPr>
            <w:tcW w:w="809"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抗内压</w:t>
            </w:r>
          </w:p>
        </w:tc>
        <w:tc>
          <w:tcPr>
            <w:tcW w:w="1103"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联入/顶深</w:t>
            </w:r>
          </w:p>
        </w:tc>
        <w:tc>
          <w:tcPr>
            <w:tcW w:w="1022"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下入深度</w:t>
            </w:r>
          </w:p>
        </w:tc>
        <w:tc>
          <w:tcPr>
            <w:tcW w:w="936" w:type="dxa"/>
            <w:tcBorders>
              <w:tl2br w:val="nil"/>
              <w:tr2bl w:val="nil"/>
            </w:tcBorders>
            <w:noWrap w:val="0"/>
            <w:tcMar>
              <w:top w:w="1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水泥返深</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2031"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bCs/>
                <w:i w:val="0"/>
                <w:iCs w:val="0"/>
                <w:smallCaps w:val="0"/>
                <w:color w:val="000000"/>
                <w:kern w:val="0"/>
                <w:sz w:val="21"/>
                <w:szCs w:val="21"/>
              </w:rPr>
            </w:pPr>
          </w:p>
        </w:tc>
        <w:tc>
          <w:tcPr>
            <w:tcW w:w="618"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mm</w:t>
            </w:r>
          </w:p>
        </w:tc>
        <w:tc>
          <w:tcPr>
            <w:tcW w:w="721" w:type="dxa"/>
            <w:vMerge w:val="continue"/>
            <w:tcBorders>
              <w:tl2br w:val="nil"/>
              <w:tr2bl w:val="nil"/>
            </w:tcBorders>
            <w:noWrap w:val="0"/>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b/>
                <w:bCs/>
                <w:i w:val="0"/>
                <w:iCs w:val="0"/>
                <w:smallCaps w:val="0"/>
                <w:color w:val="000000"/>
                <w:kern w:val="0"/>
                <w:sz w:val="21"/>
                <w:szCs w:val="21"/>
                <w:lang w:val="en-US" w:eastAsia="en-US"/>
              </w:rPr>
            </w:pPr>
          </w:p>
        </w:tc>
        <w:tc>
          <w:tcPr>
            <w:tcW w:w="599"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mm</w:t>
            </w:r>
          </w:p>
        </w:tc>
        <w:tc>
          <w:tcPr>
            <w:tcW w:w="600"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mm</w:t>
            </w:r>
          </w:p>
        </w:tc>
        <w:tc>
          <w:tcPr>
            <w:tcW w:w="809"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MPa</w:t>
            </w:r>
          </w:p>
        </w:tc>
        <w:tc>
          <w:tcPr>
            <w:tcW w:w="1103"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w:t>
            </w:r>
          </w:p>
        </w:tc>
        <w:tc>
          <w:tcPr>
            <w:tcW w:w="1022"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w:t>
            </w:r>
          </w:p>
        </w:tc>
        <w:tc>
          <w:tcPr>
            <w:tcW w:w="936" w:type="dxa"/>
            <w:tcBorders>
              <w:tl2br w:val="nil"/>
              <w:tr2bl w:val="nil"/>
            </w:tcBorders>
            <w:noWrap w:val="0"/>
            <w:tcMar>
              <w:top w:w="0" w:type="dxa"/>
              <w:left w:w="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lang w:val="en-US" w:eastAsia="en-US"/>
              </w:rPr>
              <w:t>m</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031"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表层套管</w:t>
            </w:r>
          </w:p>
        </w:tc>
        <w:tc>
          <w:tcPr>
            <w:tcW w:w="618"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273.1</w:t>
            </w:r>
          </w:p>
        </w:tc>
        <w:tc>
          <w:tcPr>
            <w:tcW w:w="721"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J55</w:t>
            </w:r>
          </w:p>
        </w:tc>
        <w:tc>
          <w:tcPr>
            <w:tcW w:w="599"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8.89</w:t>
            </w:r>
          </w:p>
        </w:tc>
        <w:tc>
          <w:tcPr>
            <w:tcW w:w="60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255.32</w:t>
            </w:r>
          </w:p>
        </w:tc>
        <w:tc>
          <w:tcPr>
            <w:tcW w:w="809"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21.58</w:t>
            </w:r>
          </w:p>
        </w:tc>
        <w:tc>
          <w:tcPr>
            <w:tcW w:w="1103"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8.09</w:t>
            </w:r>
          </w:p>
        </w:tc>
        <w:tc>
          <w:tcPr>
            <w:tcW w:w="1022"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211.5</w:t>
            </w:r>
          </w:p>
        </w:tc>
        <w:tc>
          <w:tcPr>
            <w:tcW w:w="936"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031"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油层套管</w:t>
            </w:r>
          </w:p>
        </w:tc>
        <w:tc>
          <w:tcPr>
            <w:tcW w:w="618"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177.8</w:t>
            </w:r>
          </w:p>
        </w:tc>
        <w:tc>
          <w:tcPr>
            <w:tcW w:w="721"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P110LC</w:t>
            </w:r>
          </w:p>
        </w:tc>
        <w:tc>
          <w:tcPr>
            <w:tcW w:w="599"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10.36</w:t>
            </w:r>
          </w:p>
        </w:tc>
        <w:tc>
          <w:tcPr>
            <w:tcW w:w="600"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157.08</w:t>
            </w:r>
          </w:p>
        </w:tc>
        <w:tc>
          <w:tcPr>
            <w:tcW w:w="809"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77.3</w:t>
            </w:r>
          </w:p>
        </w:tc>
        <w:tc>
          <w:tcPr>
            <w:tcW w:w="1103"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7.84</w:t>
            </w:r>
          </w:p>
        </w:tc>
        <w:tc>
          <w:tcPr>
            <w:tcW w:w="1022"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1613.08</w:t>
            </w:r>
          </w:p>
        </w:tc>
        <w:tc>
          <w:tcPr>
            <w:tcW w:w="936" w:type="dxa"/>
            <w:tcBorders>
              <w:tl2br w:val="nil"/>
              <w:tr2bl w:val="nil"/>
            </w:tcBorders>
            <w:noWrap w:val="0"/>
            <w:tcMar>
              <w:top w:w="10" w:type="dxa"/>
              <w:left w:w="1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031" w:type="dxa"/>
            <w:tcBorders>
              <w:tl2br w:val="nil"/>
              <w:tr2bl w:val="nil"/>
            </w:tcBorders>
            <w:noWrap w:val="0"/>
            <w:tcMar>
              <w:top w:w="0" w:type="dxa"/>
              <w:left w:w="1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Fonts w:hint="default" w:ascii="Times New Roman" w:hAnsi="Times New Roman" w:eastAsia="宋体" w:cs="Times New Roman"/>
                <w:b w:val="0"/>
                <w:bCs w:val="0"/>
                <w:i w:val="0"/>
                <w:iCs w:val="0"/>
                <w:smallCaps w:val="0"/>
                <w:color w:val="000000"/>
                <w:kern w:val="0"/>
                <w:sz w:val="21"/>
                <w:szCs w:val="21"/>
                <w:lang w:val="en-US" w:eastAsia="en-US"/>
              </w:rPr>
              <w:t>特殊套管位置（m）</w:t>
            </w:r>
          </w:p>
        </w:tc>
        <w:tc>
          <w:tcPr>
            <w:tcW w:w="6408" w:type="dxa"/>
            <w:gridSpan w:val="8"/>
            <w:tcBorders>
              <w:tl2br w:val="nil"/>
              <w:tr2bl w:val="nil"/>
            </w:tcBorders>
            <w:noWrap w:val="0"/>
            <w:tcMar>
              <w:top w:w="0" w:type="dxa"/>
              <w:left w:w="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磁性定位：1287.54-1290.08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031" w:type="dxa"/>
            <w:tcBorders>
              <w:tl2br w:val="nil"/>
              <w:tr2bl w:val="nil"/>
            </w:tcBorders>
            <w:noWrap w:val="0"/>
            <w:tcMar>
              <w:top w:w="0" w:type="dxa"/>
              <w:left w:w="1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Fonts w:hint="default" w:ascii="Times New Roman" w:hAnsi="Times New Roman" w:eastAsia="宋体" w:cs="Times New Roman"/>
                <w:b w:val="0"/>
                <w:bCs w:val="0"/>
                <w:i w:val="0"/>
                <w:iCs w:val="0"/>
                <w:smallCaps w:val="0"/>
                <w:color w:val="000000"/>
                <w:kern w:val="0"/>
                <w:sz w:val="21"/>
                <w:szCs w:val="21"/>
                <w:lang w:val="en-US" w:eastAsia="en-US"/>
              </w:rPr>
              <w:t>套管接箍位置</w:t>
            </w:r>
            <w:r>
              <w:rPr>
                <w:rFonts w:hint="default" w:ascii="Times New Roman" w:hAnsi="Times New Roman" w:eastAsia="宋体" w:cs="Times New Roman"/>
                <w:b w:val="0"/>
                <w:bCs w:val="0"/>
                <w:i w:val="0"/>
                <w:iCs w:val="0"/>
                <w:smallCaps w:val="0"/>
                <w:color w:val="000000"/>
                <w:kern w:val="0"/>
                <w:sz w:val="21"/>
                <w:szCs w:val="21"/>
              </w:rPr>
              <w:t>（</w:t>
            </w:r>
            <w:r>
              <w:rPr>
                <w:rFonts w:hint="default" w:ascii="Times New Roman" w:hAnsi="Times New Roman" w:eastAsia="宋体" w:cs="Times New Roman"/>
                <w:b w:val="0"/>
                <w:bCs w:val="0"/>
                <w:i w:val="0"/>
                <w:iCs w:val="0"/>
                <w:smallCaps w:val="0"/>
                <w:color w:val="000000"/>
                <w:kern w:val="0"/>
                <w:sz w:val="21"/>
                <w:szCs w:val="21"/>
                <w:lang w:val="en-US" w:eastAsia="en-US"/>
              </w:rPr>
              <w:t>m）</w:t>
            </w:r>
          </w:p>
        </w:tc>
        <w:tc>
          <w:tcPr>
            <w:tcW w:w="6408" w:type="dxa"/>
            <w:gridSpan w:val="8"/>
            <w:tcBorders>
              <w:tl2br w:val="nil"/>
              <w:tr2bl w:val="nil"/>
            </w:tcBorders>
            <w:noWrap w:val="0"/>
            <w:tcMar>
              <w:top w:w="0" w:type="dxa"/>
              <w:left w:w="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1276.39、1287.54、1290.08、1301.13、1312.12、1323.19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031" w:type="dxa"/>
            <w:tcBorders>
              <w:tl2br w:val="nil"/>
              <w:tr2bl w:val="nil"/>
            </w:tcBorders>
            <w:noWrap w:val="0"/>
            <w:tcMar>
              <w:top w:w="0" w:type="dxa"/>
              <w:left w:w="1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Fonts w:hint="default" w:ascii="Times New Roman" w:hAnsi="Times New Roman" w:eastAsia="宋体" w:cs="Times New Roman"/>
                <w:b w:val="0"/>
                <w:bCs w:val="0"/>
                <w:i w:val="0"/>
                <w:iCs w:val="0"/>
                <w:smallCaps w:val="0"/>
                <w:color w:val="000000"/>
                <w:kern w:val="0"/>
                <w:sz w:val="21"/>
                <w:szCs w:val="21"/>
              </w:rPr>
              <w:t>套管完好情况说明</w:t>
            </w:r>
          </w:p>
        </w:tc>
        <w:tc>
          <w:tcPr>
            <w:tcW w:w="6408" w:type="dxa"/>
            <w:gridSpan w:val="8"/>
            <w:tcBorders>
              <w:tl2br w:val="nil"/>
              <w:tr2bl w:val="nil"/>
            </w:tcBorders>
            <w:noWrap w:val="0"/>
            <w:tcMar>
              <w:top w:w="0" w:type="dxa"/>
              <w:left w:w="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完好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2031" w:type="dxa"/>
            <w:tcBorders>
              <w:tl2br w:val="nil"/>
              <w:tr2bl w:val="nil"/>
            </w:tcBorders>
            <w:noWrap w:val="0"/>
            <w:tcMar>
              <w:top w:w="0" w:type="dxa"/>
              <w:left w:w="10" w:type="dxa"/>
              <w:bottom w:w="10" w:type="dxa"/>
              <w:right w:w="10"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Fonts w:hint="default" w:ascii="Times New Roman" w:hAnsi="Times New Roman" w:eastAsia="宋体" w:cs="Times New Roman"/>
                <w:b w:val="0"/>
                <w:bCs w:val="0"/>
                <w:i w:val="0"/>
                <w:iCs w:val="0"/>
                <w:smallCaps w:val="0"/>
                <w:color w:val="000000"/>
                <w:kern w:val="0"/>
                <w:sz w:val="21"/>
                <w:szCs w:val="21"/>
              </w:rPr>
              <w:t>特殊说明</w:t>
            </w:r>
          </w:p>
        </w:tc>
        <w:tc>
          <w:tcPr>
            <w:tcW w:w="6408" w:type="dxa"/>
            <w:gridSpan w:val="8"/>
            <w:tcBorders>
              <w:tl2br w:val="nil"/>
              <w:tr2bl w:val="nil"/>
            </w:tcBorders>
            <w:noWrap w:val="0"/>
            <w:tcMar>
              <w:top w:w="0" w:type="dxa"/>
              <w:left w:w="0" w:type="dxa"/>
              <w:bottom w:w="10" w:type="dxa"/>
              <w:right w:w="10"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无</w:t>
            </w:r>
          </w:p>
        </w:tc>
      </w:tr>
    </w:tbl>
    <w:p>
      <w:pPr>
        <w:keepNext w:val="0"/>
        <w:keepLines w:val="0"/>
        <w:pageBreakBefore w:val="0"/>
        <w:widowControl/>
        <w:kinsoku/>
        <w:wordWrap/>
        <w:overflowPunct/>
        <w:topLinePunct w:val="0"/>
        <w:autoSpaceDE/>
        <w:autoSpaceDN/>
        <w:bidi w:val="0"/>
        <w:adjustRightInd w:val="0"/>
        <w:snapToGrid w:val="0"/>
        <w:spacing w:before="157" w:beforeLines="50" w:after="0" w:line="240" w:lineRule="auto"/>
        <w:jc w:val="center"/>
        <w:textAlignment w:val="auto"/>
        <w:outlineLvl w:val="9"/>
        <w:rPr>
          <w:rFonts w:hint="eastAsia" w:ascii="Times New Roman" w:hAnsi="Times New Roman" w:cs="Times New Roman"/>
          <w:b/>
          <w:kern w:val="2"/>
          <w:sz w:val="21"/>
          <w:szCs w:val="21"/>
          <w:lang w:val="en-US" w:eastAsia="zh-CN" w:bidi="ar-SA"/>
        </w:rPr>
      </w:pPr>
      <w:r>
        <w:rPr>
          <w:rFonts w:hint="eastAsia" w:ascii="Times New Roman" w:hAnsi="Times New Roman" w:eastAsia="宋体" w:cs="Times New Roman"/>
          <w:b/>
          <w:kern w:val="2"/>
          <w:sz w:val="21"/>
          <w:szCs w:val="21"/>
          <w:lang w:val="en-US" w:eastAsia="zh-CN" w:bidi="ar-SA"/>
        </w:rPr>
        <w:t>表5-</w:t>
      </w:r>
      <w:r>
        <w:rPr>
          <w:rFonts w:hint="eastAsia" w:cs="Times New Roman"/>
          <w:b/>
          <w:kern w:val="2"/>
          <w:sz w:val="21"/>
          <w:szCs w:val="21"/>
          <w:lang w:val="en-US" w:eastAsia="zh-CN" w:bidi="ar-SA"/>
        </w:rPr>
        <w:t>8</w:t>
      </w:r>
      <w:r>
        <w:rPr>
          <w:rFonts w:hint="eastAsia" w:ascii="Times New Roman" w:hAnsi="Times New Roman" w:eastAsia="宋体" w:cs="Times New Roman"/>
          <w:b/>
          <w:kern w:val="2"/>
          <w:sz w:val="21"/>
          <w:szCs w:val="21"/>
          <w:lang w:val="en-US" w:eastAsia="zh-CN" w:bidi="ar-SA"/>
        </w:rPr>
        <w:t xml:space="preserve">  井控设备配置</w:t>
      </w:r>
      <w:r>
        <w:rPr>
          <w:rFonts w:hint="eastAsia" w:ascii="Times New Roman" w:hAnsi="Times New Roman" w:cs="Times New Roman"/>
          <w:b/>
          <w:kern w:val="2"/>
          <w:sz w:val="21"/>
          <w:szCs w:val="21"/>
          <w:lang w:val="en-US" w:eastAsia="zh-CN" w:bidi="ar-SA"/>
        </w:rPr>
        <w:t>情况</w:t>
      </w:r>
    </w:p>
    <w:tbl>
      <w:tblPr>
        <w:tblStyle w:val="281"/>
        <w:tblW w:w="854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090"/>
        <w:gridCol w:w="1193"/>
        <w:gridCol w:w="658"/>
        <w:gridCol w:w="707"/>
        <w:gridCol w:w="489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blHeader/>
          <w:jc w:val="center"/>
        </w:trPr>
        <w:tc>
          <w:tcPr>
            <w:tcW w:w="1090" w:type="dxa"/>
            <w:tcBorders>
              <w:tl2br w:val="nil"/>
              <w:tr2bl w:val="nil"/>
            </w:tcBorders>
            <w:noWrap w:val="0"/>
            <w:tcMar>
              <w:top w:w="10" w:type="dxa"/>
              <w:left w:w="11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设备类型</w:t>
            </w:r>
          </w:p>
        </w:tc>
        <w:tc>
          <w:tcPr>
            <w:tcW w:w="1193"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设备型号</w:t>
            </w:r>
          </w:p>
        </w:tc>
        <w:tc>
          <w:tcPr>
            <w:tcW w:w="658"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单位</w:t>
            </w:r>
          </w:p>
        </w:tc>
        <w:tc>
          <w:tcPr>
            <w:tcW w:w="707"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数量</w:t>
            </w:r>
          </w:p>
        </w:tc>
        <w:tc>
          <w:tcPr>
            <w:tcW w:w="4894" w:type="dxa"/>
            <w:tcBorders>
              <w:tl2br w:val="nil"/>
              <w:tr2bl w:val="nil"/>
            </w:tcBorders>
            <w:noWrap w:val="0"/>
            <w:tcMar>
              <w:top w:w="10" w:type="dxa"/>
              <w:left w:w="108" w:type="dxa"/>
              <w:bottom w:w="10" w:type="dxa"/>
              <w:right w:w="118" w:type="dxa"/>
            </w:tcMar>
            <w:vAlign w:val="center"/>
          </w:tcPr>
          <w:p>
            <w:pPr>
              <w:pStyle w:val="280"/>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bCs/>
                <w:i w:val="0"/>
                <w:iCs w:val="0"/>
                <w:smallCaps w:val="0"/>
                <w:color w:val="000000"/>
                <w:kern w:val="0"/>
                <w:sz w:val="21"/>
                <w:szCs w:val="21"/>
              </w:rPr>
            </w:pPr>
            <w:r>
              <w:rPr>
                <w:rFonts w:hint="default" w:ascii="Times New Roman" w:hAnsi="Times New Roman" w:eastAsia="宋体" w:cs="Times New Roman"/>
                <w:b/>
                <w:bCs/>
                <w:i w:val="0"/>
                <w:iCs w:val="0"/>
                <w:smallCaps w:val="0"/>
                <w:color w:val="000000"/>
                <w:kern w:val="0"/>
                <w:sz w:val="21"/>
                <w:szCs w:val="21"/>
              </w:rPr>
              <w:t>现场试压要求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090"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作业手动双闸板防喷器</w:t>
            </w:r>
          </w:p>
        </w:tc>
        <w:tc>
          <w:tcPr>
            <w:tcW w:w="1193"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2SFZ18-35</w:t>
            </w:r>
          </w:p>
        </w:tc>
        <w:tc>
          <w:tcPr>
            <w:tcW w:w="658"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台</w:t>
            </w:r>
          </w:p>
        </w:tc>
        <w:tc>
          <w:tcPr>
            <w:tcW w:w="707"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1</w:t>
            </w:r>
          </w:p>
        </w:tc>
        <w:tc>
          <w:tcPr>
            <w:tcW w:w="4894"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left"/>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根据井口、防喷器的额定工作压力确定试压压力，稳压15min，压降不超过0.7MPa为合格。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jc w:val="center"/>
        </w:trPr>
        <w:tc>
          <w:tcPr>
            <w:tcW w:w="1090"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油管旋塞阀</w:t>
            </w:r>
          </w:p>
        </w:tc>
        <w:tc>
          <w:tcPr>
            <w:tcW w:w="1193"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XSF-35</w:t>
            </w:r>
          </w:p>
        </w:tc>
        <w:tc>
          <w:tcPr>
            <w:tcW w:w="658"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个</w:t>
            </w:r>
          </w:p>
        </w:tc>
        <w:tc>
          <w:tcPr>
            <w:tcW w:w="707"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center"/>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2</w:t>
            </w:r>
          </w:p>
        </w:tc>
        <w:tc>
          <w:tcPr>
            <w:tcW w:w="4894" w:type="dxa"/>
            <w:tcBorders>
              <w:tl2br w:val="nil"/>
              <w:tr2bl w:val="nil"/>
            </w:tcBorders>
            <w:noWrap w:val="0"/>
            <w:tcMar>
              <w:top w:w="10" w:type="dxa"/>
              <w:left w:w="118" w:type="dxa"/>
              <w:bottom w:w="10" w:type="dxa"/>
              <w:right w:w="118" w:type="dxa"/>
            </w:tcMar>
            <w:vAlign w:val="center"/>
          </w:tcPr>
          <w:p>
            <w:pPr>
              <w:keepNext w:val="0"/>
              <w:keepLines w:val="0"/>
              <w:widowControl/>
              <w:suppressLineNumbers w:val="0"/>
              <w:spacing w:before="0" w:beforeAutospacing="0" w:after="0" w:afterAutospacing="0"/>
              <w:ind w:left="0" w:right="0"/>
              <w:jc w:val="left"/>
              <w:rPr>
                <w:rStyle w:val="54"/>
                <w:rFonts w:hint="default" w:ascii="Times New Roman" w:hAnsi="Times New Roman" w:eastAsia="宋体" w:cs="Times New Roman"/>
                <w:b w:val="0"/>
                <w:bCs w:val="0"/>
                <w:i w:val="0"/>
                <w:iCs w:val="0"/>
                <w:smallCaps w:val="0"/>
                <w:color w:val="000000"/>
                <w:kern w:val="0"/>
                <w:sz w:val="21"/>
                <w:szCs w:val="21"/>
              </w:rPr>
            </w:pPr>
            <w:r>
              <w:rPr>
                <w:rStyle w:val="54"/>
                <w:rFonts w:hint="default" w:ascii="Times New Roman" w:hAnsi="Times New Roman" w:eastAsia="宋体" w:cs="Times New Roman"/>
                <w:b w:val="0"/>
                <w:bCs w:val="0"/>
                <w:i w:val="0"/>
                <w:iCs w:val="0"/>
                <w:smallCaps w:val="0"/>
                <w:color w:val="000000"/>
                <w:kern w:val="0"/>
                <w:sz w:val="21"/>
                <w:szCs w:val="21"/>
              </w:rPr>
              <w:t>根据井口、防喷器的额定工作压力确定试压压力，稳压15min，压降不超过0.7MPa为合格。</w:t>
            </w:r>
          </w:p>
        </w:tc>
      </w:tr>
    </w:tbl>
    <w:p>
      <w:pPr>
        <w:pStyle w:val="216"/>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560" w:firstLineChars="200"/>
        <w:textAlignment w:val="auto"/>
        <w:rPr>
          <w:rFonts w:hint="eastAsia"/>
          <w:sz w:val="28"/>
          <w:szCs w:val="28"/>
          <w:lang w:eastAsia="zh-CN"/>
        </w:rPr>
      </w:pPr>
      <w:r>
        <w:rPr>
          <w:rFonts w:hint="eastAsia"/>
          <w:sz w:val="28"/>
          <w:szCs w:val="28"/>
        </w:rPr>
        <w:t>井控设备安装示意图</w:t>
      </w:r>
      <w:r>
        <w:rPr>
          <w:rFonts w:hint="eastAsia"/>
          <w:sz w:val="28"/>
          <w:szCs w:val="28"/>
          <w:lang w:eastAsia="zh-CN"/>
        </w:rPr>
        <w:t>：</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jc w:val="center"/>
        <w:textAlignment w:val="auto"/>
        <w:rPr>
          <w:rFonts w:hint="eastAsia" w:ascii="Times New Roman" w:hAnsi="Times New Roman" w:eastAsia="宋体" w:cs="Times New Roman"/>
          <w:b/>
          <w:kern w:val="2"/>
          <w:sz w:val="21"/>
          <w:szCs w:val="21"/>
          <w:lang w:val="en-US" w:eastAsia="en-US" w:bidi="ar-SA"/>
        </w:rPr>
      </w:pPr>
      <w:r>
        <w:rPr>
          <w:rFonts w:hint="eastAsia"/>
          <w:sz w:val="28"/>
          <w:szCs w:val="28"/>
          <w:lang w:val="en-US" w:eastAsia="zh-CN"/>
        </w:rPr>
        <w:drawing>
          <wp:inline distT="0" distB="0" distL="114300" distR="114300">
            <wp:extent cx="5578475" cy="1847850"/>
            <wp:effectExtent l="0" t="0" r="3175" b="0"/>
            <wp:docPr id="5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2"/>
                    <pic:cNvPicPr>
                      <a:picLocks noChangeAspect="1"/>
                    </pic:cNvPicPr>
                  </pic:nvPicPr>
                  <pic:blipFill>
                    <a:blip r:embed="rId37"/>
                    <a:stretch>
                      <a:fillRect/>
                    </a:stretch>
                  </pic:blipFill>
                  <pic:spPr>
                    <a:xfrm>
                      <a:off x="0" y="0"/>
                      <a:ext cx="5578475" cy="1847850"/>
                    </a:xfrm>
                    <a:prstGeom prst="rect">
                      <a:avLst/>
                    </a:prstGeom>
                    <a:noFill/>
                    <a:ln>
                      <a:noFill/>
                    </a:ln>
                  </pic:spPr>
                </pic:pic>
              </a:graphicData>
            </a:graphic>
          </wp:inline>
        </w:drawing>
      </w:r>
      <w:r>
        <w:rPr>
          <w:rFonts w:hint="eastAsia" w:ascii="Times New Roman" w:hAnsi="Times New Roman" w:eastAsia="宋体" w:cs="Times New Roman"/>
          <w:b/>
          <w:kern w:val="2"/>
          <w:sz w:val="21"/>
          <w:szCs w:val="21"/>
          <w:lang w:val="en-US" w:eastAsia="en-US" w:bidi="ar-SA"/>
        </w:rPr>
        <w:t>图5-</w:t>
      </w:r>
      <w:r>
        <w:rPr>
          <w:rFonts w:hint="eastAsia" w:cs="Times New Roman"/>
          <w:b/>
          <w:kern w:val="2"/>
          <w:sz w:val="21"/>
          <w:szCs w:val="21"/>
          <w:lang w:val="en-US" w:eastAsia="zh-CN" w:bidi="ar-SA"/>
        </w:rPr>
        <w:t>9</w:t>
      </w:r>
      <w:r>
        <w:rPr>
          <w:rFonts w:hint="eastAsia" w:ascii="Times New Roman" w:hAnsi="Times New Roman" w:cs="Times New Roman"/>
          <w:b/>
          <w:kern w:val="2"/>
          <w:sz w:val="21"/>
          <w:szCs w:val="21"/>
          <w:lang w:val="en-US" w:eastAsia="zh-CN" w:bidi="ar-SA"/>
        </w:rPr>
        <w:t xml:space="preserve">  井控设备安装示意图</w:t>
      </w:r>
    </w:p>
    <w:p>
      <w:pPr>
        <w:keepNext w:val="0"/>
        <w:keepLines w:val="0"/>
        <w:pageBreakBefore w:val="0"/>
        <w:widowControl/>
        <w:numPr>
          <w:ilvl w:val="0"/>
          <w:numId w:val="33"/>
        </w:numPr>
        <w:kinsoku/>
        <w:wordWrap/>
        <w:overflowPunct/>
        <w:topLinePunct w:val="0"/>
        <w:autoSpaceDE/>
        <w:autoSpaceDN/>
        <w:bidi w:val="0"/>
        <w:adjustRightInd w:val="0"/>
        <w:snapToGrid w:val="0"/>
        <w:spacing w:after="0" w:line="360" w:lineRule="auto"/>
        <w:ind w:left="0" w:leftChars="0" w:firstLine="560" w:firstLineChars="200"/>
        <w:jc w:val="left"/>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设备设施及现场施工情况</w:t>
      </w:r>
    </w:p>
    <w:p>
      <w:pPr>
        <w:pStyle w:val="2"/>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eastAsia"/>
          <w:lang w:val="en-US" w:eastAsia="zh-CN"/>
        </w:rPr>
      </w:pPr>
      <w:r>
        <w:rPr>
          <w:rFonts w:hint="eastAsia" w:ascii="Times New Roman" w:hAnsi="Times New Roman" w:eastAsia="宋体" w:cs="Times New Roman"/>
          <w:b/>
          <w:kern w:val="2"/>
          <w:sz w:val="21"/>
          <w:szCs w:val="21"/>
          <w:lang w:val="en-US" w:eastAsia="zh-CN" w:bidi="ar-SA"/>
        </w:rPr>
        <w:t>表5-</w:t>
      </w:r>
      <w:r>
        <w:rPr>
          <w:rFonts w:hint="eastAsia" w:cs="Times New Roman"/>
          <w:b/>
          <w:kern w:val="2"/>
          <w:sz w:val="21"/>
          <w:szCs w:val="21"/>
          <w:lang w:val="en-US" w:eastAsia="zh-CN" w:bidi="ar-SA"/>
        </w:rPr>
        <w:t>9</w:t>
      </w:r>
      <w:r>
        <w:rPr>
          <w:rFonts w:hint="eastAsia" w:ascii="Times New Roman" w:hAnsi="Times New Roman" w:eastAsia="宋体" w:cs="Times New Roman"/>
          <w:b/>
          <w:kern w:val="2"/>
          <w:sz w:val="21"/>
          <w:szCs w:val="21"/>
          <w:lang w:val="en-US" w:eastAsia="zh-CN" w:bidi="ar-SA"/>
        </w:rPr>
        <w:t xml:space="preserve">  </w:t>
      </w:r>
      <w:r>
        <w:rPr>
          <w:rFonts w:hint="eastAsia" w:cs="Times New Roman"/>
          <w:b/>
          <w:kern w:val="2"/>
          <w:sz w:val="21"/>
          <w:szCs w:val="21"/>
          <w:lang w:val="en-US" w:eastAsia="zh-CN" w:bidi="ar-SA"/>
        </w:rPr>
        <w:t>尚2-斜53井进行光油管酸化作业</w:t>
      </w:r>
      <w:r>
        <w:rPr>
          <w:rFonts w:hint="eastAsia" w:ascii="Times New Roman" w:hAnsi="Times New Roman" w:eastAsia="宋体" w:cs="Times New Roman"/>
          <w:b/>
          <w:kern w:val="2"/>
          <w:sz w:val="21"/>
          <w:szCs w:val="21"/>
          <w:lang w:val="en-US" w:eastAsia="zh-CN" w:bidi="ar-SA"/>
        </w:rPr>
        <w:t>设备配置</w:t>
      </w:r>
      <w:r>
        <w:rPr>
          <w:rFonts w:hint="eastAsia" w:ascii="Times New Roman" w:hAnsi="Times New Roman" w:cs="Times New Roman"/>
          <w:b/>
          <w:kern w:val="2"/>
          <w:sz w:val="21"/>
          <w:szCs w:val="21"/>
          <w:lang w:val="en-US" w:eastAsia="zh-CN" w:bidi="ar-SA"/>
        </w:rPr>
        <w:t>情况</w:t>
      </w:r>
    </w:p>
    <w:tbl>
      <w:tblPr>
        <w:tblStyle w:val="52"/>
        <w:tblW w:w="8348"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399"/>
        <w:gridCol w:w="1165"/>
        <w:gridCol w:w="831"/>
        <w:gridCol w:w="1322"/>
        <w:gridCol w:w="1319"/>
        <w:gridCol w:w="1320"/>
        <w:gridCol w:w="1275"/>
        <w:gridCol w:w="71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85" w:hRule="atLeast"/>
          <w:jc w:val="center"/>
        </w:trPr>
        <w:tc>
          <w:tcPr>
            <w:tcW w:w="39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序号</w:t>
            </w:r>
          </w:p>
        </w:tc>
        <w:tc>
          <w:tcPr>
            <w:tcW w:w="116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设备名称</w:t>
            </w:r>
          </w:p>
        </w:tc>
        <w:tc>
          <w:tcPr>
            <w:tcW w:w="831"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数量/型号</w:t>
            </w:r>
          </w:p>
        </w:tc>
        <w:tc>
          <w:tcPr>
            <w:tcW w:w="1322"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eastAsia" w:ascii="Times New Roman" w:hAnsi="Times New Roman" w:eastAsia="宋体" w:cs="Times New Roman"/>
                <w:kern w:val="2"/>
                <w:sz w:val="21"/>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报告编号</w:t>
            </w:r>
          </w:p>
        </w:tc>
        <w:tc>
          <w:tcPr>
            <w:tcW w:w="1319"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eastAsia" w:ascii="Times New Roman" w:hAnsi="Times New Roman" w:eastAsia="宋体" w:cs="Times New Roman"/>
                <w:kern w:val="2"/>
                <w:sz w:val="21"/>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检测日期</w:t>
            </w:r>
          </w:p>
        </w:tc>
        <w:tc>
          <w:tcPr>
            <w:tcW w:w="1320"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eastAsia" w:ascii="Times New Roman" w:hAnsi="Times New Roman" w:eastAsia="宋体" w:cs="Times New Roman"/>
                <w:kern w:val="2"/>
                <w:sz w:val="21"/>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下次检测日期</w:t>
            </w:r>
          </w:p>
        </w:tc>
        <w:tc>
          <w:tcPr>
            <w:tcW w:w="1275"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eastAsia" w:ascii="Times New Roman" w:hAnsi="Times New Roman" w:eastAsia="宋体" w:cs="Times New Roman"/>
                <w:kern w:val="2"/>
                <w:sz w:val="21"/>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检测机构</w:t>
            </w:r>
          </w:p>
        </w:tc>
        <w:tc>
          <w:tcPr>
            <w:tcW w:w="717"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eastAsia" w:ascii="Times New Roman" w:hAnsi="Times New Roman" w:eastAsia="宋体" w:cs="Times New Roman"/>
                <w:kern w:val="2"/>
                <w:sz w:val="21"/>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检测结论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78" w:hRule="atLeast"/>
          <w:jc w:val="center"/>
        </w:trPr>
        <w:tc>
          <w:tcPr>
            <w:tcW w:w="399"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lang w:val="en-US" w:eastAsia="zh-CN"/>
              </w:rPr>
            </w:pPr>
            <w:r>
              <w:rPr>
                <w:rFonts w:hint="eastAsia" w:ascii="Times New Roman" w:hAnsi="Times New Roman" w:cs="Times New Roman"/>
                <w:lang w:val="en-US" w:eastAsia="zh-CN"/>
              </w:rPr>
              <w:t>1</w:t>
            </w:r>
          </w:p>
        </w:tc>
        <w:tc>
          <w:tcPr>
            <w:tcW w:w="1165"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lang w:val="en-US" w:eastAsia="zh-CN"/>
              </w:rPr>
              <w:t>泵车</w:t>
            </w:r>
          </w:p>
        </w:tc>
        <w:tc>
          <w:tcPr>
            <w:tcW w:w="831"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lang w:val="en-US" w:eastAsia="zh-CN"/>
              </w:rPr>
              <w:t>一辆</w:t>
            </w:r>
          </w:p>
        </w:tc>
        <w:tc>
          <w:tcPr>
            <w:tcW w:w="1322"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lang w:val="en-US" w:eastAsia="zh-CN"/>
              </w:rPr>
              <w:t>/</w:t>
            </w:r>
          </w:p>
        </w:tc>
        <w:tc>
          <w:tcPr>
            <w:tcW w:w="1319"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lang w:val="en-US" w:eastAsia="zh-CN"/>
              </w:rPr>
              <w:t>/</w:t>
            </w:r>
          </w:p>
        </w:tc>
        <w:tc>
          <w:tcPr>
            <w:tcW w:w="1320"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lang w:val="en-US" w:eastAsia="zh-CN"/>
              </w:rPr>
              <w:t>/</w:t>
            </w:r>
          </w:p>
        </w:tc>
        <w:tc>
          <w:tcPr>
            <w:tcW w:w="1275"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lang w:val="en-US" w:eastAsia="zh-CN"/>
              </w:rPr>
              <w:t>/</w:t>
            </w:r>
          </w:p>
        </w:tc>
        <w:tc>
          <w:tcPr>
            <w:tcW w:w="717"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s="Times New Roman"/>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399"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lang w:val="en-US" w:eastAsia="zh-CN"/>
              </w:rPr>
            </w:pPr>
            <w:r>
              <w:rPr>
                <w:rFonts w:hint="eastAsia" w:ascii="Times New Roman" w:hAnsi="Times New Roman" w:cs="Times New Roman"/>
                <w:lang w:val="en-US" w:eastAsia="zh-CN"/>
              </w:rPr>
              <w:t>2</w:t>
            </w:r>
          </w:p>
        </w:tc>
        <w:tc>
          <w:tcPr>
            <w:tcW w:w="1165"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高压管汇</w:t>
            </w:r>
          </w:p>
        </w:tc>
        <w:tc>
          <w:tcPr>
            <w:tcW w:w="831"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700型</w:t>
            </w:r>
          </w:p>
        </w:tc>
        <w:tc>
          <w:tcPr>
            <w:tcW w:w="1322"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SBTS2047-2022</w:t>
            </w:r>
          </w:p>
        </w:tc>
        <w:tc>
          <w:tcPr>
            <w:tcW w:w="1319"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2022</w:t>
            </w:r>
            <w:r>
              <w:rPr>
                <w:rFonts w:hint="eastAsia" w:cs="Times New Roman"/>
                <w:lang w:val="en-US" w:eastAsia="zh-CN"/>
              </w:rPr>
              <w:t>.</w:t>
            </w:r>
            <w:r>
              <w:rPr>
                <w:rFonts w:hint="eastAsia" w:ascii="Times New Roman" w:hAnsi="Times New Roman" w:eastAsia="宋体" w:cs="Times New Roman"/>
                <w:lang w:val="en-US" w:eastAsia="zh-CN"/>
              </w:rPr>
              <w:t>2.21</w:t>
            </w:r>
          </w:p>
        </w:tc>
        <w:tc>
          <w:tcPr>
            <w:tcW w:w="1320"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2023</w:t>
            </w:r>
            <w:r>
              <w:rPr>
                <w:rFonts w:hint="eastAsia" w:cs="Times New Roman"/>
                <w:lang w:val="en-US" w:eastAsia="zh-CN"/>
              </w:rPr>
              <w:t>.</w:t>
            </w:r>
            <w:r>
              <w:rPr>
                <w:rFonts w:hint="eastAsia" w:ascii="Times New Roman" w:hAnsi="Times New Roman" w:eastAsia="宋体" w:cs="Times New Roman"/>
                <w:lang w:val="en-US" w:eastAsia="zh-CN"/>
              </w:rPr>
              <w:t>2.21</w:t>
            </w:r>
          </w:p>
        </w:tc>
        <w:tc>
          <w:tcPr>
            <w:tcW w:w="1275"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胜利油田设备监测站</w:t>
            </w:r>
          </w:p>
        </w:tc>
        <w:tc>
          <w:tcPr>
            <w:tcW w:w="717"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合格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399"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lang w:val="en-US" w:eastAsia="zh-CN"/>
              </w:rPr>
            </w:pPr>
            <w:r>
              <w:rPr>
                <w:rFonts w:hint="eastAsia" w:ascii="Times New Roman" w:hAnsi="Times New Roman" w:cs="Times New Roman"/>
                <w:lang w:val="en-US" w:eastAsia="zh-CN"/>
              </w:rPr>
              <w:t>3</w:t>
            </w:r>
          </w:p>
        </w:tc>
        <w:tc>
          <w:tcPr>
            <w:tcW w:w="1165"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罐车</w:t>
            </w:r>
          </w:p>
        </w:tc>
        <w:tc>
          <w:tcPr>
            <w:tcW w:w="831"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两辆</w:t>
            </w:r>
          </w:p>
        </w:tc>
        <w:tc>
          <w:tcPr>
            <w:tcW w:w="1322"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1319"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1320"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1275"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717"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78" w:hRule="atLeast"/>
          <w:jc w:val="center"/>
        </w:trPr>
        <w:tc>
          <w:tcPr>
            <w:tcW w:w="399"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lang w:val="en-US" w:eastAsia="zh-CN"/>
              </w:rPr>
            </w:pPr>
            <w:r>
              <w:rPr>
                <w:rFonts w:hint="eastAsia" w:ascii="Times New Roman" w:hAnsi="Times New Roman" w:cs="Times New Roman"/>
                <w:lang w:val="en-US" w:eastAsia="zh-CN"/>
              </w:rPr>
              <w:t>4</w:t>
            </w:r>
          </w:p>
        </w:tc>
        <w:tc>
          <w:tcPr>
            <w:tcW w:w="1165"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搅拌罐</w:t>
            </w:r>
          </w:p>
        </w:tc>
        <w:tc>
          <w:tcPr>
            <w:tcW w:w="831"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一个</w:t>
            </w:r>
          </w:p>
        </w:tc>
        <w:tc>
          <w:tcPr>
            <w:tcW w:w="1322"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1319"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1320"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1275"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717"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45" w:hRule="atLeast"/>
          <w:jc w:val="center"/>
        </w:trPr>
        <w:tc>
          <w:tcPr>
            <w:tcW w:w="399"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Times New Roman" w:hAnsi="Times New Roman" w:eastAsia="宋体" w:cs="Times New Roman"/>
                <w:lang w:val="en-US" w:eastAsia="zh-CN"/>
              </w:rPr>
            </w:pPr>
            <w:r>
              <w:rPr>
                <w:rFonts w:hint="eastAsia" w:ascii="Times New Roman" w:hAnsi="Times New Roman" w:cs="Times New Roman"/>
                <w:lang w:val="en-US" w:eastAsia="zh-CN"/>
              </w:rPr>
              <w:t>5</w:t>
            </w:r>
          </w:p>
        </w:tc>
        <w:tc>
          <w:tcPr>
            <w:tcW w:w="1165"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大罐</w:t>
            </w:r>
          </w:p>
        </w:tc>
        <w:tc>
          <w:tcPr>
            <w:tcW w:w="831"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一个</w:t>
            </w:r>
          </w:p>
        </w:tc>
        <w:tc>
          <w:tcPr>
            <w:tcW w:w="1322"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1319"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1320"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1275"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c>
          <w:tcPr>
            <w:tcW w:w="717" w:type="dxa"/>
            <w:tcBorders>
              <w:tl2br w:val="nil"/>
              <w:tr2bl w:val="nil"/>
            </w:tcBorders>
            <w:shd w:val="clear" w:color="auto" w:fill="auto"/>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eastAsia" w:ascii="Times New Roman" w:hAnsi="Times New Roman" w:cs="Times New Roman"/>
              </w:rPr>
            </w:pPr>
            <w:r>
              <w:rPr>
                <w:rFonts w:hint="eastAsia" w:ascii="Times New Roman" w:hAnsi="Times New Roman" w:eastAsia="宋体" w:cs="Times New Roman"/>
                <w:lang w:val="en-US" w:eastAsia="zh-CN"/>
              </w:rPr>
              <w:t>/</w:t>
            </w:r>
          </w:p>
        </w:tc>
      </w:tr>
    </w:tbl>
    <w:p>
      <w:pPr>
        <w:keepNext w:val="0"/>
        <w:keepLines w:val="0"/>
        <w:pageBreakBefore w:val="0"/>
        <w:widowControl/>
        <w:kinsoku/>
        <w:wordWrap/>
        <w:overflowPunct/>
        <w:topLinePunct w:val="0"/>
        <w:autoSpaceDE/>
        <w:autoSpaceDN/>
        <w:bidi w:val="0"/>
        <w:adjustRightInd w:val="0"/>
        <w:snapToGrid w:val="0"/>
        <w:spacing w:before="157" w:beforeLines="50" w:after="0" w:line="360" w:lineRule="auto"/>
        <w:ind w:firstLine="560" w:firstLineChars="200"/>
        <w:jc w:val="left"/>
        <w:textAlignment w:val="auto"/>
        <w:rPr>
          <w:rFonts w:hint="default"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bidi="ar-SA"/>
        </w:rPr>
        <w:t>设备设施及现场</w:t>
      </w:r>
      <w:r>
        <w:rPr>
          <w:rFonts w:hint="default" w:ascii="Times New Roman" w:hAnsi="Times New Roman" w:eastAsia="宋体" w:cs="Times New Roman"/>
          <w:kern w:val="2"/>
          <w:sz w:val="28"/>
          <w:szCs w:val="28"/>
          <w:lang w:val="en-US" w:eastAsia="zh-CN" w:bidi="ar-SA"/>
        </w:rPr>
        <w:t>情况见图5-</w:t>
      </w:r>
      <w:r>
        <w:rPr>
          <w:rFonts w:hint="eastAsia" w:cs="Times New Roman"/>
          <w:kern w:val="2"/>
          <w:sz w:val="28"/>
          <w:szCs w:val="28"/>
          <w:lang w:val="en-US" w:eastAsia="zh-CN" w:bidi="ar-SA"/>
        </w:rPr>
        <w:t>10</w:t>
      </w:r>
      <w:r>
        <w:rPr>
          <w:rFonts w:hint="default" w:ascii="Times New Roman" w:hAnsi="Times New Roman" w:eastAsia="宋体" w:cs="Times New Roman"/>
          <w:kern w:val="2"/>
          <w:sz w:val="28"/>
          <w:szCs w:val="28"/>
          <w:lang w:val="en-US" w:eastAsia="zh-CN" w:bidi="ar-SA"/>
        </w:rPr>
        <w:t>。</w:t>
      </w:r>
    </w:p>
    <w:p>
      <w:pPr>
        <w:pStyle w:val="2"/>
        <w:rPr>
          <w:rFonts w:hint="default" w:ascii="Times New Roman" w:hAnsi="Times New Roman" w:eastAsia="宋体" w:cs="Times New Roman"/>
          <w:kern w:val="2"/>
          <w:sz w:val="28"/>
          <w:szCs w:val="28"/>
          <w:lang w:val="en-US" w:eastAsia="zh-CN" w:bidi="ar-SA"/>
        </w:rPr>
      </w:pPr>
    </w:p>
    <w:p>
      <w:pPr>
        <w:pStyle w:val="2"/>
        <w:rPr>
          <w:rFonts w:hint="default" w:ascii="Times New Roman" w:hAnsi="Times New Roman" w:eastAsia="宋体" w:cs="Times New Roman"/>
          <w:kern w:val="2"/>
          <w:sz w:val="28"/>
          <w:szCs w:val="28"/>
          <w:lang w:val="en-US" w:eastAsia="zh-CN" w:bidi="ar-SA"/>
        </w:rPr>
      </w:pPr>
    </w:p>
    <w:p>
      <w:pPr>
        <w:pStyle w:val="2"/>
        <w:rPr>
          <w:rFonts w:hint="default" w:ascii="Times New Roman" w:hAnsi="Times New Roman" w:eastAsia="宋体" w:cs="Times New Roman"/>
          <w:kern w:val="2"/>
          <w:sz w:val="28"/>
          <w:szCs w:val="28"/>
          <w:lang w:val="en-US" w:eastAsia="zh-CN" w:bidi="ar-SA"/>
        </w:rPr>
      </w:pPr>
    </w:p>
    <w:p>
      <w:pPr>
        <w:pStyle w:val="2"/>
        <w:rPr>
          <w:rFonts w:hint="default" w:ascii="Times New Roman" w:hAnsi="Times New Roman" w:eastAsia="宋体" w:cs="Times New Roman"/>
          <w:kern w:val="2"/>
          <w:sz w:val="28"/>
          <w:szCs w:val="28"/>
          <w:lang w:val="en-US" w:eastAsia="zh-CN" w:bidi="ar-SA"/>
        </w:rPr>
      </w:pP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0"/>
        <w:jc w:val="center"/>
        <w:textAlignment w:val="auto"/>
        <w:rPr>
          <w:rFonts w:eastAsia="黑体"/>
          <w:bCs/>
          <w:snapToGrid w:val="0"/>
          <w:kern w:val="0"/>
          <w:sz w:val="28"/>
          <w:szCs w:val="28"/>
        </w:rPr>
      </w:pPr>
      <w:r>
        <w:rPr>
          <w:rFonts w:hint="default"/>
          <w:lang w:val="en-US" w:eastAsia="zh-CN"/>
        </w:rPr>
        <w:drawing>
          <wp:anchor distT="0" distB="0" distL="114300" distR="114300" simplePos="0" relativeHeight="251674624" behindDoc="0" locked="0" layoutInCell="1" allowOverlap="1">
            <wp:simplePos x="0" y="0"/>
            <wp:positionH relativeFrom="column">
              <wp:posOffset>812165</wp:posOffset>
            </wp:positionH>
            <wp:positionV relativeFrom="paragraph">
              <wp:posOffset>2993390</wp:posOffset>
            </wp:positionV>
            <wp:extent cx="3849370" cy="2888615"/>
            <wp:effectExtent l="0" t="0" r="17780" b="6985"/>
            <wp:wrapTopAndBottom/>
            <wp:docPr id="99" name="图片 99" descr="微信图片_20220619103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微信图片_20220619103709"/>
                    <pic:cNvPicPr>
                      <a:picLocks noChangeAspect="1"/>
                    </pic:cNvPicPr>
                  </pic:nvPicPr>
                  <pic:blipFill>
                    <a:blip r:embed="rId38"/>
                    <a:stretch>
                      <a:fillRect/>
                    </a:stretch>
                  </pic:blipFill>
                  <pic:spPr>
                    <a:xfrm>
                      <a:off x="0" y="0"/>
                      <a:ext cx="3849370" cy="2888615"/>
                    </a:xfrm>
                    <a:prstGeom prst="rect">
                      <a:avLst/>
                    </a:prstGeom>
                  </pic:spPr>
                </pic:pic>
              </a:graphicData>
            </a:graphic>
          </wp:anchor>
        </w:drawing>
      </w:r>
      <w:r>
        <w:rPr>
          <w:rFonts w:hint="default" w:ascii="Times New Roman" w:hAnsi="Times New Roman" w:eastAsia="宋体" w:cs="Times New Roman"/>
          <w:kern w:val="2"/>
          <w:sz w:val="28"/>
          <w:szCs w:val="28"/>
          <w:lang w:val="en-US" w:eastAsia="zh-CN" w:bidi="ar-SA"/>
        </w:rPr>
        <w:drawing>
          <wp:anchor distT="0" distB="0" distL="114300" distR="114300" simplePos="0" relativeHeight="251683840" behindDoc="0" locked="0" layoutInCell="1" allowOverlap="1">
            <wp:simplePos x="0" y="0"/>
            <wp:positionH relativeFrom="column">
              <wp:posOffset>763905</wp:posOffset>
            </wp:positionH>
            <wp:positionV relativeFrom="page">
              <wp:posOffset>843915</wp:posOffset>
            </wp:positionV>
            <wp:extent cx="3865880" cy="2900680"/>
            <wp:effectExtent l="0" t="0" r="1270" b="13970"/>
            <wp:wrapTopAndBottom/>
            <wp:docPr id="100" name="图片 100" descr="微信图片_20220619103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微信图片_20220619103856"/>
                    <pic:cNvPicPr>
                      <a:picLocks noChangeAspect="1"/>
                    </pic:cNvPicPr>
                  </pic:nvPicPr>
                  <pic:blipFill>
                    <a:blip r:embed="rId39"/>
                    <a:stretch>
                      <a:fillRect/>
                    </a:stretch>
                  </pic:blipFill>
                  <pic:spPr>
                    <a:xfrm>
                      <a:off x="0" y="0"/>
                      <a:ext cx="3865880" cy="2900680"/>
                    </a:xfrm>
                    <a:prstGeom prst="rect">
                      <a:avLst/>
                    </a:prstGeom>
                  </pic:spPr>
                </pic:pic>
              </a:graphicData>
            </a:graphic>
          </wp:anchor>
        </w:drawing>
      </w:r>
      <w:r>
        <w:rPr>
          <w:rFonts w:hint="default" w:ascii="Times New Roman" w:hAnsi="Times New Roman" w:cs="Times New Roman"/>
          <w:b/>
          <w:bCs/>
          <w:sz w:val="21"/>
          <w:szCs w:val="21"/>
          <w:lang w:val="en-US" w:eastAsia="zh-CN"/>
        </w:rPr>
        <w:t>图5-</w:t>
      </w:r>
      <w:r>
        <w:rPr>
          <w:rFonts w:hint="eastAsia" w:cs="Times New Roman"/>
          <w:b/>
          <w:bCs/>
          <w:sz w:val="21"/>
          <w:szCs w:val="21"/>
          <w:lang w:val="en-US" w:eastAsia="zh-CN"/>
        </w:rPr>
        <w:t xml:space="preserve">10  </w:t>
      </w:r>
      <w:r>
        <w:rPr>
          <w:rFonts w:hint="default" w:ascii="Times New Roman" w:hAnsi="Times New Roman" w:cs="Times New Roman"/>
          <w:b/>
          <w:bCs/>
          <w:sz w:val="21"/>
          <w:szCs w:val="21"/>
          <w:lang w:val="en-US" w:eastAsia="zh-CN"/>
        </w:rPr>
        <w:t>设备设施及现场情况</w:t>
      </w:r>
      <w:r>
        <w:rPr>
          <w:rFonts w:hint="eastAsia" w:cs="Times New Roman"/>
          <w:b/>
          <w:bCs/>
          <w:sz w:val="21"/>
          <w:szCs w:val="21"/>
          <w:lang w:val="en-US" w:eastAsia="zh-CN"/>
        </w:rPr>
        <w:t>图</w:t>
      </w:r>
    </w:p>
    <w:p>
      <w:pPr>
        <w:widowControl/>
        <w:adjustRightInd w:val="0"/>
        <w:snapToGrid w:val="0"/>
        <w:spacing w:after="0" w:line="360" w:lineRule="auto"/>
        <w:ind w:firstLine="560" w:firstLineChars="200"/>
        <w:jc w:val="left"/>
        <w:rPr>
          <w:rFonts w:hint="eastAsia" w:ascii="Times New Roman" w:hAnsi="Times New Roman" w:eastAsia="宋体" w:cs="Times New Roman"/>
          <w:b/>
          <w:bCs w:val="0"/>
          <w:kern w:val="2"/>
          <w:sz w:val="28"/>
          <w:szCs w:val="28"/>
          <w:lang w:val="en-US" w:eastAsia="zh-CN" w:bidi="ar-SA"/>
        </w:rPr>
      </w:pPr>
      <w:r>
        <w:rPr>
          <w:rFonts w:hint="eastAsia" w:ascii="Times New Roman" w:hAnsi="Times New Roman" w:eastAsia="宋体" w:cs="Times New Roman"/>
          <w:b/>
          <w:bCs w:val="0"/>
          <w:kern w:val="2"/>
          <w:sz w:val="28"/>
          <w:szCs w:val="28"/>
          <w:lang w:val="en-US" w:eastAsia="zh-CN" w:bidi="ar-SA"/>
        </w:rPr>
        <w:t>2</w:t>
      </w:r>
      <w:r>
        <w:rPr>
          <w:rFonts w:ascii="Times New Roman" w:hAnsi="Times New Roman" w:eastAsia="宋体" w:cs="Times New Roman"/>
          <w:b/>
          <w:bCs w:val="0"/>
          <w:kern w:val="2"/>
          <w:sz w:val="28"/>
          <w:szCs w:val="28"/>
          <w:lang w:val="en-US" w:eastAsia="zh-CN" w:bidi="ar-SA"/>
        </w:rPr>
        <w:t>.</w:t>
      </w:r>
      <w:r>
        <w:rPr>
          <w:rFonts w:hint="eastAsia" w:ascii="Times New Roman" w:hAnsi="Times New Roman" w:eastAsia="宋体" w:cs="Times New Roman"/>
          <w:b/>
          <w:bCs w:val="0"/>
          <w:kern w:val="2"/>
          <w:sz w:val="28"/>
          <w:szCs w:val="28"/>
          <w:lang w:val="en-US" w:eastAsia="zh-CN" w:bidi="ar-SA"/>
        </w:rPr>
        <w:t>安全检查表评价</w:t>
      </w:r>
    </w:p>
    <w:p>
      <w:pPr>
        <w:pStyle w:val="62"/>
        <w:keepNext w:val="0"/>
        <w:keepLines w:val="0"/>
        <w:pageBreakBefore w:val="0"/>
        <w:widowControl w:val="0"/>
        <w:kinsoku/>
        <w:wordWrap/>
        <w:overflowPunct w:val="0"/>
        <w:topLinePunct/>
        <w:autoSpaceDE/>
        <w:autoSpaceDN/>
        <w:bidi w:val="0"/>
        <w:adjustRightInd w:val="0"/>
        <w:snapToGrid w:val="0"/>
        <w:spacing w:line="360" w:lineRule="auto"/>
        <w:ind w:firstLine="560" w:firstLineChars="200"/>
        <w:jc w:val="both"/>
        <w:textAlignment w:val="auto"/>
        <w:rPr>
          <w:rFonts w:hint="eastAsia"/>
          <w:b/>
          <w:sz w:val="24"/>
          <w:szCs w:val="28"/>
        </w:rPr>
      </w:pPr>
      <w:r>
        <w:rPr>
          <w:rFonts w:hint="eastAsia"/>
          <w:sz w:val="28"/>
        </w:rPr>
        <w:t>本节</w:t>
      </w:r>
      <w:r>
        <w:rPr>
          <w:sz w:val="28"/>
        </w:rPr>
        <w:t>根据</w:t>
      </w:r>
      <w:r>
        <w:rPr>
          <w:rFonts w:hint="eastAsia"/>
          <w:sz w:val="28"/>
        </w:rPr>
        <w:t>《石油天然气钻井、开发、储运防火防爆安全生产技术规程》（SY</w:t>
      </w:r>
      <w:r>
        <w:rPr>
          <w:rFonts w:hint="eastAsia" w:ascii="Times New Roman" w:eastAsia="宋体"/>
          <w:sz w:val="28"/>
          <w:lang w:val="en-US" w:eastAsia="zh-CN"/>
        </w:rPr>
        <w:t>/T</w:t>
      </w:r>
      <w:r>
        <w:rPr>
          <w:rFonts w:hint="eastAsia"/>
          <w:sz w:val="28"/>
        </w:rPr>
        <w:t>5225-201</w:t>
      </w:r>
      <w:r>
        <w:rPr>
          <w:rFonts w:hint="eastAsia" w:ascii="Times New Roman" w:eastAsia="宋体"/>
          <w:sz w:val="28"/>
          <w:lang w:val="en-US" w:eastAsia="zh-CN"/>
        </w:rPr>
        <w:t>9</w:t>
      </w:r>
      <w:r>
        <w:rPr>
          <w:rFonts w:hint="eastAsia"/>
          <w:sz w:val="28"/>
        </w:rPr>
        <w:t>）、《井下作业安全规程》（SY</w:t>
      </w:r>
      <w:r>
        <w:rPr>
          <w:rFonts w:hint="eastAsia" w:ascii="Times New Roman" w:eastAsia="宋体"/>
          <w:sz w:val="28"/>
          <w:lang w:val="en-US" w:eastAsia="zh-CN"/>
        </w:rPr>
        <w:t>/T</w:t>
      </w:r>
      <w:r>
        <w:rPr>
          <w:rFonts w:hint="eastAsia"/>
          <w:sz w:val="28"/>
        </w:rPr>
        <w:t>5727-20</w:t>
      </w:r>
      <w:r>
        <w:rPr>
          <w:rFonts w:hint="eastAsia" w:ascii="Times New Roman" w:eastAsia="宋体"/>
          <w:sz w:val="28"/>
          <w:lang w:val="en-US" w:eastAsia="zh-CN"/>
        </w:rPr>
        <w:t>20</w:t>
      </w:r>
      <w:r>
        <w:rPr>
          <w:rFonts w:hint="eastAsia"/>
          <w:sz w:val="28"/>
        </w:rPr>
        <w:t>）、《油水井酸化设计、施工及评价规范》（SY/T6334-2013）等标准</w:t>
      </w:r>
      <w:r>
        <w:rPr>
          <w:sz w:val="28"/>
        </w:rPr>
        <w:t>，</w:t>
      </w:r>
      <w:r>
        <w:rPr>
          <w:rFonts w:hint="eastAsia"/>
          <w:sz w:val="28"/>
        </w:rPr>
        <w:t>对本项目生产单元进行安全评价</w:t>
      </w:r>
      <w:r>
        <w:rPr>
          <w:sz w:val="28"/>
        </w:rPr>
        <w:t>，</w:t>
      </w:r>
      <w:r>
        <w:rPr>
          <w:rFonts w:hint="eastAsia"/>
          <w:sz w:val="28"/>
        </w:rPr>
        <w:t>具体</w:t>
      </w:r>
      <w:r>
        <w:rPr>
          <w:sz w:val="28"/>
        </w:rPr>
        <w:t>评价</w:t>
      </w:r>
      <w:r>
        <w:rPr>
          <w:rFonts w:hint="eastAsia"/>
          <w:sz w:val="28"/>
        </w:rPr>
        <w:t>过程</w:t>
      </w:r>
      <w:r>
        <w:rPr>
          <w:sz w:val="28"/>
        </w:rPr>
        <w:t>见</w:t>
      </w:r>
      <w:r>
        <w:rPr>
          <w:rFonts w:hint="eastAsia"/>
          <w:sz w:val="28"/>
        </w:rPr>
        <w:t>表</w:t>
      </w:r>
      <w:r>
        <w:rPr>
          <w:rFonts w:hint="eastAsia" w:eastAsia="宋体"/>
          <w:sz w:val="28"/>
          <w:lang w:eastAsia="zh-CN"/>
        </w:rPr>
        <w:t>。</w:t>
      </w:r>
    </w:p>
    <w:p>
      <w:pPr>
        <w:pStyle w:val="62"/>
        <w:keepNext w:val="0"/>
        <w:keepLines w:val="0"/>
        <w:pageBreakBefore w:val="0"/>
        <w:widowControl w:val="0"/>
        <w:kinsoku/>
        <w:wordWrap/>
        <w:overflowPunct w:val="0"/>
        <w:topLinePunct/>
        <w:autoSpaceDE/>
        <w:autoSpaceDN/>
        <w:bidi w:val="0"/>
        <w:adjustRightInd w:val="0"/>
        <w:snapToGrid w:val="0"/>
        <w:ind w:firstLine="0" w:firstLineChars="0"/>
        <w:jc w:val="center"/>
        <w:textAlignment w:val="auto"/>
        <w:rPr>
          <w:rFonts w:hint="eastAsia"/>
          <w:b/>
          <w:sz w:val="21"/>
          <w:szCs w:val="21"/>
        </w:rPr>
      </w:pPr>
      <w:r>
        <w:rPr>
          <w:rFonts w:hint="eastAsia"/>
          <w:b/>
          <w:sz w:val="21"/>
          <w:szCs w:val="21"/>
        </w:rPr>
        <w:t>表5-1</w:t>
      </w:r>
      <w:r>
        <w:rPr>
          <w:rFonts w:hint="eastAsia"/>
          <w:b/>
          <w:sz w:val="21"/>
          <w:szCs w:val="21"/>
          <w:lang w:val="en-US" w:eastAsia="zh-CN"/>
        </w:rPr>
        <w:t>0</w:t>
      </w:r>
      <w:r>
        <w:rPr>
          <w:rFonts w:hint="eastAsia"/>
          <w:b/>
          <w:sz w:val="21"/>
          <w:szCs w:val="21"/>
        </w:rPr>
        <w:t xml:space="preserve">  生产单元安全检查表</w:t>
      </w:r>
    </w:p>
    <w:tbl>
      <w:tblPr>
        <w:tblStyle w:val="52"/>
        <w:tblW w:w="896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85"/>
        <w:gridCol w:w="10"/>
        <w:gridCol w:w="4235"/>
        <w:gridCol w:w="1634"/>
        <w:gridCol w:w="691"/>
        <w:gridCol w:w="19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0"/>
              </w:numPr>
              <w:suppressLineNumbers w:val="0"/>
              <w:tabs>
                <w:tab w:val="left" w:pos="347"/>
              </w:tabs>
              <w:adjustRightInd w:val="0"/>
              <w:snapToGrid w:val="0"/>
              <w:spacing w:before="62" w:beforeLines="20" w:beforeAutospacing="0" w:after="62" w:afterLines="20" w:afterAutospacing="0"/>
              <w:ind w:left="0" w:leftChars="0" w:right="0" w:rightChars="0" w:firstLine="0" w:firstLineChars="0"/>
              <w:jc w:val="left"/>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cs="Times New Roman"/>
                <w:b/>
                <w:bCs/>
                <w:color w:val="000000" w:themeColor="text1"/>
                <w:kern w:val="2"/>
                <w:sz w:val="21"/>
                <w:szCs w:val="21"/>
                <w:lang w:val="en-US" w:eastAsia="zh-CN" w:bidi="ar-SA"/>
                <w14:textFill>
                  <w14:solidFill>
                    <w14:schemeClr w14:val="tx1"/>
                  </w14:solidFill>
                </w14:textFill>
              </w:rPr>
              <w:t>序号</w:t>
            </w:r>
          </w:p>
        </w:tc>
        <w:tc>
          <w:tcPr>
            <w:tcW w:w="5879" w:type="dxa"/>
            <w:gridSpan w:val="3"/>
            <w:vAlign w:val="center"/>
          </w:tcPr>
          <w:p>
            <w:pPr>
              <w:keepNext w:val="0"/>
              <w:keepLines w:val="0"/>
              <w:widowControl w:val="0"/>
              <w:numPr>
                <w:ilvl w:val="0"/>
                <w:numId w:val="0"/>
              </w:numPr>
              <w:suppressLineNumbers w:val="0"/>
              <w:tabs>
                <w:tab w:val="left" w:pos="347"/>
              </w:tabs>
              <w:adjustRightInd w:val="0"/>
              <w:snapToGrid w:val="0"/>
              <w:spacing w:before="62" w:beforeLines="20" w:beforeAutospacing="0" w:after="62" w:afterLines="20" w:afterAutospacing="0"/>
              <w:ind w:left="0" w:leftChars="0" w:right="0" w:rightChars="0" w:firstLine="0" w:firstLineChars="0"/>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cs="Times New Roman"/>
                <w:b/>
                <w:bCs/>
                <w:color w:val="000000" w:themeColor="text1"/>
                <w:kern w:val="2"/>
                <w:sz w:val="21"/>
                <w:szCs w:val="21"/>
                <w:lang w:val="en-US" w:eastAsia="zh-CN" w:bidi="ar-SA"/>
                <w14:textFill>
                  <w14:solidFill>
                    <w14:schemeClr w14:val="tx1"/>
                  </w14:solidFill>
                </w14:textFill>
              </w:rPr>
              <w:t>检查项目</w:t>
            </w:r>
          </w:p>
        </w:tc>
        <w:tc>
          <w:tcPr>
            <w:tcW w:w="691"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cs="Times New Roman"/>
                <w:lang w:val="en-US" w:eastAsia="zh-CN"/>
              </w:rPr>
            </w:pPr>
            <w:r>
              <w:rPr>
                <w:rFonts w:hint="eastAsia" w:ascii="Times New Roman" w:hAnsi="Times New Roman" w:cs="宋体"/>
                <w:b/>
                <w:color w:val="000000" w:themeColor="text1"/>
                <w:sz w:val="21"/>
                <w:szCs w:val="21"/>
                <w:lang w:val="en-US" w:eastAsia="zh-CN"/>
                <w14:textFill>
                  <w14:solidFill>
                    <w14:schemeClr w14:val="tx1"/>
                  </w14:solidFill>
                </w14:textFill>
              </w:rPr>
              <w:t>检查结果</w:t>
            </w:r>
          </w:p>
        </w:tc>
        <w:tc>
          <w:tcPr>
            <w:tcW w:w="1908"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cs="Times New Roman"/>
                <w:lang w:val="en-US" w:eastAsia="zh-CN"/>
              </w:rPr>
            </w:pPr>
            <w:r>
              <w:rPr>
                <w:rFonts w:hint="eastAsia" w:ascii="Times New Roman" w:hAnsi="Times New Roman" w:cs="宋体"/>
                <w:b/>
                <w:color w:val="000000" w:themeColor="text1"/>
                <w:sz w:val="21"/>
                <w:szCs w:val="21"/>
                <w14:textFill>
                  <w14:solidFill>
                    <w14:schemeClr w14:val="tx1"/>
                  </w14:solidFill>
                </w14:textFill>
              </w:rPr>
              <w:t>实际情况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widowControl w:val="0"/>
              <w:numPr>
                <w:ilvl w:val="0"/>
                <w:numId w:val="0"/>
              </w:numPr>
              <w:suppressLineNumbers w:val="0"/>
              <w:tabs>
                <w:tab w:val="left" w:pos="347"/>
              </w:tabs>
              <w:adjustRightInd w:val="0"/>
              <w:snapToGrid w:val="0"/>
              <w:spacing w:before="62" w:beforeLines="20" w:beforeAutospacing="0" w:after="62" w:afterLines="20" w:afterAutospacing="0"/>
              <w:ind w:left="0" w:leftChars="0" w:right="0" w:rightChars="0" w:firstLine="0" w:firstLineChars="0"/>
              <w:jc w:val="left"/>
              <w:rPr>
                <w:rFonts w:hint="default" w:cs="Times New Roman"/>
                <w:b/>
                <w:bCs/>
                <w:color w:val="000000" w:themeColor="text1"/>
                <w:kern w:val="2"/>
                <w:sz w:val="21"/>
                <w:szCs w:val="21"/>
                <w:lang w:val="en-US" w:eastAsia="zh-CN" w:bidi="ar-SA"/>
                <w14:textFill>
                  <w14:solidFill>
                    <w14:schemeClr w14:val="tx1"/>
                  </w14:solidFill>
                </w14:textFill>
              </w:rPr>
            </w:pPr>
            <w:r>
              <w:rPr>
                <w:rFonts w:hint="eastAsia" w:cs="Times New Roman"/>
                <w:b/>
                <w:bCs/>
                <w:color w:val="000000" w:themeColor="text1"/>
                <w:kern w:val="2"/>
                <w:sz w:val="21"/>
                <w:szCs w:val="21"/>
                <w:lang w:val="en-US" w:eastAsia="zh-CN" w:bidi="ar-SA"/>
                <w14:textFill>
                  <w14:solidFill>
                    <w14:schemeClr w14:val="tx1"/>
                  </w14:solidFill>
                </w14:textFill>
              </w:rPr>
              <w:t>一</w:t>
            </w:r>
          </w:p>
        </w:tc>
        <w:tc>
          <w:tcPr>
            <w:tcW w:w="4245" w:type="dxa"/>
            <w:gridSpan w:val="2"/>
            <w:vAlign w:val="center"/>
          </w:tcPr>
          <w:p>
            <w:pPr>
              <w:keepNext w:val="0"/>
              <w:keepLines w:val="0"/>
              <w:widowControl w:val="0"/>
              <w:numPr>
                <w:ilvl w:val="0"/>
                <w:numId w:val="0"/>
              </w:numPr>
              <w:suppressLineNumbers w:val="0"/>
              <w:tabs>
                <w:tab w:val="left" w:pos="347"/>
              </w:tabs>
              <w:adjustRightInd w:val="0"/>
              <w:snapToGrid w:val="0"/>
              <w:spacing w:before="62" w:beforeLines="20" w:beforeAutospacing="0" w:after="62" w:afterLines="20" w:afterAutospacing="0"/>
              <w:ind w:left="0" w:leftChars="0" w:right="0" w:rightChars="0" w:firstLine="0" w:firstLineChars="0"/>
              <w:jc w:val="left"/>
              <w:rPr>
                <w:rFonts w:hint="default" w:cs="Times New Roman"/>
                <w:b/>
                <w:bCs/>
                <w:color w:val="000000" w:themeColor="text1"/>
                <w:kern w:val="2"/>
                <w:sz w:val="21"/>
                <w:szCs w:val="21"/>
                <w:lang w:val="en-US" w:eastAsia="zh-CN" w:bidi="ar-SA"/>
                <w14:textFill>
                  <w14:solidFill>
                    <w14:schemeClr w14:val="tx1"/>
                  </w14:solidFill>
                </w14:textFill>
              </w:rPr>
            </w:pPr>
            <w:r>
              <w:rPr>
                <w:rFonts w:hint="eastAsia" w:cs="Times New Roman"/>
                <w:b/>
                <w:bCs/>
                <w:color w:val="000000" w:themeColor="text1"/>
                <w:kern w:val="2"/>
                <w:sz w:val="21"/>
                <w:szCs w:val="21"/>
                <w:lang w:val="en-US" w:eastAsia="zh-CN" w:bidi="ar-SA"/>
                <w14:textFill>
                  <w14:solidFill>
                    <w14:schemeClr w14:val="tx1"/>
                  </w14:solidFill>
                </w14:textFill>
              </w:rPr>
              <w:t>酸化施工</w:t>
            </w:r>
          </w:p>
        </w:tc>
        <w:tc>
          <w:tcPr>
            <w:tcW w:w="1634" w:type="dxa"/>
            <w:vAlign w:val="center"/>
          </w:tcPr>
          <w:p>
            <w:pPr>
              <w:keepNext w:val="0"/>
              <w:keepLines w:val="0"/>
              <w:widowControl w:val="0"/>
              <w:numPr>
                <w:ilvl w:val="0"/>
                <w:numId w:val="0"/>
              </w:numPr>
              <w:suppressLineNumbers w:val="0"/>
              <w:tabs>
                <w:tab w:val="left" w:pos="347"/>
              </w:tabs>
              <w:adjustRightInd w:val="0"/>
              <w:snapToGrid w:val="0"/>
              <w:spacing w:before="62" w:beforeLines="20" w:beforeAutospacing="0" w:after="62" w:afterLines="20" w:afterAutospacing="0"/>
              <w:ind w:left="0" w:leftChars="0" w:right="0" w:rightChars="0" w:firstLine="0" w:firstLineChars="0"/>
              <w:jc w:val="left"/>
              <w:rPr>
                <w:rFonts w:hint="eastAsia" w:cs="Times New Roman"/>
                <w:b/>
                <w:bCs/>
                <w:color w:val="000000" w:themeColor="text1"/>
                <w:kern w:val="2"/>
                <w:sz w:val="21"/>
                <w:szCs w:val="21"/>
                <w:lang w:val="en-US" w:eastAsia="zh-CN" w:bidi="ar-SA"/>
                <w14:textFill>
                  <w14:solidFill>
                    <w14:schemeClr w14:val="tx1"/>
                  </w14:solidFill>
                </w14:textFill>
              </w:rPr>
            </w:pPr>
          </w:p>
        </w:tc>
        <w:tc>
          <w:tcPr>
            <w:tcW w:w="691"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cs="宋体"/>
                <w:b/>
                <w:color w:val="000000" w:themeColor="text1"/>
                <w:sz w:val="21"/>
                <w:szCs w:val="21"/>
                <w:lang w:val="en-US" w:eastAsia="zh-CN"/>
                <w14:textFill>
                  <w14:solidFill>
                    <w14:schemeClr w14:val="tx1"/>
                  </w14:solidFill>
                </w14:textFill>
              </w:rPr>
            </w:pPr>
          </w:p>
        </w:tc>
        <w:tc>
          <w:tcPr>
            <w:tcW w:w="1908"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cs="宋体"/>
                <w:b/>
                <w:color w:val="000000" w:themeColor="text1"/>
                <w:sz w:val="2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45" w:type="dxa"/>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现场应有可燃气体检测仪。可燃气体检测仪应定期校验和维护。</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SY</w:t>
            </w:r>
            <w:r>
              <w:rPr>
                <w:rFonts w:hint="default" w:ascii="Times New Roman" w:hAnsi="Times New Roman" w:cs="Times New Roman"/>
                <w:bCs/>
                <w:color w:val="000000" w:themeColor="text1"/>
                <w:sz w:val="21"/>
                <w:szCs w:val="21"/>
                <w:lang w:val="en-US" w:eastAsia="zh-CN"/>
                <w14:textFill>
                  <w14:solidFill>
                    <w14:schemeClr w14:val="tx1"/>
                  </w14:solidFill>
                </w14:textFill>
              </w:rPr>
              <w:t>/T</w:t>
            </w:r>
            <w:r>
              <w:rPr>
                <w:rFonts w:hint="default" w:ascii="Times New Roman" w:hAnsi="Times New Roman" w:cs="Times New Roman"/>
                <w:bCs/>
                <w:color w:val="000000" w:themeColor="text1"/>
                <w:sz w:val="21"/>
                <w:szCs w:val="21"/>
                <w14:textFill>
                  <w14:solidFill>
                    <w14:schemeClr w14:val="tx1"/>
                  </w14:solidFill>
                </w14:textFill>
              </w:rPr>
              <w:t>5727-20</w:t>
            </w:r>
            <w:r>
              <w:rPr>
                <w:rFonts w:hint="default" w:ascii="Times New Roman" w:hAnsi="Times New Roman" w:cs="Times New Roman"/>
                <w:bCs/>
                <w:color w:val="000000" w:themeColor="text1"/>
                <w:sz w:val="2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4.9.2</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color w:val="000000" w:themeColor="text1"/>
                <w14:textFill>
                  <w14:solidFill>
                    <w14:schemeClr w14:val="tx1"/>
                  </w14:solidFill>
                </w14:textFill>
              </w:rPr>
              <w:t>√</w:t>
            </w:r>
          </w:p>
        </w:tc>
        <w:tc>
          <w:tcPr>
            <w:tcW w:w="19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配备</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可燃气体检测仪</w:t>
            </w:r>
            <w:r>
              <w:rPr>
                <w:rFonts w:hint="eastAsia" w:cs="Times New Roman"/>
                <w:color w:val="000000" w:themeColor="text1"/>
                <w:kern w:val="2"/>
                <w:sz w:val="21"/>
                <w:szCs w:val="21"/>
                <w:lang w:val="en-US" w:eastAsia="zh-CN" w:bidi="ar-SA"/>
                <w14:textFill>
                  <w14:solidFill>
                    <w14:schemeClr w14:val="tx1"/>
                  </w14:solidFill>
                </w14:textFill>
              </w:rPr>
              <w:t>，并定期检测。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ascii="Times New Roman" w:hAnsi="Times New Roman" w:cs="Times New Roman"/>
              </w:rPr>
            </w:pPr>
          </w:p>
        </w:tc>
        <w:tc>
          <w:tcPr>
            <w:tcW w:w="4245" w:type="dxa"/>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压裂酸化的井口装置，应按其设计要求进行试压。</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SY/T6690-2016</w:t>
            </w:r>
          </w:p>
          <w:p>
            <w:pPr>
              <w:keepNext w:val="0"/>
              <w:keepLines w:val="0"/>
              <w:pageBreakBefore w:val="0"/>
              <w:widowControl w:val="0"/>
              <w:suppressLineNumbers w:val="0"/>
              <w:kinsoku/>
              <w:wordWrap/>
              <w:overflowPunct w:val="0"/>
              <w:topLinePunct/>
              <w:autoSpaceDE/>
              <w:autoSpaceDN/>
              <w:bidi w:val="0"/>
              <w:adjustRightInd w:val="0"/>
              <w:snapToGrid w:val="0"/>
              <w:spacing w:before="0" w:beforeAutospacing="0" w:after="0" w:afterAutospacing="0"/>
              <w:ind w:left="0" w:right="0" w:firstLine="0" w:firstLineChars="0"/>
              <w:jc w:val="center"/>
              <w:textAlignment w:val="auto"/>
              <w:rPr>
                <w:rFonts w:hint="eastAsia" w:ascii="Times New Roman" w:hAnsi="Times New Roman" w:eastAsia="宋体" w:cs="Times New Roman"/>
                <w:kern w:val="2"/>
                <w:sz w:val="28"/>
                <w:szCs w:val="28"/>
                <w:lang w:val="en-US" w:eastAsia="zh-CN" w:bidi="ar-SA"/>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5.2.2.5</w:t>
            </w:r>
          </w:p>
        </w:tc>
        <w:tc>
          <w:tcPr>
            <w:tcW w:w="691"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1908" w:type="dxa"/>
            <w:vAlign w:val="center"/>
          </w:tcPr>
          <w:p>
            <w:pPr>
              <w:keepNext w:val="0"/>
              <w:keepLines w:val="0"/>
              <w:widowControl w:val="0"/>
              <w:suppressLineNumbers w:val="0"/>
              <w:adjustRightInd w:val="0"/>
              <w:snapToGrid w:val="0"/>
              <w:spacing w:before="20" w:beforeAutospacing="0" w:after="20" w:afterAutospacing="0"/>
              <w:ind w:left="0" w:leftChars="0" w:right="0" w:rightChars="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按设计要进行试压，地面管线试压25MPa，稳压10min。</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ascii="Times New Roman" w:hAnsi="Times New Roman" w:cs="Times New Roman"/>
              </w:rPr>
            </w:pPr>
          </w:p>
        </w:tc>
        <w:tc>
          <w:tcPr>
            <w:tcW w:w="4245" w:type="dxa"/>
            <w:gridSpan w:val="2"/>
            <w:vAlign w:val="center"/>
          </w:tcPr>
          <w:p>
            <w:pPr>
              <w:keepNext w:val="0"/>
              <w:keepLines w:val="0"/>
              <w:suppressLineNumbers w:val="0"/>
              <w:spacing w:before="0" w:beforeAutospacing="0" w:after="0" w:afterAutospacing="0"/>
              <w:ind w:left="0" w:right="0"/>
              <w:rPr>
                <w:rFonts w:hint="eastAsia" w:ascii="Times New Roman" w:hAnsi="Times New Roman" w:cs="Times New Roman"/>
                <w:lang w:val="en-US" w:eastAsia="zh-CN"/>
              </w:rPr>
            </w:pPr>
            <w:r>
              <w:rPr>
                <w:rFonts w:hint="eastAsia" w:ascii="Times New Roman" w:hAnsi="Times New Roman" w:cs="Times New Roman"/>
                <w:lang w:val="en-US" w:eastAsia="zh-CN"/>
              </w:rPr>
              <w:t>优选能满足油气藏地质与酸化工艺要求且性价比高的酸液及添加剂。</w:t>
            </w:r>
          </w:p>
        </w:tc>
        <w:tc>
          <w:tcPr>
            <w:tcW w:w="1634" w:type="dxa"/>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cs="Times New Roman"/>
                <w:lang w:val="en-US" w:eastAsia="zh-CN"/>
              </w:rPr>
              <w:t>S</w:t>
            </w:r>
            <w:r>
              <w:rPr>
                <w:rFonts w:hint="eastAsia" w:ascii="Times New Roman" w:hAnsi="Times New Roman" w:cs="Times New Roman"/>
                <w:lang w:val="en-US" w:eastAsia="zh-CN"/>
              </w:rPr>
              <w:t>Y/T6334</w:t>
            </w:r>
            <w:r>
              <w:rPr>
                <w:rFonts w:hint="eastAsia" w:cs="Times New Roman"/>
                <w:lang w:val="en-US" w:eastAsia="zh-CN"/>
              </w:rPr>
              <w:t>-</w:t>
            </w:r>
            <w:r>
              <w:rPr>
                <w:rFonts w:hint="eastAsia" w:ascii="Times New Roman" w:hAnsi="Times New Roman" w:cs="Times New Roman"/>
                <w:lang w:val="en-US" w:eastAsia="zh-CN"/>
              </w:rPr>
              <w:t>2013</w:t>
            </w:r>
          </w:p>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3.2.3</w:t>
            </w:r>
          </w:p>
        </w:tc>
        <w:tc>
          <w:tcPr>
            <w:tcW w:w="6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w:t>
            </w:r>
          </w:p>
        </w:tc>
        <w:tc>
          <w:tcPr>
            <w:tcW w:w="1908" w:type="dxa"/>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lang w:val="en-US" w:eastAsia="zh-CN"/>
              </w:rPr>
            </w:pPr>
            <w:r>
              <w:rPr>
                <w:rFonts w:hint="eastAsia" w:cs="Times New Roman"/>
                <w:lang w:val="en-US" w:eastAsia="zh-CN"/>
              </w:rPr>
              <w:t>《关于尚2-斜53井酸化（酸压）措施工程设计》明确了酸液为复合酸。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ascii="Times New Roman" w:hAnsi="Times New Roman" w:cs="Times New Roman"/>
              </w:rPr>
            </w:pPr>
          </w:p>
        </w:tc>
        <w:tc>
          <w:tcPr>
            <w:tcW w:w="4245" w:type="dxa"/>
            <w:gridSpan w:val="2"/>
            <w:vAlign w:val="center"/>
          </w:tcPr>
          <w:p>
            <w:pPr>
              <w:keepNext w:val="0"/>
              <w:keepLines w:val="0"/>
              <w:suppressLineNumbers w:val="0"/>
              <w:spacing w:before="0" w:beforeAutospacing="0" w:after="0" w:afterAutospacing="0"/>
              <w:ind w:left="0" w:right="0"/>
              <w:rPr>
                <w:rFonts w:hint="eastAsia" w:ascii="Times New Roman" w:hAnsi="Times New Roman" w:cs="Times New Roman"/>
                <w:lang w:val="en-US" w:eastAsia="zh-CN"/>
              </w:rPr>
            </w:pPr>
            <w:r>
              <w:rPr>
                <w:rFonts w:hint="eastAsia" w:ascii="Times New Roman" w:hAnsi="Times New Roman" w:cs="Times New Roman"/>
                <w:lang w:val="en-US" w:eastAsia="zh-CN"/>
              </w:rPr>
              <w:t>酸液体系及酸化工艺参数的选择应考虑对油水井套管及施工管柱的保护。</w:t>
            </w:r>
          </w:p>
        </w:tc>
        <w:tc>
          <w:tcPr>
            <w:tcW w:w="1634" w:type="dxa"/>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SY/T6334-2013</w:t>
            </w:r>
          </w:p>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3.2.5</w:t>
            </w:r>
          </w:p>
        </w:tc>
        <w:tc>
          <w:tcPr>
            <w:tcW w:w="6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w:t>
            </w:r>
          </w:p>
        </w:tc>
        <w:tc>
          <w:tcPr>
            <w:tcW w:w="1908" w:type="dxa"/>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lang w:val="en-US" w:eastAsia="zh-CN"/>
              </w:rPr>
            </w:pPr>
            <w:r>
              <w:rPr>
                <w:rFonts w:hint="eastAsia" w:cs="Times New Roman"/>
                <w:lang w:val="en-US" w:eastAsia="zh-CN"/>
              </w:rPr>
              <w:t>根据《关于尚2-斜53井酸化（酸压）措施工程设计》要求选用。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ascii="Times New Roman" w:hAnsi="Times New Roman" w:cs="Times New Roman"/>
              </w:rPr>
            </w:pPr>
          </w:p>
        </w:tc>
        <w:tc>
          <w:tcPr>
            <w:tcW w:w="4245" w:type="dxa"/>
            <w:gridSpan w:val="2"/>
            <w:vAlign w:val="center"/>
          </w:tcPr>
          <w:p>
            <w:pPr>
              <w:keepNext w:val="0"/>
              <w:keepLines w:val="0"/>
              <w:suppressLineNumbers w:val="0"/>
              <w:spacing w:before="0" w:beforeAutospacing="0" w:after="0" w:afterAutospacing="0"/>
              <w:ind w:left="0" w:right="0"/>
              <w:rPr>
                <w:rFonts w:hint="eastAsia" w:ascii="Times New Roman" w:hAnsi="Times New Roman" w:cs="Times New Roman"/>
                <w:lang w:val="en-US" w:eastAsia="zh-CN"/>
              </w:rPr>
            </w:pPr>
            <w:r>
              <w:rPr>
                <w:rFonts w:hint="eastAsia" w:ascii="Times New Roman" w:hAnsi="Times New Roman" w:cs="Times New Roman"/>
                <w:lang w:val="en-US" w:eastAsia="zh-CN"/>
              </w:rPr>
              <w:t>主体酸选择：根据目标储层的岩性、敏感性、温度、溶蚀率实验结果及地层损害类型选择主体酸。</w:t>
            </w:r>
          </w:p>
        </w:tc>
        <w:tc>
          <w:tcPr>
            <w:tcW w:w="1634" w:type="dxa"/>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SY/T6334-2013</w:t>
            </w:r>
          </w:p>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3.3.1</w:t>
            </w:r>
          </w:p>
        </w:tc>
        <w:tc>
          <w:tcPr>
            <w:tcW w:w="6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w:t>
            </w:r>
          </w:p>
        </w:tc>
        <w:tc>
          <w:tcPr>
            <w:tcW w:w="1908" w:type="dxa"/>
            <w:vAlign w:val="center"/>
          </w:tcPr>
          <w:p>
            <w:pPr>
              <w:keepNext w:val="0"/>
              <w:keepLines w:val="0"/>
              <w:suppressLineNumbers w:val="0"/>
              <w:spacing w:before="0" w:beforeAutospacing="0" w:after="0" w:afterAutospacing="0"/>
              <w:ind w:left="0" w:right="0"/>
              <w:rPr>
                <w:rFonts w:hint="default" w:ascii="Times New Roman" w:hAnsi="Times New Roman" w:cs="Times New Roman"/>
              </w:rPr>
            </w:pPr>
            <w:r>
              <w:rPr>
                <w:rFonts w:hint="eastAsia" w:cs="Times New Roman"/>
                <w:lang w:val="en-US" w:eastAsia="zh-CN"/>
              </w:rPr>
              <w:t>酸化作业进行了地质设计。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ascii="Times New Roman" w:hAnsi="Times New Roman" w:cs="Times New Roman"/>
              </w:rPr>
            </w:pPr>
          </w:p>
        </w:tc>
        <w:tc>
          <w:tcPr>
            <w:tcW w:w="4245" w:type="dxa"/>
            <w:gridSpan w:val="2"/>
            <w:vAlign w:val="center"/>
          </w:tcPr>
          <w:p>
            <w:pPr>
              <w:keepNext w:val="0"/>
              <w:keepLines w:val="0"/>
              <w:suppressLineNumbers w:val="0"/>
              <w:spacing w:before="0" w:beforeAutospacing="0" w:after="0" w:afterAutospacing="0"/>
              <w:ind w:left="0" w:right="0"/>
              <w:rPr>
                <w:rFonts w:hint="eastAsia" w:ascii="Times New Roman" w:hAnsi="Times New Roman" w:cs="Times New Roman"/>
                <w:lang w:val="en-US" w:eastAsia="zh-CN"/>
              </w:rPr>
            </w:pPr>
            <w:r>
              <w:rPr>
                <w:rFonts w:hint="eastAsia" w:ascii="Times New Roman" w:hAnsi="Times New Roman" w:cs="Times New Roman"/>
                <w:lang w:val="en-US" w:eastAsia="zh-CN"/>
              </w:rPr>
              <w:t>酸化注入管柱：根据套管钢级、璧厚及抗内压数据、储层射孔段数及分层酸化需求等情况，确定是否下封隔器。然后选择合适的注入管柱及井内装置，并进行强度校核，以确保施工安全。</w:t>
            </w:r>
          </w:p>
        </w:tc>
        <w:tc>
          <w:tcPr>
            <w:tcW w:w="1634" w:type="dxa"/>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SY/T 6334-2013</w:t>
            </w:r>
          </w:p>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3.4.2</w:t>
            </w:r>
          </w:p>
        </w:tc>
        <w:tc>
          <w:tcPr>
            <w:tcW w:w="6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w:t>
            </w:r>
          </w:p>
        </w:tc>
        <w:tc>
          <w:tcPr>
            <w:tcW w:w="1908" w:type="dxa"/>
            <w:vAlign w:val="center"/>
          </w:tcPr>
          <w:p>
            <w:pPr>
              <w:keepNext w:val="0"/>
              <w:keepLines w:val="0"/>
              <w:suppressLineNumbers w:val="0"/>
              <w:spacing w:before="0" w:beforeAutospacing="0" w:after="0" w:afterAutospacing="0"/>
              <w:ind w:left="0" w:right="0"/>
              <w:jc w:val="both"/>
              <w:rPr>
                <w:rFonts w:hint="default" w:ascii="Times New Roman" w:hAnsi="Times New Roman" w:eastAsia="宋体" w:cs="Times New Roman"/>
                <w:lang w:val="en-US" w:eastAsia="zh-CN"/>
              </w:rPr>
            </w:pPr>
            <w:r>
              <w:rPr>
                <w:rFonts w:hint="eastAsia" w:cs="Times New Roman"/>
                <w:lang w:val="en-US" w:eastAsia="zh-CN"/>
              </w:rPr>
              <w:t>设计中明确</w:t>
            </w:r>
            <w:r>
              <w:rPr>
                <w:rFonts w:hint="default" w:ascii="Times New Roman" w:hAnsi="Times New Roman" w:eastAsia="宋体" w:cs="Times New Roman"/>
                <w:lang w:val="en-US" w:eastAsia="zh-CN"/>
              </w:rPr>
              <w:t>注入管柱</w:t>
            </w:r>
            <w:r>
              <w:rPr>
                <w:rFonts w:hint="eastAsia" w:cs="Times New Roman"/>
                <w:lang w:val="en-US" w:eastAsia="zh-CN"/>
              </w:rPr>
              <w:t>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ascii="Times New Roman" w:hAnsi="Times New Roman" w:cs="Times New Roman"/>
              </w:rPr>
            </w:pPr>
          </w:p>
        </w:tc>
        <w:tc>
          <w:tcPr>
            <w:tcW w:w="4245" w:type="dxa"/>
            <w:gridSpan w:val="2"/>
            <w:vAlign w:val="center"/>
          </w:tcPr>
          <w:p>
            <w:pPr>
              <w:keepNext w:val="0"/>
              <w:keepLines w:val="0"/>
              <w:suppressLineNumbers w:val="0"/>
              <w:spacing w:before="0" w:beforeAutospacing="0" w:after="0" w:afterAutospacing="0"/>
              <w:ind w:left="0" w:right="0"/>
              <w:rPr>
                <w:rFonts w:hint="eastAsia" w:ascii="Times New Roman" w:hAnsi="Times New Roman" w:cs="Times New Roman"/>
                <w:lang w:val="en-US" w:eastAsia="zh-CN"/>
              </w:rPr>
            </w:pPr>
            <w:r>
              <w:rPr>
                <w:rFonts w:hint="eastAsia" w:ascii="Times New Roman" w:hAnsi="Times New Roman" w:cs="Times New Roman"/>
                <w:lang w:val="en-US" w:eastAsia="zh-CN"/>
              </w:rPr>
              <w:t>酸液用量：根据酸化处理半径、油层厚度和油层有效孔隙度，以措施效果最佳、施工安全及经济最优为原则确定酸液用量。</w:t>
            </w:r>
          </w:p>
        </w:tc>
        <w:tc>
          <w:tcPr>
            <w:tcW w:w="1634" w:type="dxa"/>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SY/T6334-2013</w:t>
            </w:r>
          </w:p>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3.4.4</w:t>
            </w:r>
          </w:p>
        </w:tc>
        <w:tc>
          <w:tcPr>
            <w:tcW w:w="6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w:t>
            </w:r>
          </w:p>
        </w:tc>
        <w:tc>
          <w:tcPr>
            <w:tcW w:w="190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eastAsia" w:cs="Times New Roman"/>
                <w:lang w:val="en-US" w:eastAsia="zh-CN"/>
              </w:rPr>
              <w:t>《</w:t>
            </w:r>
            <w:r>
              <w:rPr>
                <w:rFonts w:hint="default" w:ascii="Times New Roman" w:hAnsi="Times New Roman" w:cs="Times New Roman"/>
                <w:lang w:val="en-US" w:eastAsia="zh-CN"/>
              </w:rPr>
              <w:t>关于尚2-斜53井酸化（酸压）措施工程设计</w:t>
            </w:r>
            <w:r>
              <w:rPr>
                <w:rFonts w:hint="eastAsia" w:cs="Times New Roman"/>
                <w:lang w:val="en-US" w:eastAsia="zh-CN"/>
              </w:rPr>
              <w:t>》中已明确酸液用量。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ascii="Times New Roman" w:hAnsi="Times New Roman" w:cs="Times New Roman"/>
              </w:rPr>
            </w:pPr>
          </w:p>
        </w:tc>
        <w:tc>
          <w:tcPr>
            <w:tcW w:w="4245" w:type="dxa"/>
            <w:gridSpan w:val="2"/>
            <w:vAlign w:val="center"/>
          </w:tcPr>
          <w:p>
            <w:pPr>
              <w:keepNext w:val="0"/>
              <w:keepLines w:val="0"/>
              <w:suppressLineNumbers w:val="0"/>
              <w:spacing w:before="0" w:beforeAutospacing="0" w:after="0" w:afterAutospacing="0"/>
              <w:ind w:left="0" w:right="0"/>
              <w:rPr>
                <w:rFonts w:hint="eastAsia" w:ascii="Times New Roman" w:hAnsi="Times New Roman" w:cs="Times New Roman"/>
                <w:lang w:val="en-US" w:eastAsia="zh-CN"/>
              </w:rPr>
            </w:pPr>
            <w:r>
              <w:rPr>
                <w:rFonts w:hint="eastAsia" w:ascii="Times New Roman" w:hAnsi="Times New Roman" w:cs="Times New Roman"/>
                <w:lang w:val="en-US" w:eastAsia="zh-CN"/>
              </w:rPr>
              <w:t>施工泵车及各仪表车检测按SY/T 5211执行，施工泵车可连续作业时间应满足设计泵注程序要求。仪表车的布局应可远距离观测到井口及地面高压管线，仪表车正门面对井场出口方向，且离井口不小于15m</w:t>
            </w:r>
          </w:p>
        </w:tc>
        <w:tc>
          <w:tcPr>
            <w:tcW w:w="1634" w:type="dxa"/>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SY/T6334-2013</w:t>
            </w:r>
          </w:p>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4.1.5.2</w:t>
            </w:r>
          </w:p>
        </w:tc>
        <w:tc>
          <w:tcPr>
            <w:tcW w:w="6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w:t>
            </w:r>
          </w:p>
        </w:tc>
        <w:tc>
          <w:tcPr>
            <w:tcW w:w="190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lang w:val="en-US"/>
              </w:rPr>
            </w:pPr>
            <w:r>
              <w:rPr>
                <w:rFonts w:hint="default" w:ascii="Times New Roman" w:hAnsi="Times New Roman" w:cs="Times New Roman"/>
                <w:lang w:val="en-US" w:eastAsia="zh-CN"/>
              </w:rPr>
              <w:t>仪表车正门面对井场出口方向，离井口</w:t>
            </w:r>
            <w:r>
              <w:rPr>
                <w:rFonts w:hint="eastAsia" w:cs="Times New Roman"/>
                <w:lang w:val="en-US" w:eastAsia="zh-CN"/>
              </w:rPr>
              <w:t>16m。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85" w:type="dxa"/>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ascii="Times New Roman" w:hAnsi="Times New Roman" w:cs="Times New Roman"/>
              </w:rPr>
            </w:pPr>
          </w:p>
        </w:tc>
        <w:tc>
          <w:tcPr>
            <w:tcW w:w="4245" w:type="dxa"/>
            <w:gridSpan w:val="2"/>
            <w:vAlign w:val="center"/>
          </w:tcPr>
          <w:p>
            <w:pPr>
              <w:keepNext w:val="0"/>
              <w:keepLines w:val="0"/>
              <w:suppressLineNumbers w:val="0"/>
              <w:spacing w:before="0" w:beforeAutospacing="0" w:after="0" w:afterAutospacing="0"/>
              <w:ind w:left="0" w:right="0"/>
              <w:rPr>
                <w:rFonts w:hint="eastAsia" w:ascii="Times New Roman" w:hAnsi="Times New Roman" w:cs="Times New Roman"/>
                <w:lang w:val="en-US" w:eastAsia="zh-CN"/>
              </w:rPr>
            </w:pPr>
            <w:r>
              <w:rPr>
                <w:rFonts w:hint="eastAsia" w:ascii="Times New Roman" w:hAnsi="Times New Roman" w:cs="Times New Roman"/>
                <w:lang w:val="en-US" w:eastAsia="zh-CN"/>
              </w:rPr>
              <w:t>施工过程中的供液能力不小于设计的最大排量。</w:t>
            </w:r>
          </w:p>
        </w:tc>
        <w:tc>
          <w:tcPr>
            <w:tcW w:w="1634" w:type="dxa"/>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SY/T6334-2013</w:t>
            </w:r>
          </w:p>
          <w:p>
            <w:pPr>
              <w:keepNext w:val="0"/>
              <w:keepLines w:val="0"/>
              <w:suppressLineNumbers w:val="0"/>
              <w:spacing w:before="0" w:beforeAutospacing="0" w:after="0" w:afterAutospacing="0"/>
              <w:ind w:left="0" w:right="0"/>
              <w:jc w:val="center"/>
              <w:rPr>
                <w:rFonts w:hint="eastAsia" w:ascii="Times New Roman" w:hAnsi="Times New Roman" w:cs="Times New Roman"/>
                <w:lang w:val="en-US" w:eastAsia="zh-CN"/>
              </w:rPr>
            </w:pPr>
            <w:r>
              <w:rPr>
                <w:rFonts w:hint="eastAsia" w:ascii="Times New Roman" w:hAnsi="Times New Roman" w:cs="Times New Roman"/>
                <w:lang w:val="en-US" w:eastAsia="zh-CN"/>
              </w:rPr>
              <w:t>4.1.5.3</w:t>
            </w:r>
          </w:p>
        </w:tc>
        <w:tc>
          <w:tcPr>
            <w:tcW w:w="691"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w:t>
            </w:r>
          </w:p>
        </w:tc>
        <w:tc>
          <w:tcPr>
            <w:tcW w:w="1908" w:type="dxa"/>
            <w:vAlign w:val="center"/>
          </w:tcPr>
          <w:p>
            <w:pPr>
              <w:keepNext w:val="0"/>
              <w:keepLines w:val="0"/>
              <w:suppressLineNumbers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lang w:val="en-US" w:eastAsia="zh-CN"/>
              </w:rPr>
              <w:t>供液能力</w:t>
            </w:r>
            <w:r>
              <w:rPr>
                <w:rFonts w:hint="eastAsia" w:cs="Times New Roman"/>
                <w:lang w:val="en-US" w:eastAsia="zh-CN"/>
              </w:rPr>
              <w:t>大于</w:t>
            </w:r>
            <w:r>
              <w:rPr>
                <w:rFonts w:hint="default" w:ascii="Times New Roman" w:hAnsi="Times New Roman" w:cs="Times New Roman"/>
                <w:lang w:val="en-US" w:eastAsia="zh-CN"/>
              </w:rPr>
              <w:t>设计的最大排量</w:t>
            </w:r>
            <w:r>
              <w:rPr>
                <w:rFonts w:hint="eastAsia" w:cs="Times New Roman"/>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gridSpan w:val="2"/>
            <w:vAlign w:val="center"/>
          </w:tcPr>
          <w:p>
            <w:pPr>
              <w:keepNext w:val="0"/>
              <w:keepLines w:val="0"/>
              <w:widowControl w:val="0"/>
              <w:numPr>
                <w:ilvl w:val="0"/>
                <w:numId w:val="0"/>
              </w:numPr>
              <w:suppressLineNumbers w:val="0"/>
              <w:tabs>
                <w:tab w:val="left" w:pos="347"/>
              </w:tabs>
              <w:adjustRightInd w:val="0"/>
              <w:snapToGrid w:val="0"/>
              <w:spacing w:before="62" w:beforeLines="20" w:beforeAutospacing="0" w:after="62" w:afterLines="20" w:afterAutospacing="0"/>
              <w:ind w:left="0" w:leftChars="0" w:right="0" w:rightChars="0" w:firstLine="0" w:firstLineChars="0"/>
              <w:jc w:val="left"/>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b/>
                <w:bCs/>
                <w:color w:val="000000" w:themeColor="text1"/>
                <w:kern w:val="2"/>
                <w:sz w:val="21"/>
                <w:szCs w:val="21"/>
                <w:lang w:val="en-US" w:eastAsia="zh-CN" w:bidi="ar-SA"/>
                <w14:textFill>
                  <w14:solidFill>
                    <w14:schemeClr w14:val="tx1"/>
                  </w14:solidFill>
                </w14:textFill>
              </w:rPr>
              <w:t>二</w:t>
            </w:r>
          </w:p>
        </w:tc>
        <w:tc>
          <w:tcPr>
            <w:tcW w:w="4235"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b/>
                <w:bCs/>
                <w:color w:val="000000" w:themeColor="text1"/>
                <w:sz w:val="21"/>
                <w:szCs w:val="21"/>
                <w:lang w:eastAsia="zh-CN"/>
                <w14:textFill>
                  <w14:solidFill>
                    <w14:schemeClr w14:val="tx1"/>
                  </w14:solidFill>
                </w14:textFill>
              </w:rPr>
              <w:t>安全警示标志</w:t>
            </w:r>
          </w:p>
        </w:tc>
        <w:tc>
          <w:tcPr>
            <w:tcW w:w="1634"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000000" w:themeColor="text1"/>
                <w:sz w:val="21"/>
                <w:szCs w:val="21"/>
                <w:lang w:eastAsia="zh-CN"/>
                <w14:textFill>
                  <w14:solidFill>
                    <w14:schemeClr w14:val="tx1"/>
                  </w14:solidFill>
                </w14:textFill>
              </w:rPr>
            </w:pPr>
          </w:p>
        </w:tc>
        <w:tc>
          <w:tcPr>
            <w:tcW w:w="691"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000000" w:themeColor="text1"/>
                <w:sz w:val="21"/>
                <w:szCs w:val="21"/>
                <w:lang w:eastAsia="zh-CN"/>
                <w14:textFill>
                  <w14:solidFill>
                    <w14:schemeClr w14:val="tx1"/>
                  </w14:solidFill>
                </w14:textFill>
              </w:rPr>
            </w:pPr>
          </w:p>
        </w:tc>
        <w:tc>
          <w:tcPr>
            <w:tcW w:w="1908" w:type="dxa"/>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b/>
                <w:bCs/>
                <w:color w:val="000000" w:themeColor="text1"/>
                <w:sz w:val="21"/>
                <w:szCs w:val="2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423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生产经营单位应当在有较大危险因素的生产经营场所和有关设施、设备上，设置明显的安全警示标志。</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安全生产法</w:t>
            </w:r>
            <w:r>
              <w:rPr>
                <w:rFonts w:hint="eastAsia" w:ascii="宋体" w:hAnsi="宋体" w:eastAsia="宋体" w:cs="宋体"/>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第三十五条</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w:t>
            </w:r>
          </w:p>
        </w:tc>
        <w:tc>
          <w:tcPr>
            <w:tcW w:w="1908"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设有</w:t>
            </w:r>
            <w:r>
              <w:rPr>
                <w:rFonts w:hint="default" w:ascii="Times New Roman" w:hAnsi="Times New Roman" w:cs="Times New Roman"/>
                <w:color w:val="000000" w:themeColor="text1"/>
                <w:sz w:val="21"/>
                <w:szCs w:val="21"/>
                <w14:textFill>
                  <w14:solidFill>
                    <w14:schemeClr w14:val="tx1"/>
                  </w14:solidFill>
                </w14:textFill>
              </w:rPr>
              <w:t>明显的安全警示标志。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油气井作业施工区域内严禁烟火，工区内所有人员禁止吸烟。在井场进行动火施工作业按相关动火作业安全规定执行。</w:t>
            </w:r>
          </w:p>
        </w:tc>
        <w:tc>
          <w:tcPr>
            <w:tcW w:w="16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000000" w:themeColor="text1"/>
                <w:sz w:val="21"/>
                <w:szCs w:val="21"/>
                <w:lang w:eastAsia="zh-CN"/>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SY</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/T</w:t>
            </w:r>
            <w:r>
              <w:rPr>
                <w:rFonts w:hint="eastAsia" w:ascii="Times New Roman" w:hAnsi="Times New Roman" w:cs="Times New Roman"/>
                <w:bCs/>
                <w:color w:val="000000" w:themeColor="text1"/>
                <w:sz w:val="21"/>
                <w:szCs w:val="21"/>
                <w14:textFill>
                  <w14:solidFill>
                    <w14:schemeClr w14:val="tx1"/>
                  </w14:solidFill>
                </w14:textFill>
              </w:rPr>
              <w:t>5225-201</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4</w:t>
            </w:r>
            <w:r>
              <w:rPr>
                <w:rFonts w:hint="eastAsia" w:ascii="Times New Roman" w:hAnsi="Times New Roman" w:cs="Times New Roman"/>
                <w:bCs/>
                <w:color w:val="000000" w:themeColor="text1"/>
                <w:sz w:val="21"/>
                <w:szCs w:val="21"/>
                <w14:textFill>
                  <w14:solidFill>
                    <w14:schemeClr w14:val="tx1"/>
                  </w14:solidFill>
                </w14:textFill>
              </w:rPr>
              <w:t>.1.</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2</w:t>
            </w:r>
          </w:p>
        </w:tc>
        <w:tc>
          <w:tcPr>
            <w:tcW w:w="691"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w:t>
            </w:r>
          </w:p>
        </w:tc>
        <w:tc>
          <w:tcPr>
            <w:tcW w:w="1908"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设有</w:t>
            </w:r>
            <w:r>
              <w:rPr>
                <w:rFonts w:hint="default" w:ascii="Times New Roman" w:hAnsi="Times New Roman" w:cs="Times New Roman"/>
                <w:color w:val="000000" w:themeColor="text1"/>
                <w:sz w:val="21"/>
                <w:szCs w:val="21"/>
                <w14:textFill>
                  <w14:solidFill>
                    <w14:schemeClr w14:val="tx1"/>
                  </w14:solidFill>
                </w14:textFill>
              </w:rPr>
              <w:t>严禁烟火</w:t>
            </w:r>
            <w:r>
              <w:rPr>
                <w:rFonts w:hint="default" w:ascii="Times New Roman" w:hAnsi="Times New Roman" w:cs="Times New Roman"/>
                <w:color w:val="000000" w:themeColor="text1"/>
                <w:sz w:val="21"/>
                <w:szCs w:val="21"/>
                <w:lang w:eastAsia="zh-CN"/>
                <w14:textFill>
                  <w14:solidFill>
                    <w14:schemeClr w14:val="tx1"/>
                  </w14:solidFill>
                </w14:textFill>
              </w:rPr>
              <w:t>标志。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油、气井场内应设置明显的防火防爆标志及风向标。</w:t>
            </w:r>
          </w:p>
        </w:tc>
        <w:tc>
          <w:tcPr>
            <w:tcW w:w="16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000000" w:themeColor="text1"/>
                <w:sz w:val="21"/>
                <w:szCs w:val="21"/>
                <w:lang w:eastAsia="zh-CN"/>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SY</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/T</w:t>
            </w:r>
            <w:r>
              <w:rPr>
                <w:rFonts w:hint="eastAsia" w:ascii="Times New Roman" w:hAnsi="Times New Roman" w:cs="Times New Roman"/>
                <w:bCs/>
                <w:color w:val="000000" w:themeColor="text1"/>
                <w:sz w:val="21"/>
                <w:szCs w:val="21"/>
                <w14:textFill>
                  <w14:solidFill>
                    <w14:schemeClr w14:val="tx1"/>
                  </w14:solidFill>
                </w14:textFill>
              </w:rPr>
              <w:t>5225-201</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4</w:t>
            </w:r>
            <w:r>
              <w:rPr>
                <w:rFonts w:hint="eastAsia" w:ascii="Times New Roman" w:hAnsi="Times New Roman" w:cs="Times New Roman"/>
                <w:bCs/>
                <w:color w:val="000000" w:themeColor="text1"/>
                <w:sz w:val="21"/>
                <w:szCs w:val="21"/>
                <w14:textFill>
                  <w14:solidFill>
                    <w14:schemeClr w14:val="tx1"/>
                  </w14:solidFill>
                </w14:textFill>
              </w:rPr>
              <w:t>.1.</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10</w:t>
            </w:r>
          </w:p>
        </w:tc>
        <w:tc>
          <w:tcPr>
            <w:tcW w:w="691"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w:t>
            </w:r>
          </w:p>
        </w:tc>
        <w:tc>
          <w:tcPr>
            <w:tcW w:w="1908"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设有</w:t>
            </w:r>
            <w:r>
              <w:rPr>
                <w:rFonts w:hint="default" w:ascii="Times New Roman" w:hAnsi="Times New Roman" w:cs="Times New Roman"/>
                <w:color w:val="000000" w:themeColor="text1"/>
                <w:sz w:val="21"/>
                <w:szCs w:val="21"/>
                <w14:textFill>
                  <w14:solidFill>
                    <w14:schemeClr w14:val="tx1"/>
                  </w14:solidFill>
                </w14:textFill>
              </w:rPr>
              <w:t>防火防爆标志及风向标。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top"/>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现场应根据施工情况设置以下（包括但不限于）醒目的安全警示标志，并放在相应的位置，安全标志应符合 GB 2894-2008 中第4章的规定：</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 xml:space="preserve">a) </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必须带安全帽</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 xml:space="preserve">b) </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禁止烟火</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 xml:space="preserve">c) </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必须系安全带</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 xml:space="preserve">d) </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当心触电</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e）</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当心机械伤人</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 xml:space="preserve">f) </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当心坠落</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 xml:space="preserve">g) </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当心落物</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 xml:space="preserve">h) </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当心井喷</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 xml:space="preserve">i) </w:t>
            </w:r>
            <w:r>
              <w:rPr>
                <w:rFonts w:hint="eastAsia" w:ascii="Times New Roman" w:hAnsi="Times New Roman" w:eastAsia="宋体" w:cs="Times New Roman"/>
                <w:color w:val="000000" w:themeColor="text1"/>
                <w:sz w:val="21"/>
                <w:szCs w:val="21"/>
                <w:lang w:eastAsia="zh-CN"/>
                <w14:textFill>
                  <w14:solidFill>
                    <w14:schemeClr w14:val="tx1"/>
                  </w14:solidFill>
                </w14:textFill>
              </w:rPr>
              <w:t>“当心中毒”。</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437"/>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 xml:space="preserve">j) </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高压工作区</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cs="Times New Roman"/>
                <w:color w:val="000000" w:themeColor="text1"/>
                <w:sz w:val="21"/>
                <w:szCs w:val="21"/>
                <w14:textFill>
                  <w14:solidFill>
                    <w14:schemeClr w14:val="tx1"/>
                  </w14:solidFill>
                </w14:textFill>
              </w:rPr>
              <w:t>（需要高压施工时）</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437" w:firstLineChars="0"/>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k）</w:t>
            </w:r>
            <w:r>
              <w:rPr>
                <w:rFonts w:hint="eastAsia" w:ascii="Times New Roman" w:hAnsi="Times New Roman" w:cs="Times New Roman"/>
                <w:color w:val="000000" w:themeColor="text1"/>
                <w:sz w:val="21"/>
                <w:szCs w:val="21"/>
                <w14:textFill>
                  <w14:solidFill>
                    <w14:schemeClr w14:val="tx1"/>
                  </w14:solidFill>
                </w14:textFill>
              </w:rPr>
              <w:t>对使用380V以上电压的抽油机，还应在配电箱处挂“高压危险”警示牌。</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SY</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/T</w:t>
            </w:r>
            <w:r>
              <w:rPr>
                <w:rFonts w:hint="eastAsia" w:ascii="Times New Roman" w:hAnsi="Times New Roman" w:cs="Times New Roman"/>
                <w:bCs/>
                <w:color w:val="000000" w:themeColor="text1"/>
                <w:sz w:val="21"/>
                <w:szCs w:val="21"/>
                <w14:textFill>
                  <w14:solidFill>
                    <w14:schemeClr w14:val="tx1"/>
                  </w14:solidFill>
                </w14:textFill>
              </w:rPr>
              <w:t>5727-20</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.1</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w:t>
            </w:r>
          </w:p>
        </w:tc>
        <w:tc>
          <w:tcPr>
            <w:tcW w:w="1908"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现场</w:t>
            </w:r>
            <w:r>
              <w:rPr>
                <w:rFonts w:hint="eastAsia" w:cs="Times New Roman"/>
                <w:color w:val="000000" w:themeColor="text1"/>
                <w:sz w:val="21"/>
                <w:szCs w:val="21"/>
                <w:lang w:val="en-US" w:eastAsia="zh-CN"/>
                <w14:textFill>
                  <w14:solidFill>
                    <w14:schemeClr w14:val="tx1"/>
                  </w14:solidFill>
                </w14:textFill>
              </w:rPr>
              <w:t>安全警示标识齐全。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井场应设置逃生路线标志、紧急集合点和风向标，设有安全通道并保证畅通。</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SY</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/T</w:t>
            </w:r>
            <w:r>
              <w:rPr>
                <w:rFonts w:hint="eastAsia" w:ascii="Times New Roman" w:hAnsi="Times New Roman" w:cs="Times New Roman"/>
                <w:bCs/>
                <w:color w:val="000000" w:themeColor="text1"/>
                <w:sz w:val="21"/>
                <w:szCs w:val="21"/>
                <w14:textFill>
                  <w14:solidFill>
                    <w14:schemeClr w14:val="tx1"/>
                  </w14:solidFill>
                </w14:textFill>
              </w:rPr>
              <w:t>5727-20</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w:t>
            </w:r>
          </w:p>
        </w:tc>
        <w:tc>
          <w:tcPr>
            <w:tcW w:w="1908" w:type="dxa"/>
            <w:vAlign w:val="center"/>
          </w:tcPr>
          <w:p>
            <w:pPr>
              <w:keepNext w:val="0"/>
              <w:keepLines w:val="0"/>
              <w:suppressLineNumbers w:val="0"/>
              <w:adjustRightInd w:val="0"/>
              <w:snapToGrid w:val="0"/>
              <w:spacing w:before="20" w:beforeAutospacing="0" w:after="20" w:afterAutospacing="0"/>
              <w:ind w:left="0" w:right="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井场设紧急集合点和风向标，安全通道保证畅通。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4" w:hRule="atLeast"/>
          <w:jc w:val="center"/>
        </w:trPr>
        <w:tc>
          <w:tcPr>
            <w:tcW w:w="495" w:type="dxa"/>
            <w:gridSpan w:val="2"/>
            <w:vAlign w:val="center"/>
          </w:tcPr>
          <w:p>
            <w:pPr>
              <w:keepNext w:val="0"/>
              <w:keepLines w:val="0"/>
              <w:suppressLineNumbers w:val="0"/>
              <w:spacing w:before="0" w:beforeAutospacing="0" w:after="0" w:afterAutospacing="0"/>
              <w:ind w:left="0" w:right="0"/>
              <w:rPr>
                <w:rFonts w:hint="default"/>
                <w:lang w:val="en-US" w:eastAsia="zh-CN"/>
              </w:rPr>
            </w:pPr>
            <w:r>
              <w:rPr>
                <w:rFonts w:hint="eastAsia" w:ascii="Times New Roman" w:eastAsia="宋体"/>
                <w:b/>
                <w:bCs/>
                <w:lang w:val="en-US" w:eastAsia="zh-CN"/>
              </w:rPr>
              <w:t>三</w:t>
            </w:r>
          </w:p>
        </w:tc>
        <w:tc>
          <w:tcPr>
            <w:tcW w:w="423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施工过程安全管理</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19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 xml:space="preserve">施工中进出井场的车辆排气管应安装阻火器。施工井场地面裸露的油、气管线及电缆，应采取防止车辆碾压的保护措施。 </w:t>
            </w:r>
          </w:p>
        </w:tc>
        <w:tc>
          <w:tcPr>
            <w:tcW w:w="1634"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ascii="Times New Roman" w:hAnsi="Times New Roman" w:eastAsia="宋体" w:cs="Times New Roman"/>
                <w:bCs/>
                <w:color w:val="000000" w:themeColor="text1"/>
                <w:sz w:val="21"/>
                <w:szCs w:val="21"/>
                <w:lang w:eastAsia="zh-CN"/>
                <w14:textFill>
                  <w14:solidFill>
                    <w14:schemeClr w14:val="tx1"/>
                  </w14:solidFill>
                </w14:textFill>
              </w:rPr>
            </w:pPr>
            <w:r>
              <w:rPr>
                <w:rFonts w:hint="eastAsia" w:ascii="Times New Roman" w:hAnsi="Times New Roman" w:cs="Times New Roman"/>
                <w:bCs/>
                <w:color w:val="000000" w:themeColor="text1"/>
                <w:sz w:val="21"/>
                <w:szCs w:val="21"/>
                <w14:textFill>
                  <w14:solidFill>
                    <w14:schemeClr w14:val="tx1"/>
                  </w14:solidFill>
                </w14:textFill>
              </w:rPr>
              <w:t>SY</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/T</w:t>
            </w:r>
            <w:r>
              <w:rPr>
                <w:rFonts w:hint="eastAsia" w:ascii="Times New Roman" w:hAnsi="Times New Roman" w:cs="Times New Roman"/>
                <w:bCs/>
                <w:color w:val="000000" w:themeColor="text1"/>
                <w:sz w:val="21"/>
                <w:szCs w:val="21"/>
                <w14:textFill>
                  <w14:solidFill>
                    <w14:schemeClr w14:val="tx1"/>
                  </w14:solidFill>
                </w14:textFill>
              </w:rPr>
              <w:t>5225-201</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9</w:t>
            </w:r>
          </w:p>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4</w:t>
            </w:r>
            <w:r>
              <w:rPr>
                <w:rFonts w:hint="eastAsia" w:ascii="Times New Roman" w:hAnsi="Times New Roman" w:cs="Times New Roman"/>
                <w:bCs/>
                <w:color w:val="000000" w:themeColor="text1"/>
                <w:sz w:val="21"/>
                <w:szCs w:val="21"/>
                <w14:textFill>
                  <w14:solidFill>
                    <w14:schemeClr w14:val="tx1"/>
                  </w14:solidFill>
                </w14:textFill>
              </w:rPr>
              <w:t>.1.</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4</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w:t>
            </w:r>
          </w:p>
        </w:tc>
        <w:tc>
          <w:tcPr>
            <w:tcW w:w="19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进出井场的车辆排气管安装阻火器</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施工作业人员应经相应的岗位技能培训，培训合格方可上岗。</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SY</w:t>
            </w:r>
            <w:r>
              <w:rPr>
                <w:rFonts w:hint="default" w:ascii="Times New Roman" w:hAnsi="Times New Roman" w:cs="Times New Roman"/>
                <w:bCs/>
                <w:color w:val="000000" w:themeColor="text1"/>
                <w:sz w:val="21"/>
                <w:szCs w:val="21"/>
                <w:lang w:val="en-US" w:eastAsia="zh-CN"/>
                <w14:textFill>
                  <w14:solidFill>
                    <w14:schemeClr w14:val="tx1"/>
                  </w14:solidFill>
                </w14:textFill>
              </w:rPr>
              <w:t>/T</w:t>
            </w:r>
            <w:r>
              <w:rPr>
                <w:rFonts w:hint="default" w:ascii="Times New Roman" w:hAnsi="Times New Roman" w:cs="Times New Roman"/>
                <w:bCs/>
                <w:color w:val="000000" w:themeColor="text1"/>
                <w:sz w:val="21"/>
                <w:szCs w:val="21"/>
                <w14:textFill>
                  <w14:solidFill>
                    <w14:schemeClr w14:val="tx1"/>
                  </w14:solidFill>
                </w14:textFill>
              </w:rPr>
              <w:t>5727-20</w:t>
            </w:r>
            <w:r>
              <w:rPr>
                <w:rFonts w:hint="default" w:ascii="Times New Roman" w:hAnsi="Times New Roman" w:cs="Times New Roman"/>
                <w:bCs/>
                <w:color w:val="000000" w:themeColor="text1"/>
                <w:sz w:val="2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4.1.1</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w:t>
            </w:r>
          </w:p>
        </w:tc>
        <w:tc>
          <w:tcPr>
            <w:tcW w:w="19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现场作业人员持“三小证”上岗。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进入现场人员应正确穿戴和使用劳动防护用品及其他防护用具，并做好安全防护设施的维护。高处作业者应系安全带，并将随身携带的工具系上防掉绳，作业前将安全带在井架上系牢。</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SY</w:t>
            </w:r>
            <w:r>
              <w:rPr>
                <w:rFonts w:hint="default" w:ascii="Times New Roman" w:hAnsi="Times New Roman" w:cs="Times New Roman"/>
                <w:bCs/>
                <w:color w:val="000000" w:themeColor="text1"/>
                <w:sz w:val="21"/>
                <w:szCs w:val="21"/>
                <w:lang w:val="en-US" w:eastAsia="zh-CN"/>
                <w14:textFill>
                  <w14:solidFill>
                    <w14:schemeClr w14:val="tx1"/>
                  </w14:solidFill>
                </w14:textFill>
              </w:rPr>
              <w:t>/T</w:t>
            </w:r>
            <w:r>
              <w:rPr>
                <w:rFonts w:hint="default" w:ascii="Times New Roman" w:hAnsi="Times New Roman" w:cs="Times New Roman"/>
                <w:bCs/>
                <w:color w:val="000000" w:themeColor="text1"/>
                <w:sz w:val="21"/>
                <w:szCs w:val="21"/>
                <w14:textFill>
                  <w14:solidFill>
                    <w14:schemeClr w14:val="tx1"/>
                  </w14:solidFill>
                </w14:textFill>
              </w:rPr>
              <w:t>5727-20</w:t>
            </w:r>
            <w:r>
              <w:rPr>
                <w:rFonts w:hint="default" w:ascii="Times New Roman" w:hAnsi="Times New Roman" w:cs="Times New Roman"/>
                <w:bCs/>
                <w:color w:val="000000" w:themeColor="text1"/>
                <w:sz w:val="2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4.1.2</w:t>
            </w:r>
          </w:p>
        </w:tc>
        <w:tc>
          <w:tcPr>
            <w:tcW w:w="691"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t>
            </w:r>
          </w:p>
        </w:tc>
        <w:tc>
          <w:tcPr>
            <w:tcW w:w="1908"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正确穿戴和使用劳动防护用品及其他防护用具。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应根据井下作业地质设计、工程设计编制施工设计，并按企业规定分级审批。</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SY</w:t>
            </w:r>
            <w:r>
              <w:rPr>
                <w:rFonts w:hint="default" w:ascii="Times New Roman" w:hAnsi="Times New Roman" w:cs="Times New Roman"/>
                <w:bCs/>
                <w:color w:val="000000" w:themeColor="text1"/>
                <w:sz w:val="21"/>
                <w:szCs w:val="21"/>
                <w:lang w:val="en-US" w:eastAsia="zh-CN"/>
                <w14:textFill>
                  <w14:solidFill>
                    <w14:schemeClr w14:val="tx1"/>
                  </w14:solidFill>
                </w14:textFill>
              </w:rPr>
              <w:t>/T</w:t>
            </w:r>
            <w:r>
              <w:rPr>
                <w:rFonts w:hint="default" w:ascii="Times New Roman" w:hAnsi="Times New Roman" w:cs="Times New Roman"/>
                <w:bCs/>
                <w:color w:val="000000" w:themeColor="text1"/>
                <w:sz w:val="21"/>
                <w:szCs w:val="21"/>
                <w14:textFill>
                  <w14:solidFill>
                    <w14:schemeClr w14:val="tx1"/>
                  </w14:solidFill>
                </w14:textFill>
              </w:rPr>
              <w:t>5727-20</w:t>
            </w:r>
            <w:r>
              <w:rPr>
                <w:rFonts w:hint="default" w:ascii="Times New Roman" w:hAnsi="Times New Roman" w:cs="Times New Roman"/>
                <w:bCs/>
                <w:color w:val="000000" w:themeColor="text1"/>
                <w:sz w:val="2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4.1.5</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t>
            </w:r>
          </w:p>
        </w:tc>
        <w:tc>
          <w:tcPr>
            <w:tcW w:w="19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编制施工</w:t>
            </w:r>
            <w:r>
              <w:rPr>
                <w:rFonts w:hint="eastAsia" w:cs="Times New Roman"/>
                <w:color w:val="000000" w:themeColor="text1"/>
                <w:kern w:val="2"/>
                <w:sz w:val="21"/>
                <w:szCs w:val="21"/>
                <w:lang w:val="en-US" w:eastAsia="zh-CN" w:bidi="ar-SA"/>
                <w14:textFill>
                  <w14:solidFill>
                    <w14:schemeClr w14:val="tx1"/>
                  </w14:solidFill>
                </w14:textFill>
              </w:rPr>
              <w:t>设计</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并经审批。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根据施工环境变化应进行风险识别、评估，采取风险控制措施并制订应急预案。</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SY</w:t>
            </w:r>
            <w:r>
              <w:rPr>
                <w:rFonts w:hint="default" w:ascii="Times New Roman" w:hAnsi="Times New Roman" w:cs="Times New Roman"/>
                <w:bCs/>
                <w:color w:val="000000" w:themeColor="text1"/>
                <w:sz w:val="21"/>
                <w:szCs w:val="21"/>
                <w:lang w:val="en-US" w:eastAsia="zh-CN"/>
                <w14:textFill>
                  <w14:solidFill>
                    <w14:schemeClr w14:val="tx1"/>
                  </w14:solidFill>
                </w14:textFill>
              </w:rPr>
              <w:t>/T</w:t>
            </w:r>
            <w:r>
              <w:rPr>
                <w:rFonts w:hint="default" w:ascii="Times New Roman" w:hAnsi="Times New Roman" w:cs="Times New Roman"/>
                <w:bCs/>
                <w:color w:val="000000" w:themeColor="text1"/>
                <w:sz w:val="21"/>
                <w:szCs w:val="21"/>
                <w14:textFill>
                  <w14:solidFill>
                    <w14:schemeClr w14:val="tx1"/>
                  </w14:solidFill>
                </w14:textFill>
              </w:rPr>
              <w:t>5727-20</w:t>
            </w:r>
            <w:r>
              <w:rPr>
                <w:rFonts w:hint="default" w:ascii="Times New Roman" w:hAnsi="Times New Roman" w:cs="Times New Roman"/>
                <w:bCs/>
                <w:color w:val="000000" w:themeColor="text1"/>
                <w:sz w:val="2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4.1.6</w:t>
            </w:r>
          </w:p>
        </w:tc>
        <w:tc>
          <w:tcPr>
            <w:tcW w:w="691"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t>
            </w:r>
          </w:p>
        </w:tc>
        <w:tc>
          <w:tcPr>
            <w:tcW w:w="1908" w:type="dxa"/>
            <w:vAlign w:val="center"/>
          </w:tcPr>
          <w:p>
            <w:pPr>
              <w:keepNext w:val="0"/>
              <w:keepLines w:val="0"/>
              <w:pageBreakBefore w:val="0"/>
              <w:widowControl w:val="0"/>
              <w:suppressLineNumbers w:val="0"/>
              <w:kinsoku/>
              <w:wordWrap/>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t>已制订</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应急预案。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个人防护用具、气体监测仪器的配备、使用操作、应急抢险和紧急疏散应符合SY/T 6610-2017中第5章、第6章、第7章的规定。</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Cs/>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SY</w:t>
            </w:r>
            <w:r>
              <w:rPr>
                <w:rFonts w:hint="default" w:ascii="Times New Roman" w:hAnsi="Times New Roman" w:cs="Times New Roman"/>
                <w:bCs/>
                <w:color w:val="000000" w:themeColor="text1"/>
                <w:sz w:val="21"/>
                <w:szCs w:val="21"/>
                <w:lang w:val="en-US" w:eastAsia="zh-CN"/>
                <w14:textFill>
                  <w14:solidFill>
                    <w14:schemeClr w14:val="tx1"/>
                  </w14:solidFill>
                </w14:textFill>
              </w:rPr>
              <w:t>/T</w:t>
            </w:r>
            <w:r>
              <w:rPr>
                <w:rFonts w:hint="default" w:ascii="Times New Roman" w:hAnsi="Times New Roman" w:cs="Times New Roman"/>
                <w:bCs/>
                <w:color w:val="000000" w:themeColor="text1"/>
                <w:sz w:val="21"/>
                <w:szCs w:val="21"/>
                <w14:textFill>
                  <w14:solidFill>
                    <w14:schemeClr w14:val="tx1"/>
                  </w14:solidFill>
                </w14:textFill>
              </w:rPr>
              <w:t>5727-20</w:t>
            </w:r>
            <w:r>
              <w:rPr>
                <w:rFonts w:hint="default" w:ascii="Times New Roman" w:hAnsi="Times New Roman" w:cs="Times New Roman"/>
                <w:bCs/>
                <w:color w:val="000000" w:themeColor="text1"/>
                <w:sz w:val="21"/>
                <w:szCs w:val="21"/>
                <w:lang w:val="en-US" w:eastAsia="zh-CN"/>
                <w14:textFill>
                  <w14:solidFill>
                    <w14:schemeClr w14:val="tx1"/>
                  </w14:solidFill>
                </w14:textFill>
              </w:rPr>
              <w:t>20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4.6.3</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t>
            </w:r>
          </w:p>
        </w:tc>
        <w:tc>
          <w:tcPr>
            <w:tcW w:w="19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现场配备便携式硫化氢检测仪、正压式空气呼吸器等设备设施，并经检测合格。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atLeas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根据设计，施工作业过程中，有产生井内压力变化的环节，应有具体的井控防范措施。</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SY/T6690-2016</w:t>
            </w:r>
            <w:r>
              <w:rPr>
                <w:rFonts w:hint="default" w:ascii="Times New Roman" w:hAnsi="Times New Roman" w:cs="Times New Roman"/>
                <w:color w:val="000000" w:themeColor="text1"/>
                <w:sz w:val="21"/>
                <w:szCs w:val="21"/>
                <w14:textFill>
                  <w14:solidFill>
                    <w14:schemeClr w14:val="tx1"/>
                  </w14:solidFill>
                </w14:textFill>
              </w:rPr>
              <w:t>6.10.1</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t>
            </w:r>
          </w:p>
        </w:tc>
        <w:tc>
          <w:tcPr>
            <w:tcW w:w="19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施工设计中有具体的</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井控</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防范措施。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gridSpan w:val="2"/>
            <w:vAlign w:val="center"/>
          </w:tcPr>
          <w:p>
            <w:pPr>
              <w:keepNext w:val="0"/>
              <w:keepLines w:val="0"/>
              <w:suppressLineNumbers w:val="0"/>
              <w:spacing w:before="0" w:beforeAutospacing="0" w:after="0" w:afterAutospacing="0"/>
              <w:ind w:left="0" w:right="0"/>
              <w:rPr>
                <w:rFonts w:hint="eastAsia"/>
                <w:lang w:val="en-US" w:eastAsia="zh-CN"/>
              </w:rPr>
            </w:pPr>
            <w:r>
              <w:rPr>
                <w:rFonts w:hint="eastAsia" w:ascii="Times New Roman" w:eastAsia="宋体"/>
                <w:lang w:val="en-US" w:eastAsia="zh-CN"/>
              </w:rPr>
              <w:t>四</w:t>
            </w:r>
          </w:p>
        </w:tc>
        <w:tc>
          <w:tcPr>
            <w:tcW w:w="4235"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检验检测</w:t>
            </w:r>
          </w:p>
        </w:tc>
        <w:tc>
          <w:tcPr>
            <w:tcW w:w="1634"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c>
          <w:tcPr>
            <w:tcW w:w="19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rPr>
              <w:t>正压式空气呼吸器应每年检验一次；气瓶应每三年检验一次，其安全使用年限不得超过1</w:t>
            </w:r>
            <w:r>
              <w:rPr>
                <w:rFonts w:hint="default" w:ascii="Times New Roman" w:hAnsi="Times New Roman" w:cs="Times New Roman"/>
                <w:kern w:val="0"/>
                <w:sz w:val="21"/>
                <w:szCs w:val="21"/>
              </w:rPr>
              <w:t>5</w:t>
            </w:r>
            <w:r>
              <w:rPr>
                <w:rFonts w:hint="eastAsia" w:ascii="Times New Roman" w:hAnsi="Times New Roman" w:cs="Times New Roman"/>
                <w:kern w:val="0"/>
                <w:sz w:val="21"/>
                <w:szCs w:val="21"/>
              </w:rPr>
              <w:t>年。</w:t>
            </w:r>
          </w:p>
        </w:tc>
        <w:tc>
          <w:tcPr>
            <w:tcW w:w="1634"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kern w:val="0"/>
                <w:sz w:val="21"/>
                <w:szCs w:val="21"/>
              </w:rPr>
            </w:pPr>
            <w:r>
              <w:rPr>
                <w:rFonts w:hint="eastAsia" w:ascii="Times New Roman" w:hAnsi="Times New Roman" w:cs="Times New Roman"/>
                <w:kern w:val="0"/>
                <w:sz w:val="21"/>
                <w:szCs w:val="21"/>
              </w:rPr>
              <w:t>SY</w:t>
            </w:r>
            <w:r>
              <w:rPr>
                <w:rFonts w:hint="eastAsia" w:ascii="Times New Roman" w:hAnsi="Times New Roman" w:cs="Times New Roman"/>
                <w:kern w:val="0"/>
                <w:sz w:val="21"/>
                <w:szCs w:val="21"/>
                <w:lang w:val="en-US" w:eastAsia="zh-CN"/>
              </w:rPr>
              <w:t>/</w:t>
            </w:r>
            <w:r>
              <w:rPr>
                <w:rFonts w:hint="eastAsia" w:ascii="Times New Roman" w:hAnsi="Times New Roman" w:cs="Times New Roman"/>
                <w:kern w:val="0"/>
                <w:sz w:val="21"/>
                <w:szCs w:val="21"/>
              </w:rPr>
              <w:t>T6277-2017</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rPr>
              <w:t>5</w:t>
            </w:r>
            <w:r>
              <w:rPr>
                <w:rFonts w:hint="default" w:ascii="Times New Roman" w:hAnsi="Times New Roman" w:cs="Times New Roman"/>
                <w:kern w:val="0"/>
                <w:sz w:val="21"/>
                <w:szCs w:val="21"/>
              </w:rPr>
              <w:t>.1.6.1</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kern w:val="0"/>
                <w:sz w:val="21"/>
                <w:szCs w:val="21"/>
              </w:rPr>
            </w:pPr>
            <w:r>
              <w:rPr>
                <w:rFonts w:hint="default" w:ascii="Times New Roman" w:hAnsi="Times New Roman" w:eastAsia="宋体" w:cs="Times New Roman"/>
                <w:color w:val="000000" w:themeColor="text1"/>
                <w14:textFill>
                  <w14:solidFill>
                    <w14:schemeClr w14:val="tx1"/>
                  </w14:solidFill>
                </w14:textFill>
              </w:rPr>
              <w:t>√</w:t>
            </w:r>
          </w:p>
        </w:tc>
        <w:tc>
          <w:tcPr>
            <w:tcW w:w="19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现场配</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有空气呼吸器台账，并经定期检测合格。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left"/>
              <w:rPr>
                <w:rFonts w:hint="eastAsia"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rPr>
              <w:t>便携式硫化氢检测仪每年至少检验一次。</w:t>
            </w:r>
          </w:p>
        </w:tc>
        <w:tc>
          <w:tcPr>
            <w:tcW w:w="1634" w:type="dxa"/>
            <w:vAlign w:val="center"/>
          </w:tcPr>
          <w:p>
            <w:pPr>
              <w:keepNext w:val="0"/>
              <w:keepLines w:val="0"/>
              <w:widowControl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kern w:val="0"/>
                <w:sz w:val="21"/>
                <w:szCs w:val="21"/>
              </w:rPr>
            </w:pPr>
            <w:r>
              <w:rPr>
                <w:rFonts w:hint="eastAsia" w:ascii="Times New Roman" w:hAnsi="Times New Roman" w:cs="Times New Roman"/>
                <w:kern w:val="0"/>
                <w:sz w:val="21"/>
                <w:szCs w:val="21"/>
              </w:rPr>
              <w:t>SY</w:t>
            </w:r>
            <w:r>
              <w:rPr>
                <w:rFonts w:hint="eastAsia" w:ascii="Times New Roman" w:hAnsi="Times New Roman" w:cs="Times New Roman"/>
                <w:kern w:val="0"/>
                <w:sz w:val="21"/>
                <w:szCs w:val="21"/>
                <w:lang w:val="en-US" w:eastAsia="zh-CN"/>
              </w:rPr>
              <w:t>/</w:t>
            </w:r>
            <w:r>
              <w:rPr>
                <w:rFonts w:hint="eastAsia" w:ascii="Times New Roman" w:hAnsi="Times New Roman" w:cs="Times New Roman"/>
                <w:kern w:val="0"/>
                <w:sz w:val="21"/>
                <w:szCs w:val="21"/>
              </w:rPr>
              <w:t>T6277-2017</w:t>
            </w:r>
          </w:p>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cs="Times New Roman"/>
                <w:kern w:val="0"/>
                <w:sz w:val="21"/>
                <w:szCs w:val="21"/>
              </w:rPr>
              <w:t>5.2.6</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kern w:val="0"/>
                <w:sz w:val="21"/>
                <w:szCs w:val="21"/>
              </w:rPr>
            </w:pPr>
            <w:r>
              <w:rPr>
                <w:rFonts w:hint="default" w:ascii="Times New Roman" w:hAnsi="Times New Roman" w:eastAsia="宋体" w:cs="Times New Roman"/>
                <w:color w:val="000000" w:themeColor="text1"/>
                <w14:textFill>
                  <w14:solidFill>
                    <w14:schemeClr w14:val="tx1"/>
                  </w14:solidFill>
                </w14:textFill>
              </w:rPr>
              <w:t>√</w:t>
            </w:r>
          </w:p>
        </w:tc>
        <w:tc>
          <w:tcPr>
            <w:tcW w:w="19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现场配</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有硫化氢检测仪</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台账，并经定期检测合格。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95" w:type="dxa"/>
            <w:gridSpan w:val="2"/>
            <w:vAlign w:val="center"/>
          </w:tcPr>
          <w:p>
            <w:pPr>
              <w:keepNext w:val="0"/>
              <w:keepLines w:val="0"/>
              <w:numPr>
                <w:ilvl w:val="0"/>
                <w:numId w:val="35"/>
              </w:numPr>
              <w:suppressLineNumbers w:val="0"/>
              <w:spacing w:before="0" w:beforeAutospacing="0" w:after="0" w:afterAutospacing="0"/>
              <w:ind w:left="425" w:leftChars="0" w:right="0" w:hanging="425" w:firstLineChars="0"/>
              <w:rPr>
                <w:rFonts w:hint="default"/>
                <w:lang w:val="en-US" w:eastAsia="zh-CN"/>
              </w:rPr>
            </w:pPr>
          </w:p>
        </w:tc>
        <w:tc>
          <w:tcPr>
            <w:tcW w:w="4235" w:type="dxa"/>
            <w:vAlign w:val="center"/>
          </w:tcPr>
          <w:p>
            <w:pPr>
              <w:keepNext w:val="0"/>
              <w:keepLines w:val="0"/>
              <w:widowControl w:val="0"/>
              <w:numPr>
                <w:ilvl w:val="0"/>
                <w:numId w:val="0"/>
              </w:numPr>
              <w:suppressLineNumbers w:val="0"/>
              <w:overflowPunct w:val="0"/>
              <w:adjustRightInd w:val="0"/>
              <w:snapToGrid w:val="0"/>
              <w:spacing w:before="0" w:beforeAutospacing="0" w:after="0" w:afterAutospacing="0"/>
              <w:ind w:left="0" w:right="0" w:rightChars="0"/>
              <w:jc w:val="left"/>
              <w:rPr>
                <w:rFonts w:hint="eastAsia"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井队防雷装置应由专业防雷检测机构定期检测，检测周期不应超过一年。</w:t>
            </w:r>
          </w:p>
        </w:tc>
        <w:tc>
          <w:tcPr>
            <w:tcW w:w="1634" w:type="dxa"/>
            <w:vAlign w:val="center"/>
          </w:tcPr>
          <w:p>
            <w:pPr>
              <w:keepNext w:val="0"/>
              <w:keepLines w:val="0"/>
              <w:widowControl w:val="0"/>
              <w:suppressLineNumbers w:val="0"/>
              <w:overflowPunct w:val="0"/>
              <w:adjustRightInd w:val="0"/>
              <w:snapToGrid w:val="0"/>
              <w:spacing w:before="0" w:beforeAutospacing="0" w:after="0" w:afterAutospacing="0"/>
              <w:ind w:left="0" w:leftChars="0" w:right="0" w:rightChars="0"/>
              <w:jc w:val="center"/>
              <w:rPr>
                <w:rFonts w:hint="default" w:ascii="Times New Roman" w:hAnsi="Times New Roman" w:cs="Times New Roman"/>
                <w:kern w:val="0"/>
                <w:sz w:val="21"/>
                <w:szCs w:val="21"/>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SY/T7386-20176.1.1</w:t>
            </w:r>
          </w:p>
        </w:tc>
        <w:tc>
          <w:tcPr>
            <w:tcW w:w="691"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w:t>
            </w:r>
          </w:p>
        </w:tc>
        <w:tc>
          <w:tcPr>
            <w:tcW w:w="1908"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both"/>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井架底座由专业防雷检测机构定期检测合格。</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eastAsia" w:ascii="Times New Roman" w:hAnsi="Times New Roman" w:cs="Times New Roman"/>
          <w:sz w:val="28"/>
        </w:rPr>
      </w:pPr>
      <w:r>
        <w:rPr>
          <w:rFonts w:hint="eastAsia" w:ascii="Times New Roman" w:hAnsi="Times New Roman" w:cs="Times New Roman"/>
          <w:sz w:val="28"/>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sz w:val="28"/>
          <w:lang w:val="en-US" w:eastAsia="zh-CN"/>
        </w:rPr>
      </w:pPr>
      <w:r>
        <w:rPr>
          <w:rFonts w:hint="eastAsia" w:ascii="Times New Roman" w:hAnsi="Times New Roman" w:cs="Times New Roman"/>
          <w:sz w:val="28"/>
          <w:lang w:val="en-US" w:eastAsia="zh-CN"/>
        </w:rPr>
        <w:t>尚店油田尚2-斜53井</w:t>
      </w:r>
      <w:r>
        <w:rPr>
          <w:rFonts w:hint="eastAsia" w:ascii="Times New Roman" w:hAnsi="Times New Roman" w:cs="Times New Roman"/>
          <w:sz w:val="28"/>
        </w:rPr>
        <w:t>安全检查表共设</w:t>
      </w:r>
      <w:r>
        <w:rPr>
          <w:rFonts w:hint="eastAsia" w:ascii="Times New Roman" w:hAnsi="Times New Roman" w:cs="Times New Roman"/>
          <w:sz w:val="28"/>
          <w:lang w:val="en-US" w:eastAsia="zh-CN"/>
        </w:rPr>
        <w:t>24</w:t>
      </w:r>
      <w:r>
        <w:rPr>
          <w:rFonts w:hint="eastAsia" w:ascii="Times New Roman" w:hAnsi="Times New Roman" w:cs="Times New Roman"/>
          <w:sz w:val="28"/>
        </w:rPr>
        <w:t>项检查内容，</w:t>
      </w:r>
      <w:r>
        <w:rPr>
          <w:rFonts w:hint="eastAsia" w:ascii="Times New Roman" w:hAnsi="Times New Roman" w:cs="Times New Roman"/>
          <w:sz w:val="28"/>
          <w:lang w:val="en-US" w:eastAsia="zh-CN"/>
        </w:rPr>
        <w:t>24</w:t>
      </w:r>
      <w:r>
        <w:rPr>
          <w:rFonts w:hint="eastAsia" w:ascii="Times New Roman" w:hAnsi="Times New Roman" w:cs="Times New Roman"/>
          <w:sz w:val="28"/>
        </w:rPr>
        <w:t>项符合要求，</w:t>
      </w:r>
      <w:r>
        <w:rPr>
          <w:rFonts w:hint="eastAsia" w:ascii="Times New Roman" w:hAnsi="Times New Roman" w:cs="Times New Roman"/>
          <w:sz w:val="28"/>
          <w:lang w:val="en-US" w:eastAsia="zh-CN"/>
        </w:rPr>
        <w:t>未发现不符合项。</w:t>
      </w:r>
    </w:p>
    <w:p>
      <w:pPr>
        <w:pStyle w:val="62"/>
        <w:keepNext w:val="0"/>
        <w:keepLines w:val="0"/>
        <w:pageBreakBefore w:val="0"/>
        <w:widowControl w:val="0"/>
        <w:kinsoku/>
        <w:wordWrap/>
        <w:overflowPunct w:val="0"/>
        <w:topLinePunct/>
        <w:autoSpaceDE/>
        <w:autoSpaceDN/>
        <w:bidi w:val="0"/>
        <w:adjustRightInd w:val="0"/>
        <w:snapToGrid w:val="0"/>
        <w:spacing w:line="360" w:lineRule="auto"/>
        <w:ind w:firstLine="0" w:firstLineChars="0"/>
        <w:textAlignment w:val="auto"/>
        <w:outlineLvl w:val="2"/>
        <w:rPr>
          <w:rFonts w:eastAsia="黑体"/>
          <w:bCs/>
          <w:snapToGrid w:val="0"/>
          <w:kern w:val="0"/>
          <w:sz w:val="28"/>
          <w:szCs w:val="28"/>
        </w:rPr>
      </w:pPr>
      <w:r>
        <w:rPr>
          <w:rFonts w:eastAsia="黑体"/>
          <w:bCs/>
          <w:snapToGrid w:val="0"/>
          <w:kern w:val="0"/>
          <w:sz w:val="28"/>
          <w:szCs w:val="28"/>
        </w:rPr>
        <w:t>5.1.</w:t>
      </w:r>
      <w:r>
        <w:rPr>
          <w:rFonts w:hint="eastAsia" w:eastAsia="黑体"/>
          <w:bCs/>
          <w:snapToGrid w:val="0"/>
          <w:kern w:val="0"/>
          <w:sz w:val="28"/>
          <w:szCs w:val="28"/>
          <w:lang w:val="en-US" w:eastAsia="zh-CN"/>
        </w:rPr>
        <w:t>4</w:t>
      </w:r>
      <w:r>
        <w:rPr>
          <w:rFonts w:eastAsia="黑体"/>
          <w:bCs/>
          <w:snapToGrid w:val="0"/>
          <w:kern w:val="0"/>
          <w:sz w:val="28"/>
          <w:szCs w:val="28"/>
        </w:rPr>
        <w:t xml:space="preserve"> </w:t>
      </w:r>
      <w:r>
        <w:rPr>
          <w:rFonts w:hint="eastAsia" w:ascii="Times New Roman" w:hAnsi="Times New Roman" w:eastAsia="黑体" w:cs="Times New Roman"/>
          <w:bCs/>
          <w:snapToGrid w:val="0"/>
          <w:kern w:val="0"/>
          <w:sz w:val="28"/>
          <w:szCs w:val="28"/>
          <w:lang w:val="en-US" w:eastAsia="zh-CN"/>
        </w:rPr>
        <w:t>侧钻</w:t>
      </w:r>
      <w:r>
        <w:rPr>
          <w:rFonts w:hint="default" w:ascii="Times New Roman" w:hAnsi="Times New Roman" w:eastAsia="黑体" w:cs="Times New Roman"/>
          <w:color w:val="000000" w:themeColor="text1"/>
          <w:sz w:val="28"/>
          <w:szCs w:val="28"/>
          <w14:textFill>
            <w14:solidFill>
              <w14:schemeClr w14:val="tx1"/>
            </w14:solidFill>
          </w14:textFill>
        </w:rPr>
        <w:t>安全检查表</w:t>
      </w:r>
    </w:p>
    <w:p>
      <w:pPr>
        <w:pStyle w:val="62"/>
        <w:adjustRightInd w:val="0"/>
        <w:snapToGrid w:val="0"/>
        <w:spacing w:line="360" w:lineRule="auto"/>
        <w:ind w:firstLine="566"/>
        <w:jc w:val="both"/>
        <w:rPr>
          <w:rFonts w:hint="default" w:ascii="Times New Roman" w:hAnsi="Times New Roman" w:cs="Times New Roman"/>
          <w:color w:val="000000" w:themeColor="text1"/>
          <w14:textFill>
            <w14:solidFill>
              <w14:schemeClr w14:val="tx1"/>
            </w14:solidFill>
          </w14:textFill>
        </w:rPr>
      </w:pPr>
      <w:bookmarkStart w:id="136" w:name="_Toc281310750"/>
      <w:bookmarkStart w:id="137" w:name="_Toc446488251"/>
      <w:r>
        <w:rPr>
          <w:rFonts w:hint="default" w:ascii="Times New Roman" w:hAnsi="Times New Roman" w:cs="Times New Roman"/>
          <w:color w:val="000000" w:themeColor="text1"/>
          <w14:textFill>
            <w14:solidFill>
              <w14:schemeClr w14:val="tx1"/>
            </w14:solidFill>
          </w14:textFill>
        </w:rPr>
        <w:t>本节根据《井下作业安全规程》（SY/T5727-2020）、</w:t>
      </w:r>
      <w:r>
        <w:rPr>
          <w:rFonts w:hint="default" w:ascii="Times New Roman" w:hAnsi="Times New Roman" w:cs="Times New Roman"/>
          <w:bCs/>
          <w:color w:val="000000" w:themeColor="text1"/>
          <w:spacing w:val="-4"/>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侧钻井施工作业及完井工艺要求</w:t>
      </w:r>
      <w:r>
        <w:rPr>
          <w:rFonts w:hint="default" w:ascii="Times New Roman" w:hAnsi="Times New Roman" w:cs="Times New Roman"/>
          <w:bCs/>
          <w:color w:val="000000" w:themeColor="text1"/>
          <w:spacing w:val="-4"/>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SY/T 5792-2018</w:t>
      </w:r>
      <w:r>
        <w:rPr>
          <w:rFonts w:hint="default" w:ascii="Times New Roman" w:hAnsi="Times New Roman" w:cs="Times New Roman"/>
          <w:bCs/>
          <w:color w:val="000000" w:themeColor="text1"/>
          <w:spacing w:val="-4"/>
          <w14:textFill>
            <w14:solidFill>
              <w14:schemeClr w14:val="tx1"/>
            </w14:solidFill>
          </w14:textFill>
        </w:rPr>
        <w:t>）</w:t>
      </w:r>
      <w:r>
        <w:rPr>
          <w:rFonts w:hint="eastAsia" w:cs="Times New Roman"/>
          <w:bCs/>
          <w:color w:val="000000" w:themeColor="text1"/>
          <w:spacing w:val="-4"/>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套管开窗及侧钻作业方法</w:t>
      </w:r>
      <w:r>
        <w:rPr>
          <w:rFonts w:hint="eastAsia" w:cs="Times New Roman"/>
          <w:bCs/>
          <w:color w:val="000000" w:themeColor="text1"/>
          <w:spacing w:val="-4"/>
          <w:lang w:eastAsia="zh-CN"/>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SY/T 6218-2019</w:t>
      </w:r>
      <w:r>
        <w:rPr>
          <w:rFonts w:hint="eastAsia" w:cs="Times New Roman"/>
          <w:bCs/>
          <w:color w:val="000000" w:themeColor="text1"/>
          <w:spacing w:val="-4"/>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等标准，对本项目生产单元进行安全评价，具体评价过程见表5-1</w:t>
      </w:r>
      <w:r>
        <w:rPr>
          <w:rFonts w:hint="eastAsia"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Times New Roman" w:hAnsi="Times New Roman" w:eastAsia="宋体" w:cs="Times New Roman"/>
          <w:kern w:val="2"/>
          <w:sz w:val="28"/>
          <w:szCs w:val="24"/>
          <w:lang w:val="en-US" w:eastAsia="zh-CN" w:bidi="ar-SA"/>
        </w:rPr>
      </w:pP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表5-1</w:t>
      </w:r>
      <w:r>
        <w:rPr>
          <w:rFonts w:hint="eastAsia" w:cs="Times New Roman"/>
          <w:b/>
          <w:bCs/>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 xml:space="preserve"> </w:t>
      </w: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 xml:space="preserve"> </w:t>
      </w:r>
      <w:r>
        <w:rPr>
          <w:rFonts w:hint="eastAsia" w:cs="Times New Roman"/>
          <w:b/>
          <w:bCs/>
          <w:color w:val="000000" w:themeColor="text1"/>
          <w:kern w:val="2"/>
          <w:sz w:val="21"/>
          <w:szCs w:val="21"/>
          <w:lang w:val="en-US" w:eastAsia="zh-CN" w:bidi="ar-SA"/>
          <w14:textFill>
            <w14:solidFill>
              <w14:schemeClr w14:val="tx1"/>
            </w14:solidFill>
          </w14:textFill>
        </w:rPr>
        <w:t>侧钻</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作业安全检查表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9"/>
        <w:gridCol w:w="4226"/>
        <w:gridCol w:w="1679"/>
        <w:gridCol w:w="691"/>
        <w:gridCol w:w="14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color w:val="000000"/>
                <w:sz w:val="21"/>
                <w:szCs w:val="21"/>
              </w:rPr>
            </w:pPr>
            <w:r>
              <w:rPr>
                <w:rFonts w:hint="eastAsia" w:ascii="Times New Roman" w:hAnsi="Times New Roman" w:eastAsia="宋体" w:cs="Times New Roman"/>
                <w:b/>
                <w:color w:val="000000"/>
                <w:sz w:val="21"/>
                <w:szCs w:val="21"/>
              </w:rPr>
              <w:t>序号</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color w:val="000000"/>
                <w:sz w:val="21"/>
                <w:szCs w:val="21"/>
              </w:rPr>
            </w:pPr>
            <w:r>
              <w:rPr>
                <w:rFonts w:hint="eastAsia" w:ascii="Times New Roman" w:hAnsi="Times New Roman" w:eastAsia="宋体" w:cs="Times New Roman"/>
                <w:b/>
                <w:color w:val="000000"/>
                <w:sz w:val="21"/>
                <w:szCs w:val="21"/>
              </w:rPr>
              <w:t>检查项目</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color w:val="000000"/>
                <w:sz w:val="21"/>
                <w:szCs w:val="21"/>
              </w:rPr>
            </w:pPr>
            <w:r>
              <w:rPr>
                <w:rFonts w:hint="eastAsia" w:ascii="Times New Roman" w:hAnsi="Times New Roman" w:eastAsia="宋体" w:cs="Times New Roman"/>
                <w:b/>
                <w:color w:val="000000"/>
                <w:sz w:val="21"/>
                <w:szCs w:val="21"/>
              </w:rPr>
              <w:t>检查依据</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color w:val="000000"/>
                <w:sz w:val="21"/>
                <w:szCs w:val="21"/>
              </w:rPr>
            </w:pPr>
            <w:r>
              <w:rPr>
                <w:rFonts w:hint="eastAsia" w:ascii="Times New Roman" w:hAnsi="Times New Roman" w:eastAsia="宋体" w:cs="Times New Roman"/>
                <w:b/>
                <w:color w:val="000000"/>
                <w:sz w:val="21"/>
                <w:szCs w:val="21"/>
              </w:rPr>
              <w:t>检查结果</w:t>
            </w:r>
          </w:p>
        </w:tc>
        <w:tc>
          <w:tcPr>
            <w:tcW w:w="146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color w:val="000000"/>
                <w:sz w:val="21"/>
                <w:szCs w:val="21"/>
              </w:rPr>
            </w:pPr>
            <w:r>
              <w:rPr>
                <w:rFonts w:hint="eastAsia" w:ascii="Times New Roman" w:hAnsi="Times New Roman" w:eastAsia="宋体" w:cs="Times New Roman"/>
                <w:b/>
                <w:color w:val="000000"/>
                <w:sz w:val="21"/>
                <w:szCs w:val="21"/>
              </w:rPr>
              <w:t>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所有紧固件、连接件应紧固可靠，销子应有锁紧保险装置；紧固件螺纹外露部分要涂抹润滑脂。</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3.3.4</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紧固件紧固可靠。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2</w:t>
            </w:r>
          </w:p>
        </w:tc>
        <w:tc>
          <w:tcPr>
            <w:tcW w:w="4226"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left"/>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从铣锥接触到斜向器顶部至铣锥底圆与套管内壁接触为开窗的第一阶段。钻压控制在5kN以内，转速40r/min ~ 50r/min。</w:t>
            </w:r>
          </w:p>
        </w:tc>
        <w:tc>
          <w:tcPr>
            <w:tcW w:w="167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rPr>
            </w:pPr>
            <w:r>
              <w:rPr>
                <w:rFonts w:hint="default"/>
              </w:rPr>
              <w:t>SY/T 5792-2018</w:t>
            </w:r>
          </w:p>
          <w:p>
            <w:pPr>
              <w:pStyle w:val="51"/>
              <w:keepNext w:val="0"/>
              <w:keepLines w:val="0"/>
              <w:suppressLineNumbers w:val="0"/>
              <w:spacing w:before="0" w:beforeAutospacing="0" w:after="0" w:afterAutospacing="0"/>
              <w:ind w:left="0" w:right="0" w:firstLine="420" w:firstLineChars="200"/>
              <w:rPr>
                <w:rFonts w:hint="default" w:ascii="宋体" w:hAnsi="宋体" w:eastAsia="宋体" w:cs="Times New Roman"/>
                <w:color w:val="FF0000"/>
                <w:kern w:val="2"/>
                <w:sz w:val="28"/>
                <w:szCs w:val="28"/>
                <w:lang w:val="en-US" w:eastAsia="zh-CN" w:bidi="ar-SA"/>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7.2.2.1</w:t>
            </w:r>
          </w:p>
        </w:tc>
        <w:tc>
          <w:tcPr>
            <w:tcW w:w="691"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467" w:type="dxa"/>
            <w:tcBorders>
              <w:tl2br w:val="nil"/>
              <w:tr2bl w:val="nil"/>
            </w:tcBorders>
            <w:noWrap w:val="0"/>
            <w:vAlign w:val="center"/>
          </w:tcPr>
          <w:p>
            <w:pPr>
              <w:keepNext w:val="0"/>
              <w:keepLines w:val="0"/>
              <w:suppressLineNumbers w:val="0"/>
              <w:adjustRightInd w:val="0"/>
              <w:snapToGrid w:val="0"/>
              <w:spacing w:before="20" w:beforeAutospacing="0" w:after="20" w:afterAutospacing="0"/>
              <w:ind w:left="0" w:right="0"/>
              <w:rPr>
                <w:rFonts w:hint="eastAsia"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企业《开窗、修窗操作规程中》规定：开窗第一阶段钻压为 0-5KN，转速40-50r/min。</w:t>
            </w:r>
          </w:p>
          <w:p>
            <w:pPr>
              <w:keepNext w:val="0"/>
              <w:keepLines w:val="0"/>
              <w:suppressLineNumbers w:val="0"/>
              <w:adjustRightInd w:val="0"/>
              <w:snapToGrid w:val="0"/>
              <w:spacing w:before="20" w:beforeAutospacing="0" w:after="20" w:afterAutospacing="0"/>
              <w:ind w:left="0" w:leftChars="0" w:right="0" w:rightChars="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3</w:t>
            </w:r>
          </w:p>
        </w:tc>
        <w:tc>
          <w:tcPr>
            <w:tcW w:w="4226"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left"/>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从铣锥底圆接触到套管内壁至底与套管外壁相接触为开窗的第二阶段。钻压控制在5kN ~30kN，转速50r/min -~- 80r/min。</w:t>
            </w:r>
          </w:p>
        </w:tc>
        <w:tc>
          <w:tcPr>
            <w:tcW w:w="167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lang w:val="en-US" w:eastAsia="zh-CN"/>
              </w:rPr>
            </w:pPr>
            <w:r>
              <w:rPr>
                <w:rFonts w:hint="default"/>
              </w:rPr>
              <w:t>SY/T 5792-2018</w:t>
            </w:r>
          </w:p>
          <w:p>
            <w:pPr>
              <w:pStyle w:val="51"/>
              <w:keepNext w:val="0"/>
              <w:keepLines w:val="0"/>
              <w:suppressLineNumbers w:val="0"/>
              <w:spacing w:before="0" w:beforeAutospacing="0" w:after="0" w:afterAutospacing="0"/>
              <w:ind w:left="0" w:right="0" w:firstLine="420" w:firstLineChars="20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7.2.2.3</w:t>
            </w:r>
          </w:p>
        </w:tc>
        <w:tc>
          <w:tcPr>
            <w:tcW w:w="691"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467" w:type="dxa"/>
            <w:tcBorders>
              <w:tl2br w:val="nil"/>
              <w:tr2bl w:val="nil"/>
            </w:tcBorders>
            <w:noWrap w:val="0"/>
            <w:vAlign w:val="center"/>
          </w:tcPr>
          <w:p>
            <w:pPr>
              <w:keepNext w:val="0"/>
              <w:keepLines w:val="0"/>
              <w:suppressLineNumbers w:val="0"/>
              <w:adjustRightInd w:val="0"/>
              <w:snapToGrid w:val="0"/>
              <w:spacing w:before="20" w:beforeAutospacing="0" w:after="20" w:afterAutospacing="0"/>
              <w:ind w:left="0" w:right="0"/>
              <w:rPr>
                <w:rFonts w:hint="eastAsia"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企业《开窗、修窗操作规程中》规定：开窗第二阶段钻压为 5-30KN，转速50-80r/min。。</w:t>
            </w:r>
          </w:p>
          <w:p>
            <w:pPr>
              <w:keepNext w:val="0"/>
              <w:keepLines w:val="0"/>
              <w:suppressLineNumbers w:val="0"/>
              <w:adjustRightInd w:val="0"/>
              <w:snapToGrid w:val="0"/>
              <w:spacing w:before="20" w:beforeAutospacing="0" w:after="20" w:afterAutospacing="0"/>
              <w:ind w:left="0" w:leftChars="0" w:right="0" w:rightChars="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4</w:t>
            </w:r>
          </w:p>
        </w:tc>
        <w:tc>
          <w:tcPr>
            <w:tcW w:w="4226"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left"/>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对预计开窗</w:t>
            </w:r>
            <w:r>
              <w:rPr>
                <w:rFonts w:hint="eastAsia" w:cs="Times New Roman"/>
                <w:color w:val="000000" w:themeColor="text1"/>
                <w:szCs w:val="21"/>
                <w:lang w:val="en-US" w:eastAsia="zh-CN"/>
                <w14:textFill>
                  <w14:solidFill>
                    <w14:schemeClr w14:val="tx1"/>
                  </w14:solidFill>
                </w14:textFill>
              </w:rPr>
              <w:t>井</w:t>
            </w:r>
            <w:r>
              <w:rPr>
                <w:rFonts w:hint="default" w:ascii="Times New Roman" w:hAnsi="Times New Roman" w:cs="Times New Roman"/>
                <w:color w:val="000000" w:themeColor="text1"/>
                <w:szCs w:val="21"/>
                <w14:textFill>
                  <w14:solidFill>
                    <w14:schemeClr w14:val="tx1"/>
                  </w14:solidFill>
                </w14:textFill>
              </w:rPr>
              <w:t>段以上套管进行试压，应符合设计试压要求。如试压不合格，下</w:t>
            </w:r>
            <w:r>
              <w:rPr>
                <w:rFonts w:hint="eastAsia" w:cs="Times New Roman"/>
                <w:color w:val="000000" w:themeColor="text1"/>
                <w:szCs w:val="21"/>
                <w:lang w:val="en-US" w:eastAsia="zh-CN"/>
                <w14:textFill>
                  <w14:solidFill>
                    <w14:schemeClr w14:val="tx1"/>
                  </w14:solidFill>
                </w14:textFill>
              </w:rPr>
              <w:t>入</w:t>
            </w:r>
            <w:r>
              <w:rPr>
                <w:rFonts w:hint="default" w:ascii="Times New Roman" w:hAnsi="Times New Roman" w:cs="Times New Roman"/>
                <w:color w:val="000000" w:themeColor="text1"/>
                <w:szCs w:val="21"/>
                <w14:textFill>
                  <w14:solidFill>
                    <w14:schemeClr w14:val="tx1"/>
                  </w14:solidFill>
                </w14:textFill>
              </w:rPr>
              <w:t>找漏工具对套管进行找漏，必要时进行套管套损段堵漏处理。</w:t>
            </w:r>
          </w:p>
        </w:tc>
        <w:tc>
          <w:tcPr>
            <w:tcW w:w="1679"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SY/T6218-2019</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3.4.3</w:t>
            </w:r>
          </w:p>
        </w:tc>
        <w:tc>
          <w:tcPr>
            <w:tcW w:w="691"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467" w:type="dxa"/>
            <w:tcBorders>
              <w:tl2br w:val="nil"/>
              <w:tr2bl w:val="nil"/>
            </w:tcBorders>
            <w:shd w:val="clear" w:color="auto" w:fill="auto"/>
            <w:noWrap w:val="0"/>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操作规程中已明确</w:t>
            </w:r>
            <w:r>
              <w:rPr>
                <w:rFonts w:hint="default" w:ascii="Times New Roman" w:hAnsi="Times New Roman" w:cs="Times New Roman"/>
                <w:color w:val="000000" w:themeColor="text1"/>
                <w:szCs w:val="21"/>
                <w14:textFill>
                  <w14:solidFill>
                    <w14:schemeClr w14:val="tx1"/>
                  </w14:solidFill>
                </w14:textFill>
              </w:rPr>
              <w:t>开窗</w:t>
            </w:r>
            <w:r>
              <w:rPr>
                <w:rFonts w:hint="eastAsia" w:cs="Times New Roman"/>
                <w:color w:val="000000" w:themeColor="text1"/>
                <w:szCs w:val="21"/>
                <w:lang w:val="en-US" w:eastAsia="zh-CN"/>
                <w14:textFill>
                  <w14:solidFill>
                    <w14:schemeClr w14:val="tx1"/>
                  </w14:solidFill>
                </w14:textFill>
              </w:rPr>
              <w:t>井</w:t>
            </w:r>
            <w:r>
              <w:rPr>
                <w:rFonts w:hint="default" w:ascii="Times New Roman" w:hAnsi="Times New Roman" w:cs="Times New Roman"/>
                <w:color w:val="000000" w:themeColor="text1"/>
                <w:szCs w:val="21"/>
                <w14:textFill>
                  <w14:solidFill>
                    <w14:schemeClr w14:val="tx1"/>
                  </w14:solidFill>
                </w14:textFill>
              </w:rPr>
              <w:t>段以上套管进行试压</w:t>
            </w:r>
            <w:r>
              <w:rPr>
                <w:rFonts w:hint="eastAsia" w:cs="Times New Roman"/>
                <w:color w:val="000000" w:themeColor="text1"/>
                <w:szCs w:val="21"/>
                <w:lang w:val="en-US" w:eastAsia="zh-CN"/>
                <w14:textFill>
                  <w14:solidFill>
                    <w14:schemeClr w14:val="tx1"/>
                  </w14:solidFill>
                </w14:textFill>
              </w:rPr>
              <w:t>准备。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5</w:t>
            </w:r>
          </w:p>
        </w:tc>
        <w:tc>
          <w:tcPr>
            <w:tcW w:w="4226"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left"/>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对预计作业井段进行刮管作业。</w:t>
            </w:r>
          </w:p>
        </w:tc>
        <w:tc>
          <w:tcPr>
            <w:tcW w:w="1679"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SY/T6218-2019</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3.4.4</w:t>
            </w:r>
          </w:p>
        </w:tc>
        <w:tc>
          <w:tcPr>
            <w:tcW w:w="691"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467" w:type="dxa"/>
            <w:tcBorders>
              <w:tl2br w:val="nil"/>
              <w:tr2bl w:val="nil"/>
            </w:tcBorders>
            <w:shd w:val="clear" w:color="auto" w:fill="auto"/>
            <w:noWrap w:val="0"/>
            <w:vAlign w:val="center"/>
          </w:tcPr>
          <w:p>
            <w:pPr>
              <w:keepNext w:val="0"/>
              <w:keepLines w:val="0"/>
              <w:suppressLineNumbers w:val="0"/>
              <w:adjustRightInd w:val="0"/>
              <w:snapToGrid w:val="0"/>
              <w:spacing w:before="20" w:beforeAutospacing="0" w:after="20" w:afterAutospacing="0"/>
              <w:ind w:left="0" w:right="0"/>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刮管处理后，再开窗。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6</w:t>
            </w:r>
          </w:p>
        </w:tc>
        <w:tc>
          <w:tcPr>
            <w:tcW w:w="4226"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left"/>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选择牙轮钻头或侧向切削力强的PDC钻头。</w:t>
            </w:r>
          </w:p>
        </w:tc>
        <w:tc>
          <w:tcPr>
            <w:tcW w:w="1679"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SY/T6218-20196.1.1</w:t>
            </w:r>
          </w:p>
        </w:tc>
        <w:tc>
          <w:tcPr>
            <w:tcW w:w="691"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467" w:type="dxa"/>
            <w:tcBorders>
              <w:tl2br w:val="nil"/>
              <w:tr2bl w:val="nil"/>
            </w:tcBorders>
            <w:shd w:val="clear" w:color="auto" w:fill="auto"/>
            <w:noWrap w:val="0"/>
            <w:vAlign w:val="center"/>
          </w:tcPr>
          <w:p>
            <w:pPr>
              <w:keepNext w:val="0"/>
              <w:keepLines w:val="0"/>
              <w:suppressLineNumbers w:val="0"/>
              <w:adjustRightInd w:val="0"/>
              <w:snapToGrid w:val="0"/>
              <w:spacing w:before="20" w:beforeAutospacing="0" w:after="20" w:afterAutospacing="0"/>
              <w:ind w:left="0" w:right="0"/>
              <w:rPr>
                <w:rFonts w:hint="eastAsia"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操作规程中选用</w:t>
            </w:r>
            <w:r>
              <w:rPr>
                <w:rFonts w:hint="eastAsia" w:ascii="Times New Roman" w:hAnsi="Times New Roman" w:cs="Times New Roman"/>
                <w:color w:val="000000" w:themeColor="text1"/>
                <w:szCs w:val="21"/>
                <w14:textFill>
                  <w14:solidFill>
                    <w14:schemeClr w14:val="tx1"/>
                  </w14:solidFill>
                </w14:textFill>
              </w:rPr>
              <w:t>PDC 钻头</w:t>
            </w:r>
            <w:r>
              <w:rPr>
                <w:rFonts w:hint="default" w:ascii="Times New Roman" w:hAnsi="Times New Roman" w:cs="Times New Roman"/>
                <w:color w:val="000000" w:themeColor="text1"/>
                <w:szCs w:val="21"/>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7</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提升钢丝绳应符合 SY/T 5170-2013 中第4章的规定，不应有严重磨损、锈蚀及挤压、弯扭等变形。</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3.11.1</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未发现提升钢丝绳有严重磨损、锈蚀及挤压、弯扭等变形的情况。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8</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提升钢丝绳若出现以下任何一种情况不应继续使用：</w:t>
            </w:r>
          </w:p>
          <w:p>
            <w:pPr>
              <w:keepNext w:val="0"/>
              <w:keepLines w:val="0"/>
              <w:numPr>
                <w:ilvl w:val="0"/>
                <w:numId w:val="36"/>
              </w:numPr>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一纽绳中发现随机分布的六根断丝。</w:t>
            </w:r>
          </w:p>
          <w:p>
            <w:pPr>
              <w:keepNext w:val="0"/>
              <w:keepLines w:val="0"/>
              <w:numPr>
                <w:ilvl w:val="0"/>
                <w:numId w:val="36"/>
              </w:numPr>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一纽绳中的一股中发现有三根断丝。</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3.11.2</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提升钢丝绳未有断丝。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9</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防喷器、旋塞阀应按设计要求选用。</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3.17.1</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sz w:val="21"/>
                <w:szCs w:val="21"/>
              </w:rPr>
            </w:pPr>
            <w:r>
              <w:rPr>
                <w:rFonts w:hint="eastAsia" w:cs="Times New Roman"/>
                <w:color w:val="000000"/>
                <w:sz w:val="21"/>
                <w:szCs w:val="21"/>
                <w:lang w:val="en-US" w:eastAsia="zh-CN"/>
              </w:rPr>
              <w:t>大修侧钻队配备有防喷器、旋塞阀</w:t>
            </w:r>
            <w:r>
              <w:rPr>
                <w:rFonts w:hint="eastAsia" w:ascii="Times New Roman" w:hAnsi="Times New Roman" w:eastAsia="宋体" w:cs="Times New Roman"/>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10</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防喷设施和工具、用具应齐全完好，摆放整齐。</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3.17.11</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防喷</w:t>
            </w:r>
            <w:r>
              <w:rPr>
                <w:rFonts w:hint="eastAsia" w:cs="Times New Roman"/>
                <w:color w:val="000000"/>
                <w:sz w:val="21"/>
                <w:szCs w:val="21"/>
                <w:lang w:val="en-US" w:eastAsia="zh-CN"/>
              </w:rPr>
              <w:t>设施齐全</w:t>
            </w:r>
            <w:r>
              <w:rPr>
                <w:rFonts w:hint="eastAsia" w:ascii="Times New Roman" w:hAnsi="Times New Roman" w:eastAsia="宋体" w:cs="Times New Roman"/>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11</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在含有或可能含有有毒有害气体井施工，应配备合格的个人防护用具和相应气体监测仪。对硫化氢的监测和人身安全防护应符合SY/T6277-2017中第4章、第5章的规定。</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4.6.2</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467" w:type="dxa"/>
            <w:vMerge w:val="restart"/>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sz w:val="21"/>
                <w:szCs w:val="21"/>
              </w:rPr>
            </w:pPr>
            <w:r>
              <w:rPr>
                <w:rFonts w:hint="default" w:ascii="Times New Roman" w:hAnsi="Times New Roman" w:cs="Times New Roman"/>
                <w:color w:val="000000" w:themeColor="text1"/>
                <w:szCs w:val="21"/>
                <w14:textFill>
                  <w14:solidFill>
                    <w14:schemeClr w14:val="tx1"/>
                  </w14:solidFill>
                </w14:textFill>
              </w:rPr>
              <w:t>配备有便携式气体检测仪、空气呼吸器等设备设施，并经检测合格。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12</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个人防护用具、气体监测仪器的配备、使用操作、应急抢险和紧急疏散应符合SY/T 6610-2017中第5章、第6章、第7章的规定。</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4.6.3</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467" w:type="dxa"/>
            <w:vMerge w:val="continue"/>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13</w:t>
            </w:r>
          </w:p>
        </w:tc>
        <w:tc>
          <w:tcPr>
            <w:tcW w:w="4226" w:type="dxa"/>
            <w:tcBorders>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rPr>
              <w:t>空气呼吸器应每年检验一次；气瓶应每三年检验一次，其安全使用年限不得超过15年。</w:t>
            </w:r>
          </w:p>
        </w:tc>
        <w:tc>
          <w:tcPr>
            <w:tcW w:w="1679" w:type="dxa"/>
            <w:tcBorders>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SY/T6277-2017</w:t>
            </w:r>
          </w:p>
          <w:p>
            <w:pPr>
              <w:keepNext w:val="0"/>
              <w:keepLines w:val="0"/>
              <w:suppressLineNumbers w:val="0"/>
              <w:overflowPunct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5.1.6.1</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均在检验有效期内。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14</w:t>
            </w:r>
          </w:p>
        </w:tc>
        <w:tc>
          <w:tcPr>
            <w:tcW w:w="4226" w:type="dxa"/>
            <w:tcBorders>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rPr>
              <w:t>便携式硫化氢气体检测仪每年至少检验一次。</w:t>
            </w:r>
          </w:p>
        </w:tc>
        <w:tc>
          <w:tcPr>
            <w:tcW w:w="1679" w:type="dxa"/>
            <w:tcBorders>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SY/T6277-2017</w:t>
            </w:r>
          </w:p>
          <w:p>
            <w:pPr>
              <w:keepNext w:val="0"/>
              <w:keepLines w:val="0"/>
              <w:suppressLineNumbers w:val="0"/>
              <w:overflowPunct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5.2.6</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均在检验有效期内。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cs="Times New Roman"/>
                <w:color w:val="000000"/>
                <w:kern w:val="2"/>
                <w:sz w:val="21"/>
                <w:szCs w:val="21"/>
                <w:lang w:val="en-US" w:eastAsia="zh-CN" w:bidi="ar-SA"/>
              </w:rPr>
              <w:t>15</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施工作业人员应经相应的岗位技能培训，培训合格方可上岗。</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4.1.1</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施工作业人员均持有三小证。</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Times New Roman" w:hAnsi="Times New Roman" w:cs="Times New Roman"/>
          <w:sz w:val="28"/>
          <w:lang w:val="en-US" w:eastAsia="zh-CN"/>
        </w:rPr>
      </w:pPr>
      <w:r>
        <w:rPr>
          <w:rFonts w:hint="eastAsia" w:ascii="Times New Roman" w:hAnsi="Times New Roman" w:cs="Times New Roman"/>
          <w:sz w:val="28"/>
        </w:rPr>
        <w:t>评价小结：</w:t>
      </w:r>
      <w:r>
        <w:rPr>
          <w:rFonts w:hint="eastAsia" w:cs="Times New Roman"/>
          <w:sz w:val="28"/>
          <w:lang w:val="en-US" w:eastAsia="zh-CN"/>
        </w:rPr>
        <w:t>侧钻</w:t>
      </w:r>
      <w:r>
        <w:rPr>
          <w:rFonts w:hint="eastAsia" w:ascii="Times New Roman" w:hAnsi="Times New Roman" w:cs="Times New Roman"/>
          <w:sz w:val="28"/>
        </w:rPr>
        <w:t>安全检查表共设</w:t>
      </w:r>
      <w:r>
        <w:rPr>
          <w:rFonts w:hint="eastAsia" w:cs="Times New Roman"/>
          <w:sz w:val="28"/>
          <w:lang w:val="en-US" w:eastAsia="zh-CN"/>
        </w:rPr>
        <w:t>15</w:t>
      </w:r>
      <w:r>
        <w:rPr>
          <w:rFonts w:hint="eastAsia" w:ascii="Times New Roman" w:hAnsi="Times New Roman" w:cs="Times New Roman"/>
          <w:sz w:val="28"/>
        </w:rPr>
        <w:t>项检查内容，</w:t>
      </w:r>
      <w:r>
        <w:rPr>
          <w:rFonts w:hint="eastAsia" w:ascii="Times New Roman" w:hAnsi="Times New Roman" w:cs="Times New Roman"/>
          <w:sz w:val="28"/>
          <w:lang w:val="en-US" w:eastAsia="zh-CN"/>
        </w:rPr>
        <w:t>未发现不符合项。</w:t>
      </w:r>
    </w:p>
    <w:p>
      <w:pPr>
        <w:pStyle w:val="216"/>
        <w:keepNext w:val="0"/>
        <w:keepLines w:val="0"/>
        <w:pageBreakBefore w:val="0"/>
        <w:widowControl/>
        <w:kinsoku/>
        <w:wordWrap/>
        <w:overflowPunct/>
        <w:topLinePunct w:val="0"/>
        <w:autoSpaceDE/>
        <w:autoSpaceDN/>
        <w:bidi w:val="0"/>
        <w:adjustRightInd w:val="0"/>
        <w:snapToGrid w:val="0"/>
        <w:spacing w:after="0" w:line="360" w:lineRule="auto"/>
        <w:ind w:firstLine="0" w:firstLineChars="0"/>
        <w:textAlignment w:val="auto"/>
        <w:outlineLvl w:val="2"/>
        <w:rPr>
          <w:rFonts w:hint="default" w:ascii="Times New Roman" w:hAnsi="Times New Roman" w:eastAsia="黑体" w:cs="Times New Roman"/>
          <w:bCs/>
          <w:snapToGrid w:val="0"/>
          <w:kern w:val="0"/>
          <w:sz w:val="28"/>
          <w:szCs w:val="28"/>
          <w:lang w:val="en-US" w:eastAsia="zh-CN"/>
        </w:rPr>
      </w:pPr>
      <w:r>
        <w:rPr>
          <w:rFonts w:hint="eastAsia" w:eastAsia="黑体"/>
          <w:bCs/>
          <w:snapToGrid w:val="0"/>
          <w:kern w:val="0"/>
          <w:sz w:val="28"/>
          <w:szCs w:val="28"/>
          <w:lang w:val="en-US" w:eastAsia="zh-CN"/>
        </w:rPr>
        <w:t xml:space="preserve">5.1.5 </w:t>
      </w:r>
      <w:r>
        <w:rPr>
          <w:rFonts w:hint="eastAsia" w:ascii="Times New Roman" w:hAnsi="Times New Roman" w:eastAsia="黑体" w:cs="Times New Roman"/>
          <w:bCs/>
          <w:snapToGrid w:val="0"/>
          <w:kern w:val="0"/>
          <w:sz w:val="28"/>
          <w:szCs w:val="28"/>
          <w:lang w:val="en-US" w:eastAsia="zh-CN"/>
        </w:rPr>
        <w:t>连续油管</w:t>
      </w:r>
      <w:r>
        <w:rPr>
          <w:rFonts w:hint="default" w:ascii="Times New Roman" w:hAnsi="Times New Roman" w:eastAsia="黑体" w:cs="Times New Roman"/>
          <w:color w:val="000000" w:themeColor="text1"/>
          <w:sz w:val="28"/>
          <w:szCs w:val="28"/>
          <w14:textFill>
            <w14:solidFill>
              <w14:schemeClr w14:val="tx1"/>
            </w14:solidFill>
          </w14:textFill>
        </w:rPr>
        <w:t>作业安全检查表</w:t>
      </w:r>
    </w:p>
    <w:p>
      <w:pPr>
        <w:pStyle w:val="62"/>
        <w:adjustRightInd w:val="0"/>
        <w:snapToGrid w:val="0"/>
        <w:spacing w:line="360" w:lineRule="auto"/>
        <w:ind w:firstLine="566"/>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本节根据《井下作业安全规程》（SY/T5727-2020）、</w:t>
      </w:r>
      <w:r>
        <w:rPr>
          <w:rFonts w:hint="default" w:ascii="Times New Roman" w:hAnsi="Times New Roman" w:cs="Times New Roman"/>
          <w:bCs/>
          <w:color w:val="000000" w:themeColor="text1"/>
          <w:spacing w:val="-4"/>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连续油管作业技术规程</w:t>
      </w:r>
      <w:r>
        <w:rPr>
          <w:rFonts w:hint="default" w:ascii="Times New Roman" w:hAnsi="Times New Roman" w:cs="Times New Roman"/>
          <w:bCs/>
          <w:color w:val="000000" w:themeColor="text1"/>
          <w:spacing w:val="-4"/>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SY</w:t>
      </w:r>
      <w:r>
        <w:rPr>
          <w:rFonts w:hint="default"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T 7305-2021</w:t>
      </w:r>
      <w:r>
        <w:rPr>
          <w:rFonts w:hint="default" w:ascii="Times New Roman" w:hAnsi="Times New Roman" w:cs="Times New Roman"/>
          <w:bCs/>
          <w:color w:val="000000" w:themeColor="text1"/>
          <w:spacing w:val="-4"/>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等标准，对本项目生产单元进行安全评价，具体评价过程见表5-1</w:t>
      </w:r>
      <w:r>
        <w:rPr>
          <w:rFonts w:hint="eastAsia"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after="0"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表5-1</w:t>
      </w:r>
      <w:r>
        <w:rPr>
          <w:rFonts w:hint="eastAsia" w:cs="Times New Roman"/>
          <w:b/>
          <w:bCs/>
          <w:color w:val="000000" w:themeColor="text1"/>
          <w:kern w:val="2"/>
          <w:sz w:val="21"/>
          <w:szCs w:val="21"/>
          <w:lang w:val="en-US" w:eastAsia="zh-CN" w:bidi="ar-SA"/>
          <w14:textFill>
            <w14:solidFill>
              <w14:schemeClr w14:val="tx1"/>
            </w14:solidFill>
          </w14:textFill>
        </w:rPr>
        <w:t>2</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 xml:space="preserve"> </w:t>
      </w: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 xml:space="preserve"> </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连续油</w:t>
      </w:r>
      <w:r>
        <w:rPr>
          <w:rFonts w:hint="eastAsia" w:cs="Times New Roman"/>
          <w:b/>
          <w:bCs/>
          <w:color w:val="000000" w:themeColor="text1"/>
          <w:kern w:val="2"/>
          <w:sz w:val="21"/>
          <w:szCs w:val="21"/>
          <w:lang w:val="en-US" w:eastAsia="zh-CN" w:bidi="ar-SA"/>
          <w14:textFill>
            <w14:solidFill>
              <w14:schemeClr w14:val="tx1"/>
            </w14:solidFill>
          </w14:textFill>
        </w:rPr>
        <w:t>管</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作业安全检查表</w:t>
      </w:r>
    </w:p>
    <w:tbl>
      <w:tblPr>
        <w:tblStyle w:val="52"/>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9"/>
        <w:gridCol w:w="4226"/>
        <w:gridCol w:w="1679"/>
        <w:gridCol w:w="691"/>
        <w:gridCol w:w="14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color w:val="000000"/>
                <w:sz w:val="21"/>
                <w:szCs w:val="21"/>
              </w:rPr>
            </w:pPr>
            <w:r>
              <w:rPr>
                <w:rFonts w:hint="eastAsia" w:ascii="Times New Roman" w:hAnsi="Times New Roman" w:eastAsia="宋体" w:cs="Times New Roman"/>
                <w:b/>
                <w:color w:val="000000"/>
                <w:sz w:val="21"/>
                <w:szCs w:val="21"/>
              </w:rPr>
              <w:t>序号</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color w:val="000000"/>
                <w:sz w:val="21"/>
                <w:szCs w:val="21"/>
              </w:rPr>
            </w:pPr>
            <w:r>
              <w:rPr>
                <w:rFonts w:hint="eastAsia" w:ascii="Times New Roman" w:hAnsi="Times New Roman" w:eastAsia="宋体" w:cs="Times New Roman"/>
                <w:b/>
                <w:color w:val="000000"/>
                <w:sz w:val="21"/>
                <w:szCs w:val="21"/>
              </w:rPr>
              <w:t>检查项目</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color w:val="000000"/>
                <w:sz w:val="21"/>
                <w:szCs w:val="21"/>
              </w:rPr>
            </w:pPr>
            <w:r>
              <w:rPr>
                <w:rFonts w:hint="eastAsia" w:ascii="Times New Roman" w:hAnsi="Times New Roman" w:eastAsia="宋体" w:cs="Times New Roman"/>
                <w:b/>
                <w:color w:val="000000"/>
                <w:sz w:val="21"/>
                <w:szCs w:val="21"/>
              </w:rPr>
              <w:t>检查依据</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color w:val="000000"/>
                <w:sz w:val="21"/>
                <w:szCs w:val="21"/>
              </w:rPr>
            </w:pPr>
            <w:r>
              <w:rPr>
                <w:rFonts w:hint="eastAsia" w:ascii="Times New Roman" w:hAnsi="Times New Roman" w:eastAsia="宋体" w:cs="Times New Roman"/>
                <w:b/>
                <w:color w:val="000000"/>
                <w:sz w:val="21"/>
                <w:szCs w:val="21"/>
              </w:rPr>
              <w:t>检查结果</w:t>
            </w:r>
          </w:p>
        </w:tc>
        <w:tc>
          <w:tcPr>
            <w:tcW w:w="146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b/>
                <w:color w:val="000000"/>
                <w:sz w:val="21"/>
                <w:szCs w:val="21"/>
              </w:rPr>
            </w:pPr>
            <w:r>
              <w:rPr>
                <w:rFonts w:hint="eastAsia" w:ascii="Times New Roman" w:hAnsi="Times New Roman" w:eastAsia="宋体" w:cs="Times New Roman"/>
                <w:b/>
                <w:color w:val="000000"/>
                <w:sz w:val="21"/>
                <w:szCs w:val="21"/>
              </w:rPr>
              <w:t>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numPr>
                <w:ilvl w:val="0"/>
                <w:numId w:val="37"/>
              </w:numPr>
              <w:suppressLineNumbers w:val="0"/>
              <w:spacing w:before="0" w:beforeAutospacing="0" w:after="0" w:afterAutospacing="0"/>
              <w:ind w:left="425" w:leftChars="0" w:right="0" w:hanging="425" w:firstLineChars="0"/>
              <w:rPr>
                <w:rFonts w:hint="default"/>
                <w:lang w:val="en-US" w:eastAsia="zh-CN"/>
              </w:rPr>
            </w:pPr>
            <w:r>
              <w:rPr>
                <w:rFonts w:hint="default"/>
                <w:lang w:val="en-US" w:eastAsia="zh-CN"/>
              </w:rPr>
              <w:t>1</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所有紧固件、连接件应紧固可靠，销子应有锁紧保险装置；紧固件螺纹外露部分要涂抹润滑脂。</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3.3.4</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紧固件紧固可靠。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numPr>
                <w:ilvl w:val="0"/>
                <w:numId w:val="37"/>
              </w:numPr>
              <w:suppressLineNumbers w:val="0"/>
              <w:spacing w:before="0" w:beforeAutospacing="0" w:after="0" w:afterAutospacing="0"/>
              <w:ind w:left="425" w:leftChars="0" w:right="0" w:hanging="425" w:firstLineChars="0"/>
              <w:rPr>
                <w:rFonts w:hint="default"/>
                <w:lang w:val="en-US" w:eastAsia="zh-CN"/>
              </w:rPr>
            </w:pPr>
            <w:r>
              <w:rPr>
                <w:rFonts w:hint="eastAsia"/>
                <w:lang w:val="en-US" w:eastAsia="zh-CN"/>
              </w:rPr>
              <w:t>2</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防喷设施和工具、用具应齐全完好，摆放整齐。</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3.17.11</w:t>
            </w:r>
          </w:p>
        </w:tc>
        <w:tc>
          <w:tcPr>
            <w:tcW w:w="691"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w:t>
            </w:r>
          </w:p>
        </w:tc>
        <w:tc>
          <w:tcPr>
            <w:tcW w:w="1467"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防喷器经检测合格。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numPr>
                <w:ilvl w:val="0"/>
                <w:numId w:val="37"/>
              </w:numPr>
              <w:suppressLineNumbers w:val="0"/>
              <w:spacing w:before="0" w:beforeAutospacing="0" w:after="0" w:afterAutospacing="0"/>
              <w:ind w:left="425" w:leftChars="0" w:right="0" w:hanging="425" w:firstLineChars="0"/>
              <w:rPr>
                <w:rFonts w:hint="default"/>
                <w:lang w:val="en-US" w:eastAsia="zh-CN"/>
              </w:rPr>
            </w:pPr>
            <w:r>
              <w:rPr>
                <w:rFonts w:hint="eastAsia"/>
                <w:lang w:val="en-US" w:eastAsia="zh-CN"/>
              </w:rPr>
              <w:t>5</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连续油管滚筒距离井口宜8m ~ 30m，确保井口位于连续油管滚筒中垂线的延长线上。</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rPr>
            </w:pPr>
            <w:r>
              <w:rPr>
                <w:rFonts w:hint="default"/>
              </w:rPr>
              <w:t>SY/T7305</w:t>
            </w:r>
            <w:r>
              <w:rPr>
                <w:rFonts w:hint="eastAsia"/>
                <w:lang w:val="en-US" w:eastAsia="zh-CN"/>
              </w:rPr>
              <w:t>-</w:t>
            </w:r>
            <w:r>
              <w:rPr>
                <w:rFonts w:hint="default"/>
              </w:rPr>
              <w:t>2021</w:t>
            </w:r>
          </w:p>
          <w:p>
            <w:pPr>
              <w:pStyle w:val="51"/>
              <w:keepNext w:val="0"/>
              <w:keepLines w:val="0"/>
              <w:suppressLineNumbers w:val="0"/>
              <w:spacing w:before="0" w:beforeAutospacing="0" w:after="0" w:afterAutospacing="0"/>
              <w:ind w:left="0" w:right="0"/>
              <w:rPr>
                <w:rFonts w:hint="default"/>
              </w:rPr>
            </w:pPr>
            <w:r>
              <w:rPr>
                <w:rFonts w:hint="default" w:ascii="Times New Roman" w:hAnsi="Times New Roman" w:eastAsia="宋体" w:cs="Times New Roman"/>
                <w:color w:val="000000"/>
                <w:sz w:val="21"/>
                <w:szCs w:val="21"/>
              </w:rPr>
              <w:t>5.1.1.2</w:t>
            </w:r>
          </w:p>
        </w:tc>
        <w:tc>
          <w:tcPr>
            <w:tcW w:w="691"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w:t>
            </w:r>
          </w:p>
        </w:tc>
        <w:tc>
          <w:tcPr>
            <w:tcW w:w="1467"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企业《连续油管作业操作规程》中规定：</w:t>
            </w:r>
            <w:r>
              <w:rPr>
                <w:rFonts w:hint="default" w:ascii="Times New Roman" w:hAnsi="Times New Roman" w:eastAsia="宋体" w:cs="Times New Roman"/>
                <w:color w:val="000000"/>
                <w:sz w:val="21"/>
                <w:szCs w:val="21"/>
              </w:rPr>
              <w:t>连续油管滚筒距离井口</w:t>
            </w:r>
            <w:r>
              <w:rPr>
                <w:rFonts w:hint="eastAsia" w:cs="Times New Roman"/>
                <w:color w:val="000000"/>
                <w:sz w:val="21"/>
                <w:szCs w:val="21"/>
                <w:lang w:val="en-US" w:eastAsia="zh-CN"/>
              </w:rPr>
              <w:t>不小于8m，不大于30m。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numPr>
                <w:ilvl w:val="0"/>
                <w:numId w:val="37"/>
              </w:numPr>
              <w:suppressLineNumbers w:val="0"/>
              <w:spacing w:before="0" w:beforeAutospacing="0" w:after="0" w:afterAutospacing="0"/>
              <w:ind w:left="425" w:leftChars="0" w:right="0" w:hanging="425" w:firstLineChars="0"/>
              <w:rPr>
                <w:rFonts w:hint="default"/>
                <w:lang w:val="en-US" w:eastAsia="zh-CN"/>
              </w:rPr>
            </w:pPr>
            <w:r>
              <w:rPr>
                <w:rFonts w:hint="eastAsia"/>
                <w:lang w:val="en-US" w:eastAsia="zh-CN"/>
              </w:rPr>
              <w:t>6</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left"/>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连续油管导入注入头过程中，注人头未夹持连续油管情况下，不应施加夹紧压力﹔夹持后夹紧压力应加至1.4MPa ~ 2.1MPa，速度应小于5m/min。</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rPr>
            </w:pPr>
            <w:r>
              <w:rPr>
                <w:rFonts w:hint="default"/>
              </w:rPr>
              <w:t>SY/T7305</w:t>
            </w:r>
            <w:r>
              <w:rPr>
                <w:rFonts w:hint="eastAsia"/>
                <w:lang w:val="en-US" w:eastAsia="zh-CN"/>
              </w:rPr>
              <w:t>-</w:t>
            </w:r>
            <w:r>
              <w:rPr>
                <w:rFonts w:hint="default"/>
              </w:rPr>
              <w:t>2021</w:t>
            </w:r>
          </w:p>
          <w:p>
            <w:pPr>
              <w:pStyle w:val="51"/>
              <w:keepNext w:val="0"/>
              <w:keepLines w:val="0"/>
              <w:suppressLineNumbers w:val="0"/>
              <w:spacing w:before="0" w:beforeAutospacing="0" w:after="0" w:afterAutospacing="0"/>
              <w:ind w:left="0" w:leftChars="0" w:right="0" w:rightChars="0" w:firstLine="420" w:firstLineChars="200"/>
              <w:rPr>
                <w:rFonts w:hint="default" w:ascii="宋体" w:hAnsi="宋体" w:eastAsia="宋体" w:cs="Times New Roman"/>
                <w:color w:val="FF0000"/>
                <w:kern w:val="2"/>
                <w:sz w:val="28"/>
                <w:szCs w:val="28"/>
                <w:lang w:val="en-US" w:eastAsia="zh-CN" w:bidi="ar-SA"/>
              </w:rPr>
            </w:pPr>
            <w:r>
              <w:rPr>
                <w:rFonts w:hint="default" w:ascii="Times New Roman" w:hAnsi="Times New Roman" w:eastAsia="宋体" w:cs="Times New Roman"/>
                <w:color w:val="000000"/>
                <w:sz w:val="21"/>
                <w:szCs w:val="21"/>
              </w:rPr>
              <w:t>5.1.2.3</w:t>
            </w:r>
          </w:p>
        </w:tc>
        <w:tc>
          <w:tcPr>
            <w:tcW w:w="691"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w:t>
            </w:r>
          </w:p>
        </w:tc>
        <w:tc>
          <w:tcPr>
            <w:tcW w:w="1467"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leftChars="0" w:right="0" w:rightChars="0"/>
              <w:jc w:val="both"/>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企业《连续油管作业操作规程》中规定：</w:t>
            </w:r>
            <w:r>
              <w:rPr>
                <w:rFonts w:hint="default" w:ascii="Times New Roman" w:hAnsi="Times New Roman" w:eastAsia="宋体" w:cs="Times New Roman"/>
                <w:color w:val="000000"/>
                <w:kern w:val="2"/>
                <w:sz w:val="21"/>
                <w:szCs w:val="21"/>
                <w:lang w:val="en-US" w:eastAsia="zh-CN" w:bidi="ar-SA"/>
              </w:rPr>
              <w:t>导入注入头过程中</w:t>
            </w:r>
            <w:r>
              <w:rPr>
                <w:rFonts w:hint="eastAsia"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color w:val="000000"/>
                <w:kern w:val="2"/>
                <w:sz w:val="21"/>
                <w:szCs w:val="21"/>
                <w:lang w:val="en-US" w:eastAsia="zh-CN" w:bidi="ar-SA"/>
              </w:rPr>
              <w:t>夹持后夹紧压力应加至1.4MPa ~ 2.1MPa，速度应小于5m/min。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numPr>
                <w:ilvl w:val="0"/>
                <w:numId w:val="37"/>
              </w:numPr>
              <w:suppressLineNumbers w:val="0"/>
              <w:spacing w:before="0" w:beforeAutospacing="0" w:after="0" w:afterAutospacing="0"/>
              <w:ind w:left="425" w:leftChars="0" w:right="0" w:hanging="425" w:firstLineChars="0"/>
              <w:rPr>
                <w:rFonts w:hint="default"/>
                <w:lang w:val="en-US" w:eastAsia="zh-CN"/>
              </w:rPr>
            </w:pPr>
            <w:r>
              <w:rPr>
                <w:rFonts w:hint="eastAsia"/>
                <w:lang w:val="en-US" w:eastAsia="zh-CN"/>
              </w:rPr>
              <w:t>7</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应依照施工设计要求对井口及井控装置、地面管线、连续油管、工具串进行功能性和系统性试压。每次拆装防喷器和井控管汇后，应重新试压。</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rPr>
            </w:pPr>
            <w:r>
              <w:rPr>
                <w:rFonts w:hint="default"/>
              </w:rPr>
              <w:t>SY/T7305</w:t>
            </w:r>
            <w:r>
              <w:rPr>
                <w:rFonts w:hint="eastAsia"/>
                <w:lang w:val="en-US" w:eastAsia="zh-CN"/>
              </w:rPr>
              <w:t>-</w:t>
            </w:r>
            <w:r>
              <w:rPr>
                <w:rFonts w:hint="default"/>
              </w:rPr>
              <w:t>2021</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5.2.2</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2"/>
                <w:sz w:val="21"/>
                <w:szCs w:val="21"/>
                <w:lang w:val="en-US" w:eastAsia="zh-CN" w:bidi="ar-SA"/>
              </w:rPr>
              <w:t>√</w:t>
            </w:r>
          </w:p>
        </w:tc>
        <w:tc>
          <w:tcPr>
            <w:tcW w:w="146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both"/>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kern w:val="2"/>
                <w:sz w:val="21"/>
                <w:szCs w:val="21"/>
                <w:lang w:val="en-US" w:eastAsia="zh-CN" w:bidi="ar-SA"/>
              </w:rPr>
              <w:t>企业《连续油管作业操作规程》中规定</w:t>
            </w:r>
            <w:r>
              <w:rPr>
                <w:rFonts w:hint="eastAsia" w:cs="Times New Roman"/>
                <w:color w:val="000000"/>
                <w:kern w:val="2"/>
                <w:sz w:val="21"/>
                <w:szCs w:val="21"/>
                <w:lang w:val="en-US" w:eastAsia="zh-CN" w:bidi="ar-SA"/>
              </w:rPr>
              <w:t>按</w:t>
            </w:r>
            <w:r>
              <w:rPr>
                <w:rFonts w:hint="default" w:ascii="Times New Roman" w:hAnsi="Times New Roman" w:eastAsia="宋体" w:cs="Times New Roman"/>
                <w:color w:val="000000"/>
                <w:sz w:val="21"/>
                <w:szCs w:val="21"/>
              </w:rPr>
              <w:t>施工设计要求</w:t>
            </w:r>
            <w:r>
              <w:rPr>
                <w:rFonts w:hint="eastAsia" w:cs="Times New Roman"/>
                <w:color w:val="000000"/>
                <w:sz w:val="21"/>
                <w:szCs w:val="21"/>
                <w:lang w:val="en-US" w:eastAsia="zh-CN"/>
              </w:rPr>
              <w:t>对相应设备、管线及井控设备等进行试压。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numPr>
                <w:ilvl w:val="0"/>
                <w:numId w:val="37"/>
              </w:numPr>
              <w:suppressLineNumbers w:val="0"/>
              <w:spacing w:before="0" w:beforeAutospacing="0" w:after="0" w:afterAutospacing="0"/>
              <w:ind w:left="425" w:leftChars="0" w:right="0" w:hanging="425" w:firstLineChars="0"/>
              <w:rPr>
                <w:rFonts w:hint="default"/>
                <w:lang w:val="en-US" w:eastAsia="zh-CN"/>
              </w:rPr>
            </w:pPr>
            <w:r>
              <w:rPr>
                <w:rFonts w:hint="eastAsia"/>
                <w:lang w:val="en-US" w:eastAsia="zh-CN"/>
              </w:rPr>
              <w:t>8</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left"/>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rPr>
              <w:t>施工中进出井场的车辆排气管应安装阻火器。施工井场地面裸露的油、气管线及电缆，应采取防止车辆碾压的保护措施。</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SY/T5225-2019</w:t>
            </w:r>
          </w:p>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4.1.4</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leftChars="0" w:right="0" w:rightChars="0"/>
              <w:jc w:val="both"/>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车辆排气管安装有阻火器。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numPr>
                <w:ilvl w:val="0"/>
                <w:numId w:val="37"/>
              </w:numPr>
              <w:suppressLineNumbers w:val="0"/>
              <w:spacing w:before="0" w:beforeAutospacing="0" w:after="0" w:afterAutospacing="0"/>
              <w:ind w:left="425" w:leftChars="0" w:right="0" w:hanging="425" w:firstLineChars="0"/>
              <w:rPr>
                <w:rFonts w:hint="default"/>
                <w:lang w:val="en-US" w:eastAsia="zh-CN"/>
              </w:rPr>
            </w:pPr>
            <w:r>
              <w:rPr>
                <w:rFonts w:hint="eastAsia"/>
                <w:lang w:val="en-US" w:eastAsia="zh-CN"/>
              </w:rPr>
              <w:t>9</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left"/>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rPr>
              <w:t>在含有或可能含有有毒有害气体井施工，应配备合格的个人防护用具和相应气体监测仪。对硫化氢的监测和人身安全防护应符合SY/T6277-2017中第4章、第5章的规定。</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4.6.2</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both"/>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themeColor="text1"/>
                <w:szCs w:val="21"/>
                <w14:textFill>
                  <w14:solidFill>
                    <w14:schemeClr w14:val="tx1"/>
                  </w14:solidFill>
                </w14:textFill>
              </w:rPr>
              <w:t>配备有便携式气体检测仪、空气呼吸器等设备设施，并经检测合格。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numPr>
                <w:ilvl w:val="0"/>
                <w:numId w:val="37"/>
              </w:numPr>
              <w:suppressLineNumbers w:val="0"/>
              <w:spacing w:before="0" w:beforeAutospacing="0" w:after="0" w:afterAutospacing="0"/>
              <w:ind w:left="425" w:leftChars="0" w:right="0" w:hanging="425" w:firstLineChars="0"/>
              <w:rPr>
                <w:rFonts w:hint="default"/>
                <w:lang w:val="en-US" w:eastAsia="zh-CN"/>
              </w:rPr>
            </w:pPr>
            <w:r>
              <w:rPr>
                <w:rFonts w:hint="eastAsia"/>
                <w:lang w:val="en-US" w:eastAsia="zh-CN"/>
              </w:rPr>
              <w:t>10</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left"/>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rPr>
              <w:t>个人防护用具、气体监测仪器的配备、使用操作、应急抢险和紧急疏散应符合SY/T 6610-2017中第5章、第6章、第7章的规定。</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4.6.3</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both"/>
              <w:rPr>
                <w:rFonts w:hint="eastAsia" w:ascii="Times New Roman" w:hAnsi="Times New Roman" w:eastAsia="宋体" w:cs="Times New Roman"/>
                <w:color w:val="000000"/>
                <w:sz w:val="21"/>
                <w:szCs w:val="21"/>
                <w:lang w:val="en-US" w:eastAsia="zh-CN"/>
              </w:rPr>
            </w:pPr>
            <w:r>
              <w:rPr>
                <w:rFonts w:hint="eastAsia" w:cs="Times New Roman"/>
                <w:color w:val="00000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numPr>
                <w:ilvl w:val="0"/>
                <w:numId w:val="37"/>
              </w:numPr>
              <w:suppressLineNumbers w:val="0"/>
              <w:spacing w:before="0" w:beforeAutospacing="0" w:after="0" w:afterAutospacing="0"/>
              <w:ind w:left="425" w:leftChars="0" w:right="0" w:hanging="425" w:firstLineChars="0"/>
              <w:rPr>
                <w:rFonts w:hint="default"/>
                <w:lang w:val="en-US" w:eastAsia="zh-CN"/>
              </w:rPr>
            </w:pPr>
            <w:r>
              <w:rPr>
                <w:rFonts w:hint="default"/>
                <w:lang w:val="en-US" w:eastAsia="zh-CN"/>
              </w:rPr>
              <w:t>11</w:t>
            </w:r>
          </w:p>
        </w:tc>
        <w:tc>
          <w:tcPr>
            <w:tcW w:w="4226" w:type="dxa"/>
            <w:tcBorders>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leftChars="0" w:right="0" w:rightChars="0"/>
              <w:jc w:val="left"/>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rPr>
              <w:t>空气呼吸器应每年检验一次；气瓶应每三年检验一次，其安全使用年限不得超过15年。</w:t>
            </w:r>
          </w:p>
        </w:tc>
        <w:tc>
          <w:tcPr>
            <w:tcW w:w="1679" w:type="dxa"/>
            <w:tcBorders>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SY/T6277-2017</w:t>
            </w:r>
          </w:p>
          <w:p>
            <w:pPr>
              <w:keepNext w:val="0"/>
              <w:keepLines w:val="0"/>
              <w:suppressLineNumbers w:val="0"/>
              <w:overflowPunct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rPr>
              <w:t>5.1.6.1</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leftChars="0" w:right="0" w:rightChars="0"/>
              <w:jc w:val="both"/>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均在检验有效期内。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numPr>
                <w:ilvl w:val="0"/>
                <w:numId w:val="37"/>
              </w:numPr>
              <w:suppressLineNumbers w:val="0"/>
              <w:spacing w:before="0" w:beforeAutospacing="0" w:after="0" w:afterAutospacing="0"/>
              <w:ind w:left="425" w:leftChars="0" w:right="0" w:hanging="425" w:firstLineChars="0"/>
              <w:rPr>
                <w:rFonts w:hint="default"/>
                <w:lang w:val="en-US" w:eastAsia="zh-CN"/>
              </w:rPr>
            </w:pPr>
            <w:r>
              <w:rPr>
                <w:rFonts w:hint="default"/>
                <w:lang w:val="en-US" w:eastAsia="zh-CN"/>
              </w:rPr>
              <w:t>12</w:t>
            </w:r>
          </w:p>
        </w:tc>
        <w:tc>
          <w:tcPr>
            <w:tcW w:w="4226" w:type="dxa"/>
            <w:tcBorders>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leftChars="0" w:right="0" w:rightChars="0"/>
              <w:jc w:val="left"/>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rPr>
              <w:t>便携式硫化氢气体检测仪每年至少检验一次。</w:t>
            </w:r>
          </w:p>
        </w:tc>
        <w:tc>
          <w:tcPr>
            <w:tcW w:w="1679" w:type="dxa"/>
            <w:tcBorders>
              <w:tl2br w:val="nil"/>
              <w:tr2bl w:val="nil"/>
            </w:tcBorders>
            <w:noWrap w:val="0"/>
            <w:vAlign w:val="center"/>
          </w:tcPr>
          <w:p>
            <w:pPr>
              <w:keepNext w:val="0"/>
              <w:keepLines w:val="0"/>
              <w:suppressLineNumbers w:val="0"/>
              <w:overflowPunct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SY/T6277-2017</w:t>
            </w:r>
          </w:p>
          <w:p>
            <w:pPr>
              <w:keepNext w:val="0"/>
              <w:keepLines w:val="0"/>
              <w:suppressLineNumbers w:val="0"/>
              <w:overflowPunct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rPr>
              <w:t>5.2.6</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leftChars="0" w:right="0" w:rightChars="0"/>
              <w:jc w:val="both"/>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kern w:val="2"/>
                <w:sz w:val="21"/>
                <w:szCs w:val="21"/>
                <w:lang w:val="en-US" w:eastAsia="zh-CN" w:bidi="ar-SA"/>
              </w:rPr>
              <w:t>均在检验有效期内。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9" w:type="dxa"/>
            <w:tcBorders>
              <w:tl2br w:val="nil"/>
              <w:tr2bl w:val="nil"/>
            </w:tcBorders>
            <w:noWrap w:val="0"/>
            <w:vAlign w:val="center"/>
          </w:tcPr>
          <w:p>
            <w:pPr>
              <w:keepNext w:val="0"/>
              <w:keepLines w:val="0"/>
              <w:numPr>
                <w:ilvl w:val="0"/>
                <w:numId w:val="37"/>
              </w:numPr>
              <w:suppressLineNumbers w:val="0"/>
              <w:spacing w:before="0" w:beforeAutospacing="0" w:after="0" w:afterAutospacing="0"/>
              <w:ind w:left="425" w:leftChars="0" w:right="0" w:hanging="425" w:firstLineChars="0"/>
              <w:rPr>
                <w:rFonts w:hint="default"/>
                <w:lang w:val="en-US" w:eastAsia="zh-CN"/>
              </w:rPr>
            </w:pPr>
            <w:r>
              <w:rPr>
                <w:rFonts w:hint="eastAsia"/>
                <w:lang w:val="en-US" w:eastAsia="zh-CN"/>
              </w:rPr>
              <w:t>13</w:t>
            </w:r>
          </w:p>
        </w:tc>
        <w:tc>
          <w:tcPr>
            <w:tcW w:w="4226"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left"/>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rPr>
              <w:t>施工作业人员应经相应的岗位技能培训，培训合格方可上岗。</w:t>
            </w:r>
          </w:p>
        </w:tc>
        <w:tc>
          <w:tcPr>
            <w:tcW w:w="1679"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SY/T5727-2020</w:t>
            </w:r>
          </w:p>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4.1.1</w:t>
            </w:r>
          </w:p>
        </w:tc>
        <w:tc>
          <w:tcPr>
            <w:tcW w:w="69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w:t>
            </w:r>
          </w:p>
        </w:tc>
        <w:tc>
          <w:tcPr>
            <w:tcW w:w="1467" w:type="dxa"/>
            <w:tcBorders>
              <w:tl2br w:val="nil"/>
              <w:tr2bl w:val="nil"/>
            </w:tcBorders>
            <w:noWrap w:val="0"/>
            <w:vAlign w:val="center"/>
          </w:tcPr>
          <w:p>
            <w:pPr>
              <w:keepNext w:val="0"/>
              <w:keepLines w:val="0"/>
              <w:widowControl w:val="0"/>
              <w:suppressLineNumbers w:val="0"/>
              <w:adjustRightInd w:val="0"/>
              <w:snapToGrid w:val="0"/>
              <w:spacing w:before="0" w:beforeLines="0" w:beforeAutospacing="0" w:after="0" w:afterLines="0" w:afterAutospacing="0"/>
              <w:ind w:left="0" w:leftChars="0" w:right="0" w:rightChars="0"/>
              <w:jc w:val="both"/>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施工作业人员均持有三小证。</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ascii="Times New Roman" w:hAnsi="Times New Roman" w:cs="Times New Roman"/>
          <w:sz w:val="28"/>
          <w:lang w:val="en-US" w:eastAsia="zh-CN"/>
        </w:rPr>
        <w:t>评价小结：连续油管作业安全检查表共设11项检查内容，未发现不符合项。</w:t>
      </w:r>
    </w:p>
    <w:p>
      <w:pPr>
        <w:pStyle w:val="62"/>
        <w:keepNext w:val="0"/>
        <w:keepLines w:val="0"/>
        <w:pageBreakBefore w:val="0"/>
        <w:widowControl w:val="0"/>
        <w:kinsoku/>
        <w:wordWrap/>
        <w:overflowPunct w:val="0"/>
        <w:topLinePunct/>
        <w:autoSpaceDE/>
        <w:autoSpaceDN/>
        <w:bidi w:val="0"/>
        <w:adjustRightInd w:val="0"/>
        <w:snapToGrid w:val="0"/>
        <w:spacing w:line="360" w:lineRule="auto"/>
        <w:ind w:firstLine="0" w:firstLineChars="0"/>
        <w:textAlignment w:val="auto"/>
        <w:outlineLvl w:val="2"/>
        <w:rPr>
          <w:rFonts w:hint="eastAsia" w:ascii="Times New Roman" w:hAnsi="Times New Roman" w:eastAsia="黑体" w:cs="Times New Roman"/>
          <w:bCs/>
          <w:snapToGrid w:val="0"/>
          <w:kern w:val="0"/>
          <w:sz w:val="28"/>
          <w:szCs w:val="28"/>
          <w:lang w:val="en-US" w:eastAsia="zh-CN"/>
        </w:rPr>
      </w:pPr>
      <w:r>
        <w:rPr>
          <w:rFonts w:hint="eastAsia" w:ascii="Times New Roman" w:hAnsi="Times New Roman" w:eastAsia="黑体" w:cs="Times New Roman"/>
          <w:bCs/>
          <w:snapToGrid w:val="0"/>
          <w:kern w:val="0"/>
          <w:sz w:val="28"/>
          <w:szCs w:val="28"/>
          <w:lang w:val="en-US" w:eastAsia="zh-CN"/>
        </w:rPr>
        <w:t>5.1.6 防砂安全检查表</w:t>
      </w:r>
    </w:p>
    <w:p>
      <w:pPr>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both"/>
        <w:textAlignment w:val="auto"/>
        <w:rPr>
          <w:rFonts w:hint="eastAsia" w:ascii="Times New Roman" w:hAnsi="Times New Roman" w:eastAsia="宋体" w:cs="Times New Roman"/>
          <w:b w:val="0"/>
          <w:bCs/>
          <w:kern w:val="2"/>
          <w:sz w:val="28"/>
          <w:szCs w:val="28"/>
          <w:lang w:val="en-US" w:eastAsia="zh-CN" w:bidi="ar-SA"/>
        </w:rPr>
      </w:pPr>
      <w:r>
        <w:rPr>
          <w:rFonts w:hint="default" w:ascii="Times New Roman" w:hAnsi="Times New Roman" w:eastAsia="宋体" w:cs="Times New Roman"/>
          <w:b w:val="0"/>
          <w:bCs/>
          <w:kern w:val="2"/>
          <w:sz w:val="28"/>
          <w:szCs w:val="28"/>
          <w:lang w:val="en-US" w:eastAsia="zh-CN" w:bidi="ar-SA"/>
        </w:rPr>
        <w:t>本节根据《井下作业安全规程》（SY/T5727-2020）、《加固井壁和人工井壁防砂工艺作法》（</w:t>
      </w:r>
      <w:r>
        <w:rPr>
          <w:rFonts w:hint="eastAsia" w:ascii="Times New Roman" w:hAnsi="Times New Roman" w:eastAsia="宋体" w:cs="Times New Roman"/>
          <w:b w:val="0"/>
          <w:bCs/>
          <w:kern w:val="2"/>
          <w:sz w:val="28"/>
          <w:szCs w:val="28"/>
          <w:lang w:val="en-US" w:eastAsia="zh-CN" w:bidi="ar-SA"/>
        </w:rPr>
        <w:t>SY/T 5338-2021</w:t>
      </w:r>
      <w:r>
        <w:rPr>
          <w:rFonts w:hint="default" w:ascii="Times New Roman" w:hAnsi="Times New Roman" w:eastAsia="宋体" w:cs="Times New Roman"/>
          <w:b w:val="0"/>
          <w:bCs/>
          <w:kern w:val="2"/>
          <w:sz w:val="28"/>
          <w:szCs w:val="28"/>
          <w:lang w:val="en-US" w:eastAsia="zh-CN" w:bidi="ar-SA"/>
        </w:rPr>
        <w:t>）等标准，对本项目生产单元进行安全评价，具体评价过程见表5-1</w:t>
      </w:r>
      <w:r>
        <w:rPr>
          <w:rFonts w:hint="eastAsia" w:eastAsia="宋体" w:cs="Times New Roman"/>
          <w:b w:val="0"/>
          <w:bCs/>
          <w:kern w:val="2"/>
          <w:sz w:val="28"/>
          <w:szCs w:val="28"/>
          <w:lang w:val="en-US" w:eastAsia="zh-CN" w:bidi="ar-SA"/>
        </w:rPr>
        <w:t>3</w:t>
      </w:r>
      <w:r>
        <w:rPr>
          <w:rFonts w:hint="default" w:ascii="Times New Roman" w:hAnsi="Times New Roman" w:eastAsia="宋体" w:cs="Times New Roman"/>
          <w:b w:val="0"/>
          <w:bCs/>
          <w:kern w:val="2"/>
          <w:sz w:val="28"/>
          <w:szCs w:val="28"/>
          <w:lang w:val="en-US" w:eastAsia="zh-CN" w:bidi="ar-SA"/>
        </w:rPr>
        <w:t>。</w:t>
      </w:r>
    </w:p>
    <w:p>
      <w:pPr>
        <w:pStyle w:val="51"/>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lang w:val="en-US" w:eastAsia="zh-CN"/>
        </w:rPr>
      </w:pP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表5-1</w:t>
      </w:r>
      <w:r>
        <w:rPr>
          <w:rFonts w:hint="eastAsia" w:ascii="Times New Roman" w:hAnsi="Times New Roman" w:cs="Times New Roman"/>
          <w:b/>
          <w:bCs/>
          <w:color w:val="000000" w:themeColor="text1"/>
          <w:kern w:val="2"/>
          <w:sz w:val="21"/>
          <w:szCs w:val="21"/>
          <w:lang w:val="en-US" w:eastAsia="zh-CN" w:bidi="ar-SA"/>
          <w14:textFill>
            <w14:solidFill>
              <w14:schemeClr w14:val="tx1"/>
            </w14:solidFill>
          </w14:textFill>
        </w:rPr>
        <w:t>3</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 xml:space="preserve"> </w:t>
      </w: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 xml:space="preserve"> </w:t>
      </w:r>
      <w:r>
        <w:rPr>
          <w:rFonts w:hint="eastAsia" w:ascii="Times New Roman" w:hAnsi="Times New Roman" w:cs="Times New Roman"/>
          <w:b/>
          <w:bCs/>
          <w:color w:val="000000" w:themeColor="text1"/>
          <w:kern w:val="2"/>
          <w:sz w:val="21"/>
          <w:szCs w:val="21"/>
          <w:lang w:val="en-US" w:eastAsia="zh-CN" w:bidi="ar-SA"/>
          <w14:textFill>
            <w14:solidFill>
              <w14:schemeClr w14:val="tx1"/>
            </w14:solidFill>
          </w14:textFill>
        </w:rPr>
        <w:t>防砂</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作业安全检查表</w:t>
      </w:r>
    </w:p>
    <w:tbl>
      <w:tblPr>
        <w:tblStyle w:val="52"/>
        <w:tblW w:w="896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5"/>
        <w:gridCol w:w="4315"/>
        <w:gridCol w:w="1866"/>
        <w:gridCol w:w="720"/>
        <w:gridCol w:w="16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blHeader/>
          <w:jc w:val="center"/>
        </w:trPr>
        <w:tc>
          <w:tcPr>
            <w:tcW w:w="415" w:type="dxa"/>
            <w:tcBorders>
              <w:tl2br w:val="nil"/>
              <w:tr2bl w:val="nil"/>
            </w:tcBorders>
            <w:vAlign w:val="center"/>
          </w:tcPr>
          <w:p>
            <w:pPr>
              <w:keepNext w:val="0"/>
              <w:keepLines w:val="0"/>
              <w:suppressLineNumbers w:val="0"/>
              <w:tabs>
                <w:tab w:val="left" w:pos="347"/>
              </w:tabs>
              <w:adjustRightInd w:val="0"/>
              <w:snapToGrid w:val="0"/>
              <w:spacing w:before="0" w:beforeAutospacing="0" w:after="0" w:afterAutospacing="0"/>
              <w:ind w:left="0" w:right="0"/>
              <w:jc w:val="left"/>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4315" w:type="dxa"/>
            <w:tcBorders>
              <w:tl2br w:val="nil"/>
              <w:tr2bl w:val="nil"/>
            </w:tcBorders>
            <w:vAlign w:val="center"/>
          </w:tcPr>
          <w:p>
            <w:pPr>
              <w:keepNext w:val="0"/>
              <w:keepLines w:val="0"/>
              <w:suppressLineNumbers w:val="0"/>
              <w:tabs>
                <w:tab w:val="left" w:pos="347"/>
              </w:tabs>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检查项目</w:t>
            </w:r>
          </w:p>
        </w:tc>
        <w:tc>
          <w:tcPr>
            <w:tcW w:w="1866" w:type="dxa"/>
            <w:tcBorders>
              <w:tl2br w:val="nil"/>
              <w:tr2bl w:val="nil"/>
            </w:tcBorders>
            <w:vAlign w:val="center"/>
          </w:tcPr>
          <w:p>
            <w:pPr>
              <w:keepNext w:val="0"/>
              <w:keepLines w:val="0"/>
              <w:suppressLineNumbers w:val="0"/>
              <w:tabs>
                <w:tab w:val="left" w:pos="347"/>
              </w:tabs>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检查依据</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检查结果</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对于采用光油管管柱进行防砂的施工，开套管阀门，向油管内注入前置液，待套管出口返出液体并且循环的前置液量达到1.2～1.5倍油管容积后，关套管阀门试挤，试挤正常开始施工。</w:t>
            </w:r>
          </w:p>
        </w:tc>
        <w:tc>
          <w:tcPr>
            <w:tcW w:w="1866" w:type="dxa"/>
            <w:tcBorders>
              <w:tl2br w:val="nil"/>
              <w:tr2bl w:val="nil"/>
            </w:tcBorders>
            <w:vAlign w:val="center"/>
          </w:tcPr>
          <w:p>
            <w:pPr>
              <w:pStyle w:val="45"/>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SY/T5338—2021</w:t>
            </w:r>
          </w:p>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5.6.3.1</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sz w:val="21"/>
                <w:szCs w:val="21"/>
                <w:lang w:val="en-US" w:eastAsia="zh-CN"/>
              </w:rPr>
              <w:t>企业《</w:t>
            </w:r>
            <w:r>
              <w:rPr>
                <w:rFonts w:hint="eastAsia" w:ascii="Times New Roman" w:hAnsi="Times New Roman" w:eastAsia="宋体" w:cs="Times New Roman"/>
                <w:sz w:val="21"/>
                <w:szCs w:val="21"/>
              </w:rPr>
              <w:t>防砂作业操作规程</w:t>
            </w:r>
            <w:r>
              <w:rPr>
                <w:rFonts w:hint="eastAsia" w:ascii="Times New Roman" w:hAnsi="Times New Roman" w:eastAsia="宋体" w:cs="Times New Roman"/>
                <w:sz w:val="21"/>
                <w:szCs w:val="21"/>
                <w:lang w:val="en-US" w:eastAsia="zh-CN"/>
              </w:rPr>
              <w:t>》</w:t>
            </w:r>
            <w:r>
              <w:rPr>
                <w:rFonts w:hint="eastAsia" w:eastAsia="宋体" w:cs="Times New Roman"/>
                <w:sz w:val="21"/>
                <w:szCs w:val="21"/>
                <w:lang w:val="en-US" w:eastAsia="zh-CN"/>
              </w:rPr>
              <w:t>中已明确：</w:t>
            </w:r>
            <w:r>
              <w:rPr>
                <w:rFonts w:hint="eastAsia" w:ascii="Times New Roman" w:hAnsi="Times New Roman" w:eastAsia="宋体" w:cs="Times New Roman"/>
                <w:sz w:val="21"/>
                <w:szCs w:val="21"/>
              </w:rPr>
              <w:t>开套管阀门，向油管内注入前置液，待套管出口返出液体并且循环的前置液量达到1.2～1.5倍油管容积后，关套管阀门试挤，试挤正常开始施工</w:t>
            </w:r>
            <w:r>
              <w:rPr>
                <w:rFonts w:hint="eastAsia" w:cs="Times New Roman"/>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对于采用封隔器管柱进行防砂的施工，试挤正常开始施工。</w:t>
            </w:r>
          </w:p>
        </w:tc>
        <w:tc>
          <w:tcPr>
            <w:tcW w:w="1866" w:type="dxa"/>
            <w:tcBorders>
              <w:tl2br w:val="nil"/>
              <w:tr2bl w:val="nil"/>
            </w:tcBorders>
            <w:vAlign w:val="center"/>
          </w:tcPr>
          <w:p>
            <w:pPr>
              <w:pStyle w:val="45"/>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SY/T5338—2021</w:t>
            </w:r>
          </w:p>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5.6.3.2</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sz w:val="21"/>
                <w:szCs w:val="21"/>
                <w:lang w:val="en-US" w:eastAsia="zh-CN"/>
              </w:rPr>
              <w:t>企业《</w:t>
            </w:r>
            <w:r>
              <w:rPr>
                <w:rFonts w:hint="eastAsia" w:ascii="Times New Roman" w:hAnsi="Times New Roman" w:eastAsia="宋体" w:cs="Times New Roman"/>
                <w:sz w:val="21"/>
                <w:szCs w:val="21"/>
              </w:rPr>
              <w:t>防砂作业操作规程</w:t>
            </w:r>
            <w:r>
              <w:rPr>
                <w:rFonts w:hint="eastAsia" w:ascii="Times New Roman" w:hAnsi="Times New Roman" w:eastAsia="宋体" w:cs="Times New Roman"/>
                <w:sz w:val="21"/>
                <w:szCs w:val="21"/>
                <w:lang w:val="en-US" w:eastAsia="zh-CN"/>
              </w:rPr>
              <w:t>》</w:t>
            </w:r>
            <w:r>
              <w:rPr>
                <w:rFonts w:hint="eastAsia" w:eastAsia="宋体" w:cs="Times New Roman"/>
                <w:sz w:val="21"/>
                <w:szCs w:val="21"/>
                <w:lang w:val="en-US" w:eastAsia="zh-CN"/>
              </w:rPr>
              <w:t>中已明确：</w:t>
            </w:r>
            <w:r>
              <w:rPr>
                <w:rFonts w:hint="eastAsia" w:ascii="Times New Roman" w:hAnsi="Times New Roman" w:eastAsia="宋体" w:cs="Times New Roman"/>
                <w:sz w:val="21"/>
                <w:szCs w:val="21"/>
              </w:rPr>
              <w:t>对于采用封隔器管柱进行防砂的施工，试挤正常开始施工</w:t>
            </w:r>
            <w:r>
              <w:rPr>
                <w:rFonts w:hint="eastAsia" w:cs="Times New Roman"/>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用分层（段）防砂管柱分层防砂施工时，先从底部完成第一层防砂施工，然后向上逐层施工。</w:t>
            </w:r>
          </w:p>
        </w:tc>
        <w:tc>
          <w:tcPr>
            <w:tcW w:w="1866" w:type="dxa"/>
            <w:tcBorders>
              <w:tl2br w:val="nil"/>
              <w:tr2bl w:val="nil"/>
            </w:tcBorders>
            <w:vAlign w:val="center"/>
          </w:tcPr>
          <w:p>
            <w:pPr>
              <w:pStyle w:val="45"/>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SY/T5338—2021</w:t>
            </w:r>
          </w:p>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5.6.3.3</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647" w:type="dxa"/>
            <w:tcBorders>
              <w:tl2br w:val="nil"/>
              <w:tr2bl w:val="nil"/>
            </w:tcBorders>
            <w:vAlign w:val="center"/>
          </w:tcPr>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textAlignment w:val="auto"/>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sz w:val="21"/>
                <w:szCs w:val="21"/>
                <w:lang w:val="en-US" w:eastAsia="zh-CN"/>
              </w:rPr>
              <w:t>企业《</w:t>
            </w:r>
            <w:r>
              <w:rPr>
                <w:rFonts w:hint="eastAsia" w:ascii="Times New Roman" w:hAnsi="Times New Roman" w:eastAsia="宋体" w:cs="Times New Roman"/>
                <w:sz w:val="21"/>
                <w:szCs w:val="21"/>
              </w:rPr>
              <w:t>防砂作业操作规程</w:t>
            </w:r>
            <w:r>
              <w:rPr>
                <w:rFonts w:hint="eastAsia" w:ascii="Times New Roman" w:hAnsi="Times New Roman" w:eastAsia="宋体" w:cs="Times New Roman"/>
                <w:sz w:val="21"/>
                <w:szCs w:val="21"/>
                <w:lang w:val="en-US" w:eastAsia="zh-CN"/>
              </w:rPr>
              <w:t>》</w:t>
            </w:r>
            <w:r>
              <w:rPr>
                <w:rFonts w:hint="eastAsia" w:eastAsia="宋体" w:cs="Times New Roman"/>
                <w:sz w:val="21"/>
                <w:szCs w:val="21"/>
                <w:lang w:val="en-US" w:eastAsia="zh-CN"/>
              </w:rPr>
              <w:t>中已明确：</w:t>
            </w:r>
            <w:r>
              <w:rPr>
                <w:rFonts w:hint="eastAsia" w:ascii="Times New Roman" w:hAnsi="Times New Roman" w:eastAsia="宋体" w:cs="Times New Roman"/>
                <w:sz w:val="21"/>
                <w:szCs w:val="21"/>
              </w:rPr>
              <w:t>用分层（段）防砂管柱分层防砂施工时，先从底部完成第一层防砂施工，然后向上逐层施工</w:t>
            </w:r>
            <w:r>
              <w:rPr>
                <w:rFonts w:hint="eastAsia" w:cs="Times New Roman"/>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若在正常施工泵压下排量小于0.1m²/min时，应进行冲砂或洗井等疏通措施，重新试挤正常后再开始施工。</w:t>
            </w:r>
          </w:p>
        </w:tc>
        <w:tc>
          <w:tcPr>
            <w:tcW w:w="1866" w:type="dxa"/>
            <w:tcBorders>
              <w:tl2br w:val="nil"/>
              <w:tr2bl w:val="nil"/>
            </w:tcBorders>
            <w:vAlign w:val="center"/>
          </w:tcPr>
          <w:p>
            <w:pPr>
              <w:pStyle w:val="45"/>
              <w:keepNext w:val="0"/>
              <w:keepLines w:val="0"/>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SY/T5338—2021</w:t>
            </w:r>
          </w:p>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5.6.3.4</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sz w:val="21"/>
                <w:szCs w:val="21"/>
                <w:lang w:val="en-US" w:eastAsia="zh-CN"/>
              </w:rPr>
              <w:t>企业《</w:t>
            </w:r>
            <w:r>
              <w:rPr>
                <w:rFonts w:hint="eastAsia" w:ascii="Times New Roman" w:hAnsi="Times New Roman" w:eastAsia="宋体" w:cs="Times New Roman"/>
                <w:sz w:val="21"/>
                <w:szCs w:val="21"/>
              </w:rPr>
              <w:t>防砂作业操作规程</w:t>
            </w:r>
            <w:r>
              <w:rPr>
                <w:rFonts w:hint="eastAsia" w:ascii="Times New Roman" w:hAnsi="Times New Roman" w:eastAsia="宋体" w:cs="Times New Roman"/>
                <w:sz w:val="21"/>
                <w:szCs w:val="21"/>
                <w:lang w:val="en-US" w:eastAsia="zh-CN"/>
              </w:rPr>
              <w:t>》</w:t>
            </w:r>
            <w:r>
              <w:rPr>
                <w:rFonts w:hint="eastAsia" w:eastAsia="宋体" w:cs="Times New Roman"/>
                <w:sz w:val="21"/>
                <w:szCs w:val="21"/>
                <w:lang w:val="en-US" w:eastAsia="zh-CN"/>
              </w:rPr>
              <w:t>中已明确</w:t>
            </w:r>
            <w:r>
              <w:rPr>
                <w:rFonts w:hint="eastAsia"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施工用水、用罐应清洁。</w:t>
            </w:r>
          </w:p>
        </w:tc>
        <w:tc>
          <w:tcPr>
            <w:tcW w:w="1866" w:type="dxa"/>
            <w:tcBorders>
              <w:tl2br w:val="nil"/>
              <w:tr2bl w:val="nil"/>
            </w:tcBorders>
            <w:vAlign w:val="center"/>
          </w:tcPr>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SY/T5338—2021</w:t>
            </w:r>
          </w:p>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9.1</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sz w:val="21"/>
                <w:szCs w:val="21"/>
                <w:lang w:val="en-US" w:eastAsia="zh-CN"/>
              </w:rPr>
              <w:t>企业《</w:t>
            </w:r>
            <w:r>
              <w:rPr>
                <w:rFonts w:hint="eastAsia" w:ascii="Times New Roman" w:hAnsi="Times New Roman" w:eastAsia="宋体" w:cs="Times New Roman"/>
                <w:sz w:val="21"/>
                <w:szCs w:val="21"/>
              </w:rPr>
              <w:t>防砂作业操作规程</w:t>
            </w:r>
            <w:r>
              <w:rPr>
                <w:rFonts w:hint="eastAsia" w:ascii="Times New Roman" w:hAnsi="Times New Roman" w:eastAsia="宋体" w:cs="Times New Roman"/>
                <w:sz w:val="21"/>
                <w:szCs w:val="21"/>
                <w:lang w:val="en-US" w:eastAsia="zh-CN"/>
              </w:rPr>
              <w:t>》</w:t>
            </w:r>
            <w:r>
              <w:rPr>
                <w:rFonts w:hint="eastAsia" w:eastAsia="宋体" w:cs="Times New Roman"/>
                <w:sz w:val="21"/>
                <w:szCs w:val="21"/>
                <w:lang w:val="en-US" w:eastAsia="zh-CN"/>
              </w:rPr>
              <w:t>中已明确</w:t>
            </w:r>
            <w:r>
              <w:rPr>
                <w:rFonts w:hint="eastAsia"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无关人员不应进入高压区内，以确保安全。</w:t>
            </w:r>
          </w:p>
        </w:tc>
        <w:tc>
          <w:tcPr>
            <w:tcW w:w="1866" w:type="dxa"/>
            <w:tcBorders>
              <w:tl2br w:val="nil"/>
              <w:tr2bl w:val="nil"/>
            </w:tcBorders>
            <w:vAlign w:val="center"/>
          </w:tcPr>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SY/T5338—2021</w:t>
            </w:r>
          </w:p>
          <w:p>
            <w:pPr>
              <w:pStyle w:val="50"/>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pacing w:val="6"/>
                <w:w w:val="92"/>
                <w:kern w:val="24"/>
                <w:sz w:val="21"/>
                <w:szCs w:val="21"/>
                <w:lang w:val="en-US" w:eastAsia="zh-CN" w:bidi="ar-SA"/>
              </w:rPr>
            </w:pPr>
            <w:r>
              <w:rPr>
                <w:rFonts w:hint="eastAsia" w:ascii="Times New Roman" w:hAnsi="Times New Roman" w:eastAsia="宋体" w:cs="Times New Roman"/>
                <w:sz w:val="21"/>
                <w:szCs w:val="21"/>
              </w:rPr>
              <w:t>9.3</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sz w:val="21"/>
                <w:szCs w:val="21"/>
                <w:lang w:val="en-US" w:eastAsia="zh-CN"/>
              </w:rPr>
              <w:t>企业《</w:t>
            </w:r>
            <w:r>
              <w:rPr>
                <w:rFonts w:hint="eastAsia" w:ascii="Times New Roman" w:hAnsi="Times New Roman" w:eastAsia="宋体" w:cs="Times New Roman"/>
                <w:sz w:val="21"/>
                <w:szCs w:val="21"/>
              </w:rPr>
              <w:t>防砂作业操作规程</w:t>
            </w:r>
            <w:r>
              <w:rPr>
                <w:rFonts w:hint="eastAsia" w:ascii="Times New Roman" w:hAnsi="Times New Roman" w:eastAsia="宋体" w:cs="Times New Roman"/>
                <w:sz w:val="21"/>
                <w:szCs w:val="21"/>
                <w:lang w:val="en-US" w:eastAsia="zh-CN"/>
              </w:rPr>
              <w:t>》中已明确：</w:t>
            </w:r>
            <w:r>
              <w:rPr>
                <w:rFonts w:hint="eastAsia" w:ascii="Times New Roman" w:hAnsi="Times New Roman" w:eastAsia="宋体" w:cs="Times New Roman"/>
                <w:sz w:val="21"/>
                <w:szCs w:val="21"/>
              </w:rPr>
              <w:t>下井管柱应清洁干净、丈量准确。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rPr>
              <w:t>施工人员应穿戴劳保用品，分工明确，服从统一指挥，非施工人员不应进入施工现场。</w:t>
            </w:r>
          </w:p>
        </w:tc>
        <w:tc>
          <w:tcPr>
            <w:tcW w:w="1866" w:type="dxa"/>
            <w:tcBorders>
              <w:tl2br w:val="nil"/>
              <w:tr2bl w:val="nil"/>
            </w:tcBorders>
            <w:vAlign w:val="center"/>
          </w:tcPr>
          <w:p>
            <w:pPr>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ind w:left="0" w:right="0"/>
              <w:jc w:val="center"/>
              <w:textAlignment w:val="auto"/>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SY/T5338—2021</w:t>
            </w:r>
          </w:p>
          <w:p>
            <w:pPr>
              <w:pStyle w:val="50"/>
              <w:keepNext w:val="0"/>
              <w:keepLines w:val="0"/>
              <w:pageBreakBefore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宋体" w:cs="Times New Roman"/>
                <w:spacing w:val="6"/>
                <w:w w:val="92"/>
                <w:kern w:val="24"/>
                <w:sz w:val="21"/>
                <w:szCs w:val="21"/>
                <w:lang w:val="en-US" w:eastAsia="zh-CN" w:bidi="ar-SA"/>
              </w:rPr>
            </w:pPr>
            <w:r>
              <w:rPr>
                <w:rFonts w:hint="eastAsia" w:ascii="Times New Roman" w:hAnsi="Times New Roman" w:eastAsia="宋体" w:cs="Times New Roman"/>
                <w:sz w:val="21"/>
                <w:szCs w:val="21"/>
              </w:rPr>
              <w:t>9.4</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sz w:val="21"/>
                <w:szCs w:val="21"/>
                <w:lang w:val="en-US" w:eastAsia="zh-CN"/>
              </w:rPr>
              <w:t>企业《</w:t>
            </w:r>
            <w:r>
              <w:rPr>
                <w:rFonts w:hint="eastAsia" w:ascii="Times New Roman" w:hAnsi="Times New Roman" w:eastAsia="宋体" w:cs="Times New Roman"/>
                <w:sz w:val="21"/>
                <w:szCs w:val="21"/>
              </w:rPr>
              <w:t>防砂作业操作规程</w:t>
            </w:r>
            <w:r>
              <w:rPr>
                <w:rFonts w:hint="eastAsia" w:ascii="Times New Roman" w:hAnsi="Times New Roman" w:eastAsia="宋体" w:cs="Times New Roman"/>
                <w:sz w:val="21"/>
                <w:szCs w:val="21"/>
                <w:lang w:val="en-US" w:eastAsia="zh-CN"/>
              </w:rPr>
              <w:t>》</w:t>
            </w:r>
            <w:r>
              <w:rPr>
                <w:rFonts w:hint="eastAsia" w:eastAsia="宋体" w:cs="Times New Roman"/>
                <w:sz w:val="21"/>
                <w:szCs w:val="21"/>
                <w:lang w:val="en-US" w:eastAsia="zh-CN"/>
              </w:rPr>
              <w:t>中已明确</w:t>
            </w:r>
            <w:r>
              <w:rPr>
                <w:rFonts w:hint="eastAsia"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 xml:space="preserve">施工中进出井场的车辆排气管应安装阻火器。施工井场地面裸露的油、气管线及电缆，应采取防止车辆碾压的保护措施。 </w:t>
            </w:r>
          </w:p>
        </w:tc>
        <w:tc>
          <w:tcPr>
            <w:tcW w:w="1866"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SY/T5225-2019</w:t>
            </w:r>
          </w:p>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4.1.4</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车辆排气管安装有阻火器。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施工作业人员应经相应的岗位技能培训，培训合格方可上岗。</w:t>
            </w:r>
          </w:p>
        </w:tc>
        <w:tc>
          <w:tcPr>
            <w:tcW w:w="1866"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4.1.1</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现场作业人员持“三小证”上岗。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个人防护用具、气体监测仪器的配备、使用操作、应急抢险和紧急疏散应符合SY/T 6610-2017中第5章、第6章、第7章的规定。</w:t>
            </w:r>
          </w:p>
        </w:tc>
        <w:tc>
          <w:tcPr>
            <w:tcW w:w="1866"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4.6.3</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配备有便携式气体检测仪、空气呼吸器等设备设施，并经检测合格。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suppressLineNumbers w:val="0"/>
              <w:overflowPunct w:val="0"/>
              <w:adjustRightInd w:val="0"/>
              <w:snapToGrid w:val="0"/>
              <w:spacing w:before="0" w:beforeAutospacing="0" w:after="0" w:afterAutospacing="0"/>
              <w:ind w:left="0" w:right="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空气呼吸器应每年检验一次；气瓶应每三年检验一次，其安全使用年限不得超过15年。</w:t>
            </w:r>
          </w:p>
        </w:tc>
        <w:tc>
          <w:tcPr>
            <w:tcW w:w="1866" w:type="dxa"/>
            <w:tcBorders>
              <w:tl2br w:val="nil"/>
              <w:tr2bl w:val="nil"/>
            </w:tcBorders>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SY/T6277-2017</w:t>
            </w:r>
          </w:p>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5.1.6.1</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经定期检测合格。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suppressLineNumbers w:val="0"/>
              <w:overflowPunct w:val="0"/>
              <w:adjustRightInd w:val="0"/>
              <w:snapToGrid w:val="0"/>
              <w:spacing w:before="0" w:beforeAutospacing="0" w:after="0" w:afterAutospacing="0"/>
              <w:ind w:left="0" w:right="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便携式硫化氢气体检测仪每年至少检验一次。</w:t>
            </w:r>
          </w:p>
        </w:tc>
        <w:tc>
          <w:tcPr>
            <w:tcW w:w="1866" w:type="dxa"/>
            <w:tcBorders>
              <w:tl2br w:val="nil"/>
              <w:tr2bl w:val="nil"/>
            </w:tcBorders>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SY/T6277-2017</w:t>
            </w:r>
          </w:p>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5.2.6</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经定期检测合格。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5" w:type="dxa"/>
            <w:tcBorders>
              <w:tl2br w:val="nil"/>
              <w:tr2bl w:val="nil"/>
            </w:tcBorders>
            <w:vAlign w:val="center"/>
          </w:tcPr>
          <w:p>
            <w:pPr>
              <w:keepNext w:val="0"/>
              <w:keepLines w:val="0"/>
              <w:pageBreakBefore w:val="0"/>
              <w:widowControl w:val="0"/>
              <w:numPr>
                <w:ilvl w:val="0"/>
                <w:numId w:val="38"/>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kern w:val="2"/>
                <w:sz w:val="21"/>
                <w:szCs w:val="21"/>
                <w:lang w:val="en-US" w:eastAsia="zh-CN" w:bidi="ar-SA"/>
              </w:rPr>
            </w:pPr>
          </w:p>
        </w:tc>
        <w:tc>
          <w:tcPr>
            <w:tcW w:w="4315" w:type="dxa"/>
            <w:tcBorders>
              <w:tl2br w:val="nil"/>
              <w:tr2bl w:val="nil"/>
            </w:tcBorders>
            <w:vAlign w:val="center"/>
          </w:tcPr>
          <w:p>
            <w:pPr>
              <w:keepNext w:val="0"/>
              <w:keepLines w:val="0"/>
              <w:suppressLineNumbers w:val="0"/>
              <w:overflowPunct w:val="0"/>
              <w:adjustRightInd w:val="0"/>
              <w:snapToGrid w:val="0"/>
              <w:spacing w:before="0" w:beforeAutospacing="0" w:after="0" w:afterAutospacing="0"/>
              <w:ind w:left="0" w:right="0"/>
              <w:jc w:val="left"/>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压力表的检定和维护应当符合国家计量部门的有关规定，压力表安装前应当进行检定，在刻度盘上应当划出指示工作压力的红线，注明下次检定日期。压力表检定后应当加铅封。</w:t>
            </w:r>
          </w:p>
        </w:tc>
        <w:tc>
          <w:tcPr>
            <w:tcW w:w="1866" w:type="dxa"/>
            <w:tcBorders>
              <w:tl2br w:val="nil"/>
              <w:tr2bl w:val="nil"/>
            </w:tcBorders>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TSG21-2016</w:t>
            </w:r>
          </w:p>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9.2.1.2</w:t>
            </w:r>
          </w:p>
        </w:tc>
        <w:tc>
          <w:tcPr>
            <w:tcW w:w="720"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1647"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定期检测</w:t>
            </w:r>
            <w:r>
              <w:rPr>
                <w:rFonts w:hint="default" w:ascii="Times New Roman" w:hAnsi="Times New Roman" w:cs="Times New Roman"/>
                <w:color w:val="000000" w:themeColor="text1"/>
                <w:kern w:val="0"/>
                <w:szCs w:val="21"/>
                <w14:textFill>
                  <w14:solidFill>
                    <w14:schemeClr w14:val="tx1"/>
                  </w14:solidFill>
                </w14:textFill>
              </w:rPr>
              <w:t>。</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ascii="Times New Roman" w:hAnsi="Times New Roman" w:cs="Times New Roman"/>
          <w:sz w:val="28"/>
          <w:lang w:val="en-US" w:eastAsia="zh-CN"/>
        </w:rPr>
        <w:t>评价小结：</w:t>
      </w:r>
      <w:r>
        <w:rPr>
          <w:rFonts w:hint="eastAsia" w:cs="Times New Roman"/>
          <w:sz w:val="28"/>
          <w:lang w:val="en-US" w:eastAsia="zh-CN"/>
        </w:rPr>
        <w:t>防砂</w:t>
      </w:r>
      <w:r>
        <w:rPr>
          <w:rFonts w:hint="eastAsia" w:ascii="Times New Roman" w:hAnsi="Times New Roman" w:cs="Times New Roman"/>
          <w:sz w:val="28"/>
          <w:lang w:val="en-US" w:eastAsia="zh-CN"/>
        </w:rPr>
        <w:t>安全检查表共设</w:t>
      </w:r>
      <w:r>
        <w:rPr>
          <w:rFonts w:hint="eastAsia" w:cs="Times New Roman"/>
          <w:sz w:val="28"/>
          <w:lang w:val="en-US" w:eastAsia="zh-CN"/>
        </w:rPr>
        <w:t>13</w:t>
      </w:r>
      <w:r>
        <w:rPr>
          <w:rFonts w:hint="eastAsia" w:ascii="Times New Roman" w:hAnsi="Times New Roman" w:cs="Times New Roman"/>
          <w:sz w:val="28"/>
          <w:lang w:val="en-US" w:eastAsia="zh-CN"/>
        </w:rPr>
        <w:t>项检查内容，未发现不符合项。</w:t>
      </w:r>
    </w:p>
    <w:p>
      <w:pPr>
        <w:pStyle w:val="62"/>
        <w:keepNext w:val="0"/>
        <w:keepLines w:val="0"/>
        <w:pageBreakBefore w:val="0"/>
        <w:widowControl w:val="0"/>
        <w:kinsoku/>
        <w:wordWrap/>
        <w:overflowPunct w:val="0"/>
        <w:topLinePunct/>
        <w:autoSpaceDE/>
        <w:autoSpaceDN/>
        <w:bidi w:val="0"/>
        <w:adjustRightInd w:val="0"/>
        <w:snapToGrid w:val="0"/>
        <w:spacing w:line="360" w:lineRule="auto"/>
        <w:ind w:firstLine="0" w:firstLineChars="0"/>
        <w:textAlignment w:val="auto"/>
        <w:outlineLvl w:val="2"/>
        <w:rPr>
          <w:rFonts w:hint="eastAsia" w:ascii="Times New Roman" w:hAnsi="Times New Roman" w:eastAsia="黑体" w:cs="Times New Roman"/>
          <w:bCs/>
          <w:snapToGrid w:val="0"/>
          <w:kern w:val="0"/>
          <w:sz w:val="28"/>
          <w:szCs w:val="28"/>
          <w:lang w:val="en-US" w:eastAsia="zh-CN"/>
        </w:rPr>
      </w:pPr>
      <w:r>
        <w:rPr>
          <w:rFonts w:hint="eastAsia" w:ascii="Times New Roman" w:hAnsi="Times New Roman" w:eastAsia="黑体" w:cs="Times New Roman"/>
          <w:bCs/>
          <w:snapToGrid w:val="0"/>
          <w:kern w:val="0"/>
          <w:sz w:val="28"/>
          <w:szCs w:val="28"/>
          <w:lang w:val="en-US" w:eastAsia="zh-CN"/>
        </w:rPr>
        <w:t>5.1.7 套管补贴安全检查表</w:t>
      </w:r>
    </w:p>
    <w:p>
      <w:pPr>
        <w:keepNext w:val="0"/>
        <w:keepLines w:val="0"/>
        <w:pageBreakBefore w:val="0"/>
        <w:widowControl/>
        <w:kinsoku/>
        <w:wordWrap/>
        <w:overflowPunct/>
        <w:topLinePunct w:val="0"/>
        <w:autoSpaceDE/>
        <w:autoSpaceDN/>
        <w:bidi w:val="0"/>
        <w:adjustRightInd w:val="0"/>
        <w:snapToGrid w:val="0"/>
        <w:spacing w:after="0" w:line="360" w:lineRule="auto"/>
        <w:ind w:firstLine="560" w:firstLineChars="200"/>
        <w:jc w:val="left"/>
        <w:textAlignment w:val="auto"/>
        <w:rPr>
          <w:rFonts w:hint="eastAsia" w:cs="Times New Roman"/>
          <w:b w:val="0"/>
          <w:bCs/>
          <w:kern w:val="2"/>
          <w:sz w:val="28"/>
          <w:szCs w:val="28"/>
          <w:lang w:val="en-US" w:eastAsia="zh-CN" w:bidi="ar-SA"/>
        </w:rPr>
      </w:pPr>
      <w:r>
        <w:rPr>
          <w:rFonts w:hint="default" w:ascii="Times New Roman" w:hAnsi="Times New Roman" w:eastAsia="宋体" w:cs="Times New Roman"/>
          <w:b w:val="0"/>
          <w:bCs/>
          <w:kern w:val="2"/>
          <w:sz w:val="28"/>
          <w:szCs w:val="28"/>
          <w:lang w:val="en-US" w:eastAsia="zh-CN" w:bidi="ar-SA"/>
        </w:rPr>
        <w:t>本节根据《井下作业安全规程》（SY/T5727-2020）、《套管补贴工艺作法》（</w:t>
      </w:r>
      <w:r>
        <w:rPr>
          <w:rFonts w:hint="eastAsia" w:ascii="Times New Roman" w:hAnsi="Times New Roman" w:eastAsia="宋体" w:cs="Times New Roman"/>
          <w:b w:val="0"/>
          <w:bCs/>
          <w:kern w:val="2"/>
          <w:sz w:val="28"/>
          <w:szCs w:val="28"/>
          <w:lang w:val="en-US" w:eastAsia="zh-CN" w:bidi="ar-SA"/>
        </w:rPr>
        <w:t>SY/T 5846-2020</w:t>
      </w:r>
      <w:r>
        <w:rPr>
          <w:rFonts w:hint="default" w:ascii="Times New Roman" w:hAnsi="Times New Roman" w:eastAsia="宋体" w:cs="Times New Roman"/>
          <w:b w:val="0"/>
          <w:bCs/>
          <w:kern w:val="2"/>
          <w:sz w:val="28"/>
          <w:szCs w:val="28"/>
          <w:lang w:val="en-US" w:eastAsia="zh-CN" w:bidi="ar-SA"/>
        </w:rPr>
        <w:t>）等标准，对本项目生产单元进行安全评价，具体评价过程见表5-1</w:t>
      </w:r>
      <w:r>
        <w:rPr>
          <w:rFonts w:hint="eastAsia" w:cs="Times New Roman"/>
          <w:b w:val="0"/>
          <w:bCs/>
          <w:kern w:val="2"/>
          <w:sz w:val="28"/>
          <w:szCs w:val="28"/>
          <w:lang w:val="en-US" w:eastAsia="zh-CN" w:bidi="ar-SA"/>
        </w:rPr>
        <w:t>4。</w:t>
      </w:r>
    </w:p>
    <w:p>
      <w:pPr>
        <w:pStyle w:val="51"/>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sz w:val="21"/>
          <w:szCs w:val="21"/>
          <w:lang w:val="en-US" w:eastAsia="zh-CN"/>
        </w:rPr>
      </w:pP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表5-1</w:t>
      </w:r>
      <w:r>
        <w:rPr>
          <w:rFonts w:hint="eastAsia" w:ascii="Times New Roman" w:hAnsi="Times New Roman" w:cs="Times New Roman"/>
          <w:b/>
          <w:bCs/>
          <w:color w:val="000000" w:themeColor="text1"/>
          <w:kern w:val="2"/>
          <w:sz w:val="21"/>
          <w:szCs w:val="21"/>
          <w:lang w:val="en-US" w:eastAsia="zh-CN" w:bidi="ar-SA"/>
          <w14:textFill>
            <w14:solidFill>
              <w14:schemeClr w14:val="tx1"/>
            </w14:solidFill>
          </w14:textFill>
        </w:rPr>
        <w:t>4</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 xml:space="preserve"> </w:t>
      </w: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 xml:space="preserve"> </w:t>
      </w:r>
      <w:r>
        <w:rPr>
          <w:rFonts w:hint="eastAsia" w:ascii="Times New Roman" w:hAnsi="Times New Roman" w:cs="Times New Roman"/>
          <w:b/>
          <w:bCs/>
          <w:color w:val="000000" w:themeColor="text1"/>
          <w:kern w:val="2"/>
          <w:sz w:val="21"/>
          <w:szCs w:val="21"/>
          <w:lang w:val="en-US" w:eastAsia="zh-CN" w:bidi="ar-SA"/>
          <w14:textFill>
            <w14:solidFill>
              <w14:schemeClr w14:val="tx1"/>
            </w14:solidFill>
          </w14:textFill>
        </w:rPr>
        <w:t>套管补贴</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作业安全检查表</w:t>
      </w:r>
    </w:p>
    <w:tbl>
      <w:tblPr>
        <w:tblStyle w:val="52"/>
        <w:tblW w:w="896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5"/>
        <w:gridCol w:w="3485"/>
        <w:gridCol w:w="1650"/>
        <w:gridCol w:w="705"/>
        <w:gridCol w:w="263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85" w:type="dxa"/>
            <w:tcBorders>
              <w:tl2br w:val="nil"/>
              <w:tr2bl w:val="nil"/>
            </w:tcBorders>
            <w:vAlign w:val="center"/>
          </w:tcPr>
          <w:p>
            <w:pPr>
              <w:keepNext w:val="0"/>
              <w:keepLines w:val="0"/>
              <w:suppressLineNumbers w:val="0"/>
              <w:tabs>
                <w:tab w:val="left" w:pos="347"/>
              </w:tabs>
              <w:adjustRightInd w:val="0"/>
              <w:snapToGrid w:val="0"/>
              <w:spacing w:before="0" w:beforeAutospacing="0" w:after="0" w:afterAutospacing="0"/>
              <w:ind w:left="0" w:right="0"/>
              <w:jc w:val="left"/>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3485" w:type="dxa"/>
            <w:tcBorders>
              <w:tl2br w:val="nil"/>
              <w:tr2bl w:val="nil"/>
            </w:tcBorders>
            <w:vAlign w:val="center"/>
          </w:tcPr>
          <w:p>
            <w:pPr>
              <w:keepNext w:val="0"/>
              <w:keepLines w:val="0"/>
              <w:suppressLineNumbers w:val="0"/>
              <w:tabs>
                <w:tab w:val="left" w:pos="347"/>
              </w:tabs>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检查项目</w:t>
            </w:r>
          </w:p>
        </w:tc>
        <w:tc>
          <w:tcPr>
            <w:tcW w:w="1650" w:type="dxa"/>
            <w:tcBorders>
              <w:tl2br w:val="nil"/>
              <w:tr2bl w:val="nil"/>
            </w:tcBorders>
            <w:vAlign w:val="center"/>
          </w:tcPr>
          <w:p>
            <w:pPr>
              <w:keepNext w:val="0"/>
              <w:keepLines w:val="0"/>
              <w:suppressLineNumbers w:val="0"/>
              <w:tabs>
                <w:tab w:val="left" w:pos="347"/>
              </w:tabs>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检查依据</w:t>
            </w:r>
          </w:p>
        </w:tc>
        <w:tc>
          <w:tcPr>
            <w:tcW w:w="705"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检查结果</w:t>
            </w:r>
          </w:p>
        </w:tc>
        <w:tc>
          <w:tcPr>
            <w:tcW w:w="2638" w:type="dxa"/>
            <w:tcBorders>
              <w:tl2br w:val="nil"/>
              <w:tr2bl w:val="nil"/>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b/>
                <w:color w:val="000000" w:themeColor="text1"/>
                <w:szCs w:val="21"/>
                <w14:textFill>
                  <w14:solidFill>
                    <w14:schemeClr w14:val="tx1"/>
                  </w14:solidFill>
                </w14:textFill>
              </w:rPr>
              <w:t>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39"/>
              </w:numPr>
              <w:suppressLineNumbers w:val="0"/>
              <w:spacing w:before="0" w:beforeLines="0" w:beforeAutospacing="0" w:after="0" w:afterLines="0" w:afterAutospacing="0"/>
              <w:ind w:right="0"/>
              <w:rPr>
                <w:rFonts w:hint="default" w:ascii="Times New Roman" w:hAnsi="Times New Roman" w:eastAsia="宋体" w:cs="Times New Roman"/>
                <w:b/>
                <w:color w:val="000000"/>
                <w:sz w:val="21"/>
                <w:szCs w:val="21"/>
              </w:rPr>
            </w:pPr>
          </w:p>
        </w:tc>
        <w:tc>
          <w:tcPr>
            <w:tcW w:w="3485" w:type="dxa"/>
            <w:tcBorders>
              <w:tl2br w:val="nil"/>
              <w:tr2bl w:val="nil"/>
            </w:tcBorders>
            <w:noWrap w:val="0"/>
            <w:vAlign w:val="center"/>
          </w:tcPr>
          <w:p>
            <w:pPr>
              <w:keepNext w:val="0"/>
              <w:keepLines w:val="0"/>
              <w:numPr>
                <w:ilvl w:val="0"/>
                <w:numId w:val="0"/>
              </w:numPr>
              <w:suppressLineNumbers w:val="0"/>
              <w:tabs>
                <w:tab w:val="left" w:pos="347"/>
              </w:tabs>
              <w:adjustRightInd w:val="0"/>
              <w:snapToGrid w:val="0"/>
              <w:spacing w:before="62" w:beforeLines="20" w:beforeAutospacing="0" w:after="62" w:afterLines="20" w:afterAutospacing="0"/>
              <w:ind w:left="0" w:right="0"/>
              <w:jc w:val="left"/>
              <w:rPr>
                <w:rFonts w:hint="eastAsia" w:ascii="Times New Roman" w:hAnsi="Times New Roman" w:eastAsia="宋体" w:cs="Times New Roman"/>
                <w:b/>
                <w:color w:val="000000"/>
                <w:sz w:val="21"/>
                <w:szCs w:val="21"/>
                <w:lang w:val="en-US" w:eastAsia="zh-CN"/>
              </w:rPr>
            </w:pPr>
            <w:r>
              <w:rPr>
                <w:rFonts w:hint="eastAsia" w:ascii="Times New Roman" w:hAnsi="Times New Roman" w:eastAsia="宋体" w:cs="Times New Roman"/>
                <w:color w:val="000000"/>
                <w:sz w:val="21"/>
                <w:szCs w:val="21"/>
                <w:lang w:val="en-US" w:eastAsia="zh-CN"/>
              </w:rPr>
              <w:t>工作液性能应满足作业需要，对储层无伤害。</w:t>
            </w:r>
          </w:p>
        </w:tc>
        <w:tc>
          <w:tcPr>
            <w:tcW w:w="1650" w:type="dxa"/>
            <w:tcBorders>
              <w:tl2br w:val="nil"/>
              <w:tr2bl w:val="nil"/>
            </w:tcBorders>
            <w:noWrap w:val="0"/>
            <w:vAlign w:val="center"/>
          </w:tcPr>
          <w:p>
            <w:pPr>
              <w:keepNext w:val="0"/>
              <w:keepLines w:val="0"/>
              <w:numPr>
                <w:ilvl w:val="0"/>
                <w:numId w:val="0"/>
              </w:numPr>
              <w:suppressLineNumbers w:val="0"/>
              <w:tabs>
                <w:tab w:val="left" w:pos="347"/>
              </w:tabs>
              <w:adjustRightInd w:val="0"/>
              <w:snapToGrid w:val="0"/>
              <w:spacing w:before="62" w:beforeLines="20" w:beforeAutospacing="0" w:after="62" w:afterLines="20" w:afterAutospacing="0"/>
              <w:ind w:left="0" w:right="0"/>
              <w:jc w:val="center"/>
              <w:rPr>
                <w:rFonts w:hint="eastAsia"/>
                <w:lang w:eastAsia="zh-CN"/>
              </w:rPr>
            </w:pPr>
            <w:r>
              <w:rPr>
                <w:rFonts w:hint="eastAsia"/>
                <w:lang w:eastAsia="zh-CN"/>
              </w:rPr>
              <w:t>SY/T5846-2020</w:t>
            </w:r>
          </w:p>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jc w:val="center"/>
              <w:textAlignment w:val="auto"/>
              <w:rPr>
                <w:rFonts w:hint="default" w:eastAsia="宋体"/>
                <w:lang w:val="en-US" w:eastAsia="zh-CN"/>
              </w:rPr>
            </w:pPr>
            <w:r>
              <w:rPr>
                <w:rFonts w:hint="eastAsia" w:ascii="Times New Roman" w:hAnsi="Times New Roman" w:eastAsia="宋体" w:cs="Times New Roman"/>
                <w:spacing w:val="0"/>
                <w:w w:val="100"/>
                <w:kern w:val="2"/>
                <w:sz w:val="21"/>
                <w:szCs w:val="24"/>
                <w:lang w:val="en-US" w:eastAsia="zh-CN" w:bidi="ar-SA"/>
              </w:rPr>
              <w:t>8.1.1</w:t>
            </w:r>
          </w:p>
        </w:tc>
        <w:tc>
          <w:tcPr>
            <w:tcW w:w="705" w:type="dxa"/>
            <w:tcBorders>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color w:val="000000"/>
                <w:sz w:val="21"/>
                <w:szCs w:val="21"/>
              </w:rPr>
            </w:pPr>
            <w:r>
              <w:rPr>
                <w:rFonts w:hint="default" w:ascii="Times New Roman" w:hAnsi="Times New Roman" w:eastAsia="宋体" w:cs="Times New Roman"/>
                <w:color w:val="000000"/>
                <w:sz w:val="21"/>
                <w:szCs w:val="24"/>
              </w:rPr>
              <w:t>√</w:t>
            </w:r>
          </w:p>
        </w:tc>
        <w:tc>
          <w:tcPr>
            <w:tcW w:w="2638" w:type="dxa"/>
            <w:tcBorders>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ascii="Times New Roman" w:hAnsi="Times New Roman" w:eastAsia="宋体" w:cs="Times New Roman"/>
                <w:b/>
                <w:color w:val="000000"/>
                <w:sz w:val="21"/>
                <w:szCs w:val="21"/>
                <w:lang w:val="en-US" w:eastAsia="zh-CN"/>
              </w:rPr>
            </w:pPr>
            <w:r>
              <w:rPr>
                <w:rFonts w:hint="default" w:ascii="Times New Roman" w:hAnsi="Times New Roman" w:eastAsia="宋体" w:cs="Times New Roman"/>
                <w:color w:val="000000"/>
                <w:sz w:val="21"/>
                <w:szCs w:val="21"/>
              </w:rPr>
              <w:t>套管补贴操作规程</w:t>
            </w:r>
            <w:r>
              <w:rPr>
                <w:rFonts w:hint="eastAsia" w:cs="Times New Roman"/>
                <w:color w:val="000000"/>
                <w:sz w:val="21"/>
                <w:szCs w:val="21"/>
                <w:lang w:val="en-US" w:eastAsia="zh-CN"/>
              </w:rPr>
              <w:t>中规定：工作液性能满足</w:t>
            </w:r>
            <w:r>
              <w:rPr>
                <w:rFonts w:hint="eastAsia" w:ascii="Times New Roman" w:hAnsi="Times New Roman" w:eastAsia="宋体" w:cs="Times New Roman"/>
                <w:color w:val="000000"/>
                <w:sz w:val="21"/>
                <w:szCs w:val="21"/>
                <w:lang w:val="en-US" w:eastAsia="zh-CN"/>
              </w:rPr>
              <w:t>作业需要</w:t>
            </w:r>
            <w:r>
              <w:rPr>
                <w:rFonts w:hint="eastAsia" w:cs="Times New Roman"/>
                <w:color w:val="000000"/>
                <w:sz w:val="21"/>
                <w:szCs w:val="21"/>
                <w:lang w:val="en-US" w:eastAsia="zh-CN"/>
              </w:rPr>
              <w:t>，对储层、补贴工具无腐蚀。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39"/>
              </w:numPr>
              <w:suppressLineNumbers w:val="0"/>
              <w:spacing w:before="0" w:beforeLines="0" w:beforeAutospacing="0" w:after="0" w:afterLines="0" w:afterAutospacing="0"/>
              <w:ind w:right="0"/>
              <w:rPr>
                <w:rFonts w:hint="default" w:ascii="Times New Roman" w:hAnsi="Times New Roman" w:eastAsia="宋体" w:cs="Times New Roman"/>
                <w:sz w:val="21"/>
                <w:szCs w:val="24"/>
              </w:rPr>
            </w:pPr>
          </w:p>
        </w:tc>
        <w:tc>
          <w:tcPr>
            <w:tcW w:w="3485"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模拟通井规外径应不小于补贴管总成最大外径，长度大于补贴管总成单段长度。</w:t>
            </w:r>
          </w:p>
        </w:tc>
        <w:tc>
          <w:tcPr>
            <w:tcW w:w="165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SY/T5846-2020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lang w:val="en-US"/>
              </w:rPr>
            </w:pPr>
            <w:r>
              <w:rPr>
                <w:rFonts w:hint="default" w:ascii="Times New Roman" w:hAnsi="Times New Roman" w:eastAsia="宋体" w:cs="Times New Roman"/>
                <w:color w:val="000000"/>
                <w:sz w:val="21"/>
                <w:szCs w:val="21"/>
                <w:lang w:val="en-US" w:eastAsia="zh-CN"/>
              </w:rPr>
              <w:t>8.1.</w:t>
            </w:r>
            <w:r>
              <w:rPr>
                <w:rFonts w:hint="eastAsia" w:ascii="Times New Roman" w:hAnsi="Times New Roman" w:eastAsia="宋体" w:cs="Times New Roman"/>
                <w:color w:val="000000"/>
                <w:sz w:val="21"/>
                <w:szCs w:val="21"/>
                <w:lang w:val="en-US" w:eastAsia="zh-CN"/>
              </w:rPr>
              <w:t>3</w:t>
            </w:r>
          </w:p>
        </w:tc>
        <w:tc>
          <w:tcPr>
            <w:tcW w:w="705"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sz w:val="21"/>
                <w:szCs w:val="24"/>
              </w:rPr>
              <w:t>√</w:t>
            </w:r>
          </w:p>
        </w:tc>
        <w:tc>
          <w:tcPr>
            <w:tcW w:w="2638"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套管补贴操作规程</w:t>
            </w:r>
            <w:r>
              <w:rPr>
                <w:rFonts w:hint="default" w:ascii="Times New Roman" w:hAnsi="Times New Roman" w:eastAsia="宋体" w:cs="Times New Roman"/>
                <w:color w:val="000000"/>
                <w:sz w:val="21"/>
                <w:szCs w:val="21"/>
                <w:lang w:val="en-US" w:eastAsia="zh-CN"/>
              </w:rPr>
              <w:t>中规定：</w:t>
            </w:r>
            <w:r>
              <w:rPr>
                <w:rFonts w:hint="default" w:ascii="Times New Roman" w:hAnsi="Times New Roman" w:eastAsia="宋体" w:cs="Times New Roman"/>
                <w:color w:val="000000"/>
                <w:sz w:val="21"/>
                <w:szCs w:val="21"/>
              </w:rPr>
              <w:t>通井规外径应大于或等于补贴工具外径，但最大不超过2mm，通井规长度应超过补贴工具长度100-200mm。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39"/>
              </w:numPr>
              <w:suppressLineNumbers w:val="0"/>
              <w:spacing w:before="0" w:beforeLines="0" w:beforeAutospacing="0" w:after="0" w:afterLines="0" w:afterAutospacing="0"/>
              <w:ind w:right="0"/>
              <w:rPr>
                <w:rFonts w:hint="default" w:ascii="Times New Roman" w:hAnsi="Times New Roman" w:eastAsia="宋体" w:cs="Times New Roman"/>
                <w:sz w:val="21"/>
                <w:szCs w:val="24"/>
              </w:rPr>
            </w:pPr>
          </w:p>
        </w:tc>
        <w:tc>
          <w:tcPr>
            <w:tcW w:w="3485"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4"/>
              </w:rPr>
              <w:t>套管刮削器刀片自由伸出外径应大于套管内径4mm ~ 6mm</w:t>
            </w:r>
            <w:r>
              <w:rPr>
                <w:rFonts w:hint="eastAsia" w:cs="Times New Roman"/>
                <w:sz w:val="21"/>
                <w:szCs w:val="24"/>
                <w:lang w:eastAsia="zh-CN"/>
              </w:rPr>
              <w:t>，</w:t>
            </w:r>
            <w:r>
              <w:rPr>
                <w:rFonts w:hint="default" w:ascii="Times New Roman" w:hAnsi="Times New Roman" w:eastAsia="宋体" w:cs="Times New Roman"/>
                <w:sz w:val="21"/>
                <w:szCs w:val="24"/>
              </w:rPr>
              <w:t>其刀片刀刃规整、无缺口。</w:t>
            </w:r>
          </w:p>
        </w:tc>
        <w:tc>
          <w:tcPr>
            <w:tcW w:w="165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SY/T5846-2020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8.1.</w:t>
            </w:r>
            <w:r>
              <w:rPr>
                <w:rFonts w:hint="eastAsia" w:ascii="Times New Roman" w:hAnsi="Times New Roman" w:eastAsia="宋体" w:cs="Times New Roman"/>
                <w:color w:val="000000"/>
                <w:sz w:val="21"/>
                <w:szCs w:val="21"/>
                <w:lang w:val="en-US" w:eastAsia="zh-CN"/>
              </w:rPr>
              <w:t>3</w:t>
            </w:r>
          </w:p>
        </w:tc>
        <w:tc>
          <w:tcPr>
            <w:tcW w:w="705"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sz w:val="21"/>
                <w:szCs w:val="24"/>
              </w:rPr>
              <w:t>√</w:t>
            </w:r>
          </w:p>
        </w:tc>
        <w:tc>
          <w:tcPr>
            <w:tcW w:w="2638"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套管补贴操作规程</w:t>
            </w:r>
            <w:r>
              <w:rPr>
                <w:rFonts w:hint="default" w:ascii="Times New Roman" w:hAnsi="Times New Roman" w:eastAsia="宋体" w:cs="Times New Roman"/>
                <w:color w:val="000000"/>
                <w:sz w:val="21"/>
                <w:szCs w:val="21"/>
                <w:lang w:val="en-US" w:eastAsia="zh-CN"/>
              </w:rPr>
              <w:t>中规定：</w:t>
            </w:r>
            <w:r>
              <w:rPr>
                <w:rFonts w:hint="default" w:ascii="Times New Roman" w:hAnsi="Times New Roman" w:eastAsia="宋体" w:cs="Times New Roman"/>
                <w:color w:val="000000"/>
                <w:sz w:val="21"/>
                <w:szCs w:val="21"/>
              </w:rPr>
              <w:t>套管刮削器刀片自由伸出外径应大于套管内径4-6mm，其刀片刀刃规整、无缺口。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39"/>
              </w:numPr>
              <w:suppressLineNumbers w:val="0"/>
              <w:spacing w:before="0" w:beforeLines="0" w:beforeAutospacing="0" w:after="0" w:afterLines="0" w:afterAutospacing="0"/>
              <w:ind w:right="0"/>
              <w:rPr>
                <w:rFonts w:hint="default" w:ascii="Times New Roman" w:hAnsi="Times New Roman" w:eastAsia="宋体" w:cs="Times New Roman"/>
                <w:sz w:val="21"/>
                <w:szCs w:val="24"/>
              </w:rPr>
            </w:pPr>
          </w:p>
        </w:tc>
        <w:tc>
          <w:tcPr>
            <w:tcW w:w="3485"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sz w:val="21"/>
                <w:szCs w:val="24"/>
              </w:rPr>
            </w:pPr>
            <w:r>
              <w:rPr>
                <w:rFonts w:hint="default" w:ascii="Times New Roman" w:hAnsi="Times New Roman" w:eastAsia="宋体" w:cs="Times New Roman"/>
                <w:sz w:val="21"/>
                <w:szCs w:val="24"/>
              </w:rPr>
              <w:t>憋压法补贴时，泵注工作液，升压程序为10MPa、15MPa</w:t>
            </w:r>
            <w:r>
              <w:rPr>
                <w:rFonts w:hint="eastAsia" w:cs="Times New Roman"/>
                <w:sz w:val="21"/>
                <w:szCs w:val="24"/>
                <w:lang w:eastAsia="zh-CN"/>
              </w:rPr>
              <w:t>、</w:t>
            </w:r>
            <w:r>
              <w:rPr>
                <w:rFonts w:hint="eastAsia" w:cs="Times New Roman"/>
                <w:sz w:val="21"/>
                <w:szCs w:val="24"/>
                <w:lang w:val="en-US" w:eastAsia="zh-CN"/>
              </w:rPr>
              <w:t>2</w:t>
            </w:r>
            <w:r>
              <w:rPr>
                <w:rFonts w:hint="default" w:ascii="Times New Roman" w:hAnsi="Times New Roman" w:eastAsia="宋体" w:cs="Times New Roman"/>
                <w:sz w:val="21"/>
                <w:szCs w:val="24"/>
              </w:rPr>
              <w:t>5MPa、28MPa、32MPa，最高不超过35MPa</w:t>
            </w:r>
            <w:r>
              <w:rPr>
                <w:rFonts w:hint="eastAsia" w:cs="Times New Roman"/>
                <w:sz w:val="21"/>
                <w:szCs w:val="24"/>
                <w:lang w:eastAsia="zh-CN"/>
              </w:rPr>
              <w:t>，</w:t>
            </w:r>
            <w:r>
              <w:rPr>
                <w:rFonts w:hint="default" w:ascii="Times New Roman" w:hAnsi="Times New Roman" w:eastAsia="宋体" w:cs="Times New Roman"/>
                <w:sz w:val="21"/>
                <w:szCs w:val="24"/>
              </w:rPr>
              <w:t>每个升压点应保持2min ~ 5min。第一行程憋压完成后，泄压，上提管柱1.4m</w:t>
            </w:r>
            <w:r>
              <w:rPr>
                <w:rFonts w:hint="eastAsia" w:cs="Times New Roman"/>
                <w:sz w:val="21"/>
                <w:szCs w:val="24"/>
                <w:lang w:val="en-US" w:eastAsia="zh-CN"/>
              </w:rPr>
              <w:t>-</w:t>
            </w:r>
            <w:r>
              <w:rPr>
                <w:rFonts w:hint="default" w:ascii="Times New Roman" w:hAnsi="Times New Roman" w:eastAsia="宋体" w:cs="Times New Roman"/>
                <w:sz w:val="21"/>
                <w:szCs w:val="24"/>
              </w:rPr>
              <w:t>1.5m，按上述憋压升压程序进行第2、第3行程补贴，直至补贴完毕。最后行程憋压完成后，试提管柱，悬重应与补贴前悬重</w:t>
            </w:r>
            <w:r>
              <w:rPr>
                <w:rFonts w:hint="eastAsia" w:cs="Times New Roman"/>
                <w:sz w:val="21"/>
                <w:szCs w:val="24"/>
                <w:lang w:val="en-US" w:eastAsia="zh-CN"/>
              </w:rPr>
              <w:t>一</w:t>
            </w:r>
            <w:r>
              <w:rPr>
                <w:rFonts w:hint="default" w:ascii="Times New Roman" w:hAnsi="Times New Roman" w:eastAsia="宋体" w:cs="Times New Roman"/>
                <w:sz w:val="21"/>
                <w:szCs w:val="24"/>
              </w:rPr>
              <w:t>致。</w:t>
            </w:r>
          </w:p>
        </w:tc>
        <w:tc>
          <w:tcPr>
            <w:tcW w:w="165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SY/T5846-2020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9.4.3.4</w:t>
            </w:r>
          </w:p>
        </w:tc>
        <w:tc>
          <w:tcPr>
            <w:tcW w:w="705"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w:t>
            </w:r>
          </w:p>
        </w:tc>
        <w:tc>
          <w:tcPr>
            <w:tcW w:w="2638"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套管补贴操作规程</w:t>
            </w:r>
            <w:r>
              <w:rPr>
                <w:rFonts w:hint="default" w:ascii="Times New Roman" w:hAnsi="Times New Roman" w:eastAsia="宋体" w:cs="Times New Roman"/>
                <w:color w:val="000000"/>
                <w:sz w:val="21"/>
                <w:szCs w:val="21"/>
                <w:lang w:val="en-US" w:eastAsia="zh-CN"/>
              </w:rPr>
              <w:t>中规定</w:t>
            </w:r>
            <w:r>
              <w:rPr>
                <w:rFonts w:hint="default" w:ascii="Times New Roman" w:hAnsi="Times New Roman" w:eastAsia="宋体" w:cs="Times New Roman"/>
                <w:sz w:val="21"/>
                <w:szCs w:val="24"/>
              </w:rPr>
              <w:t>憋压法补贴时升压程序</w:t>
            </w:r>
            <w:r>
              <w:rPr>
                <w:rFonts w:hint="eastAsia" w:cs="Times New Roman"/>
                <w:sz w:val="21"/>
                <w:szCs w:val="24"/>
                <w:lang w:val="en-US" w:eastAsia="zh-CN"/>
              </w:rPr>
              <w:t>与规定一致。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39"/>
              </w:numPr>
              <w:suppressLineNumbers w:val="0"/>
              <w:spacing w:before="0" w:beforeLines="0" w:beforeAutospacing="0" w:after="0" w:afterLines="0" w:afterAutospacing="0"/>
              <w:ind w:right="0"/>
              <w:rPr>
                <w:rFonts w:hint="default" w:ascii="Times New Roman" w:hAnsi="Times New Roman" w:eastAsia="宋体" w:cs="Times New Roman"/>
                <w:sz w:val="21"/>
                <w:szCs w:val="24"/>
              </w:rPr>
            </w:pPr>
          </w:p>
        </w:tc>
        <w:tc>
          <w:tcPr>
            <w:tcW w:w="3485"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sz w:val="21"/>
                <w:szCs w:val="24"/>
              </w:rPr>
            </w:pPr>
            <w:r>
              <w:rPr>
                <w:rFonts w:hint="default" w:ascii="Times New Roman" w:hAnsi="Times New Roman" w:eastAsia="宋体" w:cs="Times New Roman"/>
                <w:sz w:val="21"/>
                <w:szCs w:val="24"/>
              </w:rPr>
              <w:t>起出补贴管柱，候凝固化时间应不少于48h。</w:t>
            </w:r>
          </w:p>
        </w:tc>
        <w:tc>
          <w:tcPr>
            <w:tcW w:w="165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SY/T5846-2020</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 w:val="21"/>
                <w:szCs w:val="24"/>
              </w:rPr>
              <w:t>9.4.3.6</w:t>
            </w:r>
          </w:p>
        </w:tc>
        <w:tc>
          <w:tcPr>
            <w:tcW w:w="705"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000000"/>
                <w:sz w:val="21"/>
                <w:szCs w:val="24"/>
              </w:rPr>
            </w:pPr>
            <w:r>
              <w:rPr>
                <w:rFonts w:hint="default" w:ascii="Times New Roman" w:hAnsi="Times New Roman" w:eastAsia="宋体" w:cs="Times New Roman"/>
                <w:color w:val="000000"/>
                <w:sz w:val="21"/>
                <w:szCs w:val="24"/>
              </w:rPr>
              <w:t>√</w:t>
            </w:r>
          </w:p>
        </w:tc>
        <w:tc>
          <w:tcPr>
            <w:tcW w:w="2638"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eastAsia"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套管补贴操作规程</w:t>
            </w:r>
            <w:r>
              <w:rPr>
                <w:rFonts w:hint="default" w:ascii="Times New Roman" w:hAnsi="Times New Roman" w:eastAsia="宋体" w:cs="Times New Roman"/>
                <w:color w:val="000000"/>
                <w:sz w:val="21"/>
                <w:szCs w:val="21"/>
                <w:lang w:val="en-US" w:eastAsia="zh-CN"/>
              </w:rPr>
              <w:t>中规定</w:t>
            </w:r>
            <w:r>
              <w:rPr>
                <w:rFonts w:hint="default" w:ascii="Times New Roman" w:hAnsi="Times New Roman" w:eastAsia="宋体" w:cs="Times New Roman"/>
                <w:color w:val="000000"/>
                <w:sz w:val="21"/>
                <w:szCs w:val="21"/>
              </w:rPr>
              <w:t>侯凝固化</w:t>
            </w:r>
            <w:r>
              <w:rPr>
                <w:rFonts w:hint="eastAsia" w:cs="Times New Roman"/>
                <w:color w:val="000000"/>
                <w:sz w:val="21"/>
                <w:szCs w:val="21"/>
                <w:lang w:eastAsia="zh-CN"/>
              </w:rPr>
              <w:t>：起出补贴管柱，侯凝固化时间不得少于48h。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485" w:type="dxa"/>
            <w:tcBorders>
              <w:tl2br w:val="nil"/>
              <w:tr2bl w:val="nil"/>
            </w:tcBorders>
            <w:noWrap w:val="0"/>
            <w:vAlign w:val="center"/>
          </w:tcPr>
          <w:p>
            <w:pPr>
              <w:keepNext w:val="0"/>
              <w:keepLines w:val="0"/>
              <w:numPr>
                <w:ilvl w:val="0"/>
                <w:numId w:val="39"/>
              </w:numPr>
              <w:suppressLineNumbers w:val="0"/>
              <w:spacing w:before="0" w:beforeLines="0" w:beforeAutospacing="0" w:after="0" w:afterLines="0" w:afterAutospacing="0"/>
              <w:ind w:right="0"/>
              <w:rPr>
                <w:rFonts w:hint="default" w:ascii="Times New Roman" w:hAnsi="Times New Roman" w:eastAsia="宋体" w:cs="Times New Roman"/>
                <w:sz w:val="21"/>
                <w:szCs w:val="24"/>
              </w:rPr>
            </w:pPr>
          </w:p>
        </w:tc>
        <w:tc>
          <w:tcPr>
            <w:tcW w:w="3485"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sz w:val="21"/>
                <w:szCs w:val="24"/>
              </w:rPr>
              <w:t>压力表的检定和维护应当符合国家计量部门的有关规定，压力表安装前应当进行检定，在刻度盘上应当划出指示工作压力的红线，注明下次检定日期。压力表检定后应当加铅封。</w:t>
            </w:r>
          </w:p>
        </w:tc>
        <w:tc>
          <w:tcPr>
            <w:tcW w:w="165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sz w:val="21"/>
                <w:szCs w:val="24"/>
              </w:rPr>
            </w:pPr>
            <w:r>
              <w:rPr>
                <w:rFonts w:hint="eastAsia" w:ascii="Times New Roman" w:hAnsi="Times New Roman" w:eastAsia="宋体" w:cs="Times New Roman"/>
                <w:sz w:val="21"/>
                <w:szCs w:val="24"/>
              </w:rPr>
              <w:t>TSG21-2016</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sz w:val="21"/>
                <w:szCs w:val="24"/>
              </w:rPr>
              <w:t>9.2.1.2</w:t>
            </w:r>
          </w:p>
        </w:tc>
        <w:tc>
          <w:tcPr>
            <w:tcW w:w="705" w:type="dxa"/>
            <w:tcBorders>
              <w:tl2br w:val="nil"/>
              <w:tr2bl w:val="nil"/>
            </w:tcBorders>
            <w:noWrap w:val="0"/>
            <w:vAlign w:val="center"/>
          </w:tcPr>
          <w:p>
            <w:pPr>
              <w:keepNext w:val="0"/>
              <w:keepLines w:val="0"/>
              <w:suppressLineNumbers w:val="0"/>
              <w:spacing w:before="0" w:beforeLines="0" w:beforeAutospacing="0" w:after="0" w:afterLines="0" w:afterAutospacing="0"/>
              <w:ind w:left="0" w:right="0"/>
              <w:jc w:val="center"/>
              <w:rPr>
                <w:rFonts w:hint="default" w:ascii="Times New Roman" w:hAnsi="Times New Roman" w:eastAsia="宋体" w:cs="Times New Roman"/>
                <w:sz w:val="21"/>
                <w:szCs w:val="24"/>
              </w:rPr>
            </w:pPr>
            <w:r>
              <w:rPr>
                <w:rFonts w:hint="default" w:ascii="Times New Roman" w:hAnsi="Times New Roman" w:eastAsia="宋体" w:cs="Times New Roman"/>
                <w:color w:val="000000"/>
                <w:sz w:val="21"/>
                <w:szCs w:val="24"/>
              </w:rPr>
              <w:t>√</w:t>
            </w:r>
          </w:p>
        </w:tc>
        <w:tc>
          <w:tcPr>
            <w:tcW w:w="2638" w:type="dxa"/>
            <w:tcBorders>
              <w:tl2br w:val="nil"/>
              <w:tr2bl w:val="nil"/>
            </w:tcBorders>
            <w:noWrap w:val="0"/>
            <w:vAlign w:val="center"/>
          </w:tcPr>
          <w:p>
            <w:pPr>
              <w:keepNext w:val="0"/>
              <w:keepLines w:val="0"/>
              <w:suppressLineNumbers w:val="0"/>
              <w:spacing w:before="0" w:beforeLines="0" w:beforeAutospacing="0" w:after="0" w:afterLines="0" w:afterAutospacing="0"/>
              <w:ind w:left="0" w:right="0"/>
              <w:rPr>
                <w:rFonts w:hint="default" w:ascii="Times New Roman" w:hAnsi="Times New Roman" w:eastAsia="宋体" w:cs="Times New Roman"/>
                <w:sz w:val="21"/>
                <w:szCs w:val="24"/>
                <w:lang w:val="en-US" w:eastAsia="zh-CN"/>
              </w:rPr>
            </w:pPr>
            <w:r>
              <w:rPr>
                <w:rFonts w:hint="eastAsia" w:ascii="Times New Roman" w:hAnsi="Times New Roman" w:eastAsia="宋体" w:cs="Times New Roman"/>
                <w:sz w:val="21"/>
                <w:szCs w:val="24"/>
                <w:lang w:val="en-US" w:eastAsia="zh-CN"/>
              </w:rPr>
              <w:t>压力表定期检测，并在有效期内。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485" w:type="dxa"/>
            <w:tcBorders>
              <w:tl2br w:val="nil"/>
              <w:tr2bl w:val="nil"/>
            </w:tcBorders>
            <w:noWrap w:val="0"/>
            <w:vAlign w:val="center"/>
          </w:tcPr>
          <w:p>
            <w:pPr>
              <w:keepNext w:val="0"/>
              <w:keepLines w:val="0"/>
              <w:pageBreakBefore w:val="0"/>
              <w:widowControl w:val="0"/>
              <w:numPr>
                <w:ilvl w:val="0"/>
                <w:numId w:val="39"/>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sz w:val="21"/>
                <w:szCs w:val="24"/>
              </w:rPr>
            </w:pPr>
          </w:p>
        </w:tc>
        <w:tc>
          <w:tcPr>
            <w:tcW w:w="3485"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left"/>
              <w:rPr>
                <w:rFonts w:hint="default" w:ascii="Times New Roman" w:hAnsi="Times New Roman" w:eastAsia="宋体" w:cs="Times New Roman"/>
                <w:sz w:val="21"/>
                <w:szCs w:val="24"/>
              </w:rPr>
            </w:pPr>
            <w:r>
              <w:rPr>
                <w:rFonts w:hint="default" w:ascii="Times New Roman" w:hAnsi="Times New Roman" w:cs="Times New Roman"/>
                <w:color w:val="000000" w:themeColor="text1"/>
                <w:szCs w:val="21"/>
                <w14:textFill>
                  <w14:solidFill>
                    <w14:schemeClr w14:val="tx1"/>
                  </w14:solidFill>
                </w14:textFill>
              </w:rPr>
              <w:t>施工作业人员应经相应的岗位技能培训，培训合格方可上岗。</w:t>
            </w:r>
          </w:p>
        </w:tc>
        <w:tc>
          <w:tcPr>
            <w:tcW w:w="1650"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sz w:val="21"/>
                <w:szCs w:val="24"/>
              </w:rPr>
            </w:pPr>
            <w:r>
              <w:rPr>
                <w:rFonts w:hint="default" w:ascii="Times New Roman" w:hAnsi="Times New Roman" w:cs="Times New Roman"/>
                <w:bCs/>
                <w:color w:val="000000" w:themeColor="text1"/>
                <w:szCs w:val="21"/>
                <w14:textFill>
                  <w14:solidFill>
                    <w14:schemeClr w14:val="tx1"/>
                  </w14:solidFill>
                </w14:textFill>
              </w:rPr>
              <w:t>4.1.1</w:t>
            </w:r>
          </w:p>
        </w:tc>
        <w:tc>
          <w:tcPr>
            <w:tcW w:w="705"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4"/>
              </w:rPr>
            </w:pPr>
            <w:r>
              <w:rPr>
                <w:rFonts w:hint="default" w:ascii="Times New Roman" w:hAnsi="Times New Roman" w:cs="Times New Roman"/>
                <w:bCs/>
                <w:color w:val="000000" w:themeColor="text1"/>
                <w:szCs w:val="21"/>
                <w14:textFill>
                  <w14:solidFill>
                    <w14:schemeClr w14:val="tx1"/>
                  </w14:solidFill>
                </w14:textFill>
              </w:rPr>
              <w:t>√</w:t>
            </w:r>
          </w:p>
        </w:tc>
        <w:tc>
          <w:tcPr>
            <w:tcW w:w="2638"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rPr>
                <w:rFonts w:hint="eastAsia" w:ascii="Times New Roman" w:hAnsi="Times New Roman" w:eastAsia="宋体" w:cs="Times New Roman"/>
                <w:sz w:val="21"/>
                <w:szCs w:val="24"/>
                <w:lang w:val="en-US" w:eastAsia="zh-CN"/>
              </w:rPr>
            </w:pPr>
            <w:r>
              <w:rPr>
                <w:rFonts w:hint="default" w:ascii="Times New Roman" w:hAnsi="Times New Roman" w:cs="Times New Roman"/>
                <w:color w:val="000000" w:themeColor="text1"/>
                <w:szCs w:val="21"/>
                <w14:textFill>
                  <w14:solidFill>
                    <w14:schemeClr w14:val="tx1"/>
                  </w14:solidFill>
                </w14:textFill>
              </w:rPr>
              <w:t>现场作业人员持“三小证”上岗。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485" w:type="dxa"/>
            <w:tcBorders>
              <w:tl2br w:val="nil"/>
              <w:tr2bl w:val="nil"/>
            </w:tcBorders>
            <w:noWrap w:val="0"/>
            <w:vAlign w:val="center"/>
          </w:tcPr>
          <w:p>
            <w:pPr>
              <w:keepNext w:val="0"/>
              <w:keepLines w:val="0"/>
              <w:pageBreakBefore w:val="0"/>
              <w:widowControl w:val="0"/>
              <w:numPr>
                <w:ilvl w:val="0"/>
                <w:numId w:val="39"/>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sz w:val="21"/>
                <w:szCs w:val="24"/>
              </w:rPr>
            </w:pPr>
          </w:p>
        </w:tc>
        <w:tc>
          <w:tcPr>
            <w:tcW w:w="3485"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left"/>
              <w:rPr>
                <w:rFonts w:hint="default" w:ascii="Times New Roman" w:hAnsi="Times New Roman" w:eastAsia="宋体" w:cs="Times New Roman"/>
                <w:sz w:val="21"/>
                <w:szCs w:val="24"/>
              </w:rPr>
            </w:pPr>
            <w:r>
              <w:rPr>
                <w:rFonts w:hint="default" w:ascii="Times New Roman" w:hAnsi="Times New Roman" w:cs="Times New Roman"/>
                <w:color w:val="000000" w:themeColor="text1"/>
                <w:szCs w:val="21"/>
                <w14:textFill>
                  <w14:solidFill>
                    <w14:schemeClr w14:val="tx1"/>
                  </w14:solidFill>
                </w14:textFill>
              </w:rPr>
              <w:t>个人防护用具、气体监测仪器的配备、使用操作、应急抢险和紧急疏散应符合SY/T 6610-2017中第5章、第6章、第7章的规定。</w:t>
            </w:r>
          </w:p>
        </w:tc>
        <w:tc>
          <w:tcPr>
            <w:tcW w:w="1650"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sz w:val="21"/>
                <w:szCs w:val="24"/>
              </w:rPr>
            </w:pPr>
            <w:r>
              <w:rPr>
                <w:rFonts w:hint="default" w:ascii="Times New Roman" w:hAnsi="Times New Roman" w:cs="Times New Roman"/>
                <w:bCs/>
                <w:color w:val="000000" w:themeColor="text1"/>
                <w:szCs w:val="21"/>
                <w14:textFill>
                  <w14:solidFill>
                    <w14:schemeClr w14:val="tx1"/>
                  </w14:solidFill>
                </w14:textFill>
              </w:rPr>
              <w:t>4.6.3</w:t>
            </w:r>
          </w:p>
        </w:tc>
        <w:tc>
          <w:tcPr>
            <w:tcW w:w="705"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4"/>
              </w:rPr>
            </w:pPr>
            <w:r>
              <w:rPr>
                <w:rFonts w:hint="default" w:ascii="Times New Roman" w:hAnsi="Times New Roman" w:cs="Times New Roman"/>
                <w:color w:val="000000" w:themeColor="text1"/>
                <w14:textFill>
                  <w14:solidFill>
                    <w14:schemeClr w14:val="tx1"/>
                  </w14:solidFill>
                </w14:textFill>
              </w:rPr>
              <w:t>√</w:t>
            </w:r>
          </w:p>
        </w:tc>
        <w:tc>
          <w:tcPr>
            <w:tcW w:w="2638"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rPr>
                <w:rFonts w:hint="eastAsia" w:ascii="Times New Roman" w:hAnsi="Times New Roman" w:eastAsia="宋体" w:cs="Times New Roman"/>
                <w:sz w:val="21"/>
                <w:szCs w:val="24"/>
                <w:lang w:val="en-US" w:eastAsia="zh-CN"/>
              </w:rPr>
            </w:pPr>
            <w:r>
              <w:rPr>
                <w:rFonts w:hint="default" w:ascii="Times New Roman" w:hAnsi="Times New Roman" w:cs="Times New Roman"/>
                <w:color w:val="000000" w:themeColor="text1"/>
                <w:szCs w:val="21"/>
                <w14:textFill>
                  <w14:solidFill>
                    <w14:schemeClr w14:val="tx1"/>
                  </w14:solidFill>
                </w14:textFill>
              </w:rPr>
              <w:t>配备有便携式气体检测仪、空气呼吸器等设备设施，并经检测合格。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485" w:type="dxa"/>
            <w:tcBorders>
              <w:tl2br w:val="nil"/>
              <w:tr2bl w:val="nil"/>
            </w:tcBorders>
            <w:noWrap w:val="0"/>
            <w:vAlign w:val="center"/>
          </w:tcPr>
          <w:p>
            <w:pPr>
              <w:keepNext w:val="0"/>
              <w:keepLines w:val="0"/>
              <w:pageBreakBefore w:val="0"/>
              <w:widowControl w:val="0"/>
              <w:numPr>
                <w:ilvl w:val="0"/>
                <w:numId w:val="39"/>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sz w:val="21"/>
                <w:szCs w:val="24"/>
              </w:rPr>
            </w:pPr>
          </w:p>
        </w:tc>
        <w:tc>
          <w:tcPr>
            <w:tcW w:w="3485" w:type="dxa"/>
            <w:tcBorders>
              <w:tl2br w:val="nil"/>
              <w:tr2bl w:val="nil"/>
            </w:tcBorders>
            <w:noWrap w:val="0"/>
            <w:vAlign w:val="center"/>
          </w:tcPr>
          <w:p>
            <w:pPr>
              <w:keepNext w:val="0"/>
              <w:keepLines w:val="0"/>
              <w:suppressLineNumbers w:val="0"/>
              <w:overflowPunct w:val="0"/>
              <w:adjustRightInd w:val="0"/>
              <w:snapToGrid w:val="0"/>
              <w:spacing w:before="0" w:beforeAutospacing="0" w:after="0" w:afterAutospacing="0"/>
              <w:ind w:left="0" w:leftChars="0" w:right="0" w:rightChars="0"/>
              <w:jc w:val="left"/>
              <w:rPr>
                <w:rFonts w:hint="default" w:ascii="Times New Roman" w:hAnsi="Times New Roman" w:eastAsia="宋体" w:cs="Times New Roman"/>
                <w:sz w:val="21"/>
                <w:szCs w:val="24"/>
              </w:rPr>
            </w:pPr>
            <w:r>
              <w:rPr>
                <w:rFonts w:hint="default" w:ascii="Times New Roman" w:hAnsi="Times New Roman" w:cs="Times New Roman"/>
                <w:color w:val="000000" w:themeColor="text1"/>
                <w:kern w:val="0"/>
                <w:szCs w:val="21"/>
                <w14:textFill>
                  <w14:solidFill>
                    <w14:schemeClr w14:val="tx1"/>
                  </w14:solidFill>
                </w14:textFill>
              </w:rPr>
              <w:t>空气呼吸器应每年检验一次；气瓶应每三年检验一次，其安全使用年限不得超过15年。</w:t>
            </w:r>
          </w:p>
        </w:tc>
        <w:tc>
          <w:tcPr>
            <w:tcW w:w="1650" w:type="dxa"/>
            <w:tcBorders>
              <w:tl2br w:val="nil"/>
              <w:tr2bl w:val="nil"/>
            </w:tcBorders>
            <w:noWrap w:val="0"/>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SY/T6277-2017</w:t>
            </w:r>
          </w:p>
          <w:p>
            <w:pPr>
              <w:keepNext w:val="0"/>
              <w:keepLines w:val="0"/>
              <w:suppressLineNumbers w:val="0"/>
              <w:overflowPunct w:val="0"/>
              <w:adjustRightInd w:val="0"/>
              <w:snapToGrid w:val="0"/>
              <w:spacing w:before="0" w:beforeAutospacing="0" w:after="0" w:afterAutospacing="0"/>
              <w:ind w:left="0" w:leftChars="0" w:right="0" w:rightChars="0"/>
              <w:jc w:val="center"/>
              <w:rPr>
                <w:rFonts w:hint="eastAsia" w:ascii="Times New Roman" w:hAnsi="Times New Roman" w:eastAsia="宋体" w:cs="Times New Roman"/>
                <w:sz w:val="21"/>
                <w:szCs w:val="24"/>
              </w:rPr>
            </w:pPr>
            <w:r>
              <w:rPr>
                <w:rFonts w:hint="default" w:ascii="Times New Roman" w:hAnsi="Times New Roman" w:cs="Times New Roman"/>
                <w:color w:val="000000" w:themeColor="text1"/>
                <w:kern w:val="0"/>
                <w:szCs w:val="21"/>
                <w14:textFill>
                  <w14:solidFill>
                    <w14:schemeClr w14:val="tx1"/>
                  </w14:solidFill>
                </w14:textFill>
              </w:rPr>
              <w:t>5.1.6.1</w:t>
            </w:r>
          </w:p>
        </w:tc>
        <w:tc>
          <w:tcPr>
            <w:tcW w:w="705"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4"/>
              </w:rPr>
            </w:pPr>
            <w:r>
              <w:rPr>
                <w:rFonts w:hint="default" w:ascii="Times New Roman" w:hAnsi="Times New Roman" w:cs="Times New Roman"/>
                <w:color w:val="000000" w:themeColor="text1"/>
                <w14:textFill>
                  <w14:solidFill>
                    <w14:schemeClr w14:val="tx1"/>
                  </w14:solidFill>
                </w14:textFill>
              </w:rPr>
              <w:t>√</w:t>
            </w:r>
          </w:p>
        </w:tc>
        <w:tc>
          <w:tcPr>
            <w:tcW w:w="2638"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rPr>
                <w:rFonts w:hint="eastAsia" w:ascii="Times New Roman" w:hAnsi="Times New Roman" w:eastAsia="宋体" w:cs="Times New Roman"/>
                <w:sz w:val="21"/>
                <w:szCs w:val="24"/>
                <w:lang w:val="en-US" w:eastAsia="zh-CN"/>
              </w:rPr>
            </w:pPr>
            <w:r>
              <w:rPr>
                <w:rFonts w:hint="default" w:ascii="Times New Roman" w:hAnsi="Times New Roman" w:cs="Times New Roman"/>
                <w:color w:val="000000" w:themeColor="text1"/>
                <w:szCs w:val="21"/>
                <w14:textFill>
                  <w14:solidFill>
                    <w14:schemeClr w14:val="tx1"/>
                  </w14:solidFill>
                </w14:textFill>
              </w:rPr>
              <w:t>经定期检测合格。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85" w:type="dxa"/>
            <w:tcBorders>
              <w:tl2br w:val="nil"/>
              <w:tr2bl w:val="nil"/>
            </w:tcBorders>
            <w:noWrap w:val="0"/>
            <w:vAlign w:val="center"/>
          </w:tcPr>
          <w:p>
            <w:pPr>
              <w:keepNext w:val="0"/>
              <w:keepLines w:val="0"/>
              <w:pageBreakBefore w:val="0"/>
              <w:widowControl w:val="0"/>
              <w:numPr>
                <w:ilvl w:val="0"/>
                <w:numId w:val="39"/>
              </w:numPr>
              <w:suppressLineNumbers w:val="0"/>
              <w:kinsoku/>
              <w:wordWrap/>
              <w:overflowPunct/>
              <w:topLinePunct w:val="0"/>
              <w:autoSpaceDE/>
              <w:autoSpaceDN/>
              <w:bidi w:val="0"/>
              <w:adjustRightInd w:val="0"/>
              <w:snapToGrid w:val="0"/>
              <w:spacing w:before="0" w:beforeLines="0" w:beforeAutospacing="0" w:after="0" w:afterLines="0" w:afterAutospacing="0"/>
              <w:ind w:left="0" w:leftChars="0" w:right="0" w:firstLine="0" w:firstLineChars="0"/>
              <w:jc w:val="center"/>
              <w:textAlignment w:val="auto"/>
              <w:rPr>
                <w:rFonts w:hint="default" w:ascii="Times New Roman" w:hAnsi="Times New Roman" w:eastAsia="宋体" w:cs="Times New Roman"/>
                <w:sz w:val="21"/>
                <w:szCs w:val="24"/>
              </w:rPr>
            </w:pPr>
          </w:p>
        </w:tc>
        <w:tc>
          <w:tcPr>
            <w:tcW w:w="3485" w:type="dxa"/>
            <w:tcBorders>
              <w:tl2br w:val="nil"/>
              <w:tr2bl w:val="nil"/>
            </w:tcBorders>
            <w:noWrap w:val="0"/>
            <w:vAlign w:val="center"/>
          </w:tcPr>
          <w:p>
            <w:pPr>
              <w:keepNext w:val="0"/>
              <w:keepLines w:val="0"/>
              <w:suppressLineNumbers w:val="0"/>
              <w:overflowPunct w:val="0"/>
              <w:adjustRightInd w:val="0"/>
              <w:snapToGrid w:val="0"/>
              <w:spacing w:before="0" w:beforeAutospacing="0" w:after="0" w:afterAutospacing="0"/>
              <w:ind w:left="0" w:leftChars="0" w:right="0" w:rightChars="0"/>
              <w:jc w:val="left"/>
              <w:rPr>
                <w:rFonts w:hint="default" w:ascii="Times New Roman" w:hAnsi="Times New Roman" w:eastAsia="宋体" w:cs="Times New Roman"/>
                <w:sz w:val="21"/>
                <w:szCs w:val="24"/>
              </w:rPr>
            </w:pPr>
            <w:r>
              <w:rPr>
                <w:rFonts w:hint="default" w:ascii="Times New Roman" w:hAnsi="Times New Roman" w:cs="Times New Roman"/>
                <w:color w:val="000000" w:themeColor="text1"/>
                <w:kern w:val="0"/>
                <w:szCs w:val="21"/>
                <w14:textFill>
                  <w14:solidFill>
                    <w14:schemeClr w14:val="tx1"/>
                  </w14:solidFill>
                </w14:textFill>
              </w:rPr>
              <w:t>便携式硫化氢气体检测仪每年至少检验一次。</w:t>
            </w:r>
          </w:p>
        </w:tc>
        <w:tc>
          <w:tcPr>
            <w:tcW w:w="1650" w:type="dxa"/>
            <w:tcBorders>
              <w:tl2br w:val="nil"/>
              <w:tr2bl w:val="nil"/>
            </w:tcBorders>
            <w:noWrap w:val="0"/>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SY/T6277-2017</w:t>
            </w:r>
          </w:p>
          <w:p>
            <w:pPr>
              <w:keepNext w:val="0"/>
              <w:keepLines w:val="0"/>
              <w:suppressLineNumbers w:val="0"/>
              <w:overflowPunct w:val="0"/>
              <w:adjustRightInd w:val="0"/>
              <w:snapToGrid w:val="0"/>
              <w:spacing w:before="0" w:beforeAutospacing="0" w:after="0" w:afterAutospacing="0"/>
              <w:ind w:left="0" w:leftChars="0" w:right="0" w:rightChars="0"/>
              <w:jc w:val="center"/>
              <w:rPr>
                <w:rFonts w:hint="eastAsia" w:ascii="Times New Roman" w:hAnsi="Times New Roman" w:eastAsia="宋体" w:cs="Times New Roman"/>
                <w:sz w:val="21"/>
                <w:szCs w:val="24"/>
              </w:rPr>
            </w:pPr>
            <w:r>
              <w:rPr>
                <w:rFonts w:hint="default" w:ascii="Times New Roman" w:hAnsi="Times New Roman" w:cs="Times New Roman"/>
                <w:color w:val="000000" w:themeColor="text1"/>
                <w:kern w:val="0"/>
                <w:szCs w:val="21"/>
                <w14:textFill>
                  <w14:solidFill>
                    <w14:schemeClr w14:val="tx1"/>
                  </w14:solidFill>
                </w14:textFill>
              </w:rPr>
              <w:t>5.2.6</w:t>
            </w:r>
          </w:p>
        </w:tc>
        <w:tc>
          <w:tcPr>
            <w:tcW w:w="705"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sz w:val="21"/>
                <w:szCs w:val="24"/>
              </w:rPr>
            </w:pPr>
            <w:r>
              <w:rPr>
                <w:rFonts w:hint="default" w:ascii="Times New Roman" w:hAnsi="Times New Roman" w:cs="Times New Roman"/>
                <w:color w:val="000000" w:themeColor="text1"/>
                <w14:textFill>
                  <w14:solidFill>
                    <w14:schemeClr w14:val="tx1"/>
                  </w14:solidFill>
                </w14:textFill>
              </w:rPr>
              <w:t>√</w:t>
            </w:r>
          </w:p>
        </w:tc>
        <w:tc>
          <w:tcPr>
            <w:tcW w:w="2638"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rPr>
                <w:rFonts w:hint="eastAsia" w:ascii="Times New Roman" w:hAnsi="Times New Roman" w:eastAsia="宋体" w:cs="Times New Roman"/>
                <w:sz w:val="21"/>
                <w:szCs w:val="24"/>
                <w:lang w:val="en-US" w:eastAsia="zh-CN"/>
              </w:rPr>
            </w:pPr>
            <w:r>
              <w:rPr>
                <w:rFonts w:hint="default" w:ascii="Times New Roman" w:hAnsi="Times New Roman" w:cs="Times New Roman"/>
                <w:color w:val="000000" w:themeColor="text1"/>
                <w:szCs w:val="21"/>
                <w14:textFill>
                  <w14:solidFill>
                    <w14:schemeClr w14:val="tx1"/>
                  </w14:solidFill>
                </w14:textFill>
              </w:rPr>
              <w:t>经定期检测合格。</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r>
        <w:rPr>
          <w:rFonts w:hint="eastAsia" w:ascii="Times New Roman" w:hAnsi="Times New Roman" w:cs="Times New Roman"/>
          <w:sz w:val="28"/>
          <w:lang w:val="en-US" w:eastAsia="zh-CN"/>
        </w:rPr>
        <w:t>评价小结：</w:t>
      </w:r>
      <w:r>
        <w:rPr>
          <w:rFonts w:hint="eastAsia" w:cs="Times New Roman"/>
          <w:sz w:val="28"/>
          <w:lang w:val="en-US" w:eastAsia="zh-CN"/>
        </w:rPr>
        <w:t>套管补贴</w:t>
      </w:r>
      <w:r>
        <w:rPr>
          <w:rFonts w:hint="eastAsia" w:ascii="Times New Roman" w:hAnsi="Times New Roman" w:cs="Times New Roman"/>
          <w:sz w:val="28"/>
          <w:lang w:val="en-US" w:eastAsia="zh-CN"/>
        </w:rPr>
        <w:t>安全检查表共设</w:t>
      </w:r>
      <w:r>
        <w:rPr>
          <w:rFonts w:hint="eastAsia" w:cs="Times New Roman"/>
          <w:sz w:val="28"/>
          <w:lang w:val="en-US" w:eastAsia="zh-CN"/>
        </w:rPr>
        <w:t>10</w:t>
      </w:r>
      <w:r>
        <w:rPr>
          <w:rFonts w:hint="eastAsia" w:ascii="Times New Roman" w:hAnsi="Times New Roman" w:cs="Times New Roman"/>
          <w:sz w:val="28"/>
          <w:lang w:val="en-US" w:eastAsia="zh-CN"/>
        </w:rPr>
        <w:t>项检查内容，未发现不符合项。</w:t>
      </w:r>
    </w:p>
    <w:p>
      <w:pPr>
        <w:pStyle w:val="62"/>
        <w:keepNext w:val="0"/>
        <w:keepLines w:val="0"/>
        <w:pageBreakBefore w:val="0"/>
        <w:widowControl w:val="0"/>
        <w:kinsoku/>
        <w:wordWrap/>
        <w:overflowPunct w:val="0"/>
        <w:topLinePunct/>
        <w:autoSpaceDE/>
        <w:autoSpaceDN/>
        <w:bidi w:val="0"/>
        <w:adjustRightInd w:val="0"/>
        <w:snapToGrid w:val="0"/>
        <w:spacing w:line="360" w:lineRule="auto"/>
        <w:ind w:firstLine="0" w:firstLineChars="0"/>
        <w:textAlignment w:val="auto"/>
        <w:outlineLvl w:val="2"/>
        <w:rPr>
          <w:rFonts w:hint="eastAsia" w:ascii="Times New Roman" w:hAnsi="Times New Roman" w:eastAsia="黑体" w:cs="Times New Roman"/>
          <w:bCs/>
          <w:snapToGrid w:val="0"/>
          <w:kern w:val="0"/>
          <w:sz w:val="28"/>
          <w:szCs w:val="28"/>
          <w:lang w:val="en-US" w:eastAsia="zh-CN"/>
        </w:rPr>
      </w:pPr>
      <w:r>
        <w:rPr>
          <w:rFonts w:hint="eastAsia" w:ascii="Times New Roman" w:hAnsi="Times New Roman" w:eastAsia="黑体" w:cs="Times New Roman"/>
          <w:bCs/>
          <w:snapToGrid w:val="0"/>
          <w:kern w:val="0"/>
          <w:sz w:val="28"/>
          <w:szCs w:val="28"/>
          <w:lang w:val="en-US" w:eastAsia="zh-CN"/>
        </w:rPr>
        <w:t>5.1.8 堵漏安全检查表</w:t>
      </w:r>
    </w:p>
    <w:p>
      <w:pPr>
        <w:keepNext w:val="0"/>
        <w:keepLines w:val="0"/>
        <w:pageBreakBefore w:val="0"/>
        <w:widowControl w:val="0"/>
        <w:tabs>
          <w:tab w:val="left" w:pos="1393"/>
        </w:tabs>
        <w:kinsoku/>
        <w:wordWrap/>
        <w:overflowPunct/>
        <w:topLinePunct w:val="0"/>
        <w:autoSpaceDE/>
        <w:autoSpaceDN/>
        <w:bidi w:val="0"/>
        <w:adjustRightInd w:val="0"/>
        <w:snapToGrid w:val="0"/>
        <w:spacing w:line="360" w:lineRule="auto"/>
        <w:ind w:firstLine="560" w:firstLineChars="200"/>
        <w:jc w:val="left"/>
        <w:textAlignment w:val="auto"/>
        <w:rPr>
          <w:rFonts w:hint="default" w:ascii="Times New Roman" w:hAnsi="Times New Roman" w:eastAsia="宋体" w:cs="Times New Roman"/>
          <w:b w:val="0"/>
          <w:bCs/>
          <w:kern w:val="2"/>
          <w:sz w:val="28"/>
          <w:szCs w:val="28"/>
          <w:lang w:val="en-US" w:eastAsia="zh-CN" w:bidi="ar-SA"/>
        </w:rPr>
      </w:pPr>
      <w:r>
        <w:rPr>
          <w:rFonts w:hint="default" w:ascii="Times New Roman" w:hAnsi="Times New Roman" w:eastAsia="宋体" w:cs="Times New Roman"/>
          <w:b w:val="0"/>
          <w:bCs/>
          <w:kern w:val="2"/>
          <w:sz w:val="28"/>
          <w:szCs w:val="28"/>
          <w:lang w:val="en-US" w:eastAsia="zh-CN" w:bidi="ar-SA"/>
        </w:rPr>
        <w:t>本节根据《井下作业安全规程》（SY/T5727-2020）、《常规修井作业规程 第14部分：注塞、钻塞 》（</w:t>
      </w:r>
      <w:r>
        <w:rPr>
          <w:rFonts w:hint="eastAsia" w:ascii="Times New Roman" w:hAnsi="Times New Roman" w:eastAsia="宋体" w:cs="Times New Roman"/>
          <w:b w:val="0"/>
          <w:bCs/>
          <w:kern w:val="2"/>
          <w:sz w:val="28"/>
          <w:szCs w:val="28"/>
          <w:lang w:val="en-US" w:eastAsia="zh-CN" w:bidi="ar-SA"/>
        </w:rPr>
        <w:t>SY/T 5587.14-2013</w:t>
      </w:r>
      <w:r>
        <w:rPr>
          <w:rFonts w:hint="default" w:ascii="Times New Roman" w:hAnsi="Times New Roman" w:eastAsia="宋体" w:cs="Times New Roman"/>
          <w:b w:val="0"/>
          <w:bCs/>
          <w:kern w:val="2"/>
          <w:sz w:val="28"/>
          <w:szCs w:val="28"/>
          <w:lang w:val="en-US" w:eastAsia="zh-CN" w:bidi="ar-SA"/>
        </w:rPr>
        <w:t>）等标准，对本项目生产单元进行安全评价，具体评价过程见表5-15</w:t>
      </w:r>
      <w:r>
        <w:rPr>
          <w:rFonts w:hint="eastAsia" w:ascii="Times New Roman" w:hAnsi="Times New Roman" w:eastAsia="宋体" w:cs="Times New Roman"/>
          <w:b w:val="0"/>
          <w:bCs/>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jc w:val="center"/>
        <w:textAlignment w:val="auto"/>
        <w:rPr>
          <w:sz w:val="21"/>
          <w:szCs w:val="21"/>
        </w:rPr>
      </w:pP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表5-1</w:t>
      </w:r>
      <w:r>
        <w:rPr>
          <w:rFonts w:hint="eastAsia" w:cs="Times New Roman"/>
          <w:b/>
          <w:bCs/>
          <w:color w:val="000000" w:themeColor="text1"/>
          <w:kern w:val="2"/>
          <w:sz w:val="21"/>
          <w:szCs w:val="21"/>
          <w:lang w:val="en-US" w:eastAsia="zh-CN" w:bidi="ar-SA"/>
          <w14:textFill>
            <w14:solidFill>
              <w14:schemeClr w14:val="tx1"/>
            </w14:solidFill>
          </w14:textFill>
        </w:rPr>
        <w:t>5</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 xml:space="preserve"> </w:t>
      </w:r>
      <w:r>
        <w:rPr>
          <w:rFonts w:hint="eastAsia" w:ascii="Times New Roman" w:hAnsi="Times New Roman" w:eastAsia="宋体" w:cs="Times New Roman"/>
          <w:b/>
          <w:bCs/>
          <w:color w:val="000000" w:themeColor="text1"/>
          <w:kern w:val="2"/>
          <w:sz w:val="21"/>
          <w:szCs w:val="21"/>
          <w:lang w:val="en-US" w:eastAsia="zh-CN" w:bidi="ar-SA"/>
          <w14:textFill>
            <w14:solidFill>
              <w14:schemeClr w14:val="tx1"/>
            </w14:solidFill>
          </w14:textFill>
        </w:rPr>
        <w:t xml:space="preserve"> </w:t>
      </w:r>
      <w:r>
        <w:rPr>
          <w:rFonts w:hint="eastAsia" w:cs="Times New Roman"/>
          <w:b/>
          <w:bCs/>
          <w:color w:val="000000" w:themeColor="text1"/>
          <w:kern w:val="2"/>
          <w:sz w:val="21"/>
          <w:szCs w:val="21"/>
          <w:lang w:val="en-US" w:eastAsia="zh-CN" w:bidi="ar-SA"/>
          <w14:textFill>
            <w14:solidFill>
              <w14:schemeClr w14:val="tx1"/>
            </w14:solidFill>
          </w14:textFill>
        </w:rPr>
        <w:t>堵漏</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作业安全检查表</w:t>
      </w:r>
    </w:p>
    <w:tbl>
      <w:tblPr>
        <w:tblStyle w:val="52"/>
        <w:tblW w:w="896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5"/>
        <w:gridCol w:w="3530"/>
        <w:gridCol w:w="2071"/>
        <w:gridCol w:w="690"/>
        <w:gridCol w:w="218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000000"/>
                <w:sz w:val="21"/>
                <w:szCs w:val="21"/>
              </w:rPr>
              <w:t>序号</w:t>
            </w:r>
          </w:p>
        </w:tc>
        <w:tc>
          <w:tcPr>
            <w:tcW w:w="353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000000"/>
                <w:sz w:val="21"/>
                <w:szCs w:val="21"/>
              </w:rPr>
              <w:t>检查项目</w:t>
            </w:r>
          </w:p>
        </w:tc>
        <w:tc>
          <w:tcPr>
            <w:tcW w:w="207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000000"/>
                <w:sz w:val="21"/>
                <w:szCs w:val="21"/>
              </w:rPr>
              <w:t>检查依据</w:t>
            </w:r>
          </w:p>
        </w:tc>
        <w:tc>
          <w:tcPr>
            <w:tcW w:w="69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000000"/>
                <w:sz w:val="21"/>
                <w:szCs w:val="21"/>
              </w:rPr>
              <w:t>检查结果</w:t>
            </w:r>
          </w:p>
        </w:tc>
        <w:tc>
          <w:tcPr>
            <w:tcW w:w="2187"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000000"/>
                <w:sz w:val="21"/>
                <w:szCs w:val="21"/>
              </w:rPr>
              <w:t>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40"/>
              </w:numPr>
              <w:suppressLineNumbers w:val="0"/>
              <w:spacing w:before="0" w:beforeLines="0" w:beforeAutospacing="0" w:after="0" w:afterLines="0" w:afterAutospacing="0"/>
              <w:ind w:left="425" w:leftChars="0" w:right="0" w:hanging="425" w:firstLineChars="0"/>
              <w:rPr>
                <w:rFonts w:hint="default" w:ascii="Times New Roman" w:hAnsi="Times New Roman" w:eastAsia="宋体" w:cs="Times New Roman"/>
                <w:color w:val="auto"/>
                <w:sz w:val="21"/>
                <w:szCs w:val="21"/>
              </w:rPr>
            </w:pPr>
          </w:p>
        </w:tc>
        <w:tc>
          <w:tcPr>
            <w:tcW w:w="353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水泥塞底面到被封隔层顶界距离--般应大于5m特殊井除外</w:t>
            </w:r>
            <w:r>
              <w:rPr>
                <w:rFonts w:hint="eastAsia" w:ascii="Times New Roman" w:hAnsi="Times New Roman" w:eastAsia="宋体" w:cs="Times New Roman"/>
                <w:color w:val="auto"/>
                <w:sz w:val="21"/>
                <w:szCs w:val="21"/>
                <w:lang w:eastAsia="zh-CN"/>
              </w:rPr>
              <w:t>。</w:t>
            </w:r>
          </w:p>
        </w:tc>
        <w:tc>
          <w:tcPr>
            <w:tcW w:w="207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 5587.14-2013</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3.2.2</w:t>
            </w:r>
          </w:p>
        </w:tc>
        <w:tc>
          <w:tcPr>
            <w:tcW w:w="69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187" w:type="dxa"/>
            <w:tcBorders>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堵漏</w:t>
            </w:r>
            <w:r>
              <w:rPr>
                <w:rFonts w:hint="default" w:ascii="Times New Roman" w:hAnsi="Times New Roman" w:eastAsia="宋体" w:cs="Times New Roman"/>
                <w:color w:val="auto"/>
                <w:sz w:val="21"/>
                <w:szCs w:val="21"/>
              </w:rPr>
              <w:t>操作规程</w:t>
            </w:r>
            <w:r>
              <w:rPr>
                <w:rFonts w:hint="default" w:ascii="Times New Roman" w:hAnsi="Times New Roman" w:eastAsia="宋体" w:cs="Times New Roman"/>
                <w:color w:val="auto"/>
                <w:sz w:val="21"/>
                <w:szCs w:val="21"/>
                <w:lang w:val="en-US" w:eastAsia="zh-CN"/>
              </w:rPr>
              <w:t>中规定</w:t>
            </w:r>
            <w:r>
              <w:rPr>
                <w:rFonts w:hint="default" w:ascii="Times New Roman" w:hAnsi="Times New Roman" w:eastAsia="宋体" w:cs="Times New Roman"/>
                <w:color w:val="auto"/>
                <w:sz w:val="21"/>
                <w:szCs w:val="21"/>
              </w:rPr>
              <w:t>封堵层顶界到水泥塞面的距离必须大于5m。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40"/>
              </w:numPr>
              <w:suppressLineNumbers w:val="0"/>
              <w:spacing w:before="0" w:beforeLines="0" w:beforeAutospacing="0" w:after="0" w:afterLines="0" w:afterAutospacing="0"/>
              <w:ind w:left="425" w:leftChars="0" w:right="0" w:hanging="425" w:firstLineChars="0"/>
              <w:rPr>
                <w:rFonts w:hint="default" w:ascii="Times New Roman" w:hAnsi="Times New Roman" w:eastAsia="宋体" w:cs="Times New Roman"/>
                <w:color w:val="auto"/>
                <w:sz w:val="21"/>
                <w:szCs w:val="24"/>
              </w:rPr>
            </w:pPr>
          </w:p>
        </w:tc>
        <w:tc>
          <w:tcPr>
            <w:tcW w:w="3530" w:type="dxa"/>
            <w:tcBorders>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作业前取水样做水分析，取水泥样做水泥浆初凝、终凝、流动度试验和添加剂配方试验。水泥养护温度取注塞深度的温度。</w:t>
            </w:r>
          </w:p>
        </w:tc>
        <w:tc>
          <w:tcPr>
            <w:tcW w:w="207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 5587.14-2013</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4.1.2</w:t>
            </w:r>
          </w:p>
        </w:tc>
        <w:tc>
          <w:tcPr>
            <w:tcW w:w="690" w:type="dxa"/>
            <w:tcBorders>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187" w:type="dxa"/>
            <w:tcBorders>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sz w:val="21"/>
                <w:szCs w:val="21"/>
                <w:lang w:val="en-US" w:eastAsia="zh-CN"/>
              </w:rPr>
              <w:t>堵漏</w:t>
            </w:r>
            <w:r>
              <w:rPr>
                <w:rFonts w:hint="default" w:ascii="Times New Roman" w:hAnsi="Times New Roman" w:eastAsia="宋体" w:cs="Times New Roman"/>
                <w:color w:val="auto"/>
                <w:sz w:val="21"/>
                <w:szCs w:val="21"/>
              </w:rPr>
              <w:t>操作规程</w:t>
            </w:r>
            <w:r>
              <w:rPr>
                <w:rFonts w:hint="default" w:ascii="Times New Roman" w:hAnsi="Times New Roman" w:eastAsia="宋体" w:cs="Times New Roman"/>
                <w:color w:val="auto"/>
                <w:sz w:val="21"/>
                <w:szCs w:val="21"/>
                <w:lang w:val="en-US" w:eastAsia="zh-CN"/>
              </w:rPr>
              <w:t>中规定</w:t>
            </w:r>
            <w:r>
              <w:rPr>
                <w:rFonts w:hint="eastAsia" w:cs="Times New Roman"/>
                <w:color w:val="auto"/>
                <w:sz w:val="21"/>
                <w:szCs w:val="21"/>
                <w:lang w:val="en-US" w:eastAsia="zh-CN"/>
              </w:rPr>
              <w:t>中已明确：作业前取水泥样和水样作水泥浆初凝、终凝、流动度试验和添加剂配方试验。水泥养护温度应按作业井段的温度。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40"/>
              </w:numPr>
              <w:suppressLineNumbers w:val="0"/>
              <w:spacing w:before="0" w:beforeLines="0" w:beforeAutospacing="0" w:after="0" w:afterLines="0" w:afterAutospacing="0"/>
              <w:ind w:left="425" w:leftChars="0" w:right="0" w:hanging="425" w:firstLineChars="0"/>
              <w:rPr>
                <w:rFonts w:hint="default" w:ascii="Times New Roman" w:hAnsi="Times New Roman" w:eastAsia="宋体" w:cs="Times New Roman"/>
                <w:color w:val="auto"/>
                <w:sz w:val="21"/>
                <w:szCs w:val="24"/>
              </w:rPr>
            </w:pPr>
          </w:p>
        </w:tc>
        <w:tc>
          <w:tcPr>
            <w:tcW w:w="353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注塞之前，按设计要求对上部套管进行试压，确认套管无漏失。</w:t>
            </w:r>
          </w:p>
        </w:tc>
        <w:tc>
          <w:tcPr>
            <w:tcW w:w="207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 5587.14-2013</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5.1.1</w:t>
            </w:r>
          </w:p>
        </w:tc>
        <w:tc>
          <w:tcPr>
            <w:tcW w:w="69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187" w:type="dxa"/>
            <w:tcBorders>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sz w:val="21"/>
                <w:szCs w:val="21"/>
                <w:lang w:val="en-US" w:eastAsia="zh-CN"/>
              </w:rPr>
              <w:t>堵漏</w:t>
            </w:r>
            <w:r>
              <w:rPr>
                <w:rFonts w:hint="default" w:ascii="Times New Roman" w:hAnsi="Times New Roman" w:eastAsia="宋体" w:cs="Times New Roman"/>
                <w:color w:val="auto"/>
                <w:sz w:val="21"/>
                <w:szCs w:val="21"/>
              </w:rPr>
              <w:t>操作规程</w:t>
            </w:r>
            <w:r>
              <w:rPr>
                <w:rFonts w:hint="default" w:ascii="Times New Roman" w:hAnsi="Times New Roman" w:eastAsia="宋体" w:cs="Times New Roman"/>
                <w:color w:val="auto"/>
                <w:sz w:val="21"/>
                <w:szCs w:val="21"/>
                <w:lang w:val="en-US" w:eastAsia="zh-CN"/>
              </w:rPr>
              <w:t>中规定</w:t>
            </w:r>
            <w:r>
              <w:rPr>
                <w:rFonts w:hint="eastAsia" w:cs="Times New Roman"/>
                <w:color w:val="auto"/>
                <w:sz w:val="21"/>
                <w:szCs w:val="21"/>
                <w:lang w:val="en-US" w:eastAsia="zh-CN"/>
              </w:rPr>
              <w:t>中规定了：水泥车就位后，连接井口进、出口管线，对井口和高压管线进行水压密封试验。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40"/>
              </w:numPr>
              <w:suppressLineNumbers w:val="0"/>
              <w:spacing w:before="0" w:beforeLines="0" w:beforeAutospacing="0" w:after="0" w:afterLines="0" w:afterAutospacing="0"/>
              <w:ind w:left="425" w:leftChars="0" w:right="0" w:hanging="425" w:firstLineChars="0"/>
              <w:rPr>
                <w:rFonts w:hint="default" w:ascii="Times New Roman" w:hAnsi="Times New Roman" w:eastAsia="宋体" w:cs="Times New Roman"/>
                <w:color w:val="auto"/>
                <w:sz w:val="21"/>
                <w:szCs w:val="24"/>
              </w:rPr>
            </w:pPr>
          </w:p>
        </w:tc>
        <w:tc>
          <w:tcPr>
            <w:tcW w:w="3530" w:type="dxa"/>
            <w:tcBorders>
              <w:tl2br w:val="nil"/>
              <w:tr2bl w:val="nil"/>
            </w:tcBorders>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上提管柱至预计水泥塞面100m以上。</w:t>
            </w:r>
          </w:p>
        </w:tc>
        <w:tc>
          <w:tcPr>
            <w:tcW w:w="207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SY/T 5587.14-2013</w:t>
            </w:r>
          </w:p>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5.1.</w:t>
            </w:r>
            <w:r>
              <w:rPr>
                <w:rFonts w:hint="eastAsia" w:cs="Times New Roman"/>
                <w:color w:val="auto"/>
                <w:sz w:val="21"/>
                <w:szCs w:val="21"/>
                <w:lang w:val="en-US" w:eastAsia="zh-CN"/>
              </w:rPr>
              <w:t>9</w:t>
            </w:r>
          </w:p>
        </w:tc>
        <w:tc>
          <w:tcPr>
            <w:tcW w:w="69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2187" w:type="dxa"/>
            <w:tcBorders>
              <w:tl2br w:val="nil"/>
              <w:tr2bl w:val="nil"/>
            </w:tcBorders>
            <w:noWrap w:val="0"/>
            <w:vAlign w:val="center"/>
          </w:tcPr>
          <w:p>
            <w:pPr>
              <w:keepNext w:val="0"/>
              <w:keepLines w:val="0"/>
              <w:suppressLineNumbers w:val="0"/>
              <w:adjustRightInd w:val="0"/>
              <w:snapToGrid w:val="0"/>
              <w:spacing w:before="20" w:beforeLines="0" w:beforeAutospacing="0" w:after="20" w:afterLines="0" w:afterAutospacing="0"/>
              <w:ind w:left="0" w:right="0"/>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堵漏</w:t>
            </w:r>
            <w:r>
              <w:rPr>
                <w:rFonts w:hint="default" w:ascii="Times New Roman" w:hAnsi="Times New Roman" w:eastAsia="宋体" w:cs="Times New Roman"/>
                <w:color w:val="auto"/>
                <w:sz w:val="21"/>
                <w:szCs w:val="21"/>
              </w:rPr>
              <w:t>操作规程</w:t>
            </w:r>
            <w:r>
              <w:rPr>
                <w:rFonts w:hint="default" w:ascii="Times New Roman" w:hAnsi="Times New Roman" w:eastAsia="宋体" w:cs="Times New Roman"/>
                <w:color w:val="auto"/>
                <w:sz w:val="21"/>
                <w:szCs w:val="21"/>
                <w:lang w:val="en-US" w:eastAsia="zh-CN"/>
              </w:rPr>
              <w:t>中规定</w:t>
            </w:r>
            <w:r>
              <w:rPr>
                <w:rFonts w:hint="eastAsia" w:cs="Times New Roman"/>
                <w:color w:val="auto"/>
                <w:sz w:val="21"/>
                <w:szCs w:val="21"/>
                <w:lang w:val="en-US" w:eastAsia="zh-CN"/>
              </w:rPr>
              <w:t>中规定了：</w:t>
            </w:r>
            <w:r>
              <w:rPr>
                <w:rFonts w:hint="default" w:ascii="Times New Roman" w:hAnsi="Times New Roman" w:eastAsia="宋体" w:cs="Times New Roman"/>
                <w:color w:val="auto"/>
                <w:sz w:val="21"/>
                <w:szCs w:val="21"/>
              </w:rPr>
              <w:t>上提管柱至距作业井段100m以上。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40"/>
              </w:numPr>
              <w:suppressLineNumbers w:val="0"/>
              <w:spacing w:before="0" w:beforeLines="0" w:beforeAutospacing="0" w:after="0" w:afterLines="0" w:afterAutospacing="0"/>
              <w:ind w:left="425" w:leftChars="0" w:right="0" w:hanging="425" w:firstLineChars="0"/>
              <w:rPr>
                <w:rFonts w:hint="default" w:ascii="Times New Roman" w:hAnsi="Times New Roman" w:eastAsia="宋体" w:cs="Times New Roman"/>
                <w:color w:val="auto"/>
                <w:sz w:val="21"/>
                <w:szCs w:val="24"/>
              </w:rPr>
            </w:pPr>
          </w:p>
        </w:tc>
        <w:tc>
          <w:tcPr>
            <w:tcW w:w="353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sz w:val="21"/>
                <w:szCs w:val="24"/>
              </w:rPr>
              <w:t>压力表的检定和维护应当符合国家计量部门的有关规定，压力表安装前应当进行检定，在刻度盘上应当划出指示工作压力的红线，注明下次检定日期。压力表检定后应当加铅封。</w:t>
            </w:r>
          </w:p>
        </w:tc>
        <w:tc>
          <w:tcPr>
            <w:tcW w:w="2071"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eastAsia" w:ascii="Times New Roman" w:hAnsi="Times New Roman" w:eastAsia="宋体" w:cs="Times New Roman"/>
                <w:color w:val="auto"/>
                <w:sz w:val="21"/>
                <w:szCs w:val="24"/>
              </w:rPr>
            </w:pPr>
            <w:r>
              <w:rPr>
                <w:rFonts w:hint="eastAsia" w:ascii="Times New Roman" w:hAnsi="Times New Roman" w:eastAsia="宋体" w:cs="Times New Roman"/>
                <w:color w:val="auto"/>
                <w:sz w:val="21"/>
                <w:szCs w:val="24"/>
              </w:rPr>
              <w:t>TSG21-2016</w:t>
            </w:r>
          </w:p>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1"/>
                <w:szCs w:val="24"/>
              </w:rPr>
              <w:t>9.2.1.2</w:t>
            </w:r>
          </w:p>
        </w:tc>
        <w:tc>
          <w:tcPr>
            <w:tcW w:w="690" w:type="dxa"/>
            <w:tcBorders>
              <w:tl2br w:val="nil"/>
              <w:tr2bl w:val="nil"/>
            </w:tcBorders>
            <w:noWrap w:val="0"/>
            <w:vAlign w:val="center"/>
          </w:tcPr>
          <w:p>
            <w:pPr>
              <w:keepNext w:val="0"/>
              <w:keepLines w:val="0"/>
              <w:suppressLineNumbers w:val="0"/>
              <w:adjustRightInd w:val="0"/>
              <w:snapToGrid w:val="0"/>
              <w:spacing w:before="0" w:beforeLines="0" w:beforeAutospacing="0" w:after="0" w:afterLines="0" w:afterAutospacing="0"/>
              <w:ind w:left="0" w:right="0"/>
              <w:jc w:val="center"/>
              <w:rPr>
                <w:rFonts w:hint="default" w:ascii="Times New Roman" w:hAnsi="Times New Roman" w:eastAsia="宋体" w:cs="Times New Roman"/>
                <w:color w:val="auto"/>
                <w:sz w:val="21"/>
                <w:szCs w:val="24"/>
              </w:rPr>
            </w:pPr>
            <w:r>
              <w:rPr>
                <w:rFonts w:hint="default" w:ascii="Times New Roman" w:hAnsi="Times New Roman" w:eastAsia="宋体" w:cs="Times New Roman"/>
                <w:color w:val="auto"/>
                <w:sz w:val="21"/>
                <w:szCs w:val="24"/>
              </w:rPr>
              <w:t>√</w:t>
            </w:r>
          </w:p>
        </w:tc>
        <w:tc>
          <w:tcPr>
            <w:tcW w:w="2187" w:type="dxa"/>
            <w:tcBorders>
              <w:tl2br w:val="nil"/>
              <w:tr2bl w:val="nil"/>
            </w:tcBorders>
            <w:noWrap w:val="0"/>
            <w:vAlign w:val="center"/>
          </w:tcPr>
          <w:p>
            <w:pPr>
              <w:keepNext w:val="0"/>
              <w:keepLines w:val="0"/>
              <w:suppressLineNumbers w:val="0"/>
              <w:spacing w:before="0" w:beforeLines="0" w:beforeAutospacing="0" w:after="0" w:afterLines="0" w:afterAutospacing="0"/>
              <w:ind w:left="0" w:right="0"/>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1"/>
                <w:szCs w:val="24"/>
                <w:lang w:val="en-US" w:eastAsia="zh-CN"/>
              </w:rPr>
              <w:t>压力表定期检测，并在有效期内。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40"/>
              </w:numPr>
              <w:suppressLineNumbers w:val="0"/>
              <w:spacing w:before="0" w:beforeLines="0" w:beforeAutospacing="0" w:after="0" w:afterLines="0" w:afterAutospacing="0"/>
              <w:ind w:left="425" w:leftChars="0" w:right="0" w:hanging="425" w:firstLineChars="0"/>
              <w:rPr>
                <w:rFonts w:hint="default" w:ascii="Times New Roman" w:hAnsi="Times New Roman" w:eastAsia="宋体" w:cs="Times New Roman"/>
                <w:color w:val="auto"/>
                <w:sz w:val="21"/>
                <w:szCs w:val="24"/>
              </w:rPr>
            </w:pPr>
          </w:p>
        </w:tc>
        <w:tc>
          <w:tcPr>
            <w:tcW w:w="3530"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left"/>
              <w:rPr>
                <w:rFonts w:hint="default" w:ascii="Times New Roman" w:hAnsi="Times New Roman" w:eastAsia="宋体" w:cs="Times New Roman"/>
                <w:kern w:val="2"/>
                <w:sz w:val="21"/>
                <w:szCs w:val="24"/>
                <w:lang w:val="en-US" w:eastAsia="zh-CN" w:bidi="ar-SA"/>
              </w:rPr>
            </w:pPr>
            <w:r>
              <w:rPr>
                <w:rFonts w:hint="default" w:ascii="Times New Roman" w:hAnsi="Times New Roman" w:cs="Times New Roman"/>
                <w:color w:val="000000" w:themeColor="text1"/>
                <w:szCs w:val="21"/>
                <w14:textFill>
                  <w14:solidFill>
                    <w14:schemeClr w14:val="tx1"/>
                  </w14:solidFill>
                </w14:textFill>
              </w:rPr>
              <w:t>施工作业人员应经相应的岗位技能培训，培训合格方可上岗。</w:t>
            </w:r>
          </w:p>
        </w:tc>
        <w:tc>
          <w:tcPr>
            <w:tcW w:w="2071"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bCs/>
                <w:color w:val="000000" w:themeColor="text1"/>
                <w:szCs w:val="21"/>
                <w14:textFill>
                  <w14:solidFill>
                    <w14:schemeClr w14:val="tx1"/>
                  </w14:solidFill>
                </w14:textFill>
              </w:rPr>
              <w:t>4.1.1</w:t>
            </w:r>
          </w:p>
        </w:tc>
        <w:tc>
          <w:tcPr>
            <w:tcW w:w="690"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4"/>
                <w:lang w:val="en-US" w:eastAsia="zh-CN" w:bidi="ar-SA"/>
              </w:rPr>
            </w:pPr>
            <w:r>
              <w:rPr>
                <w:rFonts w:hint="default" w:ascii="Times New Roman" w:hAnsi="Times New Roman" w:cs="Times New Roman"/>
                <w:bCs/>
                <w:color w:val="000000" w:themeColor="text1"/>
                <w:szCs w:val="21"/>
                <w14:textFill>
                  <w14:solidFill>
                    <w14:schemeClr w14:val="tx1"/>
                  </w14:solidFill>
                </w14:textFill>
              </w:rPr>
              <w:t>√</w:t>
            </w:r>
          </w:p>
        </w:tc>
        <w:tc>
          <w:tcPr>
            <w:tcW w:w="218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color w:val="000000" w:themeColor="text1"/>
                <w:szCs w:val="21"/>
                <w14:textFill>
                  <w14:solidFill>
                    <w14:schemeClr w14:val="tx1"/>
                  </w14:solidFill>
                </w14:textFill>
              </w:rPr>
              <w:t>现场作业人员持“三小证”上岗。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40"/>
              </w:numPr>
              <w:suppressLineNumbers w:val="0"/>
              <w:spacing w:before="0" w:beforeLines="0" w:beforeAutospacing="0" w:after="0" w:afterLines="0" w:afterAutospacing="0"/>
              <w:ind w:left="425" w:leftChars="0" w:right="0" w:hanging="425" w:firstLineChars="0"/>
              <w:rPr>
                <w:rFonts w:hint="default" w:ascii="Times New Roman" w:hAnsi="Times New Roman" w:eastAsia="宋体" w:cs="Times New Roman"/>
                <w:color w:val="auto"/>
                <w:sz w:val="21"/>
                <w:szCs w:val="24"/>
              </w:rPr>
            </w:pPr>
          </w:p>
        </w:tc>
        <w:tc>
          <w:tcPr>
            <w:tcW w:w="3530"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left"/>
              <w:rPr>
                <w:rFonts w:hint="default" w:ascii="Times New Roman" w:hAnsi="Times New Roman" w:eastAsia="宋体" w:cs="Times New Roman"/>
                <w:kern w:val="2"/>
                <w:sz w:val="21"/>
                <w:szCs w:val="24"/>
                <w:lang w:val="en-US" w:eastAsia="zh-CN" w:bidi="ar-SA"/>
              </w:rPr>
            </w:pPr>
            <w:r>
              <w:rPr>
                <w:rFonts w:hint="default" w:ascii="Times New Roman" w:hAnsi="Times New Roman" w:cs="Times New Roman"/>
                <w:color w:val="000000" w:themeColor="text1"/>
                <w:szCs w:val="21"/>
                <w14:textFill>
                  <w14:solidFill>
                    <w14:schemeClr w14:val="tx1"/>
                  </w14:solidFill>
                </w14:textFill>
              </w:rPr>
              <w:t>个人防护用具、气体监测仪器的配备、使用操作、应急抢险和紧急疏散应符合SY/T 6610-2017中第5章、第6章、第7章的规定。</w:t>
            </w:r>
          </w:p>
        </w:tc>
        <w:tc>
          <w:tcPr>
            <w:tcW w:w="2071"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SY/T5727-2020</w:t>
            </w:r>
          </w:p>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bCs/>
                <w:color w:val="000000" w:themeColor="text1"/>
                <w:szCs w:val="21"/>
                <w14:textFill>
                  <w14:solidFill>
                    <w14:schemeClr w14:val="tx1"/>
                  </w14:solidFill>
                </w14:textFill>
              </w:rPr>
              <w:t>4.6.3</w:t>
            </w:r>
          </w:p>
        </w:tc>
        <w:tc>
          <w:tcPr>
            <w:tcW w:w="690"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4"/>
                <w:lang w:val="en-US" w:eastAsia="zh-CN" w:bidi="ar-SA"/>
              </w:rPr>
            </w:pPr>
            <w:r>
              <w:rPr>
                <w:rFonts w:hint="default" w:ascii="Times New Roman" w:hAnsi="Times New Roman" w:cs="Times New Roman"/>
                <w:color w:val="000000" w:themeColor="text1"/>
                <w14:textFill>
                  <w14:solidFill>
                    <w14:schemeClr w14:val="tx1"/>
                  </w14:solidFill>
                </w14:textFill>
              </w:rPr>
              <w:t>√</w:t>
            </w:r>
          </w:p>
        </w:tc>
        <w:tc>
          <w:tcPr>
            <w:tcW w:w="218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color w:val="000000" w:themeColor="text1"/>
                <w:szCs w:val="21"/>
                <w14:textFill>
                  <w14:solidFill>
                    <w14:schemeClr w14:val="tx1"/>
                  </w14:solidFill>
                </w14:textFill>
              </w:rPr>
              <w:t>配备有便携式气体检测仪、空气呼吸器等设备设施，并经检测合格。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40"/>
              </w:numPr>
              <w:suppressLineNumbers w:val="0"/>
              <w:spacing w:before="0" w:beforeLines="0" w:beforeAutospacing="0" w:after="0" w:afterLines="0" w:afterAutospacing="0"/>
              <w:ind w:left="425" w:leftChars="0" w:right="0" w:hanging="425" w:firstLineChars="0"/>
              <w:rPr>
                <w:rFonts w:hint="default" w:ascii="Times New Roman" w:hAnsi="Times New Roman" w:eastAsia="宋体" w:cs="Times New Roman"/>
                <w:color w:val="auto"/>
                <w:sz w:val="21"/>
                <w:szCs w:val="24"/>
              </w:rPr>
            </w:pPr>
          </w:p>
        </w:tc>
        <w:tc>
          <w:tcPr>
            <w:tcW w:w="3530" w:type="dxa"/>
            <w:tcBorders>
              <w:tl2br w:val="nil"/>
              <w:tr2bl w:val="nil"/>
            </w:tcBorders>
            <w:noWrap w:val="0"/>
            <w:vAlign w:val="center"/>
          </w:tcPr>
          <w:p>
            <w:pPr>
              <w:keepNext w:val="0"/>
              <w:keepLines w:val="0"/>
              <w:suppressLineNumbers w:val="0"/>
              <w:overflowPunct w:val="0"/>
              <w:adjustRightInd w:val="0"/>
              <w:snapToGrid w:val="0"/>
              <w:spacing w:before="0" w:beforeAutospacing="0" w:after="0" w:afterAutospacing="0"/>
              <w:ind w:left="0" w:leftChars="0" w:right="0" w:rightChars="0"/>
              <w:jc w:val="left"/>
              <w:rPr>
                <w:rFonts w:hint="default" w:ascii="Times New Roman" w:hAnsi="Times New Roman" w:eastAsia="宋体" w:cs="Times New Roman"/>
                <w:kern w:val="2"/>
                <w:sz w:val="21"/>
                <w:szCs w:val="24"/>
                <w:lang w:val="en-US" w:eastAsia="zh-CN" w:bidi="ar-SA"/>
              </w:rPr>
            </w:pPr>
            <w:r>
              <w:rPr>
                <w:rFonts w:hint="default" w:ascii="Times New Roman" w:hAnsi="Times New Roman" w:cs="Times New Roman"/>
                <w:color w:val="000000" w:themeColor="text1"/>
                <w:kern w:val="0"/>
                <w:szCs w:val="21"/>
                <w14:textFill>
                  <w14:solidFill>
                    <w14:schemeClr w14:val="tx1"/>
                  </w14:solidFill>
                </w14:textFill>
              </w:rPr>
              <w:t>空气呼吸器应每年检验一次；气瓶应每三年检验一次，其安全使用年限不得超过15年。</w:t>
            </w:r>
          </w:p>
        </w:tc>
        <w:tc>
          <w:tcPr>
            <w:tcW w:w="2071" w:type="dxa"/>
            <w:tcBorders>
              <w:tl2br w:val="nil"/>
              <w:tr2bl w:val="nil"/>
            </w:tcBorders>
            <w:noWrap w:val="0"/>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SY/T6277-2017</w:t>
            </w:r>
          </w:p>
          <w:p>
            <w:pPr>
              <w:keepNext w:val="0"/>
              <w:keepLines w:val="0"/>
              <w:suppressLineNumbers w:val="0"/>
              <w:overflowPunct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color w:val="000000" w:themeColor="text1"/>
                <w:kern w:val="0"/>
                <w:szCs w:val="21"/>
                <w14:textFill>
                  <w14:solidFill>
                    <w14:schemeClr w14:val="tx1"/>
                  </w14:solidFill>
                </w14:textFill>
              </w:rPr>
              <w:t>5.1.6.1</w:t>
            </w:r>
          </w:p>
        </w:tc>
        <w:tc>
          <w:tcPr>
            <w:tcW w:w="690"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4"/>
                <w:lang w:val="en-US" w:eastAsia="zh-CN" w:bidi="ar-SA"/>
              </w:rPr>
            </w:pPr>
            <w:r>
              <w:rPr>
                <w:rFonts w:hint="default" w:ascii="Times New Roman" w:hAnsi="Times New Roman" w:cs="Times New Roman"/>
                <w:color w:val="000000" w:themeColor="text1"/>
                <w14:textFill>
                  <w14:solidFill>
                    <w14:schemeClr w14:val="tx1"/>
                  </w14:solidFill>
                </w14:textFill>
              </w:rPr>
              <w:t>√</w:t>
            </w:r>
          </w:p>
        </w:tc>
        <w:tc>
          <w:tcPr>
            <w:tcW w:w="218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color w:val="000000" w:themeColor="text1"/>
                <w:szCs w:val="21"/>
                <w14:textFill>
                  <w14:solidFill>
                    <w14:schemeClr w14:val="tx1"/>
                  </w14:solidFill>
                </w14:textFill>
              </w:rPr>
              <w:t>经定期检测合格。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85" w:type="dxa"/>
            <w:tcBorders>
              <w:tl2br w:val="nil"/>
              <w:tr2bl w:val="nil"/>
            </w:tcBorders>
            <w:noWrap w:val="0"/>
            <w:vAlign w:val="center"/>
          </w:tcPr>
          <w:p>
            <w:pPr>
              <w:keepNext w:val="0"/>
              <w:keepLines w:val="0"/>
              <w:numPr>
                <w:ilvl w:val="0"/>
                <w:numId w:val="40"/>
              </w:numPr>
              <w:suppressLineNumbers w:val="0"/>
              <w:spacing w:before="0" w:beforeLines="0" w:beforeAutospacing="0" w:after="0" w:afterLines="0" w:afterAutospacing="0"/>
              <w:ind w:left="425" w:leftChars="0" w:right="0" w:hanging="425" w:firstLineChars="0"/>
              <w:rPr>
                <w:rFonts w:hint="default" w:ascii="Times New Roman" w:hAnsi="Times New Roman" w:eastAsia="宋体" w:cs="Times New Roman"/>
                <w:color w:val="auto"/>
                <w:sz w:val="21"/>
                <w:szCs w:val="24"/>
              </w:rPr>
            </w:pPr>
          </w:p>
        </w:tc>
        <w:tc>
          <w:tcPr>
            <w:tcW w:w="3530" w:type="dxa"/>
            <w:tcBorders>
              <w:tl2br w:val="nil"/>
              <w:tr2bl w:val="nil"/>
            </w:tcBorders>
            <w:noWrap w:val="0"/>
            <w:vAlign w:val="center"/>
          </w:tcPr>
          <w:p>
            <w:pPr>
              <w:keepNext w:val="0"/>
              <w:keepLines w:val="0"/>
              <w:suppressLineNumbers w:val="0"/>
              <w:overflowPunct w:val="0"/>
              <w:adjustRightInd w:val="0"/>
              <w:snapToGrid w:val="0"/>
              <w:spacing w:before="0" w:beforeAutospacing="0" w:after="0" w:afterAutospacing="0"/>
              <w:ind w:left="0" w:leftChars="0" w:right="0" w:rightChars="0"/>
              <w:jc w:val="left"/>
              <w:rPr>
                <w:rFonts w:hint="default" w:ascii="Times New Roman" w:hAnsi="Times New Roman" w:eastAsia="宋体" w:cs="Times New Roman"/>
                <w:kern w:val="2"/>
                <w:sz w:val="21"/>
                <w:szCs w:val="24"/>
                <w:lang w:val="en-US" w:eastAsia="zh-CN" w:bidi="ar-SA"/>
              </w:rPr>
            </w:pPr>
            <w:r>
              <w:rPr>
                <w:rFonts w:hint="default" w:ascii="Times New Roman" w:hAnsi="Times New Roman" w:cs="Times New Roman"/>
                <w:color w:val="000000" w:themeColor="text1"/>
                <w:kern w:val="0"/>
                <w:szCs w:val="21"/>
                <w14:textFill>
                  <w14:solidFill>
                    <w14:schemeClr w14:val="tx1"/>
                  </w14:solidFill>
                </w14:textFill>
              </w:rPr>
              <w:t>便携式硫化氢气体检测仪每年至少检验一次。</w:t>
            </w:r>
          </w:p>
        </w:tc>
        <w:tc>
          <w:tcPr>
            <w:tcW w:w="2071" w:type="dxa"/>
            <w:tcBorders>
              <w:tl2br w:val="nil"/>
              <w:tr2bl w:val="nil"/>
            </w:tcBorders>
            <w:noWrap w:val="0"/>
            <w:vAlign w:val="center"/>
          </w:tcPr>
          <w:p>
            <w:pPr>
              <w:keepNext w:val="0"/>
              <w:keepLines w:val="0"/>
              <w:suppressLineNumbers w:val="0"/>
              <w:overflowPunct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SY/T6277-2017</w:t>
            </w:r>
          </w:p>
          <w:p>
            <w:pPr>
              <w:keepNext w:val="0"/>
              <w:keepLines w:val="0"/>
              <w:suppressLineNumbers w:val="0"/>
              <w:overflowPunct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color w:val="000000" w:themeColor="text1"/>
                <w:kern w:val="0"/>
                <w:szCs w:val="21"/>
                <w14:textFill>
                  <w14:solidFill>
                    <w14:schemeClr w14:val="tx1"/>
                  </w14:solidFill>
                </w14:textFill>
              </w:rPr>
              <w:t>5.2.6</w:t>
            </w:r>
          </w:p>
        </w:tc>
        <w:tc>
          <w:tcPr>
            <w:tcW w:w="690"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4"/>
                <w:lang w:val="en-US" w:eastAsia="zh-CN" w:bidi="ar-SA"/>
              </w:rPr>
            </w:pPr>
            <w:r>
              <w:rPr>
                <w:rFonts w:hint="default" w:ascii="Times New Roman" w:hAnsi="Times New Roman" w:cs="Times New Roman"/>
                <w:color w:val="000000" w:themeColor="text1"/>
                <w14:textFill>
                  <w14:solidFill>
                    <w14:schemeClr w14:val="tx1"/>
                  </w14:solidFill>
                </w14:textFill>
              </w:rPr>
              <w:t>√</w:t>
            </w:r>
          </w:p>
        </w:tc>
        <w:tc>
          <w:tcPr>
            <w:tcW w:w="2187"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rPr>
                <w:rFonts w:hint="eastAsia" w:ascii="Times New Roman" w:hAnsi="Times New Roman" w:eastAsia="宋体" w:cs="Times New Roman"/>
                <w:kern w:val="2"/>
                <w:sz w:val="21"/>
                <w:szCs w:val="24"/>
                <w:lang w:val="en-US" w:eastAsia="zh-CN" w:bidi="ar-SA"/>
              </w:rPr>
            </w:pPr>
            <w:r>
              <w:rPr>
                <w:rFonts w:hint="default" w:ascii="Times New Roman" w:hAnsi="Times New Roman" w:cs="Times New Roman"/>
                <w:color w:val="000000" w:themeColor="text1"/>
                <w:szCs w:val="21"/>
                <w14:textFill>
                  <w14:solidFill>
                    <w14:schemeClr w14:val="tx1"/>
                  </w14:solidFill>
                </w14:textFill>
              </w:rPr>
              <w:t>经定期检测合格。</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lang w:val="en-US" w:eastAsia="zh-CN"/>
        </w:rPr>
      </w:pPr>
      <w:bookmarkStart w:id="138" w:name="_Toc15907"/>
      <w:r>
        <w:rPr>
          <w:rFonts w:hint="eastAsia" w:ascii="Times New Roman" w:hAnsi="Times New Roman" w:cs="Times New Roman"/>
          <w:sz w:val="28"/>
          <w:lang w:val="en-US" w:eastAsia="zh-CN"/>
        </w:rPr>
        <w:t>评价小结：</w:t>
      </w:r>
      <w:r>
        <w:rPr>
          <w:rFonts w:hint="eastAsia" w:cs="Times New Roman"/>
          <w:sz w:val="28"/>
          <w:lang w:val="en-US" w:eastAsia="zh-CN"/>
        </w:rPr>
        <w:t>堵漏</w:t>
      </w:r>
      <w:r>
        <w:rPr>
          <w:rFonts w:hint="eastAsia" w:ascii="Times New Roman" w:hAnsi="Times New Roman" w:cs="Times New Roman"/>
          <w:sz w:val="28"/>
          <w:lang w:val="en-US" w:eastAsia="zh-CN"/>
        </w:rPr>
        <w:t>安全检查表共设</w:t>
      </w:r>
      <w:r>
        <w:rPr>
          <w:rFonts w:hint="eastAsia" w:cs="Times New Roman"/>
          <w:sz w:val="28"/>
          <w:lang w:val="en-US" w:eastAsia="zh-CN"/>
        </w:rPr>
        <w:t>9</w:t>
      </w:r>
      <w:r>
        <w:rPr>
          <w:rFonts w:hint="eastAsia" w:ascii="Times New Roman" w:hAnsi="Times New Roman" w:cs="Times New Roman"/>
          <w:sz w:val="28"/>
          <w:lang w:val="en-US" w:eastAsia="zh-CN"/>
        </w:rPr>
        <w:t>项检查内容，未发现不符合项。</w:t>
      </w:r>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ascii="Times New Roman" w:hAnsi="Times New Roman" w:eastAsia="楷体_GB2312"/>
          <w:color w:val="auto"/>
          <w:sz w:val="28"/>
          <w:szCs w:val="28"/>
        </w:rPr>
      </w:pPr>
      <w:r>
        <w:rPr>
          <w:rFonts w:hint="eastAsia" w:ascii="Times New Roman" w:hAnsi="Times New Roman"/>
          <w:b w:val="0"/>
          <w:bCs/>
          <w:color w:val="auto"/>
          <w:szCs w:val="32"/>
        </w:rPr>
        <w:t>5.2 管理单元安全检查表</w:t>
      </w:r>
      <w:bookmarkEnd w:id="136"/>
      <w:bookmarkEnd w:id="137"/>
      <w:bookmarkEnd w:id="138"/>
    </w:p>
    <w:p>
      <w:pPr>
        <w:adjustRightInd w:val="0"/>
        <w:snapToGrid w:val="0"/>
        <w:spacing w:line="360" w:lineRule="auto"/>
        <w:ind w:firstLine="560" w:firstLineChars="200"/>
        <w:rPr>
          <w:rFonts w:hint="eastAsia"/>
          <w:sz w:val="28"/>
        </w:rPr>
      </w:pPr>
      <w:r>
        <w:rPr>
          <w:rFonts w:hint="eastAsia"/>
          <w:sz w:val="28"/>
        </w:rPr>
        <w:t>本节根据《中华人民共和国安全生产法》（主席令[2014]第13号</w:t>
      </w:r>
      <w:r>
        <w:rPr>
          <w:rFonts w:hint="eastAsia"/>
          <w:sz w:val="28"/>
          <w:lang w:eastAsia="zh-CN"/>
        </w:rPr>
        <w:t>，</w:t>
      </w:r>
      <w:r>
        <w:rPr>
          <w:rFonts w:hint="eastAsia"/>
          <w:sz w:val="28"/>
        </w:rPr>
        <w:t>[20</w:t>
      </w:r>
      <w:r>
        <w:rPr>
          <w:rFonts w:hint="eastAsia"/>
          <w:sz w:val="28"/>
          <w:lang w:val="en-US" w:eastAsia="zh-CN"/>
        </w:rPr>
        <w:t>21</w:t>
      </w:r>
      <w:r>
        <w:rPr>
          <w:rFonts w:hint="eastAsia"/>
          <w:sz w:val="28"/>
        </w:rPr>
        <w:t>]第</w:t>
      </w:r>
      <w:r>
        <w:rPr>
          <w:rFonts w:hint="eastAsia"/>
          <w:sz w:val="28"/>
          <w:lang w:val="en-US" w:eastAsia="zh-CN"/>
        </w:rPr>
        <w:t>88号令修正</w:t>
      </w:r>
      <w:r>
        <w:rPr>
          <w:rFonts w:hint="eastAsia"/>
          <w:sz w:val="28"/>
        </w:rPr>
        <w:t>）、《石油天然气安全规程》（AQ2012-2007）、《生产安全事故应急预案管理办法》（国家安全生产监督管理总局令[2016]第88号</w:t>
      </w:r>
      <w:r>
        <w:rPr>
          <w:rFonts w:hint="eastAsia"/>
          <w:sz w:val="28"/>
          <w:lang w:eastAsia="zh-CN"/>
        </w:rPr>
        <w:t>，</w:t>
      </w:r>
      <w:r>
        <w:rPr>
          <w:rFonts w:hint="eastAsia"/>
          <w:sz w:val="28"/>
          <w:lang w:val="en-US" w:eastAsia="zh-CN"/>
        </w:rPr>
        <w:t>应急管理部第2号令修订</w:t>
      </w:r>
      <w:r>
        <w:rPr>
          <w:rFonts w:hint="eastAsia"/>
          <w:sz w:val="28"/>
        </w:rPr>
        <w:t>）等法律法规，对本项目安全管理单元进行安全评价，具体</w:t>
      </w:r>
      <w:r>
        <w:rPr>
          <w:sz w:val="28"/>
        </w:rPr>
        <w:t>评价</w:t>
      </w:r>
      <w:r>
        <w:rPr>
          <w:rFonts w:hint="eastAsia"/>
          <w:sz w:val="28"/>
        </w:rPr>
        <w:t>过程</w:t>
      </w:r>
      <w:r>
        <w:rPr>
          <w:sz w:val="28"/>
        </w:rPr>
        <w:t>见</w:t>
      </w:r>
      <w:r>
        <w:rPr>
          <w:rFonts w:hint="eastAsia"/>
          <w:sz w:val="28"/>
        </w:rPr>
        <w:t>表5-</w:t>
      </w:r>
      <w:r>
        <w:rPr>
          <w:rFonts w:hint="eastAsia"/>
          <w:sz w:val="28"/>
          <w:lang w:val="en-US" w:eastAsia="zh-CN"/>
        </w:rPr>
        <w:t>16</w:t>
      </w:r>
      <w:r>
        <w:rPr>
          <w:rFonts w:hint="eastAsia"/>
          <w:sz w:val="28"/>
        </w:rPr>
        <w:t>。</w:t>
      </w:r>
    </w:p>
    <w:p>
      <w:pPr>
        <w:adjustRightInd w:val="0"/>
        <w:snapToGrid w:val="0"/>
        <w:spacing w:line="360" w:lineRule="auto"/>
        <w:ind w:firstLine="560" w:firstLineChars="200"/>
        <w:rPr>
          <w:b/>
          <w:sz w:val="24"/>
        </w:rPr>
      </w:pPr>
      <w:r>
        <w:rPr>
          <w:rFonts w:hint="eastAsia"/>
          <w:sz w:val="28"/>
          <w:lang w:val="en-US" w:eastAsia="zh-CN"/>
        </w:rPr>
        <w:t>涉及企业机密，不予公开。</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rPr>
      </w:pPr>
      <w:r>
        <w:rPr>
          <w:rFonts w:hint="eastAsia"/>
          <w:sz w:val="28"/>
        </w:rPr>
        <w:t>评价小结：</w:t>
      </w:r>
    </w:p>
    <w:p>
      <w:pPr>
        <w:adjustRightInd w:val="0"/>
        <w:snapToGrid w:val="0"/>
        <w:spacing w:line="360" w:lineRule="auto"/>
        <w:ind w:firstLine="560" w:firstLineChars="200"/>
        <w:rPr>
          <w:sz w:val="28"/>
          <w:szCs w:val="28"/>
        </w:rPr>
      </w:pPr>
      <w:r>
        <w:rPr>
          <w:rFonts w:hint="eastAsia"/>
          <w:sz w:val="28"/>
        </w:rPr>
        <w:t>安全检查表共列出</w:t>
      </w:r>
      <w:r>
        <w:rPr>
          <w:rFonts w:hint="eastAsia"/>
          <w:sz w:val="28"/>
          <w:lang w:val="en-US" w:eastAsia="zh-CN"/>
        </w:rPr>
        <w:t>41</w:t>
      </w:r>
      <w:r>
        <w:rPr>
          <w:rFonts w:hint="eastAsia"/>
          <w:sz w:val="28"/>
        </w:rPr>
        <w:t>项检查内容，</w:t>
      </w:r>
      <w:r>
        <w:rPr>
          <w:rFonts w:hint="eastAsia"/>
          <w:sz w:val="28"/>
          <w:lang w:val="en-US" w:eastAsia="zh-CN"/>
        </w:rPr>
        <w:t>9</w:t>
      </w:r>
      <w:r>
        <w:rPr>
          <w:rFonts w:hint="eastAsia"/>
          <w:sz w:val="28"/>
          <w:szCs w:val="28"/>
        </w:rPr>
        <w:t>项不符合：</w:t>
      </w:r>
    </w:p>
    <w:p>
      <w:pPr>
        <w:adjustRightInd w:val="0"/>
        <w:snapToGrid w:val="0"/>
        <w:spacing w:line="360" w:lineRule="auto"/>
        <w:ind w:firstLine="560" w:firstLineChars="200"/>
        <w:rPr>
          <w:sz w:val="28"/>
          <w:szCs w:val="28"/>
        </w:rPr>
      </w:pPr>
      <w:r>
        <w:rPr>
          <w:rFonts w:hint="eastAsia"/>
          <w:sz w:val="28"/>
          <w:szCs w:val="28"/>
        </w:rPr>
        <w:t>1.</w:t>
      </w:r>
      <w:r>
        <w:rPr>
          <w:rFonts w:hint="eastAsia"/>
          <w:sz w:val="28"/>
          <w:szCs w:val="28"/>
          <w:lang w:eastAsia="zh-CN"/>
        </w:rPr>
        <w:t>公司</w:t>
      </w:r>
      <w:r>
        <w:rPr>
          <w:rFonts w:hint="eastAsia"/>
          <w:sz w:val="28"/>
          <w:szCs w:val="28"/>
          <w:lang w:val="en-US" w:eastAsia="zh-CN"/>
        </w:rPr>
        <w:t>法人范涛</w:t>
      </w:r>
      <w:r>
        <w:rPr>
          <w:rFonts w:hint="eastAsia"/>
          <w:sz w:val="28"/>
          <w:szCs w:val="28"/>
        </w:rPr>
        <w:t>未取得</w:t>
      </w:r>
      <w:r>
        <w:rPr>
          <w:rFonts w:hint="eastAsia"/>
          <w:sz w:val="28"/>
          <w:szCs w:val="28"/>
          <w:lang w:val="en-US" w:eastAsia="zh-CN"/>
        </w:rPr>
        <w:t>主要负责人</w:t>
      </w:r>
      <w:r>
        <w:rPr>
          <w:rFonts w:hint="eastAsia"/>
          <w:sz w:val="28"/>
          <w:szCs w:val="28"/>
        </w:rPr>
        <w:t>安全管理人员</w:t>
      </w:r>
      <w:r>
        <w:rPr>
          <w:rFonts w:hint="eastAsia"/>
          <w:sz w:val="28"/>
          <w:szCs w:val="28"/>
          <w:lang w:eastAsia="zh-CN"/>
        </w:rPr>
        <w:t>合格</w:t>
      </w:r>
      <w:r>
        <w:rPr>
          <w:rFonts w:hint="eastAsia"/>
          <w:sz w:val="28"/>
          <w:szCs w:val="28"/>
        </w:rPr>
        <w:t>证；</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2.胜利油田康贝油气工程有限公司领导、生产及安全管理人员、现场作业人员中范涛、刘维晨、刘文涛、秦思维等75人井控证因到期等情况无效。</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3.范涛、郭树桐、刘维晨等65人硫化氢培训合格证因到期等情况无效。</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4.郭树桐、刘维晨、高国钊等51人HSE证因到期等情况无效。</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5.压力表台账中部分检测检验已到期。</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6.康贝油气公司配备的空气呼吸器中部分检测检验已到期。</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7.便携式气体检测仪中部分检测检验已到期。</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8.康贝油气公司部分设备设施检测已到期。</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9.2021年、2022年1-2月现场处置方案演练频次不足。</w:t>
      </w:r>
    </w:p>
    <w:p>
      <w:pPr>
        <w:pStyle w:val="4"/>
        <w:adjustRightInd w:val="0"/>
        <w:snapToGrid w:val="0"/>
        <w:spacing w:before="0" w:after="0" w:line="360" w:lineRule="auto"/>
        <w:rPr>
          <w:rFonts w:hint="default" w:ascii="Times New Roman" w:hAnsi="Times New Roman" w:eastAsia="黑体" w:cs="Times New Roman"/>
          <w:color w:val="auto"/>
          <w:sz w:val="28"/>
          <w:szCs w:val="28"/>
          <w:lang w:val="en-US" w:eastAsia="zh-CN"/>
        </w:rPr>
      </w:pPr>
      <w:bookmarkStart w:id="139" w:name="_Toc26207"/>
      <w:bookmarkStart w:id="140" w:name="_Toc13615"/>
      <w:bookmarkStart w:id="141" w:name="_Toc5890"/>
      <w:r>
        <w:rPr>
          <w:rFonts w:hint="default" w:ascii="Times New Roman" w:hAnsi="Times New Roman" w:cs="Times New Roman"/>
          <w:b w:val="0"/>
          <w:bCs/>
          <w:color w:val="auto"/>
          <w:szCs w:val="32"/>
        </w:rPr>
        <w:t>5.</w:t>
      </w:r>
      <w:r>
        <w:rPr>
          <w:rFonts w:hint="default" w:ascii="Times New Roman" w:hAnsi="Times New Roman" w:cs="Times New Roman"/>
          <w:b w:val="0"/>
          <w:bCs/>
          <w:color w:val="auto"/>
          <w:szCs w:val="32"/>
          <w:lang w:val="en-US" w:eastAsia="zh-CN"/>
        </w:rPr>
        <w:t>3</w:t>
      </w:r>
      <w:r>
        <w:rPr>
          <w:rFonts w:hint="default" w:ascii="Times New Roman" w:hAnsi="Times New Roman" w:cs="Times New Roman"/>
          <w:b w:val="0"/>
          <w:bCs/>
          <w:color w:val="auto"/>
          <w:szCs w:val="32"/>
        </w:rPr>
        <w:t xml:space="preserve"> </w:t>
      </w:r>
      <w:r>
        <w:rPr>
          <w:rFonts w:hint="default" w:ascii="Times New Roman" w:hAnsi="Times New Roman" w:cs="Times New Roman"/>
          <w:b w:val="0"/>
          <w:bCs/>
          <w:color w:val="auto"/>
          <w:szCs w:val="32"/>
          <w:lang w:val="en-US" w:eastAsia="zh-CN"/>
        </w:rPr>
        <w:t>作业条件危险性评价</w:t>
      </w:r>
      <w:bookmarkEnd w:id="139"/>
      <w:bookmarkEnd w:id="140"/>
      <w:bookmarkEnd w:id="141"/>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snapToGrid w:val="0"/>
          <w:color w:val="auto"/>
          <w:kern w:val="0"/>
          <w:sz w:val="28"/>
          <w:szCs w:val="28"/>
        </w:rPr>
      </w:pPr>
      <w:r>
        <w:rPr>
          <w:rFonts w:hint="default" w:ascii="Times New Roman" w:hAnsi="Times New Roman" w:cs="Times New Roman"/>
          <w:snapToGrid w:val="0"/>
          <w:color w:val="auto"/>
          <w:kern w:val="0"/>
          <w:sz w:val="28"/>
          <w:szCs w:val="28"/>
        </w:rPr>
        <w:t>根据作业条件危险性评价法的规定，对</w:t>
      </w:r>
      <w:r>
        <w:rPr>
          <w:rFonts w:hint="default" w:ascii="Times New Roman" w:hAnsi="Times New Roman" w:cs="Times New Roman"/>
          <w:snapToGrid w:val="0"/>
          <w:color w:val="auto"/>
          <w:kern w:val="0"/>
          <w:sz w:val="28"/>
          <w:szCs w:val="28"/>
          <w:lang w:eastAsia="zh-CN"/>
        </w:rPr>
        <w:t>该项目</w:t>
      </w:r>
      <w:r>
        <w:rPr>
          <w:rFonts w:hint="default" w:ascii="Times New Roman" w:hAnsi="Times New Roman" w:cs="Times New Roman"/>
          <w:snapToGrid w:val="0"/>
          <w:color w:val="auto"/>
          <w:kern w:val="0"/>
          <w:sz w:val="28"/>
          <w:szCs w:val="28"/>
        </w:rPr>
        <w:t>生产单元运行过程中事故或危险事件发生的可能性（L）、暴露于危险环境的频率（E）及危险严重程度（C）进行取值、计算，得出运行中主要危害的危险程度，详见表</w:t>
      </w:r>
      <w:r>
        <w:rPr>
          <w:rFonts w:hint="default" w:ascii="Times New Roman" w:hAnsi="Times New Roman" w:cs="Times New Roman"/>
          <w:snapToGrid w:val="0"/>
          <w:color w:val="auto"/>
          <w:kern w:val="0"/>
          <w:sz w:val="28"/>
          <w:szCs w:val="28"/>
          <w:lang w:val="en-US" w:eastAsia="zh-CN"/>
        </w:rPr>
        <w:t>5</w:t>
      </w:r>
      <w:r>
        <w:rPr>
          <w:rFonts w:hint="default" w:ascii="Times New Roman" w:hAnsi="Times New Roman" w:cs="Times New Roman"/>
          <w:snapToGrid w:val="0"/>
          <w:color w:val="auto"/>
          <w:kern w:val="0"/>
          <w:sz w:val="28"/>
          <w:szCs w:val="28"/>
        </w:rPr>
        <w:t>-</w:t>
      </w:r>
      <w:r>
        <w:rPr>
          <w:rFonts w:hint="eastAsia" w:cs="Times New Roman"/>
          <w:snapToGrid w:val="0"/>
          <w:color w:val="auto"/>
          <w:kern w:val="0"/>
          <w:sz w:val="28"/>
          <w:szCs w:val="28"/>
          <w:lang w:val="en-US" w:eastAsia="zh-CN"/>
        </w:rPr>
        <w:t>17</w:t>
      </w:r>
      <w:r>
        <w:rPr>
          <w:rFonts w:hint="default" w:ascii="Times New Roman" w:hAnsi="Times New Roman" w:cs="Times New Roman"/>
          <w:snapToGrid w:val="0"/>
          <w:color w:val="auto"/>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b/>
          <w:bCs w:val="0"/>
          <w:color w:val="auto"/>
          <w:sz w:val="21"/>
          <w:szCs w:val="21"/>
        </w:rPr>
        <w:t>表5</w:t>
      </w:r>
      <w:r>
        <w:rPr>
          <w:rFonts w:hint="default" w:ascii="Times New Roman" w:hAnsi="Times New Roman" w:cs="Times New Roman"/>
          <w:b/>
          <w:bCs w:val="0"/>
          <w:color w:val="auto"/>
          <w:sz w:val="21"/>
          <w:szCs w:val="21"/>
          <w:lang w:val="en-US" w:eastAsia="zh-CN"/>
        </w:rPr>
        <w:t>-</w:t>
      </w:r>
      <w:r>
        <w:rPr>
          <w:rFonts w:hint="eastAsia" w:cs="Times New Roman"/>
          <w:b/>
          <w:bCs w:val="0"/>
          <w:color w:val="auto"/>
          <w:sz w:val="21"/>
          <w:szCs w:val="21"/>
          <w:lang w:val="en-US" w:eastAsia="zh-CN"/>
        </w:rPr>
        <w:t>17</w:t>
      </w:r>
      <w:r>
        <w:rPr>
          <w:rFonts w:hint="default" w:ascii="Times New Roman" w:hAnsi="Times New Roman" w:cs="Times New Roman"/>
          <w:b/>
          <w:bCs w:val="0"/>
          <w:color w:val="auto"/>
          <w:sz w:val="21"/>
          <w:szCs w:val="21"/>
        </w:rPr>
        <w:t xml:space="preserve">  </w:t>
      </w:r>
      <w:r>
        <w:rPr>
          <w:rFonts w:hint="eastAsia" w:cs="Times New Roman"/>
          <w:b/>
          <w:bCs w:val="0"/>
          <w:color w:val="auto"/>
          <w:sz w:val="21"/>
          <w:szCs w:val="21"/>
          <w:lang w:val="en-US" w:eastAsia="zh-CN"/>
        </w:rPr>
        <w:t>井下作业</w:t>
      </w:r>
      <w:r>
        <w:rPr>
          <w:rFonts w:hint="default" w:ascii="Times New Roman" w:hAnsi="Times New Roman" w:cs="Times New Roman"/>
          <w:b/>
          <w:bCs w:val="0"/>
          <w:color w:val="auto"/>
          <w:sz w:val="21"/>
          <w:szCs w:val="21"/>
          <w:lang w:val="en-US" w:eastAsia="zh-CN"/>
        </w:rPr>
        <w:t>过程作业条件危险性评价表</w:t>
      </w:r>
    </w:p>
    <w:tbl>
      <w:tblPr>
        <w:tblStyle w:val="52"/>
        <w:tblW w:w="847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2061"/>
        <w:gridCol w:w="1371"/>
        <w:gridCol w:w="709"/>
        <w:gridCol w:w="543"/>
        <w:gridCol w:w="543"/>
        <w:gridCol w:w="802"/>
        <w:gridCol w:w="13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1136"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评价对象</w:t>
            </w:r>
          </w:p>
        </w:tc>
        <w:tc>
          <w:tcPr>
            <w:tcW w:w="2061"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危险源</w:t>
            </w:r>
          </w:p>
        </w:tc>
        <w:tc>
          <w:tcPr>
            <w:tcW w:w="1371"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主要潜在风险</w:t>
            </w:r>
          </w:p>
        </w:tc>
        <w:tc>
          <w:tcPr>
            <w:tcW w:w="2597" w:type="dxa"/>
            <w:gridSpan w:val="4"/>
            <w:tcBorders>
              <w:tl2br w:val="nil"/>
              <w:tr2bl w:val="nil"/>
            </w:tcBorders>
            <w:noWrap w:val="0"/>
            <w:tcMar>
              <w:top w:w="85" w:type="dxa"/>
              <w:left w:w="85" w:type="dxa"/>
              <w:bottom w:w="85" w:type="dxa"/>
              <w:right w:w="85" w:type="dxa"/>
            </w:tcMar>
            <w:vAlign w:val="center"/>
          </w:tcPr>
          <w:p>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风险值D=L×E×C</w:t>
            </w:r>
          </w:p>
        </w:tc>
        <w:tc>
          <w:tcPr>
            <w:tcW w:w="1311"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widowControl/>
              <w:suppressLineNumbers w:val="0"/>
              <w:kinsoku/>
              <w:wordWrap/>
              <w:overflowPunct w:val="0"/>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color w:val="auto"/>
                <w:kern w:val="0"/>
                <w:szCs w:val="21"/>
                <w:lang w:val="en-US" w:eastAsia="zh-CN"/>
              </w:rPr>
            </w:pPr>
            <w:r>
              <w:rPr>
                <w:rFonts w:hint="default" w:ascii="Times New Roman" w:hAnsi="Times New Roman" w:eastAsia="宋体" w:cs="Times New Roman"/>
                <w:b/>
                <w:color w:val="auto"/>
                <w:kern w:val="0"/>
                <w:szCs w:val="21"/>
                <w:lang w:val="en-US" w:eastAsia="zh-CN"/>
              </w:rPr>
              <w:t>危险程度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黑体" w:cs="Times New Roman"/>
                <w:snapToGrid w:val="0"/>
                <w:color w:val="auto"/>
                <w:kern w:val="0"/>
                <w:szCs w:val="21"/>
              </w:rPr>
            </w:pPr>
          </w:p>
        </w:tc>
        <w:tc>
          <w:tcPr>
            <w:tcW w:w="2061"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黑体" w:cs="Times New Roman"/>
                <w:snapToGrid w:val="0"/>
                <w:color w:val="auto"/>
                <w:kern w:val="0"/>
                <w:szCs w:val="21"/>
              </w:rPr>
            </w:pPr>
          </w:p>
        </w:tc>
        <w:tc>
          <w:tcPr>
            <w:tcW w:w="1371"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黑体" w:cs="Times New Roman"/>
                <w:snapToGrid w:val="0"/>
                <w:color w:val="auto"/>
                <w:kern w:val="0"/>
                <w:szCs w:val="21"/>
              </w:rPr>
            </w:pP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黑体" w:cs="Times New Roman"/>
                <w:snapToGrid w:val="0"/>
                <w:color w:val="auto"/>
                <w:kern w:val="0"/>
                <w:szCs w:val="21"/>
              </w:rPr>
            </w:pPr>
            <w:r>
              <w:rPr>
                <w:rFonts w:hint="default" w:ascii="Times New Roman" w:hAnsi="Times New Roman" w:eastAsia="黑体" w:cs="Times New Roman"/>
                <w:snapToGrid w:val="0"/>
                <w:color w:val="auto"/>
                <w:kern w:val="0"/>
                <w:szCs w:val="21"/>
              </w:rPr>
              <w:t>L</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黑体" w:cs="Times New Roman"/>
                <w:snapToGrid w:val="0"/>
                <w:color w:val="auto"/>
                <w:kern w:val="0"/>
                <w:szCs w:val="21"/>
              </w:rPr>
            </w:pPr>
            <w:r>
              <w:rPr>
                <w:rFonts w:hint="default" w:ascii="Times New Roman" w:hAnsi="Times New Roman" w:eastAsia="黑体" w:cs="Times New Roman"/>
                <w:snapToGrid w:val="0"/>
                <w:color w:val="auto"/>
                <w:kern w:val="0"/>
                <w:szCs w:val="21"/>
              </w:rPr>
              <w:t>E</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黑体" w:cs="Times New Roman"/>
                <w:snapToGrid w:val="0"/>
                <w:color w:val="auto"/>
                <w:kern w:val="0"/>
                <w:szCs w:val="21"/>
              </w:rPr>
            </w:pPr>
            <w:r>
              <w:rPr>
                <w:rFonts w:hint="default" w:ascii="Times New Roman" w:hAnsi="Times New Roman" w:eastAsia="黑体" w:cs="Times New Roman"/>
                <w:snapToGrid w:val="0"/>
                <w:color w:val="auto"/>
                <w:kern w:val="0"/>
                <w:szCs w:val="21"/>
              </w:rPr>
              <w:t>C</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黑体" w:cs="Times New Roman"/>
                <w:snapToGrid w:val="0"/>
                <w:color w:val="auto"/>
                <w:kern w:val="0"/>
                <w:szCs w:val="21"/>
              </w:rPr>
            </w:pPr>
            <w:r>
              <w:rPr>
                <w:rFonts w:hint="default" w:ascii="Times New Roman" w:hAnsi="Times New Roman" w:eastAsia="黑体" w:cs="Times New Roman"/>
                <w:snapToGrid w:val="0"/>
                <w:color w:val="auto"/>
                <w:kern w:val="0"/>
                <w:szCs w:val="21"/>
              </w:rPr>
              <w:t>D</w:t>
            </w:r>
          </w:p>
        </w:tc>
        <w:tc>
          <w:tcPr>
            <w:tcW w:w="1311"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黑体" w:cs="Times New Roman"/>
                <w:snapToGrid w:val="0"/>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设备设施</w:t>
            </w:r>
          </w:p>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搬迁</w:t>
            </w:r>
            <w:r>
              <w:rPr>
                <w:rFonts w:hint="eastAsia" w:cs="Times New Roman"/>
                <w:snapToGrid w:val="0"/>
                <w:color w:val="auto"/>
                <w:kern w:val="0"/>
                <w:szCs w:val="21"/>
                <w:lang w:val="en-US" w:eastAsia="zh-CN"/>
              </w:rPr>
              <w:t>、安装</w:t>
            </w:r>
          </w:p>
        </w:tc>
        <w:tc>
          <w:tcPr>
            <w:tcW w:w="2061"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泵</w:t>
            </w:r>
            <w:r>
              <w:rPr>
                <w:rFonts w:hint="default" w:ascii="Times New Roman" w:hAnsi="Times New Roman" w:cs="Times New Roman"/>
                <w:snapToGrid w:val="0"/>
                <w:color w:val="auto"/>
                <w:kern w:val="0"/>
                <w:szCs w:val="21"/>
                <w:lang w:val="en-US" w:eastAsia="zh-CN"/>
              </w:rPr>
              <w:t>车</w:t>
            </w:r>
            <w:r>
              <w:rPr>
                <w:rFonts w:hint="eastAsia" w:cs="Times New Roman"/>
                <w:snapToGrid w:val="0"/>
                <w:color w:val="auto"/>
                <w:kern w:val="0"/>
                <w:szCs w:val="21"/>
                <w:lang w:val="en-US" w:eastAsia="zh-CN"/>
              </w:rPr>
              <w:t>、混砂车等车辆</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车辆伤害</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1</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9</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稍有</w:t>
            </w:r>
            <w:r>
              <w:rPr>
                <w:rFonts w:hint="default" w:ascii="Times New Roman" w:hAnsi="Times New Roman"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p>
        </w:tc>
        <w:tc>
          <w:tcPr>
            <w:tcW w:w="2061"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cs="Times New Roman"/>
                <w:snapToGrid w:val="0"/>
                <w:color w:val="auto"/>
                <w:kern w:val="0"/>
                <w:szCs w:val="21"/>
                <w:lang w:val="en-US" w:eastAsia="zh-CN"/>
              </w:rPr>
            </w:pP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物体打击</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1</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9</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稍有</w:t>
            </w:r>
            <w:r>
              <w:rPr>
                <w:rFonts w:hint="default" w:ascii="Times New Roman" w:hAnsi="Times New Roman"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井架、底座、游车大钩、吊具等作业设备设施</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坍塌</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1</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7</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21</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cs="Times New Roman"/>
                <w:snapToGrid w:val="0"/>
                <w:color w:val="auto"/>
                <w:kern w:val="0"/>
                <w:szCs w:val="21"/>
                <w:lang w:val="en-US" w:eastAsia="zh-CN"/>
              </w:rPr>
            </w:pP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cs="Times New Roman"/>
                <w:snapToGrid w:val="0"/>
                <w:color w:val="auto"/>
                <w:kern w:val="0"/>
                <w:szCs w:val="21"/>
                <w:lang w:val="en-US" w:eastAsia="zh-CN"/>
              </w:rPr>
            </w:pPr>
            <w:r>
              <w:rPr>
                <w:rFonts w:hint="eastAsia" w:cs="Times New Roman"/>
                <w:snapToGrid w:val="0"/>
                <w:color w:val="auto"/>
                <w:kern w:val="0"/>
                <w:szCs w:val="21"/>
                <w:lang w:val="en-US" w:eastAsia="zh-CN"/>
              </w:rPr>
              <w:t>起重伤害</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1</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9</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cs="Times New Roman"/>
                <w:snapToGrid w:val="0"/>
                <w:color w:val="auto"/>
                <w:kern w:val="0"/>
                <w:szCs w:val="21"/>
                <w:lang w:val="en-US" w:eastAsia="zh-CN"/>
              </w:rPr>
            </w:pP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物体打击</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1</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9</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稍有</w:t>
            </w:r>
            <w:r>
              <w:rPr>
                <w:rFonts w:hint="default" w:ascii="Times New Roman" w:hAnsi="Times New Roman"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旋塞阀、防喷器、远程控制台等井控设备</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物体打击</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1</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9</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稍有</w:t>
            </w:r>
            <w:r>
              <w:rPr>
                <w:rFonts w:hint="default" w:ascii="Times New Roman" w:hAnsi="Times New Roman"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cs="Times New Roman"/>
                <w:snapToGrid w:val="0"/>
                <w:color w:val="auto"/>
                <w:kern w:val="0"/>
                <w:szCs w:val="21"/>
                <w:lang w:val="en-US" w:eastAsia="zh-CN"/>
              </w:rPr>
            </w:pP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起重伤害</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1</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9</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稍有危险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cs="Times New Roman"/>
                <w:snapToGrid w:val="0"/>
                <w:color w:val="auto"/>
                <w:kern w:val="0"/>
                <w:szCs w:val="21"/>
                <w:lang w:val="en-US" w:eastAsia="zh-CN"/>
              </w:rPr>
            </w:pPr>
            <w:r>
              <w:rPr>
                <w:rFonts w:hint="eastAsia" w:cs="Times New Roman"/>
                <w:snapToGrid w:val="0"/>
                <w:color w:val="auto"/>
                <w:kern w:val="0"/>
                <w:szCs w:val="21"/>
                <w:lang w:val="en-US" w:eastAsia="zh-CN"/>
              </w:rPr>
              <w:t>电气设备</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触电</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2</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1</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6</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稍有</w:t>
            </w:r>
            <w:r>
              <w:rPr>
                <w:rFonts w:hint="default" w:ascii="Times New Roman" w:hAnsi="Times New Roman"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 w:val="21"/>
                <w:szCs w:val="21"/>
                <w:lang w:val="en-US" w:eastAsia="zh-CN" w:bidi="ar-SA"/>
              </w:rPr>
              <w:t>接拆</w:t>
            </w:r>
            <w:r>
              <w:rPr>
                <w:rFonts w:hint="eastAsia" w:cs="Times New Roman"/>
                <w:snapToGrid w:val="0"/>
                <w:color w:val="auto"/>
                <w:kern w:val="0"/>
                <w:sz w:val="21"/>
                <w:szCs w:val="21"/>
                <w:lang w:val="en-US" w:eastAsia="zh-CN" w:bidi="ar-SA"/>
              </w:rPr>
              <w:t>高压设备、</w:t>
            </w:r>
            <w:r>
              <w:rPr>
                <w:rFonts w:hint="default" w:ascii="Times New Roman" w:hAnsi="Times New Roman" w:cs="Times New Roman"/>
                <w:snapToGrid w:val="0"/>
                <w:color w:val="auto"/>
                <w:kern w:val="0"/>
                <w:sz w:val="21"/>
                <w:szCs w:val="21"/>
                <w:lang w:val="en-US" w:eastAsia="zh-CN" w:bidi="ar-SA"/>
              </w:rPr>
              <w:t>管线</w:t>
            </w:r>
          </w:p>
        </w:tc>
        <w:tc>
          <w:tcPr>
            <w:tcW w:w="2061"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高压设备</w:t>
            </w:r>
            <w:r>
              <w:rPr>
                <w:rFonts w:hint="eastAsia" w:ascii="Times New Roman" w:hAnsi="Times New Roman" w:cs="Times New Roman"/>
                <w:snapToGrid w:val="0"/>
                <w:color w:val="auto"/>
                <w:kern w:val="0"/>
                <w:sz w:val="21"/>
                <w:szCs w:val="21"/>
                <w:lang w:val="en-US" w:eastAsia="zh-CN" w:bidi="ar-SA"/>
              </w:rPr>
              <w:t>、</w:t>
            </w:r>
            <w:r>
              <w:rPr>
                <w:rFonts w:hint="default" w:ascii="Times New Roman" w:hAnsi="Times New Roman" w:cs="Times New Roman"/>
                <w:snapToGrid w:val="0"/>
                <w:color w:val="auto"/>
                <w:kern w:val="0"/>
                <w:sz w:val="21"/>
                <w:szCs w:val="21"/>
                <w:lang w:val="en-US" w:eastAsia="zh-CN" w:bidi="ar-SA"/>
              </w:rPr>
              <w:t>高压管汇等</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物体打击</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3</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27</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2061"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火灾</w:t>
            </w:r>
            <w:r>
              <w:rPr>
                <w:rFonts w:hint="default" w:ascii="Times New Roman" w:hAnsi="Times New Roman" w:cs="Times New Roman"/>
                <w:snapToGrid w:val="0"/>
                <w:color w:val="auto"/>
                <w:kern w:val="0"/>
                <w:sz w:val="21"/>
                <w:szCs w:val="21"/>
                <w:lang w:val="en-US" w:eastAsia="zh-CN" w:bidi="ar-SA"/>
              </w:rPr>
              <w:t>爆炸</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1</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7</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21</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 w:val="21"/>
                <w:szCs w:val="21"/>
                <w:lang w:val="en-US" w:eastAsia="zh-CN" w:bidi="ar-SA"/>
              </w:rPr>
              <w:t>各类施工过程中</w:t>
            </w:r>
          </w:p>
        </w:tc>
        <w:tc>
          <w:tcPr>
            <w:tcW w:w="206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 w:val="21"/>
                <w:szCs w:val="21"/>
                <w:lang w:val="en-US" w:eastAsia="zh-CN" w:bidi="ar-SA"/>
              </w:rPr>
              <w:t>旋转部位</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 w:val="21"/>
                <w:szCs w:val="21"/>
                <w:lang w:val="en-US" w:eastAsia="zh-CN" w:bidi="ar-SA"/>
              </w:rPr>
              <w:t>机械伤害</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1</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9</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稍有</w:t>
            </w:r>
            <w:r>
              <w:rPr>
                <w:rFonts w:hint="default" w:ascii="Times New Roman" w:hAnsi="Times New Roman"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p>
        </w:tc>
        <w:tc>
          <w:tcPr>
            <w:tcW w:w="206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 w:val="21"/>
                <w:szCs w:val="21"/>
                <w:lang w:val="en-US" w:eastAsia="zh-CN" w:bidi="ar-SA"/>
              </w:rPr>
              <w:t>硫化氢气体</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 w:val="21"/>
                <w:szCs w:val="21"/>
                <w:lang w:val="en-US" w:eastAsia="zh-CN" w:bidi="ar-SA"/>
              </w:rPr>
              <w:t>中毒和窒息</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rPr>
              <w:t>1</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1</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40</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szCs w:val="21"/>
                <w:lang w:val="en-US" w:eastAsia="zh-CN"/>
              </w:rPr>
              <w:t>40</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高压管汇</w:t>
            </w:r>
            <w:r>
              <w:rPr>
                <w:rFonts w:hint="eastAsia" w:cs="Times New Roman"/>
                <w:snapToGrid w:val="0"/>
                <w:color w:val="auto"/>
                <w:kern w:val="0"/>
                <w:szCs w:val="21"/>
                <w:lang w:val="en-US" w:eastAsia="zh-CN"/>
              </w:rPr>
              <w:t>、泵类等</w:t>
            </w:r>
            <w:r>
              <w:rPr>
                <w:rFonts w:hint="default" w:ascii="Times New Roman" w:hAnsi="Times New Roman" w:cs="Times New Roman"/>
                <w:snapToGrid w:val="0"/>
                <w:color w:val="auto"/>
                <w:kern w:val="0"/>
                <w:szCs w:val="21"/>
                <w:lang w:val="en-US" w:eastAsia="zh-CN"/>
              </w:rPr>
              <w:t>刺漏</w:t>
            </w:r>
          </w:p>
        </w:tc>
        <w:tc>
          <w:tcPr>
            <w:tcW w:w="1371"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物体打击</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3</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27</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游车大钩等危险性大的设备设施、吊环吊卡等</w:t>
            </w:r>
          </w:p>
        </w:tc>
        <w:tc>
          <w:tcPr>
            <w:tcW w:w="1371"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1</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15</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45</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酸化施工过程管线及泵车等</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灼烫</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1</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9</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稍有</w:t>
            </w:r>
            <w:r>
              <w:rPr>
                <w:rFonts w:hint="default" w:ascii="Times New Roman" w:hAnsi="Times New Roman"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cs="Times New Roman"/>
                <w:snapToGrid w:val="0"/>
                <w:color w:val="auto"/>
                <w:kern w:val="0"/>
                <w:szCs w:val="21"/>
                <w:lang w:val="en-US" w:eastAsia="zh-CN"/>
              </w:rPr>
            </w:pPr>
            <w:r>
              <w:rPr>
                <w:rFonts w:hint="eastAsia" w:cs="Times New Roman"/>
                <w:snapToGrid w:val="0"/>
                <w:color w:val="auto"/>
                <w:kern w:val="0"/>
                <w:szCs w:val="21"/>
                <w:lang w:val="en-US" w:eastAsia="zh-CN"/>
              </w:rPr>
              <w:t>井架、底座等</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eastAsia" w:cs="Times New Roman"/>
                <w:snapToGrid w:val="0"/>
                <w:color w:val="auto"/>
                <w:kern w:val="0"/>
                <w:szCs w:val="21"/>
                <w:lang w:val="en-US" w:eastAsia="zh-CN"/>
              </w:rPr>
            </w:pPr>
            <w:r>
              <w:rPr>
                <w:rFonts w:hint="eastAsia" w:cs="Times New Roman"/>
                <w:snapToGrid w:val="0"/>
                <w:color w:val="auto"/>
                <w:kern w:val="0"/>
                <w:szCs w:val="21"/>
                <w:lang w:val="en-US" w:eastAsia="zh-CN"/>
              </w:rPr>
              <w:t>坍塌</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1</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1</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40</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40</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井场电力线路</w:t>
            </w:r>
            <w:r>
              <w:rPr>
                <w:rFonts w:hint="eastAsia" w:cs="Times New Roman"/>
                <w:snapToGrid w:val="0"/>
                <w:color w:val="auto"/>
                <w:kern w:val="0"/>
                <w:szCs w:val="21"/>
                <w:lang w:val="en-US" w:eastAsia="zh-CN"/>
              </w:rPr>
              <w:t>、用电设备</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触电</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3</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1</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9</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稍有</w:t>
            </w:r>
            <w:r>
              <w:rPr>
                <w:rFonts w:hint="default" w:ascii="Times New Roman" w:hAnsi="Times New Roman" w:cs="Times New Roman"/>
                <w:snapToGrid w:val="0"/>
                <w:color w:val="auto"/>
                <w:kern w:val="0"/>
                <w:szCs w:val="21"/>
              </w:rPr>
              <w:t>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vMerge w:val="restart"/>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井口</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火灾爆炸</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1</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6</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7</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42</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井喷及井喷失控</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1</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6</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7</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42</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cs="Times New Roman"/>
                <w:snapToGrid w:val="0"/>
                <w:color w:val="auto"/>
                <w:kern w:val="0"/>
                <w:szCs w:val="21"/>
                <w:lang w:val="en-US" w:eastAsia="zh-CN"/>
              </w:rPr>
              <w:t>可能危险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36" w:type="dxa"/>
            <w:vMerge w:val="continue"/>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napToGrid w:val="0"/>
                <w:color w:val="auto"/>
                <w:kern w:val="0"/>
                <w:szCs w:val="21"/>
                <w:lang w:val="en-US" w:eastAsia="zh-CN"/>
              </w:rPr>
            </w:pPr>
          </w:p>
        </w:tc>
        <w:tc>
          <w:tcPr>
            <w:tcW w:w="206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大修侧钻二层台、井架等</w:t>
            </w:r>
          </w:p>
        </w:tc>
        <w:tc>
          <w:tcPr>
            <w:tcW w:w="137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cs="Times New Roman"/>
                <w:snapToGrid w:val="0"/>
                <w:color w:val="auto"/>
                <w:kern w:val="0"/>
                <w:szCs w:val="21"/>
                <w:lang w:val="en-US" w:eastAsia="zh-CN"/>
              </w:rPr>
              <w:t>高处坠落</w:t>
            </w:r>
          </w:p>
        </w:tc>
        <w:tc>
          <w:tcPr>
            <w:tcW w:w="709"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1</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1</w:t>
            </w:r>
          </w:p>
        </w:tc>
        <w:tc>
          <w:tcPr>
            <w:tcW w:w="543"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15</w:t>
            </w:r>
          </w:p>
        </w:tc>
        <w:tc>
          <w:tcPr>
            <w:tcW w:w="802"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eastAsia" w:ascii="Times New Roman" w:hAnsi="Times New Roman" w:cs="Times New Roman"/>
                <w:snapToGrid w:val="0"/>
                <w:color w:val="auto"/>
                <w:kern w:val="0"/>
                <w:szCs w:val="21"/>
                <w:lang w:val="en-US" w:eastAsia="zh-CN"/>
              </w:rPr>
              <w:t>15</w:t>
            </w:r>
          </w:p>
        </w:tc>
        <w:tc>
          <w:tcPr>
            <w:tcW w:w="1311" w:type="dxa"/>
            <w:tcBorders>
              <w:tl2br w:val="nil"/>
              <w:tr2bl w:val="nil"/>
            </w:tcBorders>
            <w:noWrap w:val="0"/>
            <w:tcMar>
              <w:top w:w="85" w:type="dxa"/>
              <w:left w:w="85" w:type="dxa"/>
              <w:bottom w:w="85" w:type="dxa"/>
              <w:right w:w="85" w:type="dxa"/>
            </w:tcMar>
            <w:vAlign w:val="center"/>
          </w:tcPr>
          <w:p>
            <w:pPr>
              <w:keepNext w:val="0"/>
              <w:keepLines w:val="0"/>
              <w:pageBreakBefore w:val="0"/>
              <w:suppressLineNumbers w:val="0"/>
              <w:kinsoku/>
              <w:wordWrap/>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snapToGrid w:val="0"/>
                <w:color w:val="auto"/>
                <w:kern w:val="0"/>
                <w:szCs w:val="21"/>
                <w:lang w:val="en-US" w:eastAsia="zh-CN"/>
              </w:rPr>
            </w:pPr>
            <w:r>
              <w:rPr>
                <w:rFonts w:hint="default" w:ascii="Times New Roman" w:hAnsi="Times New Roman" w:cs="Times New Roman"/>
                <w:snapToGrid w:val="0"/>
                <w:color w:val="auto"/>
                <w:kern w:val="0"/>
                <w:szCs w:val="21"/>
                <w:lang w:val="en-US" w:eastAsia="zh-CN"/>
              </w:rPr>
              <w:t>稍有危险</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snapToGrid w:val="0"/>
          <w:color w:val="auto"/>
          <w:kern w:val="0"/>
          <w:sz w:val="28"/>
          <w:szCs w:val="28"/>
          <w:lang w:eastAsia="zh-CN"/>
        </w:rPr>
      </w:pPr>
      <w:r>
        <w:rPr>
          <w:rFonts w:hint="default" w:ascii="Times New Roman" w:hAnsi="Times New Roman" w:cs="Times New Roman"/>
          <w:snapToGrid w:val="0"/>
          <w:color w:val="auto"/>
          <w:kern w:val="0"/>
          <w:sz w:val="28"/>
          <w:szCs w:val="28"/>
        </w:rPr>
        <w:t>经计算得知：</w:t>
      </w:r>
      <w:r>
        <w:rPr>
          <w:rFonts w:hint="default" w:ascii="Times New Roman" w:hAnsi="Times New Roman" w:cs="Times New Roman"/>
          <w:snapToGrid w:val="0"/>
          <w:color w:val="auto"/>
          <w:kern w:val="0"/>
          <w:sz w:val="28"/>
          <w:szCs w:val="28"/>
          <w:lang w:eastAsia="zh-CN"/>
        </w:rPr>
        <w:t>该项目</w:t>
      </w:r>
      <w:r>
        <w:rPr>
          <w:rFonts w:hint="default" w:ascii="Times New Roman" w:hAnsi="Times New Roman" w:cs="Times New Roman"/>
          <w:snapToGrid w:val="0"/>
          <w:color w:val="auto"/>
          <w:kern w:val="0"/>
          <w:sz w:val="28"/>
          <w:szCs w:val="28"/>
          <w:lang w:val="en-US" w:eastAsia="zh-CN"/>
        </w:rPr>
        <w:t>现场施工的火灾爆炸、井喷及井喷失控</w:t>
      </w:r>
      <w:r>
        <w:rPr>
          <w:rFonts w:hint="default" w:ascii="Times New Roman" w:hAnsi="Times New Roman" w:cs="Times New Roman"/>
          <w:snapToGrid w:val="0"/>
          <w:color w:val="auto"/>
          <w:kern w:val="0"/>
          <w:sz w:val="28"/>
          <w:szCs w:val="28"/>
        </w:rPr>
        <w:t>事故</w:t>
      </w:r>
      <w:r>
        <w:rPr>
          <w:rFonts w:hint="eastAsia" w:cs="Times New Roman"/>
          <w:snapToGrid w:val="0"/>
          <w:color w:val="auto"/>
          <w:kern w:val="0"/>
          <w:sz w:val="28"/>
          <w:szCs w:val="28"/>
          <w:lang w:eastAsia="zh-CN"/>
        </w:rPr>
        <w:t>、</w:t>
      </w:r>
      <w:r>
        <w:rPr>
          <w:rFonts w:hint="eastAsia" w:cs="Times New Roman"/>
          <w:snapToGrid w:val="0"/>
          <w:color w:val="auto"/>
          <w:kern w:val="0"/>
          <w:sz w:val="28"/>
          <w:szCs w:val="28"/>
          <w:lang w:val="en-US" w:eastAsia="zh-CN"/>
        </w:rPr>
        <w:t>坍塌、物体打击、中毒和窒息</w:t>
      </w:r>
      <w:r>
        <w:rPr>
          <w:rFonts w:hint="default" w:ascii="Times New Roman" w:hAnsi="Times New Roman" w:cs="Times New Roman"/>
          <w:snapToGrid w:val="0"/>
          <w:color w:val="auto"/>
          <w:kern w:val="0"/>
          <w:sz w:val="28"/>
          <w:szCs w:val="28"/>
        </w:rPr>
        <w:t>的危险程度为</w:t>
      </w:r>
      <w:r>
        <w:rPr>
          <w:rFonts w:hint="eastAsia"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rPr>
        <w:t>可能危险</w:t>
      </w:r>
      <w:r>
        <w:rPr>
          <w:rFonts w:hint="eastAsia"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lang w:eastAsia="zh-CN"/>
        </w:rPr>
        <w:t>，</w:t>
      </w:r>
      <w:r>
        <w:rPr>
          <w:rFonts w:hint="default" w:ascii="Times New Roman" w:hAnsi="Times New Roman" w:cs="Times New Roman"/>
          <w:snapToGrid w:val="0"/>
          <w:color w:val="auto"/>
          <w:kern w:val="0"/>
          <w:sz w:val="28"/>
          <w:szCs w:val="28"/>
        </w:rPr>
        <w:t>应作为本工程安全防范的重点</w:t>
      </w:r>
      <w:r>
        <w:rPr>
          <w:rFonts w:hint="default" w:ascii="Times New Roman" w:hAnsi="Times New Roman" w:cs="Times New Roman"/>
          <w:snapToGrid w:val="0"/>
          <w:color w:val="auto"/>
          <w:kern w:val="0"/>
          <w:sz w:val="28"/>
          <w:szCs w:val="28"/>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jc w:val="left"/>
        <w:textAlignment w:val="auto"/>
        <w:rPr>
          <w:sz w:val="28"/>
          <w:szCs w:val="28"/>
        </w:rPr>
      </w:pPr>
      <w:r>
        <w:rPr>
          <w:rFonts w:hint="default" w:ascii="Times New Roman" w:hAnsi="Times New Roman" w:cs="Times New Roman"/>
          <w:snapToGrid w:val="0"/>
          <w:color w:val="auto"/>
          <w:kern w:val="0"/>
          <w:sz w:val="28"/>
          <w:szCs w:val="28"/>
          <w:lang w:val="en-US" w:eastAsia="zh-CN"/>
        </w:rPr>
        <w:t>设备设施搬迁、安装泵车、混砂车等车辆车辆伤害</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物体打击</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井架、底座、游车大钩、吊具等作业设备设施起重伤害</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物体打击</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旋塞阀、防喷器、远程控制台等井控设备物体打击</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起重伤害</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电气设备触电</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各类施工过程中旋转部位机械伤害</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酸化施工过程管线及泵车等灼烫</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井场电力线路、用电设备触电</w:t>
      </w:r>
      <w:r>
        <w:rPr>
          <w:rFonts w:hint="eastAsia" w:cs="Times New Roman"/>
          <w:snapToGrid w:val="0"/>
          <w:color w:val="auto"/>
          <w:kern w:val="0"/>
          <w:sz w:val="28"/>
          <w:szCs w:val="28"/>
          <w:lang w:val="en-US" w:eastAsia="zh-CN"/>
        </w:rPr>
        <w:t>；</w:t>
      </w:r>
      <w:r>
        <w:rPr>
          <w:rFonts w:hint="default" w:ascii="Times New Roman" w:hAnsi="Times New Roman" w:cs="Times New Roman"/>
          <w:snapToGrid w:val="0"/>
          <w:color w:val="auto"/>
          <w:kern w:val="0"/>
          <w:sz w:val="28"/>
          <w:szCs w:val="28"/>
          <w:lang w:val="en-US" w:eastAsia="zh-CN"/>
        </w:rPr>
        <w:t>大修侧钻二层台、井架等高处坠落等事故</w:t>
      </w:r>
      <w:r>
        <w:rPr>
          <w:rFonts w:hint="default" w:ascii="Times New Roman" w:hAnsi="Times New Roman" w:eastAsia="宋体" w:cs="Times New Roman"/>
          <w:snapToGrid w:val="0"/>
          <w:color w:val="auto"/>
          <w:kern w:val="0"/>
          <w:sz w:val="28"/>
          <w:szCs w:val="28"/>
          <w:lang w:val="en-US" w:eastAsia="zh-CN"/>
        </w:rPr>
        <w:t>危险程度均为</w:t>
      </w:r>
      <w:r>
        <w:rPr>
          <w:rFonts w:hint="eastAsia"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稍有危险</w:t>
      </w:r>
      <w:r>
        <w:rPr>
          <w:rFonts w:hint="eastAsia" w:cs="Times New Roman"/>
          <w:snapToGrid w:val="0"/>
          <w:color w:val="auto"/>
          <w:kern w:val="0"/>
          <w:sz w:val="28"/>
          <w:szCs w:val="28"/>
          <w:lang w:val="en-US" w:eastAsia="zh-CN"/>
        </w:rPr>
        <w:t>”</w:t>
      </w:r>
      <w:r>
        <w:rPr>
          <w:rFonts w:hint="default" w:ascii="Times New Roman" w:hAnsi="Times New Roman" w:eastAsia="宋体" w:cs="Times New Roman"/>
          <w:snapToGrid w:val="0"/>
          <w:color w:val="auto"/>
          <w:kern w:val="0"/>
          <w:sz w:val="28"/>
          <w:szCs w:val="28"/>
          <w:lang w:val="en-US" w:eastAsia="zh-CN"/>
        </w:rPr>
        <w:t>，也应引起注意</w:t>
      </w:r>
      <w:r>
        <w:rPr>
          <w:rFonts w:hint="default" w:ascii="Times New Roman" w:hAnsi="Times New Roman" w:cs="Times New Roman"/>
          <w:snapToGrid w:val="0"/>
          <w:color w:val="auto"/>
          <w:kern w:val="0"/>
          <w:sz w:val="28"/>
          <w:szCs w:val="28"/>
          <w:lang w:val="en-US" w:eastAsia="zh-CN"/>
        </w:rPr>
        <w:t>。</w:t>
      </w:r>
    </w:p>
    <w:p>
      <w:pPr>
        <w:widowControl/>
        <w:jc w:val="left"/>
        <w:rPr>
          <w:sz w:val="28"/>
          <w:szCs w:val="28"/>
        </w:rPr>
      </w:pPr>
      <w:r>
        <w:rPr>
          <w:sz w:val="28"/>
          <w:szCs w:val="28"/>
        </w:rPr>
        <w:br w:type="page"/>
      </w:r>
    </w:p>
    <w:p>
      <w:pPr>
        <w:pStyle w:val="3"/>
        <w:adjustRightInd w:val="0"/>
        <w:snapToGrid w:val="0"/>
        <w:spacing w:line="360" w:lineRule="auto"/>
        <w:rPr>
          <w:rFonts w:eastAsia="楷体_GB2312"/>
          <w:b/>
          <w:sz w:val="36"/>
          <w:szCs w:val="36"/>
        </w:rPr>
      </w:pPr>
      <w:bookmarkStart w:id="142" w:name="_Toc4851"/>
      <w:bookmarkStart w:id="143" w:name="_Toc281310753"/>
      <w:r>
        <w:rPr>
          <w:rFonts w:eastAsia="楷体_GB2312"/>
          <w:b/>
          <w:sz w:val="36"/>
          <w:szCs w:val="36"/>
        </w:rPr>
        <w:t>6</w:t>
      </w:r>
      <w:r>
        <w:rPr>
          <w:rFonts w:hint="eastAsia" w:eastAsia="楷体_GB2312"/>
          <w:b/>
          <w:sz w:val="36"/>
          <w:szCs w:val="36"/>
        </w:rPr>
        <w:t xml:space="preserve"> 安全对策措施与管理建议</w:t>
      </w:r>
      <w:bookmarkEnd w:id="142"/>
      <w:bookmarkEnd w:id="143"/>
    </w:p>
    <w:p>
      <w:pPr>
        <w:pStyle w:val="4"/>
        <w:adjustRightInd w:val="0"/>
        <w:snapToGrid w:val="0"/>
        <w:spacing w:before="0" w:after="0" w:line="360" w:lineRule="auto"/>
        <w:rPr>
          <w:rFonts w:ascii="Times New Roman" w:hAnsi="Times New Roman" w:eastAsia="楷体_GB2312"/>
          <w:sz w:val="28"/>
          <w:szCs w:val="28"/>
        </w:rPr>
      </w:pPr>
      <w:bookmarkStart w:id="144" w:name="_Toc4643"/>
      <w:bookmarkStart w:id="145" w:name="_Toc281310754"/>
      <w:r>
        <w:rPr>
          <w:rFonts w:ascii="Times New Roman" w:hAnsi="Times New Roman"/>
          <w:b w:val="0"/>
          <w:bCs/>
          <w:szCs w:val="32"/>
        </w:rPr>
        <w:t>6</w:t>
      </w:r>
      <w:r>
        <w:rPr>
          <w:rFonts w:hint="eastAsia" w:ascii="Times New Roman" w:hAnsi="Times New Roman"/>
          <w:b w:val="0"/>
          <w:bCs/>
          <w:szCs w:val="32"/>
        </w:rPr>
        <w:t>.1 安全对策措施</w:t>
      </w:r>
      <w:bookmarkEnd w:id="144"/>
      <w:bookmarkEnd w:id="145"/>
    </w:p>
    <w:p>
      <w:pPr>
        <w:adjustRightInd w:val="0"/>
        <w:snapToGrid w:val="0"/>
        <w:spacing w:line="360" w:lineRule="auto"/>
        <w:ind w:firstLine="560" w:firstLineChars="200"/>
        <w:rPr>
          <w:sz w:val="28"/>
          <w:szCs w:val="28"/>
        </w:rPr>
      </w:pPr>
      <w:r>
        <w:rPr>
          <w:rFonts w:hint="eastAsia"/>
          <w:sz w:val="28"/>
          <w:szCs w:val="28"/>
        </w:rPr>
        <w:t>本次评价中发现的尚未完善或不符合要求的内容需整改如下：</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rPr>
      </w:pPr>
      <w:r>
        <w:rPr>
          <w:rFonts w:hint="eastAsia"/>
          <w:sz w:val="28"/>
          <w:szCs w:val="28"/>
        </w:rPr>
        <w:t>胜坨油田坨128-斜32井</w:t>
      </w:r>
      <w:r>
        <w:rPr>
          <w:rFonts w:hint="eastAsia"/>
          <w:sz w:val="28"/>
          <w:szCs w:val="28"/>
          <w:lang w:val="en-US" w:eastAsia="zh-CN"/>
        </w:rPr>
        <w:t>远程控制台距井口21.5m。</w:t>
      </w:r>
      <w:r>
        <w:rPr>
          <w:rFonts w:hint="eastAsia"/>
          <w:sz w:val="28"/>
          <w:szCs w:val="28"/>
        </w:rPr>
        <w:t>企业应根据《井下作业安全规程》（SY</w:t>
      </w:r>
      <w:r>
        <w:rPr>
          <w:rFonts w:hint="eastAsia"/>
          <w:sz w:val="28"/>
          <w:szCs w:val="28"/>
          <w:lang w:val="en-US" w:eastAsia="zh-CN"/>
        </w:rPr>
        <w:t>/T</w:t>
      </w:r>
      <w:r>
        <w:rPr>
          <w:rFonts w:hint="eastAsia"/>
          <w:sz w:val="28"/>
          <w:szCs w:val="28"/>
        </w:rPr>
        <w:t>5727-20</w:t>
      </w:r>
      <w:r>
        <w:rPr>
          <w:rFonts w:hint="eastAsia"/>
          <w:sz w:val="28"/>
          <w:szCs w:val="28"/>
          <w:lang w:val="en-US" w:eastAsia="zh-CN"/>
        </w:rPr>
        <w:t>20</w:t>
      </w:r>
      <w:r>
        <w:rPr>
          <w:rFonts w:hint="eastAsia"/>
          <w:sz w:val="28"/>
          <w:szCs w:val="28"/>
        </w:rPr>
        <w:t>）3.2.3要求防喷器远程控制台应面对修井机侧前方25m以外摆放</w:t>
      </w:r>
      <w:r>
        <w:rPr>
          <w:rFonts w:hint="eastAsia"/>
          <w:sz w:val="28"/>
          <w:szCs w:val="28"/>
          <w:lang w:eastAsia="zh-CN"/>
        </w:rPr>
        <w:t>。</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rPr>
        <w:t>胜坨油田坨128-斜32防喷器液压管线未设防碾压保护。企业应根据《井下作业安全规程》（SY</w:t>
      </w:r>
      <w:r>
        <w:rPr>
          <w:rFonts w:hint="eastAsia"/>
          <w:sz w:val="28"/>
          <w:szCs w:val="28"/>
          <w:lang w:val="en-US" w:eastAsia="zh-CN"/>
        </w:rPr>
        <w:t>/T</w:t>
      </w:r>
      <w:r>
        <w:rPr>
          <w:rFonts w:hint="eastAsia"/>
          <w:sz w:val="28"/>
          <w:szCs w:val="28"/>
        </w:rPr>
        <w:t>5727-20</w:t>
      </w:r>
      <w:r>
        <w:rPr>
          <w:rFonts w:hint="eastAsia"/>
          <w:sz w:val="28"/>
          <w:szCs w:val="28"/>
          <w:lang w:val="en-US" w:eastAsia="zh-CN"/>
        </w:rPr>
        <w:t>20</w:t>
      </w:r>
      <w:r>
        <w:rPr>
          <w:rFonts w:hint="eastAsia"/>
          <w:sz w:val="28"/>
          <w:szCs w:val="28"/>
        </w:rPr>
        <w:t>）3.17.7防喷器液压管线应有防碾压保护。</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乐安油田草4-3-斜326井放喷管线出口距井口15m。企业应根据《井下作业井控技术规程》（SY/T 6690-2016）5.1.3.6等标准规范要求放喷管线及测试流程出口应接至距井口不小于30m以外的安全地带。</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sz w:val="28"/>
          <w:szCs w:val="28"/>
        </w:rPr>
      </w:pPr>
      <w:r>
        <w:rPr>
          <w:rFonts w:hint="eastAsia"/>
          <w:sz w:val="28"/>
          <w:szCs w:val="28"/>
          <w:lang w:val="en-US" w:eastAsia="zh-CN"/>
        </w:rPr>
        <w:t>乐安油田草4-3-斜326井修井机机车禁止攀爬警示牌油污，内容模糊不清。企业应根据《井下作业安全规程》（SY/T5727-2020）3.2.1等标准规范要求设置安全警示标志。</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sz w:val="28"/>
          <w:szCs w:val="28"/>
        </w:rPr>
      </w:pPr>
      <w:r>
        <w:rPr>
          <w:rFonts w:hint="eastAsia"/>
          <w:sz w:val="28"/>
          <w:szCs w:val="28"/>
          <w:lang w:val="en-US" w:eastAsia="zh-CN"/>
        </w:rPr>
        <w:t>公司于2022年4月变更法人，新法人范涛取得安全管理人员证书，未取得主要负责人安全管理证书</w:t>
      </w:r>
      <w:r>
        <w:rPr>
          <w:rFonts w:hint="eastAsia"/>
          <w:sz w:val="28"/>
          <w:szCs w:val="28"/>
        </w:rPr>
        <w:t>，</w:t>
      </w:r>
      <w:r>
        <w:rPr>
          <w:rFonts w:hint="eastAsia"/>
          <w:sz w:val="28"/>
          <w:szCs w:val="28"/>
          <w:lang w:val="en-US" w:eastAsia="zh-CN"/>
        </w:rPr>
        <w:t>企业应根据《根据《中华人民共和国安全生产法》（主席令[2014]第13号，[2021]第88号令修正）》第二十七条等法律法规要求</w:t>
      </w:r>
      <w:r>
        <w:rPr>
          <w:rFonts w:hint="eastAsia"/>
          <w:sz w:val="28"/>
          <w:szCs w:val="28"/>
        </w:rPr>
        <w:t>应及时参见培训、考试，必须具备与本单位所从事的生产经营活动相应的安全生产知识和管理能力。</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胜利油田康贝油气工程有限公司领导、生产及安全管理人员、现场作业人员中范涛、刘维晨、刘文涛、秦思维等75人井控证因到期等情况无效，建议企业对相关人员培训取证后，持证上岗。</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范涛、郭树桐、刘维晨等65人硫化氢培训合格证因到期等情况无效，建议企业对相关人员培训取证后，持证上岗。</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郭树桐、刘维晨、高国钊等51人HSE证因到期等情况无效，建议企业对相关人员培训取证后，持证上岗。</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rFonts w:hint="eastAsia"/>
          <w:sz w:val="28"/>
          <w:szCs w:val="28"/>
          <w:lang w:val="en-US" w:eastAsia="zh-CN"/>
        </w:rPr>
      </w:pPr>
      <w:r>
        <w:rPr>
          <w:rFonts w:hint="eastAsia"/>
          <w:sz w:val="28"/>
          <w:szCs w:val="28"/>
          <w:lang w:val="en-US" w:eastAsia="zh-CN"/>
        </w:rPr>
        <w:t>压力表台账中部分检测检验已到期，建议对压力表进行检测检验。</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sz w:val="28"/>
          <w:szCs w:val="28"/>
        </w:rPr>
      </w:pPr>
      <w:r>
        <w:rPr>
          <w:rFonts w:hint="eastAsia"/>
          <w:sz w:val="28"/>
          <w:szCs w:val="28"/>
          <w:lang w:val="en-US" w:eastAsia="zh-CN"/>
        </w:rPr>
        <w:t>康贝油气公司配备的空气呼吸器中部分检测检验已到期，建议企业尽快对检验到期的空气呼吸器进行检测检验，保证安全设备设施安全有效。</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sz w:val="28"/>
          <w:szCs w:val="28"/>
        </w:rPr>
      </w:pPr>
      <w:r>
        <w:rPr>
          <w:rFonts w:hint="eastAsia"/>
          <w:sz w:val="28"/>
          <w:szCs w:val="28"/>
          <w:lang w:val="en-US" w:eastAsia="zh-CN"/>
        </w:rPr>
        <w:t>便携式气体检测仪中部分检测检验已到期，建议企业尽快对检验到期的气体检测仪进行检测检验，保证安全设备设施安全有效。</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sz w:val="28"/>
          <w:szCs w:val="28"/>
        </w:rPr>
      </w:pPr>
      <w:r>
        <w:rPr>
          <w:rFonts w:hint="eastAsia" w:cs="Times New Roman"/>
          <w:color w:val="auto"/>
          <w:kern w:val="2"/>
          <w:sz w:val="28"/>
          <w:szCs w:val="28"/>
          <w:lang w:val="en-US" w:eastAsia="zh-CN" w:bidi="ar-SA"/>
        </w:rPr>
        <w:t>康贝油气公司部分设备设施检测已到期，</w:t>
      </w:r>
      <w:r>
        <w:rPr>
          <w:rFonts w:hint="eastAsia"/>
          <w:sz w:val="28"/>
          <w:szCs w:val="28"/>
          <w:lang w:val="en-US" w:eastAsia="zh-CN"/>
        </w:rPr>
        <w:t>建议进行重新检验检测。</w:t>
      </w:r>
    </w:p>
    <w:p>
      <w:pPr>
        <w:keepNext w:val="0"/>
        <w:keepLines w:val="0"/>
        <w:pageBreakBefore w:val="0"/>
        <w:widowControl w:val="0"/>
        <w:numPr>
          <w:ilvl w:val="0"/>
          <w:numId w:val="41"/>
        </w:numPr>
        <w:kinsoku/>
        <w:wordWrap/>
        <w:overflowPunct/>
        <w:topLinePunct w:val="0"/>
        <w:autoSpaceDE/>
        <w:autoSpaceDN/>
        <w:bidi w:val="0"/>
        <w:adjustRightInd w:val="0"/>
        <w:snapToGrid w:val="0"/>
        <w:spacing w:line="360" w:lineRule="auto"/>
        <w:ind w:left="0" w:leftChars="0" w:firstLine="560" w:firstLineChars="200"/>
        <w:textAlignment w:val="auto"/>
        <w:rPr>
          <w:sz w:val="28"/>
          <w:szCs w:val="28"/>
        </w:rPr>
      </w:pPr>
      <w:r>
        <w:rPr>
          <w:rFonts w:hint="eastAsia"/>
          <w:sz w:val="28"/>
          <w:szCs w:val="28"/>
          <w:lang w:val="en-US" w:eastAsia="zh-CN"/>
        </w:rPr>
        <w:t>康贝油气公司应急演练中现场处置方案应急演练频次不足。企业经根据《山东省生产安全事故应急办法》每半年至少组织1次综合或者专项应急预案演练，每2年对所有专项应急预案至少组织1次演练，每半年对所有现场处置方案至少组织1次演练。</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sz w:val="28"/>
          <w:szCs w:val="28"/>
        </w:rPr>
      </w:pPr>
      <w:r>
        <w:rPr>
          <w:rFonts w:hint="eastAsia"/>
          <w:sz w:val="28"/>
          <w:szCs w:val="28"/>
        </w:rPr>
        <w:t>企业整改情况见第</w:t>
      </w:r>
      <w:r>
        <w:rPr>
          <w:sz w:val="28"/>
          <w:szCs w:val="28"/>
        </w:rPr>
        <w:t>8</w:t>
      </w:r>
      <w:r>
        <w:rPr>
          <w:rFonts w:hint="eastAsia"/>
          <w:sz w:val="28"/>
          <w:szCs w:val="28"/>
        </w:rPr>
        <w:t>章隐患整改复查情况。</w:t>
      </w:r>
    </w:p>
    <w:p>
      <w:pPr>
        <w:pStyle w:val="4"/>
        <w:adjustRightInd w:val="0"/>
        <w:snapToGrid w:val="0"/>
        <w:spacing w:before="0" w:after="0" w:line="360" w:lineRule="auto"/>
        <w:rPr>
          <w:rFonts w:ascii="Times New Roman" w:hAnsi="Times New Roman"/>
          <w:b w:val="0"/>
          <w:bCs/>
          <w:szCs w:val="32"/>
        </w:rPr>
      </w:pPr>
      <w:bookmarkStart w:id="146" w:name="_Toc26508"/>
      <w:bookmarkStart w:id="147" w:name="_Toc281310755"/>
      <w:r>
        <w:rPr>
          <w:rFonts w:ascii="Times New Roman" w:hAnsi="Times New Roman"/>
          <w:b w:val="0"/>
          <w:bCs/>
          <w:szCs w:val="32"/>
        </w:rPr>
        <w:t>6</w:t>
      </w:r>
      <w:r>
        <w:rPr>
          <w:rFonts w:hint="eastAsia" w:ascii="Times New Roman" w:hAnsi="Times New Roman"/>
          <w:b w:val="0"/>
          <w:bCs/>
          <w:szCs w:val="32"/>
        </w:rPr>
        <w:t>.2 安全管理建议</w:t>
      </w:r>
      <w:bookmarkEnd w:id="146"/>
      <w:bookmarkEnd w:id="147"/>
    </w:p>
    <w:p>
      <w:pPr>
        <w:adjustRightInd w:val="0"/>
        <w:snapToGrid w:val="0"/>
        <w:spacing w:line="360" w:lineRule="auto"/>
        <w:ind w:firstLine="560" w:firstLineChars="200"/>
        <w:rPr>
          <w:sz w:val="28"/>
          <w:szCs w:val="28"/>
        </w:rPr>
      </w:pPr>
      <w:r>
        <w:rPr>
          <w:rFonts w:hint="eastAsia"/>
          <w:sz w:val="28"/>
          <w:szCs w:val="28"/>
        </w:rPr>
        <w:t>针对本次评价中发现的问题，提出以下建议措施：</w:t>
      </w:r>
    </w:p>
    <w:p>
      <w:pPr>
        <w:adjustRightInd w:val="0"/>
        <w:snapToGrid w:val="0"/>
        <w:spacing w:line="360" w:lineRule="auto"/>
        <w:ind w:firstLine="560" w:firstLineChars="200"/>
        <w:rPr>
          <w:rFonts w:hint="default"/>
          <w:sz w:val="28"/>
          <w:szCs w:val="28"/>
          <w:lang w:val="en-US"/>
        </w:rPr>
      </w:pPr>
      <w:r>
        <w:rPr>
          <w:rFonts w:hint="eastAsia"/>
          <w:sz w:val="28"/>
          <w:szCs w:val="28"/>
        </w:rPr>
        <w:t>1.</w:t>
      </w:r>
      <w:r>
        <w:rPr>
          <w:rFonts w:hint="eastAsia"/>
          <w:sz w:val="28"/>
          <w:szCs w:val="28"/>
          <w:lang w:val="en-US" w:eastAsia="zh-CN"/>
        </w:rPr>
        <w:t>主要负责人、安全管理人员安全生产知识和管理能力考核合格证应定期复审。</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2.从业人员未经安全生产教育和培训合格，不得上岗作业。企业应加强对作业人员的培训取证工作，定期组织教育、练兵、应急演练等活动，以提高员工的安全意识和岗位操作技能。此外应掌握新入职员工与证书即将到期的员工的情况，及时进行相应岗位的培训并在取得相应资格证书后再安排进入井场作业。</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3.正压呼吸器、硫化氢报警仪等防护设施定期校验，保证设备设施和防护仪器完好可靠。</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4.作业期间，现场应统一指挥，明确施工的设计要求、地下情况、地面设备及技术要求，落实各项安全防范措施。在生产过程中，将安全生产的相关资料分类归档保存，主要包括作业人员名册、工作日志、培训记录、事故和险情记录、安全设备维修记录情况等。</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5.压力表的检定和维护应当符合国家计量部门的有关规定，压力表安装前应当进行检定，在刻度盘上应当划出指示工作压力的红线，注明下次检定日期。压力表检定后应当加铅封。</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6.危险性较大的设备、设施按照国家有关规定进行定期检测检验。</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sz w:val="28"/>
          <w:szCs w:val="28"/>
          <w:lang w:val="en-US" w:eastAsia="zh-CN"/>
        </w:rPr>
      </w:pPr>
      <w:r>
        <w:rPr>
          <w:rFonts w:hint="eastAsia"/>
          <w:sz w:val="28"/>
          <w:szCs w:val="28"/>
          <w:lang w:val="en-US" w:eastAsia="zh-CN"/>
        </w:rPr>
        <w:t>7.按照《山东省人民政府安全生产委员会关于规范和加强安全生产培训考核工作的指导意见》的要求，加强员工培训工作，在安全教育培训制度中增加“开工第一课”内容，并将“大学习、大培训、大考试”加入日常培训中。</w:t>
      </w:r>
    </w:p>
    <w:p>
      <w:pPr>
        <w:pStyle w:val="2"/>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sz w:val="28"/>
          <w:szCs w:val="28"/>
          <w:lang w:val="en-US" w:eastAsia="zh-CN"/>
        </w:rPr>
      </w:pPr>
      <w:r>
        <w:rPr>
          <w:rFonts w:hint="eastAsia"/>
          <w:sz w:val="28"/>
          <w:szCs w:val="28"/>
          <w:lang w:val="en-US" w:eastAsia="zh-CN"/>
        </w:rPr>
        <w:t>8.按照《井下作业安全规程》（SY/T 5727-2020）等标准规范要求，现场配备齐全安全警示标志，安全标志牌有破损、变形、褪色等应及时更换。</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9.根据《山东省安全生产条例》（2021年12月3日山东省第十三届人民代表大会常务委员会第三十二次会议修订）第十六条、《山东省生产经营单位安全生产主体责任规定》（山东省人民政府令[2018]第311号）中第六条、《关于印发山东省生产经营单位全员安全生产责任清单的通知》《鲁安办发〔2021〕50号》的要求进一步建立、健全安全生产责任制，完善各职能部门的安全职责。</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10.进一步完善公司的应急救援预案，及时更新应急救援小组的小组成员、联系方式及职责。</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11.根据</w:t>
      </w:r>
      <w:r>
        <w:rPr>
          <w:rFonts w:hint="default"/>
          <w:sz w:val="28"/>
          <w:szCs w:val="28"/>
          <w:lang w:val="en-US" w:eastAsia="zh-CN"/>
        </w:rPr>
        <w:t>《山东省生产安全事故应急办法》（省政府341号令）</w:t>
      </w:r>
      <w:r>
        <w:rPr>
          <w:rFonts w:hint="eastAsia"/>
          <w:sz w:val="28"/>
          <w:szCs w:val="28"/>
          <w:lang w:val="en-US" w:eastAsia="zh-CN"/>
        </w:rPr>
        <w:t>：“高危和人员密集单位应当每半年至少组织1次综合或者专项应急预案演练，每2年对所有专项应急预案至少组织1次演练，每半年对所有现场处置方案至少组织1次演练”等要求定期进行应急演练，所有基层队伍进行现场处置方案的演练，并做好应急救援预案的演练记录，演练后，对预案进行评估，找出存在不足和缺陷并进行修改。</w:t>
      </w:r>
    </w:p>
    <w:p>
      <w:pPr>
        <w:adjustRightInd w:val="0"/>
        <w:snapToGrid w:val="0"/>
        <w:spacing w:line="360" w:lineRule="auto"/>
        <w:ind w:firstLine="560" w:firstLineChars="200"/>
        <w:rPr>
          <w:sz w:val="28"/>
          <w:szCs w:val="28"/>
        </w:rPr>
      </w:pPr>
      <w:r>
        <w:rPr>
          <w:rFonts w:hint="eastAsia"/>
          <w:sz w:val="28"/>
          <w:szCs w:val="28"/>
          <w:lang w:val="en-US" w:eastAsia="zh-CN"/>
        </w:rPr>
        <w:t>12.胜利油田康贝油气工程有限公司井下作业涉及小修作业、大修作业、侧钻、连续油管作业、酸</w:t>
      </w:r>
      <w:r>
        <w:rPr>
          <w:rFonts w:hint="eastAsia"/>
          <w:sz w:val="28"/>
          <w:szCs w:val="28"/>
        </w:rPr>
        <w:t>化、防砂、</w:t>
      </w:r>
      <w:r>
        <w:rPr>
          <w:rFonts w:hint="eastAsia"/>
          <w:sz w:val="28"/>
          <w:szCs w:val="28"/>
          <w:lang w:eastAsia="zh-CN"/>
        </w:rPr>
        <w:t>堵水/调剖</w:t>
      </w:r>
      <w:r>
        <w:rPr>
          <w:rFonts w:hint="eastAsia"/>
          <w:sz w:val="28"/>
          <w:szCs w:val="28"/>
        </w:rPr>
        <w:t>、特殊工艺技术服务（套管补贴</w:t>
      </w:r>
      <w:r>
        <w:rPr>
          <w:rFonts w:hint="eastAsia"/>
          <w:sz w:val="28"/>
          <w:szCs w:val="28"/>
          <w:lang w:eastAsia="zh-CN"/>
        </w:rPr>
        <w:t>）</w:t>
      </w:r>
      <w:r>
        <w:rPr>
          <w:rFonts w:hint="eastAsia"/>
          <w:sz w:val="28"/>
          <w:szCs w:val="28"/>
        </w:rPr>
        <w:t>、井下复杂情况处理（打捞、堵漏）、现场试压作业</w:t>
      </w:r>
      <w:r>
        <w:rPr>
          <w:rFonts w:hint="eastAsia"/>
          <w:sz w:val="28"/>
          <w:szCs w:val="28"/>
          <w:lang w:val="en-US" w:eastAsia="zh-CN"/>
        </w:rPr>
        <w:t>等作业类型，</w:t>
      </w:r>
      <w:r>
        <w:rPr>
          <w:rFonts w:hint="eastAsia"/>
          <w:sz w:val="28"/>
          <w:szCs w:val="28"/>
        </w:rPr>
        <w:t>与其他队伍协同作业时，建议双方签订安全管理协议，明确责任和义务，加强作业过程中的安全管理。</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13.作业时要严格按照操作规程和安全管理规定的内容进行，确保人员安全，防止污染环境；佩戴好劳保用品，防止对人员伤害及环境污染。</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14.根据《个体防护装备配备规范第2部分：石油、化工、天然气》（GB39800.2-2020）、《石油天然气作业场所劳动防护用品配备规范》（SY/T6524-2017）等的要求，完善劳动防护用品的配备。</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15.完善安全生产风险分级管控制度，定期进行安全生产风险排查，对排查出的风险点按照危险性确定风险等级，对风险点进行公告警示，并采取相应的风险管控措施，实现风险的动态管理。</w:t>
      </w:r>
    </w:p>
    <w:p>
      <w:pPr>
        <w:adjustRightInd w:val="0"/>
        <w:snapToGrid w:val="0"/>
        <w:spacing w:line="360" w:lineRule="auto"/>
        <w:ind w:firstLine="560" w:firstLineChars="200"/>
        <w:rPr>
          <w:rFonts w:hint="default"/>
          <w:sz w:val="28"/>
          <w:szCs w:val="28"/>
        </w:rPr>
      </w:pPr>
      <w:r>
        <w:rPr>
          <w:rFonts w:hint="eastAsia"/>
          <w:sz w:val="28"/>
          <w:szCs w:val="28"/>
          <w:lang w:val="en-US" w:eastAsia="zh-CN"/>
        </w:rPr>
        <w:t>16</w:t>
      </w:r>
      <w:r>
        <w:rPr>
          <w:rFonts w:hint="default"/>
          <w:sz w:val="28"/>
          <w:szCs w:val="28"/>
          <w:lang w:val="en-US" w:eastAsia="zh-CN"/>
        </w:rPr>
        <w:t>.</w:t>
      </w:r>
      <w:r>
        <w:rPr>
          <w:rFonts w:hint="default"/>
          <w:sz w:val="28"/>
          <w:szCs w:val="28"/>
        </w:rPr>
        <w:t>根据《非煤矿山企业安全生产风险分级管控体系细则》（DB37/T 2972-2017）、《非煤矿山企业生产安全事故隐患排查治理体系细则》（DB37/T 3013-2017）、《陆上石油和天然气开采企业安全生产风险分级管控体系建设实施指南》（DB 37/T 3331-2018）</w:t>
      </w:r>
      <w:r>
        <w:rPr>
          <w:rFonts w:hint="eastAsia"/>
          <w:sz w:val="28"/>
          <w:szCs w:val="28"/>
          <w:lang w:eastAsia="zh-CN"/>
        </w:rPr>
        <w:t>、</w:t>
      </w:r>
      <w:r>
        <w:rPr>
          <w:rFonts w:hint="default"/>
          <w:sz w:val="28"/>
          <w:szCs w:val="28"/>
        </w:rPr>
        <w:t>《陆上石油和天然气开采企业生产安全事故隐患排查治理体系实施指南》（DB 37/T 3332-2018）的要求，生产经营单位应按照企业实际情况不断完善风险分级管控和隐患排查治理体系，应当建立安全生产风险管理机制，定期进行安全生产风险排查，对排查出的风险点按照危险性确定风险等级，并采取相应的风险管控措施，对风险点进行公告警示。</w:t>
      </w:r>
    </w:p>
    <w:p>
      <w:pPr>
        <w:adjustRightInd w:val="0"/>
        <w:snapToGrid w:val="0"/>
        <w:spacing w:line="360" w:lineRule="auto"/>
        <w:ind w:firstLine="560" w:firstLineChars="200"/>
        <w:rPr>
          <w:rFonts w:hint="default"/>
          <w:sz w:val="28"/>
          <w:szCs w:val="28"/>
        </w:rPr>
      </w:pPr>
      <w:r>
        <w:rPr>
          <w:rFonts w:hint="eastAsia"/>
          <w:sz w:val="28"/>
          <w:szCs w:val="28"/>
          <w:lang w:val="en-US" w:eastAsia="zh-CN"/>
        </w:rPr>
        <w:t>17</w:t>
      </w:r>
      <w:r>
        <w:rPr>
          <w:rFonts w:hint="default"/>
          <w:sz w:val="28"/>
          <w:szCs w:val="28"/>
          <w:lang w:val="en-US" w:eastAsia="zh-CN"/>
        </w:rPr>
        <w:t>.根据《山东省生产安全事故隐患排查治理办法》（山东省人民政府令第347号）</w:t>
      </w:r>
      <w:r>
        <w:rPr>
          <w:rFonts w:hint="default"/>
          <w:sz w:val="28"/>
          <w:szCs w:val="28"/>
        </w:rPr>
        <w:t>完善生产安全事故隐患排查治理</w:t>
      </w:r>
      <w:r>
        <w:rPr>
          <w:rFonts w:hint="default"/>
          <w:sz w:val="28"/>
          <w:szCs w:val="28"/>
          <w:lang w:val="en-US" w:eastAsia="zh-CN"/>
        </w:rPr>
        <w:t>工作</w:t>
      </w:r>
      <w:r>
        <w:rPr>
          <w:rFonts w:hint="default"/>
          <w:sz w:val="28"/>
          <w:szCs w:val="28"/>
        </w:rPr>
        <w:t>。</w:t>
      </w:r>
    </w:p>
    <w:p>
      <w:pPr>
        <w:adjustRightInd w:val="0"/>
        <w:snapToGrid w:val="0"/>
        <w:spacing w:line="360" w:lineRule="auto"/>
        <w:ind w:firstLine="560" w:firstLineChars="200"/>
        <w:rPr>
          <w:rFonts w:hint="default"/>
          <w:sz w:val="28"/>
          <w:szCs w:val="28"/>
          <w:lang w:eastAsia="zh-CN"/>
        </w:rPr>
      </w:pPr>
      <w:r>
        <w:rPr>
          <w:rFonts w:hint="eastAsia"/>
          <w:sz w:val="28"/>
          <w:szCs w:val="28"/>
          <w:lang w:val="en-US" w:eastAsia="zh-CN"/>
        </w:rPr>
        <w:t>18</w:t>
      </w:r>
      <w:r>
        <w:rPr>
          <w:rFonts w:hint="default"/>
          <w:sz w:val="28"/>
          <w:szCs w:val="28"/>
          <w:lang w:val="en-US" w:eastAsia="zh-CN"/>
        </w:rPr>
        <w:t>.</w:t>
      </w:r>
      <w:r>
        <w:rPr>
          <w:rFonts w:hint="default"/>
          <w:sz w:val="28"/>
          <w:szCs w:val="28"/>
          <w:lang w:eastAsia="zh-Hans"/>
        </w:rPr>
        <w:t>按照《山东省企业安全生产</w:t>
      </w:r>
      <w:r>
        <w:rPr>
          <w:rFonts w:hint="default"/>
          <w:sz w:val="28"/>
          <w:szCs w:val="28"/>
          <w:lang w:eastAsia="zh-CN"/>
        </w:rPr>
        <w:t>“</w:t>
      </w:r>
      <w:r>
        <w:rPr>
          <w:rFonts w:hint="default"/>
          <w:sz w:val="28"/>
          <w:szCs w:val="28"/>
          <w:lang w:eastAsia="zh-Hans"/>
        </w:rPr>
        <w:t>晨会</w:t>
      </w:r>
      <w:r>
        <w:rPr>
          <w:rFonts w:hint="default"/>
          <w:sz w:val="28"/>
          <w:szCs w:val="28"/>
          <w:lang w:eastAsia="zh-CN"/>
        </w:rPr>
        <w:t>”</w:t>
      </w:r>
      <w:r>
        <w:rPr>
          <w:rFonts w:hint="default"/>
          <w:sz w:val="28"/>
          <w:szCs w:val="28"/>
          <w:lang w:eastAsia="zh-Hans"/>
        </w:rPr>
        <w:t>制度规范（试行）》补充完善安全生产会议制度</w:t>
      </w:r>
      <w:r>
        <w:rPr>
          <w:rFonts w:hint="default"/>
          <w:sz w:val="28"/>
          <w:szCs w:val="28"/>
          <w:lang w:eastAsia="zh-CN"/>
        </w:rPr>
        <w:t>。</w:t>
      </w:r>
    </w:p>
    <w:p>
      <w:pPr>
        <w:adjustRightInd w:val="0"/>
        <w:snapToGrid w:val="0"/>
        <w:spacing w:line="360" w:lineRule="auto"/>
        <w:ind w:firstLine="560" w:firstLineChars="200"/>
        <w:rPr>
          <w:rFonts w:hint="eastAsia"/>
          <w:sz w:val="28"/>
          <w:szCs w:val="28"/>
          <w:lang w:val="en-US" w:eastAsia="zh-CN"/>
        </w:rPr>
      </w:pPr>
      <w:r>
        <w:rPr>
          <w:rFonts w:hint="eastAsia"/>
          <w:sz w:val="28"/>
          <w:szCs w:val="28"/>
          <w:lang w:val="en-US" w:eastAsia="zh-CN"/>
        </w:rPr>
        <w:t>19.建议企业根据《变更管理制度》针对生产经营过程中的相关变更履行变更程序，在以后的安全生产管理过程中严格执行《变更管理制度》，并保存相关变更记录和资料。</w:t>
      </w:r>
    </w:p>
    <w:p>
      <w:pPr>
        <w:adjustRightInd w:val="0"/>
        <w:snapToGrid w:val="0"/>
        <w:spacing w:line="360" w:lineRule="auto"/>
        <w:ind w:firstLine="560" w:firstLineChars="200"/>
        <w:rPr>
          <w:rFonts w:hint="default"/>
          <w:sz w:val="28"/>
          <w:szCs w:val="28"/>
          <w:lang w:val="en-US" w:eastAsia="zh-CN"/>
        </w:rPr>
      </w:pPr>
      <w:r>
        <w:rPr>
          <w:rFonts w:hint="eastAsia"/>
          <w:sz w:val="28"/>
          <w:szCs w:val="28"/>
          <w:lang w:val="en-US" w:eastAsia="zh-CN"/>
        </w:rPr>
        <w:t>20.浅气层井的井控风险高，危害大，建议采取相应的技术措施，保证施工具有浅气层井的井控安全，一定要对浅气层引起足够的重视，加强管理与管控，利用钻井液液柱压力平衡地层压力，在做好一次井控上下功夫。施工中要优化井身结构，优化钻井液性能，降低钻井液粘度，根据区块的特点，要尽量选用不带扶正器的钻具组合，防止起钻抽吸，减少浅气层井的井控风险，同时配备气防设备，保证施工安全。</w:t>
      </w:r>
    </w:p>
    <w:p>
      <w:pPr>
        <w:pStyle w:val="2"/>
        <w:rPr>
          <w:rFonts w:hint="default"/>
          <w:lang w:val="en-US" w:eastAsia="zh-CN"/>
        </w:rPr>
      </w:pPr>
    </w:p>
    <w:p>
      <w:pPr>
        <w:adjustRightInd w:val="0"/>
        <w:snapToGrid w:val="0"/>
        <w:spacing w:line="360" w:lineRule="auto"/>
        <w:ind w:firstLine="560" w:firstLineChars="200"/>
        <w:rPr>
          <w:sz w:val="28"/>
          <w:szCs w:val="28"/>
        </w:rPr>
      </w:pPr>
    </w:p>
    <w:p>
      <w:pPr>
        <w:adjustRightInd w:val="0"/>
        <w:snapToGrid w:val="0"/>
        <w:spacing w:line="360" w:lineRule="auto"/>
        <w:ind w:firstLine="560" w:firstLineChars="200"/>
        <w:rPr>
          <w:sz w:val="28"/>
          <w:szCs w:val="28"/>
        </w:rPr>
        <w:sectPr>
          <w:footerReference r:id="rId1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adjustRightInd w:val="0"/>
        <w:snapToGrid w:val="0"/>
        <w:spacing w:line="360" w:lineRule="auto"/>
        <w:rPr>
          <w:rFonts w:eastAsia="楷体_GB2312"/>
          <w:b/>
          <w:sz w:val="36"/>
          <w:szCs w:val="36"/>
        </w:rPr>
      </w:pPr>
      <w:bookmarkStart w:id="148" w:name="_Toc299030734"/>
      <w:bookmarkStart w:id="149" w:name="_Toc297764496"/>
      <w:bookmarkStart w:id="150" w:name="_Toc22801"/>
      <w:bookmarkStart w:id="151" w:name="_Toc281310756"/>
      <w:r>
        <w:rPr>
          <w:rFonts w:hint="eastAsia" w:eastAsia="楷体_GB2312"/>
          <w:b/>
          <w:sz w:val="36"/>
          <w:szCs w:val="36"/>
          <w:lang w:val="en-US" w:eastAsia="zh-CN"/>
        </w:rPr>
        <w:t>7</w:t>
      </w:r>
      <w:r>
        <w:rPr>
          <w:rFonts w:hint="eastAsia" w:eastAsia="楷体_GB2312"/>
          <w:b/>
          <w:sz w:val="36"/>
          <w:szCs w:val="36"/>
        </w:rPr>
        <w:t xml:space="preserve"> 隐患整改复查情况</w:t>
      </w:r>
      <w:bookmarkEnd w:id="148"/>
      <w:bookmarkEnd w:id="149"/>
      <w:bookmarkEnd w:id="150"/>
    </w:p>
    <w:p>
      <w:pPr>
        <w:adjustRightInd w:val="0"/>
        <w:snapToGrid w:val="0"/>
        <w:spacing w:line="360" w:lineRule="auto"/>
        <w:ind w:firstLine="560" w:firstLineChars="200"/>
        <w:rPr>
          <w:rFonts w:hint="eastAsia"/>
          <w:sz w:val="28"/>
          <w:szCs w:val="28"/>
        </w:rPr>
      </w:pPr>
      <w:r>
        <w:rPr>
          <w:sz w:val="28"/>
          <w:szCs w:val="28"/>
        </w:rPr>
        <w:t>企业接受了本评价组提出的整改建议，对存在的问题进行了整改，本评价组对企业整改情况进行了现场复查，整改复查情况见表</w:t>
      </w:r>
      <w:r>
        <w:rPr>
          <w:rFonts w:hint="eastAsia"/>
          <w:sz w:val="28"/>
          <w:szCs w:val="28"/>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sz w:val="24"/>
          <w:szCs w:val="28"/>
          <w:lang w:val="en-US" w:eastAsia="zh-CN"/>
        </w:rPr>
      </w:pPr>
      <w:r>
        <w:rPr>
          <w:rFonts w:hint="default" w:ascii="Times New Roman" w:hAnsi="Times New Roman" w:cs="Times New Roman"/>
          <w:b/>
          <w:sz w:val="24"/>
          <w:szCs w:val="28"/>
        </w:rPr>
        <w:t>表</w:t>
      </w:r>
      <w:r>
        <w:rPr>
          <w:rFonts w:hint="eastAsia" w:cs="Times New Roman"/>
          <w:b/>
          <w:sz w:val="24"/>
          <w:szCs w:val="28"/>
          <w:lang w:val="en-US" w:eastAsia="zh-CN"/>
        </w:rPr>
        <w:t>7</w:t>
      </w:r>
      <w:r>
        <w:rPr>
          <w:rFonts w:hint="default" w:ascii="Times New Roman" w:hAnsi="Times New Roman" w:cs="Times New Roman"/>
          <w:b/>
          <w:sz w:val="24"/>
          <w:szCs w:val="28"/>
        </w:rPr>
        <w:t>-</w:t>
      </w:r>
      <w:r>
        <w:rPr>
          <w:rFonts w:hint="default" w:ascii="Times New Roman" w:hAnsi="Times New Roman" w:cs="Times New Roman"/>
          <w:b/>
          <w:sz w:val="24"/>
          <w:szCs w:val="28"/>
          <w:lang w:val="en-US" w:eastAsia="zh-CN"/>
        </w:rPr>
        <w:t>1</w:t>
      </w:r>
      <w:r>
        <w:rPr>
          <w:rFonts w:hint="default" w:ascii="Times New Roman" w:hAnsi="Times New Roman" w:cs="Times New Roman"/>
          <w:b/>
          <w:sz w:val="24"/>
          <w:szCs w:val="28"/>
        </w:rPr>
        <w:t xml:space="preserve"> </w:t>
      </w:r>
      <w:r>
        <w:rPr>
          <w:rFonts w:hint="eastAsia" w:cs="Times New Roman"/>
          <w:b/>
          <w:sz w:val="24"/>
          <w:szCs w:val="28"/>
          <w:lang w:val="en-US" w:eastAsia="zh-CN"/>
        </w:rPr>
        <w:t xml:space="preserve"> 企业隐患整改复查情况</w:t>
      </w:r>
      <w:r>
        <w:rPr>
          <w:rFonts w:hint="default" w:ascii="Times New Roman" w:hAnsi="Times New Roman" w:eastAsia="宋体" w:cs="Times New Roman"/>
          <w:b/>
          <w:sz w:val="24"/>
          <w:szCs w:val="28"/>
          <w:lang w:val="en-US" w:eastAsia="zh-CN"/>
        </w:rPr>
        <w:t>表</w:t>
      </w:r>
    </w:p>
    <w:tbl>
      <w:tblPr>
        <w:tblStyle w:val="52"/>
        <w:tblW w:w="93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7"/>
        <w:gridCol w:w="3260"/>
        <w:gridCol w:w="4700"/>
        <w:gridCol w:w="8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527" w:type="dxa"/>
            <w:vAlign w:val="center"/>
          </w:tcPr>
          <w:p>
            <w:pPr>
              <w:keepNext w:val="0"/>
              <w:keepLines w:val="0"/>
              <w:suppressLineNumbers w:val="0"/>
              <w:adjustRightInd w:val="0"/>
              <w:snapToGrid w:val="0"/>
              <w:spacing w:before="0" w:beforeAutospacing="0" w:after="0" w:afterAutospacing="0"/>
              <w:ind w:left="0" w:right="0"/>
              <w:jc w:val="center"/>
              <w:rPr>
                <w:rFonts w:hint="default"/>
                <w:b/>
                <w:bCs/>
                <w:szCs w:val="21"/>
              </w:rPr>
            </w:pPr>
            <w:r>
              <w:rPr>
                <w:rFonts w:hint="default"/>
                <w:b/>
                <w:bCs/>
                <w:szCs w:val="21"/>
              </w:rPr>
              <w:t>序号</w:t>
            </w:r>
          </w:p>
        </w:tc>
        <w:tc>
          <w:tcPr>
            <w:tcW w:w="3260" w:type="dxa"/>
            <w:vAlign w:val="center"/>
          </w:tcPr>
          <w:p>
            <w:pPr>
              <w:keepNext w:val="0"/>
              <w:keepLines w:val="0"/>
              <w:suppressLineNumbers w:val="0"/>
              <w:adjustRightInd w:val="0"/>
              <w:snapToGrid w:val="0"/>
              <w:spacing w:before="0" w:beforeAutospacing="0" w:after="0" w:afterAutospacing="0"/>
              <w:ind w:left="0" w:right="0"/>
              <w:jc w:val="center"/>
              <w:rPr>
                <w:rFonts w:hint="default"/>
                <w:b/>
                <w:bCs/>
                <w:szCs w:val="21"/>
              </w:rPr>
            </w:pPr>
            <w:r>
              <w:rPr>
                <w:rFonts w:hint="default"/>
                <w:b/>
                <w:bCs/>
                <w:szCs w:val="21"/>
              </w:rPr>
              <w:t>存在问题</w:t>
            </w:r>
          </w:p>
        </w:tc>
        <w:tc>
          <w:tcPr>
            <w:tcW w:w="4700" w:type="dxa"/>
            <w:vAlign w:val="center"/>
          </w:tcPr>
          <w:p>
            <w:pPr>
              <w:keepNext w:val="0"/>
              <w:keepLines w:val="0"/>
              <w:suppressLineNumbers w:val="0"/>
              <w:adjustRightInd w:val="0"/>
              <w:snapToGrid w:val="0"/>
              <w:spacing w:before="0" w:beforeAutospacing="0" w:after="0" w:afterAutospacing="0"/>
              <w:ind w:left="0" w:right="0"/>
              <w:jc w:val="center"/>
              <w:rPr>
                <w:rFonts w:hint="default"/>
                <w:b/>
                <w:bCs/>
                <w:szCs w:val="21"/>
              </w:rPr>
            </w:pPr>
            <w:r>
              <w:rPr>
                <w:rFonts w:hint="default"/>
                <w:b/>
                <w:bCs/>
                <w:szCs w:val="21"/>
              </w:rPr>
              <w:t>整改</w:t>
            </w:r>
            <w:r>
              <w:rPr>
                <w:rFonts w:hint="eastAsia"/>
                <w:b/>
                <w:bCs/>
                <w:szCs w:val="21"/>
              </w:rPr>
              <w:t>情况</w:t>
            </w:r>
          </w:p>
        </w:tc>
        <w:tc>
          <w:tcPr>
            <w:tcW w:w="828" w:type="dxa"/>
            <w:vAlign w:val="center"/>
          </w:tcPr>
          <w:p>
            <w:pPr>
              <w:keepNext w:val="0"/>
              <w:keepLines w:val="0"/>
              <w:suppressLineNumbers w:val="0"/>
              <w:adjustRightInd w:val="0"/>
              <w:snapToGrid w:val="0"/>
              <w:spacing w:before="0" w:beforeAutospacing="0" w:after="0" w:afterAutospacing="0"/>
              <w:ind w:left="0" w:right="0"/>
              <w:jc w:val="center"/>
              <w:rPr>
                <w:rFonts w:hint="default"/>
                <w:b/>
                <w:bCs/>
                <w:szCs w:val="21"/>
              </w:rPr>
            </w:pPr>
            <w:r>
              <w:rPr>
                <w:rFonts w:hint="eastAsia"/>
                <w:b/>
                <w:bCs/>
                <w:szCs w:val="21"/>
              </w:rPr>
              <w:t>整改</w:t>
            </w:r>
            <w:r>
              <w:rPr>
                <w:rFonts w:hint="default"/>
                <w:b/>
                <w:bCs/>
                <w:szCs w:val="21"/>
              </w:rPr>
              <w:t>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22"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1</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lang w:eastAsia="zh-CN"/>
              </w:rPr>
            </w:pPr>
            <w:r>
              <w:rPr>
                <w:rFonts w:hint="default"/>
                <w:lang w:eastAsia="zh-CN"/>
              </w:rPr>
              <w:drawing>
                <wp:anchor distT="0" distB="0" distL="114300" distR="114300" simplePos="0" relativeHeight="251675648" behindDoc="0" locked="0" layoutInCell="1" allowOverlap="1">
                  <wp:simplePos x="0" y="0"/>
                  <wp:positionH relativeFrom="column">
                    <wp:posOffset>-3175</wp:posOffset>
                  </wp:positionH>
                  <wp:positionV relativeFrom="paragraph">
                    <wp:posOffset>474980</wp:posOffset>
                  </wp:positionV>
                  <wp:extent cx="1993265" cy="2313305"/>
                  <wp:effectExtent l="0" t="0" r="6985" b="10795"/>
                  <wp:wrapSquare wrapText="bothSides"/>
                  <wp:docPr id="63" name="图片 63" descr="IMG_6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IMG_6463"/>
                          <pic:cNvPicPr>
                            <a:picLocks noChangeAspect="1"/>
                          </pic:cNvPicPr>
                        </pic:nvPicPr>
                        <pic:blipFill>
                          <a:blip r:embed="rId40"/>
                          <a:srcRect l="12074"/>
                          <a:stretch>
                            <a:fillRect/>
                          </a:stretch>
                        </pic:blipFill>
                        <pic:spPr>
                          <a:xfrm>
                            <a:off x="0" y="0"/>
                            <a:ext cx="1993265" cy="2313305"/>
                          </a:xfrm>
                          <a:prstGeom prst="rect">
                            <a:avLst/>
                          </a:prstGeom>
                        </pic:spPr>
                      </pic:pic>
                    </a:graphicData>
                  </a:graphic>
                </wp:anchor>
              </w:drawing>
            </w:r>
            <w:r>
              <w:rPr>
                <w:rFonts w:hint="eastAsia"/>
              </w:rPr>
              <w:t>胜坨油田坨128-斜32井</w:t>
            </w:r>
            <w:r>
              <w:rPr>
                <w:rFonts w:hint="eastAsia"/>
                <w:lang w:val="en-US" w:eastAsia="zh-CN"/>
              </w:rPr>
              <w:t>远程控制台距井口21.5m。</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rPr>
            </w:pPr>
            <w:r>
              <w:rPr>
                <w:rFonts w:hint="eastAsia"/>
                <w:lang w:val="en-US" w:eastAsia="zh-CN"/>
              </w:rPr>
              <w:drawing>
                <wp:anchor distT="0" distB="0" distL="114300" distR="114300" simplePos="0" relativeHeight="251676672" behindDoc="0" locked="0" layoutInCell="1" allowOverlap="1">
                  <wp:simplePos x="0" y="0"/>
                  <wp:positionH relativeFrom="column">
                    <wp:posOffset>69215</wp:posOffset>
                  </wp:positionH>
                  <wp:positionV relativeFrom="paragraph">
                    <wp:posOffset>392430</wp:posOffset>
                  </wp:positionV>
                  <wp:extent cx="2811780" cy="2410460"/>
                  <wp:effectExtent l="0" t="0" r="7620" b="8890"/>
                  <wp:wrapSquare wrapText="bothSides"/>
                  <wp:docPr id="136" name="图片 136" descr="液控箱整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descr="液控箱整改"/>
                          <pic:cNvPicPr>
                            <a:picLocks noChangeAspect="1"/>
                          </pic:cNvPicPr>
                        </pic:nvPicPr>
                        <pic:blipFill>
                          <a:blip r:embed="rId41"/>
                          <a:stretch>
                            <a:fillRect/>
                          </a:stretch>
                        </pic:blipFill>
                        <pic:spPr>
                          <a:xfrm>
                            <a:off x="0" y="0"/>
                            <a:ext cx="2811780" cy="2410460"/>
                          </a:xfrm>
                          <a:prstGeom prst="rect">
                            <a:avLst/>
                          </a:prstGeom>
                        </pic:spPr>
                      </pic:pic>
                    </a:graphicData>
                  </a:graphic>
                </wp:anchor>
              </w:drawing>
            </w:r>
            <w:r>
              <w:rPr>
                <w:rFonts w:hint="eastAsia"/>
                <w:lang w:val="en-US" w:eastAsia="zh-CN"/>
              </w:rPr>
              <w:t>经现场测量，调整防喷器远程控制台距井口26m。</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58"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2</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eastAsia="宋体"/>
                <w:lang w:eastAsia="zh-CN"/>
              </w:rPr>
            </w:pPr>
            <w:r>
              <w:rPr>
                <w:rFonts w:hint="default"/>
                <w:lang w:eastAsia="zh-CN"/>
              </w:rPr>
              <w:drawing>
                <wp:anchor distT="0" distB="0" distL="114300" distR="114300" simplePos="0" relativeHeight="251677696" behindDoc="0" locked="0" layoutInCell="1" allowOverlap="1">
                  <wp:simplePos x="0" y="0"/>
                  <wp:positionH relativeFrom="column">
                    <wp:posOffset>-36830</wp:posOffset>
                  </wp:positionH>
                  <wp:positionV relativeFrom="paragraph">
                    <wp:posOffset>528320</wp:posOffset>
                  </wp:positionV>
                  <wp:extent cx="1919605" cy="2114550"/>
                  <wp:effectExtent l="0" t="0" r="4445" b="0"/>
                  <wp:wrapSquare wrapText="bothSides"/>
                  <wp:docPr id="140" name="图片 140" descr="IMG_6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descr="IMG_6462"/>
                          <pic:cNvPicPr>
                            <a:picLocks noChangeAspect="1"/>
                          </pic:cNvPicPr>
                        </pic:nvPicPr>
                        <pic:blipFill>
                          <a:blip r:embed="rId42"/>
                          <a:stretch>
                            <a:fillRect/>
                          </a:stretch>
                        </pic:blipFill>
                        <pic:spPr>
                          <a:xfrm>
                            <a:off x="0" y="0"/>
                            <a:ext cx="1919605" cy="2114550"/>
                          </a:xfrm>
                          <a:prstGeom prst="rect">
                            <a:avLst/>
                          </a:prstGeom>
                        </pic:spPr>
                      </pic:pic>
                    </a:graphicData>
                  </a:graphic>
                </wp:anchor>
              </w:drawing>
            </w:r>
            <w:r>
              <w:rPr>
                <w:rFonts w:hint="eastAsia"/>
              </w:rPr>
              <w:t>胜坨油田坨128-斜32防喷器液压管线未设防碾压保护。</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eastAsia="宋体"/>
                <w:lang w:val="en-US" w:eastAsia="zh-CN"/>
              </w:rPr>
            </w:pPr>
            <w:r>
              <w:rPr>
                <w:rFonts w:hint="default"/>
                <w:lang w:eastAsia="zh-CN"/>
              </w:rPr>
              <w:drawing>
                <wp:anchor distT="0" distB="0" distL="114300" distR="114300" simplePos="0" relativeHeight="251678720" behindDoc="0" locked="0" layoutInCell="1" allowOverlap="1">
                  <wp:simplePos x="0" y="0"/>
                  <wp:positionH relativeFrom="column">
                    <wp:posOffset>50165</wp:posOffset>
                  </wp:positionH>
                  <wp:positionV relativeFrom="paragraph">
                    <wp:posOffset>371475</wp:posOffset>
                  </wp:positionV>
                  <wp:extent cx="2764155" cy="2313940"/>
                  <wp:effectExtent l="0" t="0" r="17145" b="10160"/>
                  <wp:wrapSquare wrapText="bothSides"/>
                  <wp:docPr id="151" name="图片 151" descr="液压管线盒整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液压管线盒整改"/>
                          <pic:cNvPicPr>
                            <a:picLocks noChangeAspect="1"/>
                          </pic:cNvPicPr>
                        </pic:nvPicPr>
                        <pic:blipFill>
                          <a:blip r:embed="rId43"/>
                          <a:stretch>
                            <a:fillRect/>
                          </a:stretch>
                        </pic:blipFill>
                        <pic:spPr>
                          <a:xfrm>
                            <a:off x="0" y="0"/>
                            <a:ext cx="2764155" cy="2313940"/>
                          </a:xfrm>
                          <a:prstGeom prst="rect">
                            <a:avLst/>
                          </a:prstGeom>
                        </pic:spPr>
                      </pic:pic>
                    </a:graphicData>
                  </a:graphic>
                </wp:anchor>
              </w:drawing>
            </w:r>
            <w:r>
              <w:rPr>
                <w:rFonts w:hint="eastAsia"/>
                <w:lang w:val="en-US" w:eastAsia="zh-CN"/>
              </w:rPr>
              <w:t>防喷器液压管线设防碾压保护盒。</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03"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3</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eastAsia="宋体"/>
                <w:lang w:eastAsia="zh-CN"/>
              </w:rPr>
            </w:pPr>
            <w:r>
              <w:rPr>
                <w:rFonts w:hint="eastAsia"/>
                <w:lang w:val="en-US" w:eastAsia="zh-CN"/>
              </w:rPr>
              <w:t>乐安油田草4-3-斜326井放喷管线出口距井口15m。</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default"/>
                <w:lang w:val="en-US" w:eastAsia="zh-CN"/>
              </w:rPr>
            </w:pPr>
            <w:r>
              <w:rPr>
                <w:rFonts w:hint="eastAsia"/>
                <w:lang w:val="en-US" w:eastAsia="zh-CN"/>
              </w:rPr>
              <w:drawing>
                <wp:anchor distT="0" distB="0" distL="114300" distR="114300" simplePos="0" relativeHeight="251681792" behindDoc="0" locked="0" layoutInCell="1" allowOverlap="1">
                  <wp:simplePos x="0" y="0"/>
                  <wp:positionH relativeFrom="column">
                    <wp:posOffset>-33020</wp:posOffset>
                  </wp:positionH>
                  <wp:positionV relativeFrom="paragraph">
                    <wp:posOffset>293370</wp:posOffset>
                  </wp:positionV>
                  <wp:extent cx="2943860" cy="4150995"/>
                  <wp:effectExtent l="0" t="0" r="8890" b="1905"/>
                  <wp:wrapTopAndBottom/>
                  <wp:docPr id="154" name="图片 154" descr="放喷管线井场受限应急预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放喷管线井场受限应急预案"/>
                          <pic:cNvPicPr>
                            <a:picLocks noChangeAspect="1"/>
                          </pic:cNvPicPr>
                        </pic:nvPicPr>
                        <pic:blipFill>
                          <a:blip r:embed="rId44"/>
                          <a:stretch>
                            <a:fillRect/>
                          </a:stretch>
                        </pic:blipFill>
                        <pic:spPr>
                          <a:xfrm>
                            <a:off x="0" y="0"/>
                            <a:ext cx="2943860" cy="4150995"/>
                          </a:xfrm>
                          <a:prstGeom prst="rect">
                            <a:avLst/>
                          </a:prstGeom>
                        </pic:spPr>
                      </pic:pic>
                    </a:graphicData>
                  </a:graphic>
                </wp:anchor>
              </w:drawing>
            </w:r>
            <w:r>
              <w:rPr>
                <w:rFonts w:hint="eastAsia"/>
                <w:lang w:val="en-US" w:eastAsia="zh-CN"/>
              </w:rPr>
              <w:t>井场受限，制定应急预案。</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Cs w:val="21"/>
                <w:lang w:val="en-US" w:eastAsia="zh-CN"/>
              </w:rPr>
            </w:pPr>
            <w:r>
              <w:rPr>
                <w:rFonts w:hint="eastAsia"/>
                <w:szCs w:val="21"/>
                <w:lang w:val="en-US" w:eastAsia="zh-CN"/>
              </w:rPr>
              <w:t>风险可以接受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27"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Cs w:val="21"/>
                <w:lang w:val="en-US" w:eastAsia="zh-CN"/>
              </w:rPr>
            </w:pPr>
            <w:r>
              <w:rPr>
                <w:rFonts w:hint="eastAsia"/>
                <w:szCs w:val="21"/>
                <w:lang w:val="en-US" w:eastAsia="zh-CN"/>
              </w:rPr>
              <w:t>4</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rPr>
            </w:pPr>
            <w:r>
              <w:rPr>
                <w:rFonts w:hint="default"/>
              </w:rPr>
              <w:drawing>
                <wp:anchor distT="0" distB="0" distL="114300" distR="114300" simplePos="0" relativeHeight="251679744" behindDoc="0" locked="0" layoutInCell="1" allowOverlap="1">
                  <wp:simplePos x="0" y="0"/>
                  <wp:positionH relativeFrom="column">
                    <wp:posOffset>-10160</wp:posOffset>
                  </wp:positionH>
                  <wp:positionV relativeFrom="paragraph">
                    <wp:posOffset>751840</wp:posOffset>
                  </wp:positionV>
                  <wp:extent cx="1955165" cy="1950720"/>
                  <wp:effectExtent l="0" t="0" r="11430" b="6985"/>
                  <wp:wrapSquare wrapText="bothSides"/>
                  <wp:docPr id="155" name="图片 155" descr="IMG_6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IMG_6331"/>
                          <pic:cNvPicPr>
                            <a:picLocks noChangeAspect="1"/>
                          </pic:cNvPicPr>
                        </pic:nvPicPr>
                        <pic:blipFill>
                          <a:blip r:embed="rId45"/>
                          <a:stretch>
                            <a:fillRect/>
                          </a:stretch>
                        </pic:blipFill>
                        <pic:spPr>
                          <a:xfrm rot="5400000">
                            <a:off x="0" y="0"/>
                            <a:ext cx="1955165" cy="1950720"/>
                          </a:xfrm>
                          <a:prstGeom prst="rect">
                            <a:avLst/>
                          </a:prstGeom>
                        </pic:spPr>
                      </pic:pic>
                    </a:graphicData>
                  </a:graphic>
                </wp:anchor>
              </w:drawing>
            </w:r>
            <w:r>
              <w:rPr>
                <w:rFonts w:hint="eastAsia"/>
                <w:lang w:val="en-US" w:eastAsia="zh-CN"/>
              </w:rPr>
              <w:t>乐安油田草4-3-斜326井修井机机车禁止攀爬警示牌油污，内容模糊不清。</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eastAsia="宋体"/>
                <w:lang w:val="en-US" w:eastAsia="zh-CN"/>
              </w:rPr>
            </w:pPr>
            <w:r>
              <w:rPr>
                <w:rFonts w:hint="default"/>
                <w:lang w:val="en-US" w:eastAsia="zh-CN"/>
              </w:rPr>
              <w:drawing>
                <wp:anchor distT="0" distB="0" distL="114300" distR="114300" simplePos="0" relativeHeight="251680768" behindDoc="0" locked="0" layoutInCell="1" allowOverlap="1">
                  <wp:simplePos x="0" y="0"/>
                  <wp:positionH relativeFrom="column">
                    <wp:posOffset>27940</wp:posOffset>
                  </wp:positionH>
                  <wp:positionV relativeFrom="paragraph">
                    <wp:posOffset>304800</wp:posOffset>
                  </wp:positionV>
                  <wp:extent cx="2840990" cy="2774315"/>
                  <wp:effectExtent l="0" t="0" r="16510" b="6985"/>
                  <wp:wrapSquare wrapText="bothSides"/>
                  <wp:docPr id="160" name="图片 160" descr="机车禁止攀登警示标志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机车禁止攀登警示标志语"/>
                          <pic:cNvPicPr>
                            <a:picLocks noChangeAspect="1"/>
                          </pic:cNvPicPr>
                        </pic:nvPicPr>
                        <pic:blipFill>
                          <a:blip r:embed="rId46"/>
                          <a:stretch>
                            <a:fillRect/>
                          </a:stretch>
                        </pic:blipFill>
                        <pic:spPr>
                          <a:xfrm>
                            <a:off x="0" y="0"/>
                            <a:ext cx="2840990" cy="2774315"/>
                          </a:xfrm>
                          <a:prstGeom prst="rect">
                            <a:avLst/>
                          </a:prstGeom>
                        </pic:spPr>
                      </pic:pic>
                    </a:graphicData>
                  </a:graphic>
                </wp:anchor>
              </w:drawing>
            </w:r>
            <w:r>
              <w:rPr>
                <w:rFonts w:hint="eastAsia"/>
                <w:lang w:val="en-US" w:eastAsia="zh-CN"/>
              </w:rPr>
              <w:t>设置新的警示标识。</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rPr>
            </w:pPr>
            <w:r>
              <w:rPr>
                <w:rFonts w:hint="eastAsia"/>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2"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eastAsia="宋体"/>
                <w:szCs w:val="21"/>
                <w:lang w:val="en-US" w:eastAsia="zh-CN"/>
              </w:rPr>
            </w:pPr>
            <w:r>
              <w:rPr>
                <w:rFonts w:hint="eastAsia"/>
                <w:szCs w:val="21"/>
                <w:lang w:val="en-US" w:eastAsia="zh-CN"/>
              </w:rPr>
              <w:t>5</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szCs w:val="21"/>
              </w:rPr>
            </w:pPr>
            <w:r>
              <w:rPr>
                <w:rFonts w:hint="eastAsia"/>
                <w:szCs w:val="21"/>
                <w:lang w:val="en-US" w:eastAsia="zh-CN"/>
              </w:rPr>
              <w:t>公司于2022年4月变更法人，新法人范涛取得安全管理人员证书，未取得主要负责人安全管理证书。</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eastAsia="宋体"/>
                <w:lang w:val="en-US" w:eastAsia="zh-CN"/>
              </w:rPr>
            </w:pPr>
            <w:r>
              <w:rPr>
                <w:rFonts w:hint="eastAsia"/>
                <w:lang w:val="en-US" w:eastAsia="zh-CN"/>
              </w:rPr>
              <w:t>法人范涛取得主要负责人安全管理合格证。</w:t>
            </w:r>
            <w:r>
              <w:rPr>
                <w:rFonts w:hint="eastAsia" w:cs="Times New Roman"/>
                <w:color w:val="auto"/>
                <w:szCs w:val="21"/>
                <w:lang w:val="en-US" w:eastAsia="zh-CN"/>
              </w:rPr>
              <w:t>涉及企业机密，不予公开。</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rPr>
            </w:pPr>
            <w:r>
              <w:rPr>
                <w:rFonts w:hint="eastAsia"/>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52"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6</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szCs w:val="21"/>
                <w:lang w:val="en-US" w:eastAsia="zh-CN"/>
              </w:rPr>
            </w:pPr>
            <w:r>
              <w:rPr>
                <w:rFonts w:hint="eastAsia"/>
                <w:szCs w:val="21"/>
                <w:lang w:val="en-US" w:eastAsia="zh-CN"/>
              </w:rPr>
              <w:t>胜利油田康贝油气工程有限公司领导、生产及安全管理人员、现场作业人员中范涛、刘维晨、刘文涛、秦思维等75人井控证因到期等情况无效。</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lang w:eastAsia="zh-CN"/>
              </w:rPr>
            </w:pPr>
            <w:r>
              <w:rPr>
                <w:rFonts w:hint="eastAsia"/>
                <w:sz w:val="21"/>
                <w:szCs w:val="21"/>
                <w:lang w:val="en-US" w:eastAsia="zh-CN"/>
              </w:rPr>
              <w:t>范涛、刘维晨、刘文涛、秦思维等75人重新进行培训学习，并取得井控证。</w:t>
            </w:r>
            <w:r>
              <w:rPr>
                <w:rFonts w:hint="eastAsia" w:cs="Times New Roman"/>
                <w:color w:val="auto"/>
                <w:szCs w:val="21"/>
                <w:lang w:val="en-US" w:eastAsia="zh-CN"/>
              </w:rPr>
              <w:t>涉及企业机密，不予公开。</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rPr>
            </w:pPr>
            <w:r>
              <w:rPr>
                <w:rFonts w:hint="eastAsia"/>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52"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7</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szCs w:val="21"/>
                <w:lang w:val="en-US" w:eastAsia="zh-CN"/>
              </w:rPr>
            </w:pPr>
            <w:r>
              <w:rPr>
                <w:rFonts w:hint="eastAsia"/>
                <w:szCs w:val="21"/>
                <w:lang w:val="en-US" w:eastAsia="zh-CN"/>
              </w:rPr>
              <w:t>范涛、郭树桐、刘维晨等65人硫化氢培训合格证因到期等情况无效。</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lang w:val="en-US" w:eastAsia="zh-CN"/>
              </w:rPr>
            </w:pPr>
            <w:r>
              <w:rPr>
                <w:rFonts w:hint="eastAsia"/>
                <w:szCs w:val="21"/>
                <w:lang w:val="en-US" w:eastAsia="zh-CN"/>
              </w:rPr>
              <w:t>范涛、郭树桐、刘维晨等65人</w:t>
            </w:r>
            <w:r>
              <w:rPr>
                <w:rFonts w:hint="eastAsia"/>
                <w:lang w:val="en-US" w:eastAsia="zh-CN"/>
              </w:rPr>
              <w:t>重新学习培训，并取得硫化氢证。</w:t>
            </w:r>
            <w:r>
              <w:rPr>
                <w:rFonts w:hint="eastAsia" w:cs="Times New Roman"/>
                <w:color w:val="auto"/>
                <w:szCs w:val="21"/>
                <w:lang w:val="en-US" w:eastAsia="zh-CN"/>
              </w:rPr>
              <w:t>涉及企业机密，不予公开。</w:t>
            </w:r>
          </w:p>
          <w:p>
            <w:pPr>
              <w:keepNext w:val="0"/>
              <w:keepLines w:val="0"/>
              <w:suppressLineNumbers w:val="0"/>
              <w:adjustRightInd w:val="0"/>
              <w:snapToGrid w:val="0"/>
              <w:spacing w:before="62" w:beforeLines="20" w:beforeAutospacing="0" w:after="62" w:afterLines="20" w:afterAutospacing="0"/>
              <w:ind w:left="0" w:right="0"/>
              <w:rPr>
                <w:rFonts w:hint="eastAsia"/>
                <w:lang w:eastAsia="zh-CN"/>
              </w:rPr>
            </w:pP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rPr>
            </w:pPr>
            <w:r>
              <w:rPr>
                <w:rFonts w:hint="eastAsia"/>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68"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8</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szCs w:val="21"/>
                <w:lang w:val="en-US" w:eastAsia="zh-CN"/>
              </w:rPr>
            </w:pPr>
            <w:r>
              <w:rPr>
                <w:rFonts w:hint="eastAsia"/>
                <w:szCs w:val="21"/>
                <w:lang w:val="en-US" w:eastAsia="zh-CN"/>
              </w:rPr>
              <w:t>郭树桐、刘维晨、高国钊等51人HSE证因到期等情况无效。</w:t>
            </w:r>
          </w:p>
          <w:p>
            <w:pPr>
              <w:keepNext w:val="0"/>
              <w:keepLines w:val="0"/>
              <w:suppressLineNumbers w:val="0"/>
              <w:adjustRightInd w:val="0"/>
              <w:snapToGrid w:val="0"/>
              <w:spacing w:before="62" w:beforeLines="20" w:beforeAutospacing="0" w:after="62" w:afterLines="20" w:afterAutospacing="0"/>
              <w:ind w:left="0" w:right="0"/>
              <w:rPr>
                <w:rFonts w:hint="eastAsia"/>
                <w:szCs w:val="21"/>
                <w:lang w:val="en-US" w:eastAsia="zh-CN"/>
              </w:rPr>
            </w:pP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lang w:eastAsia="zh-CN"/>
              </w:rPr>
            </w:pPr>
            <w:r>
              <w:rPr>
                <w:rFonts w:hint="eastAsia"/>
                <w:lang w:val="en-US" w:eastAsia="zh-CN"/>
              </w:rPr>
              <w:t>郭树桐、刘维晨、高国钊等51人重新学习培训，并取得HSE证。</w:t>
            </w:r>
            <w:r>
              <w:rPr>
                <w:rFonts w:hint="eastAsia" w:cs="Times New Roman"/>
                <w:color w:val="auto"/>
                <w:szCs w:val="21"/>
                <w:lang w:val="en-US" w:eastAsia="zh-CN"/>
              </w:rPr>
              <w:t>涉及企业机密，不予公开。</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rPr>
            </w:pPr>
            <w:r>
              <w:rPr>
                <w:rFonts w:hint="eastAsia"/>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75"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9</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eastAsia" w:ascii="Times New Roman" w:hAnsi="Times New Roman" w:eastAsia="宋体" w:cs="Times New Roman"/>
                <w:kern w:val="2"/>
                <w:sz w:val="21"/>
                <w:szCs w:val="21"/>
                <w:lang w:val="en-US" w:eastAsia="zh-CN" w:bidi="ar-SA"/>
              </w:rPr>
            </w:pPr>
            <w:r>
              <w:rPr>
                <w:rFonts w:hint="eastAsia"/>
                <w:szCs w:val="21"/>
                <w:lang w:val="en-US" w:eastAsia="zh-CN"/>
              </w:rPr>
              <w:t>压力表台账中部分检测检验已到期。</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压力表重新进行检测，并检测合格。</w:t>
            </w:r>
            <w:r>
              <w:rPr>
                <w:rFonts w:hint="eastAsia" w:cs="Times New Roman"/>
                <w:color w:val="auto"/>
                <w:szCs w:val="21"/>
                <w:lang w:val="en-US" w:eastAsia="zh-CN"/>
              </w:rPr>
              <w:t>涉及企业机密，不予公开。</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24" w:hRule="atLeast"/>
          <w:jc w:val="center"/>
        </w:trPr>
        <w:tc>
          <w:tcPr>
            <w:tcW w:w="527"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Cs w:val="21"/>
                <w:lang w:val="en-US" w:eastAsia="zh-CN"/>
              </w:rPr>
            </w:pPr>
            <w:r>
              <w:rPr>
                <w:rFonts w:hint="eastAsia"/>
                <w:szCs w:val="21"/>
                <w:lang w:val="en-US" w:eastAsia="zh-CN"/>
              </w:rPr>
              <w:t>10</w:t>
            </w:r>
          </w:p>
        </w:tc>
        <w:tc>
          <w:tcPr>
            <w:tcW w:w="3260"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szCs w:val="21"/>
              </w:rPr>
            </w:pPr>
            <w:r>
              <w:rPr>
                <w:rFonts w:hint="eastAsia"/>
                <w:szCs w:val="21"/>
                <w:lang w:val="en-US" w:eastAsia="zh-CN"/>
              </w:rPr>
              <w:t>康贝油气公司配备的空气呼吸器中部分检测检验已到期。</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lang w:val="en-US"/>
              </w:rPr>
            </w:pPr>
            <w:r>
              <w:rPr>
                <w:rFonts w:hint="eastAsia"/>
                <w:lang w:val="en-US" w:eastAsia="zh-CN"/>
              </w:rPr>
              <w:t>空气呼吸器重新检测检验，并检测合格。</w:t>
            </w:r>
            <w:r>
              <w:rPr>
                <w:rFonts w:hint="eastAsia" w:cs="Times New Roman"/>
                <w:color w:val="auto"/>
                <w:szCs w:val="21"/>
                <w:lang w:val="en-US" w:eastAsia="zh-CN"/>
              </w:rPr>
              <w:t>涉及企业机密，不予公开。</w:t>
            </w:r>
          </w:p>
        </w:tc>
        <w:tc>
          <w:tcPr>
            <w:tcW w:w="828" w:type="dxa"/>
            <w:vMerge w:val="restart"/>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rPr>
            </w:pPr>
            <w:r>
              <w:rPr>
                <w:rFonts w:hint="eastAsia"/>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52" w:hRule="atLeast"/>
          <w:jc w:val="center"/>
        </w:trPr>
        <w:tc>
          <w:tcPr>
            <w:tcW w:w="527"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p>
        </w:tc>
        <w:tc>
          <w:tcPr>
            <w:tcW w:w="3260"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szCs w:val="21"/>
                <w:lang w:val="en-US" w:eastAsia="zh-CN"/>
              </w:rPr>
            </w:pP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eastAsia="宋体"/>
                <w:lang w:eastAsia="zh-CN"/>
              </w:rPr>
            </w:pPr>
          </w:p>
        </w:tc>
        <w:tc>
          <w:tcPr>
            <w:tcW w:w="828" w:type="dxa"/>
            <w:vMerge w:val="continue"/>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57"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szCs w:val="21"/>
                <w:lang w:val="en-US" w:eastAsia="zh-CN"/>
              </w:rPr>
            </w:pPr>
            <w:r>
              <w:rPr>
                <w:rFonts w:hint="eastAsia"/>
                <w:szCs w:val="21"/>
                <w:lang w:val="en-US" w:eastAsia="zh-CN"/>
              </w:rPr>
              <w:t>11</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szCs w:val="21"/>
                <w:lang w:val="en-US" w:eastAsia="zh-CN"/>
              </w:rPr>
            </w:pPr>
            <w:r>
              <w:rPr>
                <w:rFonts w:hint="eastAsia"/>
                <w:szCs w:val="21"/>
                <w:lang w:val="en-US" w:eastAsia="zh-CN"/>
              </w:rPr>
              <w:t>便携式气体检测仪中部分检测检验已到期。</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lang w:val="en-US"/>
              </w:rPr>
            </w:pPr>
            <w:r>
              <w:rPr>
                <w:rFonts w:hint="eastAsia"/>
                <w:lang w:val="en-US" w:eastAsia="zh-CN"/>
              </w:rPr>
              <w:t>便携式气体检测仪重新检测检验，并检测合格。</w:t>
            </w:r>
            <w:r>
              <w:rPr>
                <w:rFonts w:hint="eastAsia" w:cs="Times New Roman"/>
                <w:color w:val="auto"/>
                <w:szCs w:val="21"/>
                <w:lang w:val="en-US" w:eastAsia="zh-CN"/>
              </w:rPr>
              <w:t>涉及企业机密，不予公开。</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rPr>
            </w:pPr>
            <w:r>
              <w:rPr>
                <w:rFonts w:hint="eastAsia"/>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57"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lang w:val="en-US" w:eastAsia="zh-CN"/>
              </w:rPr>
            </w:pP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jc w:val="both"/>
              <w:rPr>
                <w:rFonts w:hint="eastAsia"/>
                <w:szCs w:val="21"/>
                <w:lang w:val="en-US" w:eastAsia="zh-CN"/>
              </w:rPr>
            </w:pP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rPr>
            </w:pP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89"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Cs w:val="21"/>
                <w:lang w:val="en-US" w:eastAsia="zh-CN"/>
              </w:rPr>
            </w:pPr>
            <w:r>
              <w:rPr>
                <w:rFonts w:hint="eastAsia"/>
                <w:szCs w:val="21"/>
                <w:lang w:val="en-US" w:eastAsia="zh-CN"/>
              </w:rPr>
              <w:t>12</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szCs w:val="21"/>
                <w:lang w:val="en-US"/>
              </w:rPr>
            </w:pPr>
            <w:r>
              <w:rPr>
                <w:rFonts w:hint="eastAsia"/>
                <w:szCs w:val="21"/>
                <w:lang w:val="en-US" w:eastAsia="zh-CN"/>
              </w:rPr>
              <w:t>康贝油气公司部分设备设施检测已到期。</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rPr>
                <w:rFonts w:hint="default" w:eastAsia="宋体"/>
                <w:lang w:val="en-US" w:eastAsia="zh-CN"/>
              </w:rPr>
            </w:pPr>
            <w:r>
              <w:rPr>
                <w:rFonts w:hint="eastAsia"/>
                <w:lang w:val="en-US" w:eastAsia="zh-CN"/>
              </w:rPr>
              <w:t>企业对检测检验到期的设备进行检测检验。</w:t>
            </w:r>
            <w:r>
              <w:rPr>
                <w:rFonts w:hint="eastAsia" w:cs="Times New Roman"/>
                <w:color w:val="auto"/>
                <w:szCs w:val="21"/>
                <w:lang w:val="en-US" w:eastAsia="zh-CN"/>
              </w:rPr>
              <w:t>涉及企业机密，不予公开。</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szCs w:val="21"/>
              </w:rPr>
            </w:pPr>
            <w:r>
              <w:rPr>
                <w:rFonts w:hint="eastAsia"/>
                <w:szCs w:val="21"/>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08" w:hRule="atLeast"/>
          <w:jc w:val="center"/>
        </w:trPr>
        <w:tc>
          <w:tcPr>
            <w:tcW w:w="527"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eastAsia="宋体"/>
                <w:szCs w:val="21"/>
                <w:lang w:val="en-US" w:eastAsia="zh-CN"/>
              </w:rPr>
            </w:pPr>
            <w:r>
              <w:rPr>
                <w:rFonts w:hint="eastAsia"/>
                <w:szCs w:val="21"/>
                <w:lang w:val="en-US" w:eastAsia="zh-CN"/>
              </w:rPr>
              <w:t>13</w:t>
            </w:r>
          </w:p>
        </w:tc>
        <w:tc>
          <w:tcPr>
            <w:tcW w:w="3260" w:type="dxa"/>
            <w:vAlign w:val="center"/>
          </w:tcPr>
          <w:p>
            <w:pPr>
              <w:keepNext w:val="0"/>
              <w:keepLines w:val="0"/>
              <w:suppressLineNumbers w:val="0"/>
              <w:adjustRightInd w:val="0"/>
              <w:snapToGrid w:val="0"/>
              <w:spacing w:before="62" w:beforeLines="20" w:beforeAutospacing="0" w:after="62" w:afterLines="20" w:afterAutospacing="0"/>
              <w:ind w:left="0" w:right="0"/>
              <w:rPr>
                <w:rFonts w:hint="eastAsia"/>
                <w:szCs w:val="21"/>
              </w:rPr>
            </w:pPr>
            <w:r>
              <w:rPr>
                <w:rFonts w:hint="eastAsia"/>
                <w:szCs w:val="21"/>
                <w:lang w:val="en-US" w:eastAsia="zh-CN"/>
              </w:rPr>
              <w:t>康贝油气公司2021年、2022年1-2月现场处置方案应急演练频次不足。</w:t>
            </w:r>
          </w:p>
        </w:tc>
        <w:tc>
          <w:tcPr>
            <w:tcW w:w="4700" w:type="dxa"/>
            <w:vAlign w:val="center"/>
          </w:tcPr>
          <w:p>
            <w:pPr>
              <w:keepNext w:val="0"/>
              <w:keepLines w:val="0"/>
              <w:suppressLineNumbers w:val="0"/>
              <w:adjustRightInd w:val="0"/>
              <w:snapToGrid w:val="0"/>
              <w:spacing w:before="62" w:beforeLines="20" w:beforeAutospacing="0" w:after="62" w:afterLines="20" w:afterAutospacing="0"/>
              <w:ind w:left="0" w:right="0"/>
              <w:jc w:val="left"/>
              <w:rPr>
                <w:rFonts w:hint="default"/>
                <w:lang w:val="en-US" w:eastAsia="zh-CN"/>
              </w:rPr>
            </w:pPr>
            <w:r>
              <w:rPr>
                <w:rFonts w:hint="eastAsia"/>
                <w:lang w:val="en-US" w:eastAsia="zh-CN"/>
              </w:rPr>
              <w:t>企业制定应急演练计划，并组织演练。</w:t>
            </w:r>
          </w:p>
        </w:tc>
        <w:tc>
          <w:tcPr>
            <w:tcW w:w="828" w:type="dxa"/>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eastAsia"/>
              </w:rPr>
            </w:pPr>
            <w:r>
              <w:rPr>
                <w:rFonts w:hint="eastAsia"/>
              </w:rPr>
              <w:t>符合要求</w:t>
            </w:r>
          </w:p>
          <w:p>
            <w:pPr>
              <w:pStyle w:val="2"/>
              <w:keepNext w:val="0"/>
              <w:keepLines w:val="0"/>
              <w:suppressLineNumbers w:val="0"/>
              <w:spacing w:before="0" w:beforeAutospacing="0" w:after="0" w:afterAutospacing="0"/>
              <w:ind w:left="0" w:right="0"/>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63" w:hRule="atLeast"/>
          <w:jc w:val="center"/>
        </w:trPr>
        <w:tc>
          <w:tcPr>
            <w:tcW w:w="9315" w:type="dxa"/>
            <w:gridSpan w:val="4"/>
            <w:vAlign w:val="center"/>
          </w:tcPr>
          <w:p>
            <w:pPr>
              <w:keepNext w:val="0"/>
              <w:keepLines w:val="0"/>
              <w:suppressLineNumbers w:val="0"/>
              <w:adjustRightInd w:val="0"/>
              <w:snapToGrid w:val="0"/>
              <w:spacing w:before="0" w:beforeAutospacing="0" w:after="0" w:afterAutospacing="0"/>
              <w:ind w:left="0" w:right="0"/>
              <w:jc w:val="left"/>
              <w:rPr>
                <w:rFonts w:hint="default"/>
                <w:szCs w:val="21"/>
              </w:rPr>
            </w:pPr>
            <w:r>
              <w:rPr>
                <w:rFonts w:hint="eastAsia"/>
                <w:szCs w:val="21"/>
              </w:rPr>
              <w:t>评价单位检查人员（签字）：</w:t>
            </w:r>
          </w:p>
          <w:p>
            <w:pPr>
              <w:keepNext w:val="0"/>
              <w:keepLines w:val="0"/>
              <w:suppressLineNumbers w:val="0"/>
              <w:adjustRightInd w:val="0"/>
              <w:snapToGrid w:val="0"/>
              <w:spacing w:before="0" w:beforeAutospacing="0" w:after="0" w:afterAutospacing="0"/>
              <w:ind w:left="0" w:right="420"/>
              <w:jc w:val="right"/>
              <w:rPr>
                <w:rFonts w:hint="default"/>
                <w:szCs w:val="21"/>
              </w:rPr>
            </w:pPr>
            <w:r>
              <w:rPr>
                <w:rFonts w:hint="eastAsia"/>
                <w:szCs w:val="21"/>
              </w:rPr>
              <w:t>20</w:t>
            </w:r>
            <w:r>
              <w:rPr>
                <w:rFonts w:hint="eastAsia"/>
                <w:szCs w:val="21"/>
                <w:lang w:val="en-US" w:eastAsia="zh-CN"/>
              </w:rPr>
              <w:t>22</w:t>
            </w:r>
            <w:r>
              <w:rPr>
                <w:rFonts w:hint="eastAsia"/>
                <w:szCs w:val="21"/>
              </w:rPr>
              <w:t>年</w:t>
            </w:r>
            <w:r>
              <w:rPr>
                <w:rFonts w:hint="eastAsia"/>
                <w:szCs w:val="21"/>
                <w:lang w:val="en-US" w:eastAsia="zh-CN"/>
              </w:rPr>
              <w:t>8</w:t>
            </w:r>
            <w:r>
              <w:rPr>
                <w:rFonts w:hint="eastAsia"/>
                <w:szCs w:val="21"/>
              </w:rPr>
              <w:t>月</w:t>
            </w:r>
            <w:r>
              <w:rPr>
                <w:rFonts w:hint="eastAsia"/>
                <w:szCs w:val="21"/>
                <w:lang w:val="en-US" w:eastAsia="zh-CN"/>
              </w:rPr>
              <w:t>25</w:t>
            </w:r>
            <w:r>
              <w:rPr>
                <w:rFonts w:hint="eastAsia"/>
                <w:szCs w:val="21"/>
              </w:rPr>
              <w:t>日</w:t>
            </w:r>
          </w:p>
          <w:p>
            <w:pPr>
              <w:keepNext w:val="0"/>
              <w:keepLines w:val="0"/>
              <w:suppressLineNumbers w:val="0"/>
              <w:adjustRightInd w:val="0"/>
              <w:snapToGrid w:val="0"/>
              <w:spacing w:before="0" w:beforeAutospacing="0" w:after="0" w:afterAutospacing="0"/>
              <w:ind w:left="0" w:right="420"/>
              <w:jc w:val="right"/>
              <w:rPr>
                <w:rFonts w:hint="default"/>
                <w:szCs w:val="21"/>
              </w:rPr>
            </w:pPr>
            <w:r>
              <w:rPr>
                <w:rFonts w:hint="eastAsia"/>
                <w:szCs w:val="21"/>
              </w:rPr>
              <w:t>（单位盖章）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2" w:hRule="atLeast"/>
          <w:jc w:val="center"/>
        </w:trPr>
        <w:tc>
          <w:tcPr>
            <w:tcW w:w="9315" w:type="dxa"/>
            <w:gridSpan w:val="4"/>
            <w:vAlign w:val="center"/>
          </w:tcPr>
          <w:p>
            <w:pPr>
              <w:keepNext w:val="0"/>
              <w:keepLines w:val="0"/>
              <w:suppressLineNumbers w:val="0"/>
              <w:adjustRightInd w:val="0"/>
              <w:snapToGrid w:val="0"/>
              <w:spacing w:before="0" w:beforeAutospacing="0" w:after="0" w:afterAutospacing="0"/>
              <w:ind w:left="0" w:right="0"/>
              <w:jc w:val="left"/>
              <w:rPr>
                <w:rFonts w:hint="default"/>
                <w:szCs w:val="21"/>
              </w:rPr>
            </w:pPr>
            <w:r>
              <w:rPr>
                <w:rFonts w:hint="eastAsia"/>
                <w:szCs w:val="21"/>
              </w:rPr>
              <w:t>被评价单位主要负责人确认（签字）：</w:t>
            </w:r>
          </w:p>
          <w:p>
            <w:pPr>
              <w:keepNext w:val="0"/>
              <w:keepLines w:val="0"/>
              <w:suppressLineNumbers w:val="0"/>
              <w:adjustRightInd w:val="0"/>
              <w:snapToGrid w:val="0"/>
              <w:spacing w:before="0" w:beforeAutospacing="0" w:after="0" w:afterAutospacing="0"/>
              <w:ind w:left="0" w:right="420"/>
              <w:jc w:val="right"/>
              <w:rPr>
                <w:rFonts w:hint="default"/>
                <w:szCs w:val="21"/>
              </w:rPr>
            </w:pPr>
          </w:p>
          <w:p>
            <w:pPr>
              <w:keepNext w:val="0"/>
              <w:keepLines w:val="0"/>
              <w:suppressLineNumbers w:val="0"/>
              <w:adjustRightInd w:val="0"/>
              <w:snapToGrid w:val="0"/>
              <w:spacing w:before="0" w:beforeAutospacing="0" w:after="0" w:afterAutospacing="0"/>
              <w:ind w:left="0" w:right="420"/>
              <w:jc w:val="right"/>
              <w:rPr>
                <w:rFonts w:hint="default"/>
                <w:szCs w:val="21"/>
              </w:rPr>
            </w:pPr>
            <w:r>
              <w:rPr>
                <w:rFonts w:hint="eastAsia"/>
                <w:szCs w:val="21"/>
              </w:rPr>
              <w:t>20</w:t>
            </w:r>
            <w:r>
              <w:rPr>
                <w:rFonts w:hint="eastAsia"/>
                <w:szCs w:val="21"/>
                <w:lang w:val="en-US" w:eastAsia="zh-CN"/>
              </w:rPr>
              <w:t>22</w:t>
            </w:r>
            <w:r>
              <w:rPr>
                <w:rFonts w:hint="eastAsia"/>
                <w:szCs w:val="21"/>
              </w:rPr>
              <w:t>年</w:t>
            </w:r>
            <w:r>
              <w:rPr>
                <w:rFonts w:hint="eastAsia"/>
                <w:szCs w:val="21"/>
                <w:lang w:val="en-US" w:eastAsia="zh-CN"/>
              </w:rPr>
              <w:t>8</w:t>
            </w:r>
            <w:r>
              <w:rPr>
                <w:rFonts w:hint="eastAsia"/>
                <w:szCs w:val="21"/>
              </w:rPr>
              <w:t>月</w:t>
            </w:r>
            <w:r>
              <w:rPr>
                <w:rFonts w:hint="default"/>
                <w:szCs w:val="21"/>
              </w:rPr>
              <w:t>2</w:t>
            </w:r>
            <w:r>
              <w:rPr>
                <w:rFonts w:hint="eastAsia"/>
                <w:szCs w:val="21"/>
                <w:lang w:val="en-US" w:eastAsia="zh-CN"/>
              </w:rPr>
              <w:t>5</w:t>
            </w:r>
            <w:r>
              <w:rPr>
                <w:rFonts w:hint="eastAsia"/>
                <w:szCs w:val="21"/>
              </w:rPr>
              <w:t>日</w:t>
            </w:r>
          </w:p>
          <w:p>
            <w:pPr>
              <w:keepNext w:val="0"/>
              <w:keepLines w:val="0"/>
              <w:suppressLineNumbers w:val="0"/>
              <w:adjustRightInd w:val="0"/>
              <w:snapToGrid w:val="0"/>
              <w:spacing w:before="0" w:beforeAutospacing="0" w:after="0" w:afterAutospacing="0"/>
              <w:ind w:left="0" w:right="420"/>
              <w:jc w:val="right"/>
              <w:rPr>
                <w:rFonts w:hint="default"/>
                <w:szCs w:val="21"/>
              </w:rPr>
            </w:pPr>
            <w:r>
              <w:rPr>
                <w:rFonts w:hint="eastAsia"/>
                <w:szCs w:val="21"/>
              </w:rPr>
              <w:t>（单位盖章）</w:t>
            </w:r>
          </w:p>
          <w:p>
            <w:pPr>
              <w:keepNext w:val="0"/>
              <w:keepLines w:val="0"/>
              <w:suppressLineNumbers w:val="0"/>
              <w:adjustRightInd w:val="0"/>
              <w:snapToGrid w:val="0"/>
              <w:spacing w:before="0" w:beforeAutospacing="0" w:after="0" w:afterAutospacing="0"/>
              <w:ind w:left="0" w:right="0"/>
              <w:jc w:val="right"/>
              <w:rPr>
                <w:rFonts w:hint="default"/>
                <w:szCs w:val="21"/>
              </w:rPr>
            </w:pPr>
          </w:p>
        </w:tc>
      </w:tr>
    </w:tbl>
    <w:p>
      <w:pPr>
        <w:adjustRightInd w:val="0"/>
        <w:snapToGrid w:val="0"/>
        <w:spacing w:line="360" w:lineRule="auto"/>
        <w:ind w:firstLine="560" w:firstLineChars="200"/>
        <w:rPr>
          <w:sz w:val="28"/>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0"/>
        <w:rPr>
          <w:rFonts w:hint="default" w:ascii="Times New Roman" w:hAnsi="Times New Roman" w:eastAsia="楷体_GB2312" w:cs="Times New Roman"/>
          <w:b/>
          <w:color w:val="000000" w:themeColor="text1"/>
          <w:sz w:val="36"/>
          <w:szCs w:val="36"/>
          <w14:textFill>
            <w14:solidFill>
              <w14:schemeClr w14:val="tx1"/>
            </w14:solidFill>
          </w14:textFill>
        </w:rPr>
        <w:sectPr>
          <w:footerReference r:id="rId18" w:type="default"/>
          <w:headerReference r:id="rId17" w:type="even"/>
          <w:footerReference r:id="rId1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bookmarkStart w:id="152" w:name="_Toc15794"/>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0"/>
        <w:rPr>
          <w:rFonts w:hint="default" w:ascii="Times New Roman" w:hAnsi="Times New Roman" w:eastAsia="楷体_GB2312" w:cs="Times New Roman"/>
          <w:b/>
          <w:color w:val="000000" w:themeColor="text1"/>
          <w:sz w:val="36"/>
          <w:szCs w:val="36"/>
          <w14:textFill>
            <w14:solidFill>
              <w14:schemeClr w14:val="tx1"/>
            </w14:solidFill>
          </w14:textFill>
        </w:rPr>
      </w:pPr>
      <w:bookmarkStart w:id="153" w:name="_Toc12083"/>
      <w:r>
        <w:rPr>
          <w:rFonts w:hint="default" w:ascii="Times New Roman" w:hAnsi="Times New Roman" w:eastAsia="楷体_GB2312" w:cs="Times New Roman"/>
          <w:b/>
          <w:color w:val="000000" w:themeColor="text1"/>
          <w:sz w:val="36"/>
          <w:szCs w:val="36"/>
          <w14:textFill>
            <w14:solidFill>
              <w14:schemeClr w14:val="tx1"/>
            </w14:solidFill>
          </w14:textFill>
        </w:rPr>
        <w:t>8 安全生产条件</w:t>
      </w:r>
      <w:r>
        <w:rPr>
          <w:rFonts w:hint="default" w:ascii="Times New Roman" w:hAnsi="Times New Roman" w:eastAsia="楷体_GB2312" w:cs="Times New Roman"/>
          <w:b/>
          <w:color w:val="000000" w:themeColor="text1"/>
          <w:sz w:val="36"/>
          <w:szCs w:val="36"/>
          <w:lang w:eastAsia="zh-CN"/>
          <w14:textFill>
            <w14:solidFill>
              <w14:schemeClr w14:val="tx1"/>
            </w14:solidFill>
          </w14:textFill>
        </w:rPr>
        <w:t>及重大安全风险隐患</w:t>
      </w:r>
      <w:r>
        <w:rPr>
          <w:rFonts w:hint="default" w:ascii="Times New Roman" w:hAnsi="Times New Roman" w:eastAsia="楷体_GB2312" w:cs="Times New Roman"/>
          <w:b/>
          <w:color w:val="000000" w:themeColor="text1"/>
          <w:sz w:val="36"/>
          <w:szCs w:val="36"/>
          <w14:textFill>
            <w14:solidFill>
              <w14:schemeClr w14:val="tx1"/>
            </w14:solidFill>
          </w14:textFill>
        </w:rPr>
        <w:t>分析评价</w:t>
      </w:r>
      <w:bookmarkEnd w:id="152"/>
      <w:bookmarkEnd w:id="153"/>
    </w:p>
    <w:p>
      <w:pPr>
        <w:pStyle w:val="4"/>
        <w:keepNext w:val="0"/>
        <w:keepLines w:val="0"/>
        <w:pageBreakBefore w:val="0"/>
        <w:widowControl w:val="0"/>
        <w:bidi w:val="0"/>
        <w:adjustRightInd w:val="0"/>
        <w:snapToGrid w:val="0"/>
        <w:spacing w:before="0" w:after="0" w:line="360" w:lineRule="auto"/>
        <w:rPr>
          <w:rFonts w:hint="default" w:ascii="Times New Roman" w:hAnsi="Times New Roman" w:eastAsia="黑体" w:cs="Times New Roman"/>
          <w:color w:val="000000" w:themeColor="text1"/>
          <w:sz w:val="28"/>
          <w:szCs w:val="28"/>
          <w:lang w:eastAsia="zh-CN"/>
          <w14:textFill>
            <w14:solidFill>
              <w14:schemeClr w14:val="tx1"/>
            </w14:solidFill>
          </w14:textFill>
        </w:rPr>
      </w:pPr>
      <w:bookmarkStart w:id="154" w:name="_Toc27879"/>
      <w:bookmarkStart w:id="155" w:name="_Toc27692"/>
      <w:r>
        <w:rPr>
          <w:rFonts w:hint="default" w:ascii="Times New Roman" w:hAnsi="Times New Roman" w:cs="Times New Roman"/>
          <w:b w:val="0"/>
          <w:bCs/>
          <w:color w:val="000000" w:themeColor="text1"/>
          <w:szCs w:val="32"/>
          <w:lang w:val="en-US" w:eastAsia="zh-CN"/>
          <w14:textFill>
            <w14:solidFill>
              <w14:schemeClr w14:val="tx1"/>
            </w14:solidFill>
          </w14:textFill>
        </w:rPr>
        <w:t>8</w:t>
      </w:r>
      <w:r>
        <w:rPr>
          <w:rFonts w:hint="default" w:ascii="Times New Roman" w:hAnsi="Times New Roman" w:cs="Times New Roman"/>
          <w:b w:val="0"/>
          <w:bCs/>
          <w:color w:val="000000" w:themeColor="text1"/>
          <w:szCs w:val="32"/>
          <w14:textFill>
            <w14:solidFill>
              <w14:schemeClr w14:val="tx1"/>
            </w14:solidFill>
          </w14:textFill>
        </w:rPr>
        <w:t xml:space="preserve">.1 </w:t>
      </w:r>
      <w:r>
        <w:rPr>
          <w:rFonts w:hint="default" w:ascii="Times New Roman" w:hAnsi="Times New Roman" w:cs="Times New Roman"/>
          <w:b w:val="0"/>
          <w:bCs/>
          <w:color w:val="000000" w:themeColor="text1"/>
          <w:szCs w:val="32"/>
          <w:lang w:eastAsia="zh-CN"/>
          <w14:textFill>
            <w14:solidFill>
              <w14:schemeClr w14:val="tx1"/>
            </w14:solidFill>
          </w14:textFill>
        </w:rPr>
        <w:t>安全生产条件分析</w:t>
      </w:r>
      <w:bookmarkEnd w:id="154"/>
      <w:bookmarkEnd w:id="155"/>
    </w:p>
    <w:p>
      <w:pPr>
        <w:adjustRightInd w:val="0"/>
        <w:snapToGrid w:val="0"/>
        <w:spacing w:line="360" w:lineRule="auto"/>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根据</w:t>
      </w:r>
      <w:r>
        <w:rPr>
          <w:rFonts w:hint="default" w:ascii="Times New Roman" w:hAnsi="Times New Roman" w:cs="Times New Roman"/>
          <w:sz w:val="28"/>
        </w:rPr>
        <w:t>《非煤矿矿山企业安全生产许可证实施办法》</w:t>
      </w:r>
      <w:r>
        <w:rPr>
          <w:rFonts w:hint="default" w:ascii="Times New Roman" w:hAnsi="Times New Roman" w:cs="Times New Roman"/>
          <w:sz w:val="28"/>
          <w:lang w:eastAsia="zh-CN"/>
        </w:rPr>
        <w:t>（</w:t>
      </w:r>
      <w:r>
        <w:rPr>
          <w:rFonts w:hint="default" w:ascii="Times New Roman" w:hAnsi="Times New Roman" w:cs="Times New Roman"/>
          <w:sz w:val="28"/>
        </w:rPr>
        <w:t>国家安全生产监督管理总局令[2009]第20号，2015修订版</w:t>
      </w:r>
      <w:r>
        <w:rPr>
          <w:rFonts w:hint="default" w:ascii="Times New Roman" w:hAnsi="Times New Roman" w:cs="Times New Roman"/>
          <w:sz w:val="28"/>
          <w:lang w:eastAsia="zh-CN"/>
        </w:rPr>
        <w:t>）</w:t>
      </w:r>
      <w:r>
        <w:rPr>
          <w:rFonts w:hint="default" w:ascii="Times New Roman" w:hAnsi="Times New Roman" w:cs="Times New Roman"/>
          <w:color w:val="000000"/>
          <w:sz w:val="28"/>
          <w:szCs w:val="28"/>
          <w:lang w:eastAsia="zh-CN"/>
        </w:rPr>
        <w:t>、</w:t>
      </w:r>
      <w:r>
        <w:rPr>
          <w:rFonts w:hint="default" w:ascii="Times New Roman" w:hAnsi="Times New Roman" w:cs="Times New Roman"/>
          <w:color w:val="000000"/>
          <w:sz w:val="28"/>
          <w:szCs w:val="28"/>
        </w:rPr>
        <w:t>《山东省非煤矿矿山企业安全生产许可证实施方案》（鲁安监发[2009]133号）和本报告第5</w:t>
      </w:r>
      <w:r>
        <w:rPr>
          <w:rFonts w:hint="default" w:ascii="Times New Roman" w:hAnsi="Times New Roman" w:cs="Times New Roman"/>
          <w:color w:val="000000"/>
          <w:sz w:val="28"/>
          <w:szCs w:val="28"/>
          <w:lang w:val="en-US" w:eastAsia="zh-CN"/>
        </w:rPr>
        <w:t>、6、7章</w:t>
      </w:r>
      <w:r>
        <w:rPr>
          <w:rFonts w:hint="default" w:ascii="Times New Roman" w:hAnsi="Times New Roman" w:cs="Times New Roman"/>
          <w:color w:val="000000"/>
          <w:sz w:val="28"/>
          <w:szCs w:val="28"/>
        </w:rPr>
        <w:t>的安全检查表的详细检查情况</w:t>
      </w:r>
      <w:r>
        <w:rPr>
          <w:rFonts w:hint="default" w:ascii="Times New Roman" w:hAnsi="Times New Roman" w:cs="Times New Roman"/>
          <w:color w:val="000000"/>
          <w:sz w:val="28"/>
          <w:szCs w:val="28"/>
          <w:lang w:eastAsia="zh-CN"/>
        </w:rPr>
        <w:t>、安全对策措施</w:t>
      </w:r>
      <w:r>
        <w:rPr>
          <w:rFonts w:hint="default" w:ascii="Times New Roman" w:hAnsi="Times New Roman" w:cs="Times New Roman"/>
          <w:color w:val="000000"/>
          <w:sz w:val="28"/>
          <w:szCs w:val="28"/>
          <w:lang w:val="en-US" w:eastAsia="zh-CN"/>
        </w:rPr>
        <w:t>和隐患整改复查情况</w:t>
      </w:r>
      <w:r>
        <w:rPr>
          <w:rFonts w:hint="default" w:ascii="Times New Roman" w:hAnsi="Times New Roman" w:cs="Times New Roman"/>
          <w:color w:val="000000"/>
          <w:sz w:val="28"/>
          <w:szCs w:val="28"/>
        </w:rPr>
        <w:t>，对</w:t>
      </w:r>
      <w:r>
        <w:rPr>
          <w:rFonts w:hint="default" w:ascii="Times New Roman" w:hAnsi="Times New Roman" w:cs="Times New Roman"/>
          <w:color w:val="auto"/>
          <w:sz w:val="28"/>
          <w:szCs w:val="28"/>
          <w:lang w:val="en-US" w:eastAsia="zh-CN"/>
        </w:rPr>
        <w:t>胜利油田康贝油气工程有限公司井下作业项目</w:t>
      </w:r>
      <w:r>
        <w:rPr>
          <w:rFonts w:hint="default" w:ascii="Times New Roman" w:hAnsi="Times New Roman" w:cs="Times New Roman"/>
          <w:color w:val="auto"/>
          <w:sz w:val="28"/>
          <w:szCs w:val="28"/>
        </w:rPr>
        <w:t>是</w:t>
      </w:r>
      <w:r>
        <w:rPr>
          <w:rFonts w:hint="default" w:ascii="Times New Roman" w:hAnsi="Times New Roman" w:cs="Times New Roman"/>
          <w:color w:val="000000"/>
          <w:sz w:val="28"/>
          <w:szCs w:val="28"/>
        </w:rPr>
        <w:t>否具备非煤矿矿山企业的安全生产条件进行</w:t>
      </w:r>
      <w:r>
        <w:rPr>
          <w:rFonts w:hint="default" w:ascii="Times New Roman" w:hAnsi="Times New Roman" w:cs="Times New Roman"/>
          <w:color w:val="000000"/>
          <w:sz w:val="28"/>
          <w:szCs w:val="28"/>
          <w:lang w:val="en-US" w:eastAsia="zh-CN"/>
        </w:rPr>
        <w:t>评价</w:t>
      </w:r>
      <w:r>
        <w:rPr>
          <w:rFonts w:hint="default" w:ascii="Times New Roman" w:hAnsi="Times New Roman" w:cs="Times New Roman"/>
          <w:color w:val="000000"/>
          <w:sz w:val="28"/>
          <w:szCs w:val="28"/>
        </w:rPr>
        <w:t>，</w:t>
      </w:r>
      <w:r>
        <w:rPr>
          <w:rFonts w:hint="default" w:ascii="Times New Roman" w:hAnsi="Times New Roman" w:cs="Times New Roman"/>
          <w:color w:val="000000"/>
          <w:sz w:val="28"/>
          <w:szCs w:val="28"/>
          <w:lang w:val="en-US" w:eastAsia="zh-CN"/>
        </w:rPr>
        <w:t>评价</w:t>
      </w:r>
      <w:r>
        <w:rPr>
          <w:rFonts w:hint="default" w:ascii="Times New Roman" w:hAnsi="Times New Roman" w:cs="Times New Roman"/>
          <w:color w:val="000000"/>
          <w:sz w:val="28"/>
          <w:szCs w:val="28"/>
        </w:rPr>
        <w:t>结果汇总如下，见下表</w:t>
      </w:r>
      <w:r>
        <w:rPr>
          <w:rFonts w:hint="default" w:ascii="Times New Roman" w:hAnsi="Times New Roman" w:cs="Times New Roman"/>
          <w:color w:val="000000"/>
          <w:sz w:val="28"/>
          <w:szCs w:val="28"/>
          <w:lang w:val="en-US" w:eastAsia="zh-CN"/>
        </w:rPr>
        <w:t>8</w:t>
      </w:r>
      <w:r>
        <w:rPr>
          <w:rFonts w:hint="default" w:ascii="Times New Roman" w:hAnsi="Times New Roman" w:cs="Times New Roman"/>
          <w:color w:val="000000"/>
          <w:sz w:val="28"/>
          <w:szCs w:val="28"/>
        </w:rPr>
        <w:t>-1。</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sz w:val="24"/>
          <w:szCs w:val="28"/>
          <w:lang w:val="en-US" w:eastAsia="zh-CN"/>
        </w:rPr>
      </w:pPr>
      <w:r>
        <w:rPr>
          <w:rFonts w:hint="default" w:ascii="Times New Roman" w:hAnsi="Times New Roman" w:cs="Times New Roman"/>
          <w:b/>
          <w:sz w:val="24"/>
          <w:szCs w:val="28"/>
        </w:rPr>
        <w:t>表</w:t>
      </w:r>
      <w:r>
        <w:rPr>
          <w:rFonts w:hint="default" w:ascii="Times New Roman" w:hAnsi="Times New Roman" w:cs="Times New Roman"/>
          <w:b/>
          <w:sz w:val="24"/>
          <w:szCs w:val="28"/>
          <w:lang w:val="en-US" w:eastAsia="zh-CN"/>
        </w:rPr>
        <w:t>8</w:t>
      </w:r>
      <w:r>
        <w:rPr>
          <w:rFonts w:hint="default" w:ascii="Times New Roman" w:hAnsi="Times New Roman" w:cs="Times New Roman"/>
          <w:b/>
          <w:sz w:val="24"/>
          <w:szCs w:val="28"/>
        </w:rPr>
        <w:t>-</w:t>
      </w:r>
      <w:r>
        <w:rPr>
          <w:rFonts w:hint="default" w:ascii="Times New Roman" w:hAnsi="Times New Roman" w:cs="Times New Roman"/>
          <w:b/>
          <w:sz w:val="24"/>
          <w:szCs w:val="28"/>
          <w:lang w:val="en-US" w:eastAsia="zh-CN"/>
        </w:rPr>
        <w:t>1</w:t>
      </w:r>
      <w:r>
        <w:rPr>
          <w:rFonts w:hint="default" w:ascii="Times New Roman" w:hAnsi="Times New Roman" w:cs="Times New Roman"/>
          <w:b/>
          <w:sz w:val="24"/>
          <w:szCs w:val="28"/>
        </w:rPr>
        <w:t xml:space="preserve"> </w:t>
      </w:r>
      <w:r>
        <w:rPr>
          <w:rFonts w:hint="default" w:ascii="Times New Roman" w:hAnsi="Times New Roman" w:eastAsia="宋体" w:cs="Times New Roman"/>
          <w:b/>
          <w:sz w:val="24"/>
          <w:szCs w:val="28"/>
          <w:lang w:val="en-US" w:eastAsia="zh-CN"/>
        </w:rPr>
        <w:t>非煤矿矿山企业安全生产许可证安全生产条件评价表</w:t>
      </w:r>
    </w:p>
    <w:tbl>
      <w:tblPr>
        <w:tblStyle w:val="52"/>
        <w:tblW w:w="83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01"/>
        <w:gridCol w:w="3750"/>
        <w:gridCol w:w="3375"/>
        <w:gridCol w:w="7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blHeader/>
          <w:jc w:val="center"/>
        </w:trPr>
        <w:tc>
          <w:tcPr>
            <w:tcW w:w="5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mallCaps w:val="0"/>
                <w:szCs w:val="24"/>
                <w:lang w:val="en-US" w:eastAsia="zh-CN"/>
              </w:rPr>
            </w:pPr>
            <w:r>
              <w:rPr>
                <w:rFonts w:hint="default" w:ascii="Times New Roman" w:hAnsi="Times New Roman" w:eastAsia="宋体" w:cs="Times New Roman"/>
                <w:b/>
                <w:smallCaps w:val="0"/>
                <w:szCs w:val="24"/>
                <w:lang w:val="en-US" w:eastAsia="zh-CN"/>
              </w:rPr>
              <w:t>序号</w:t>
            </w:r>
          </w:p>
        </w:tc>
        <w:tc>
          <w:tcPr>
            <w:tcW w:w="375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mallCaps w:val="0"/>
                <w:szCs w:val="24"/>
                <w:lang w:val="en-US" w:eastAsia="zh-CN"/>
              </w:rPr>
            </w:pPr>
            <w:r>
              <w:rPr>
                <w:rFonts w:hint="default" w:ascii="Times New Roman" w:hAnsi="Times New Roman" w:eastAsia="宋体" w:cs="Times New Roman"/>
                <w:b/>
                <w:smallCaps w:val="0"/>
                <w:szCs w:val="24"/>
                <w:lang w:val="en-US" w:eastAsia="zh-CN"/>
              </w:rPr>
              <w:t>安全生产条件</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mallCaps w:val="0"/>
                <w:szCs w:val="24"/>
                <w:lang w:eastAsia="zh-CN"/>
              </w:rPr>
            </w:pPr>
            <w:r>
              <w:rPr>
                <w:rFonts w:hint="default" w:ascii="Times New Roman" w:hAnsi="Times New Roman" w:eastAsia="宋体" w:cs="Times New Roman"/>
                <w:b/>
                <w:smallCaps w:val="0"/>
                <w:szCs w:val="24"/>
                <w:lang w:val="en-US" w:eastAsia="zh-CN"/>
              </w:rPr>
              <w:t>实际情况</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mallCaps w:val="0"/>
                <w:szCs w:val="24"/>
              </w:rPr>
            </w:pPr>
            <w:r>
              <w:rPr>
                <w:rFonts w:hint="default" w:ascii="Times New Roman" w:hAnsi="Times New Roman" w:eastAsia="宋体" w:cs="Times New Roman"/>
                <w:b/>
                <w:smallCaps w:val="0"/>
                <w:szCs w:val="24"/>
              </w:rPr>
              <w:t>审查结果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1</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kern w:val="0"/>
                <w:szCs w:val="21"/>
              </w:rPr>
              <w:t>该公司已编制从总经理</w:t>
            </w:r>
            <w:r>
              <w:rPr>
                <w:rFonts w:hint="default" w:ascii="Times New Roman" w:hAnsi="Times New Roman" w:cs="Times New Roman"/>
                <w:kern w:val="0"/>
                <w:szCs w:val="21"/>
                <w:lang w:eastAsia="zh-CN"/>
              </w:rPr>
              <w:t>（法人）</w:t>
            </w:r>
            <w:r>
              <w:rPr>
                <w:rFonts w:hint="default" w:ascii="Times New Roman" w:hAnsi="Times New Roman" w:cs="Times New Roman"/>
                <w:kern w:val="0"/>
                <w:szCs w:val="21"/>
              </w:rPr>
              <w:t>到</w:t>
            </w:r>
            <w:r>
              <w:rPr>
                <w:rFonts w:hint="default" w:ascii="Times New Roman" w:hAnsi="Times New Roman" w:cs="Times New Roman"/>
                <w:kern w:val="0"/>
                <w:szCs w:val="21"/>
                <w:lang w:eastAsia="zh-CN"/>
              </w:rPr>
              <w:t>操作工</w:t>
            </w:r>
            <w:r>
              <w:rPr>
                <w:rFonts w:hint="default" w:ascii="Times New Roman" w:hAnsi="Times New Roman" w:cs="Times New Roman"/>
                <w:color w:val="000000" w:themeColor="text1"/>
                <w:kern w:val="0"/>
                <w:szCs w:val="21"/>
                <w14:textFill>
                  <w14:solidFill>
                    <w14:schemeClr w14:val="tx1"/>
                  </w14:solidFill>
                </w14:textFill>
              </w:rPr>
              <w:t>等</w:t>
            </w:r>
            <w:r>
              <w:rPr>
                <w:rFonts w:hint="eastAsia" w:cs="Times New Roman"/>
                <w:color w:val="000000" w:themeColor="text1"/>
                <w:kern w:val="0"/>
                <w:szCs w:val="21"/>
                <w:lang w:val="en-US" w:eastAsia="zh-CN"/>
                <w14:textFill>
                  <w14:solidFill>
                    <w14:schemeClr w14:val="tx1"/>
                  </w14:solidFill>
                </w14:textFill>
              </w:rPr>
              <w:t>41</w:t>
            </w:r>
            <w:r>
              <w:rPr>
                <w:rFonts w:hint="default" w:ascii="Times New Roman" w:hAnsi="Times New Roman" w:cs="Times New Roman"/>
                <w:color w:val="000000" w:themeColor="text1"/>
                <w:kern w:val="0"/>
                <w:szCs w:val="21"/>
                <w14:textFill>
                  <w14:solidFill>
                    <w14:schemeClr w14:val="tx1"/>
                  </w14:solidFill>
                </w14:textFill>
              </w:rPr>
              <w:t>项安</w:t>
            </w:r>
            <w:r>
              <w:rPr>
                <w:rFonts w:hint="default" w:ascii="Times New Roman" w:hAnsi="Times New Roman" w:cs="Times New Roman"/>
                <w:kern w:val="0"/>
                <w:szCs w:val="21"/>
              </w:rPr>
              <w:t>全生产职责，涵盖全体从业人员</w:t>
            </w:r>
            <w:r>
              <w:rPr>
                <w:rFonts w:hint="default" w:ascii="Times New Roman" w:hAnsi="Times New Roman" w:cs="Times New Roman"/>
                <w:kern w:val="0"/>
                <w:szCs w:val="21"/>
                <w:lang w:eastAsia="zh-CN"/>
              </w:rPr>
              <w:t>；</w:t>
            </w:r>
            <w:r>
              <w:rPr>
                <w:rFonts w:hint="default" w:ascii="Times New Roman" w:hAnsi="Times New Roman" w:cs="Times New Roman"/>
                <w:kern w:val="0"/>
                <w:szCs w:val="21"/>
              </w:rPr>
              <w:t>该公司制定了安全生产</w:t>
            </w:r>
            <w:r>
              <w:rPr>
                <w:rFonts w:hint="eastAsia" w:cs="Times New Roman"/>
                <w:kern w:val="0"/>
                <w:szCs w:val="21"/>
                <w:lang w:val="en-US" w:eastAsia="zh-CN"/>
              </w:rPr>
              <w:t>会议</w:t>
            </w:r>
            <w:r>
              <w:rPr>
                <w:rFonts w:hint="default" w:ascii="Times New Roman" w:hAnsi="Times New Roman" w:cs="Times New Roman"/>
                <w:kern w:val="0"/>
                <w:szCs w:val="21"/>
              </w:rPr>
              <w:t>制度、安全生产检查制度、安全教育培训制度、</w:t>
            </w:r>
            <w:bookmarkStart w:id="156" w:name="_Toc5846"/>
            <w:r>
              <w:rPr>
                <w:rFonts w:hint="default" w:ascii="Times New Roman" w:hAnsi="Times New Roman" w:cs="Times New Roman"/>
                <w:kern w:val="0"/>
                <w:szCs w:val="21"/>
              </w:rPr>
              <w:t>事故</w:t>
            </w:r>
            <w:r>
              <w:rPr>
                <w:rFonts w:hint="eastAsia" w:cs="Times New Roman"/>
                <w:kern w:val="0"/>
                <w:szCs w:val="21"/>
                <w:lang w:val="en-US" w:eastAsia="zh-CN"/>
              </w:rPr>
              <w:t>报告</w:t>
            </w:r>
            <w:r>
              <w:rPr>
                <w:rFonts w:hint="default" w:ascii="Times New Roman" w:hAnsi="Times New Roman" w:cs="Times New Roman"/>
                <w:kern w:val="0"/>
                <w:szCs w:val="21"/>
              </w:rPr>
              <w:t>制度</w:t>
            </w:r>
            <w:bookmarkEnd w:id="156"/>
            <w:r>
              <w:rPr>
                <w:rFonts w:hint="default" w:ascii="Times New Roman" w:hAnsi="Times New Roman" w:cs="Times New Roman"/>
                <w:kern w:val="0"/>
                <w:szCs w:val="21"/>
                <w:lang w:eastAsia="zh-CN"/>
              </w:rPr>
              <w:t>、</w:t>
            </w:r>
            <w:bookmarkStart w:id="157" w:name="_Toc4043"/>
            <w:r>
              <w:rPr>
                <w:rFonts w:hint="default" w:ascii="Times New Roman" w:hAnsi="Times New Roman" w:cs="Times New Roman"/>
                <w:kern w:val="0"/>
                <w:szCs w:val="21"/>
                <w:lang w:eastAsia="zh-CN"/>
              </w:rPr>
              <w:t>领导干部带班制度</w:t>
            </w:r>
            <w:bookmarkEnd w:id="157"/>
            <w:r>
              <w:rPr>
                <w:rFonts w:hint="default" w:ascii="Times New Roman" w:hAnsi="Times New Roman" w:cs="Times New Roman"/>
                <w:kern w:val="0"/>
                <w:szCs w:val="21"/>
                <w:lang w:eastAsia="zh-CN"/>
              </w:rPr>
              <w:t>、</w:t>
            </w:r>
            <w:r>
              <w:rPr>
                <w:rFonts w:hint="default" w:ascii="Times New Roman" w:hAnsi="Times New Roman" w:cs="Times New Roman"/>
                <w:kern w:val="0"/>
                <w:szCs w:val="21"/>
              </w:rPr>
              <w:t>设备</w:t>
            </w:r>
            <w:r>
              <w:rPr>
                <w:rFonts w:hint="default" w:ascii="Times New Roman" w:hAnsi="Times New Roman" w:cs="Times New Roman"/>
                <w:kern w:val="0"/>
                <w:szCs w:val="21"/>
                <w:lang w:eastAsia="zh-CN"/>
              </w:rPr>
              <w:t>安全</w:t>
            </w:r>
            <w:r>
              <w:rPr>
                <w:rFonts w:hint="default" w:ascii="Times New Roman" w:hAnsi="Times New Roman" w:cs="Times New Roman"/>
                <w:kern w:val="0"/>
                <w:szCs w:val="21"/>
              </w:rPr>
              <w:t>管理制度</w:t>
            </w:r>
            <w:r>
              <w:rPr>
                <w:rFonts w:hint="default" w:ascii="Times New Roman" w:hAnsi="Times New Roman" w:cs="Times New Roman"/>
                <w:color w:val="000000" w:themeColor="text1"/>
                <w:kern w:val="0"/>
                <w:szCs w:val="21"/>
                <w14:textFill>
                  <w14:solidFill>
                    <w14:schemeClr w14:val="tx1"/>
                  </w14:solidFill>
                </w14:textFill>
              </w:rPr>
              <w:t>等</w:t>
            </w:r>
            <w:r>
              <w:rPr>
                <w:rFonts w:hint="default" w:ascii="Times New Roman" w:hAnsi="Times New Roman" w:cs="Times New Roman"/>
                <w:color w:val="000000" w:themeColor="text1"/>
                <w:kern w:val="0"/>
                <w:szCs w:val="21"/>
                <w:lang w:val="en-US" w:eastAsia="zh-CN"/>
                <w14:textFill>
                  <w14:solidFill>
                    <w14:schemeClr w14:val="tx1"/>
                  </w14:solidFill>
                </w14:textFill>
              </w:rPr>
              <w:t>3</w:t>
            </w:r>
            <w:r>
              <w:rPr>
                <w:rFonts w:hint="eastAsia" w:cs="Times New Roman"/>
                <w:color w:val="000000" w:themeColor="text1"/>
                <w:kern w:val="0"/>
                <w:szCs w:val="21"/>
                <w:lang w:val="en-US" w:eastAsia="zh-CN"/>
                <w14:textFill>
                  <w14:solidFill>
                    <w14:schemeClr w14:val="tx1"/>
                  </w14:solidFill>
                </w14:textFill>
              </w:rPr>
              <w:t>2</w:t>
            </w:r>
            <w:r>
              <w:rPr>
                <w:rFonts w:hint="default" w:ascii="Times New Roman" w:hAnsi="Times New Roman" w:cs="Times New Roman"/>
                <w:color w:val="000000" w:themeColor="text1"/>
                <w:kern w:val="0"/>
                <w:szCs w:val="21"/>
                <w14:textFill>
                  <w14:solidFill>
                    <w14:schemeClr w14:val="tx1"/>
                  </w14:solidFill>
                </w14:textFill>
              </w:rPr>
              <w:t>项安</w:t>
            </w:r>
            <w:r>
              <w:rPr>
                <w:rFonts w:hint="default" w:ascii="Times New Roman" w:hAnsi="Times New Roman" w:cs="Times New Roman"/>
                <w:kern w:val="0"/>
                <w:szCs w:val="21"/>
              </w:rPr>
              <w:t>全管理制度；制定有</w:t>
            </w:r>
            <w:r>
              <w:rPr>
                <w:rFonts w:hint="default" w:ascii="Times New Roman" w:hAnsi="Times New Roman" w:cs="Times New Roman"/>
                <w:kern w:val="0"/>
                <w:szCs w:val="21"/>
              </w:rPr>
              <w:fldChar w:fldCharType="begin"/>
            </w:r>
            <w:r>
              <w:rPr>
                <w:rFonts w:hint="default" w:ascii="Times New Roman" w:hAnsi="Times New Roman" w:cs="Times New Roman"/>
                <w:kern w:val="0"/>
                <w:szCs w:val="21"/>
              </w:rPr>
              <w:instrText xml:space="preserve"> HYPERLINK \l _Toc32037 </w:instrText>
            </w:r>
            <w:r>
              <w:rPr>
                <w:rFonts w:hint="default" w:ascii="Times New Roman" w:hAnsi="Times New Roman" w:cs="Times New Roman"/>
                <w:kern w:val="0"/>
                <w:szCs w:val="21"/>
              </w:rPr>
              <w:fldChar w:fldCharType="separate"/>
            </w:r>
            <w:r>
              <w:rPr>
                <w:rFonts w:hint="default" w:ascii="Times New Roman" w:hAnsi="Times New Roman" w:cs="Times New Roman"/>
                <w:kern w:val="0"/>
                <w:szCs w:val="21"/>
              </w:rPr>
              <w:t>修井机立放井架操作规程</w:t>
            </w:r>
            <w:r>
              <w:rPr>
                <w:rFonts w:hint="default" w:ascii="Times New Roman" w:hAnsi="Times New Roman" w:cs="Times New Roman"/>
                <w:kern w:val="0"/>
                <w:szCs w:val="21"/>
              </w:rPr>
              <w:fldChar w:fldCharType="end"/>
            </w:r>
            <w:r>
              <w:rPr>
                <w:rFonts w:hint="default" w:ascii="Times New Roman" w:hAnsi="Times New Roman" w:cs="Times New Roman"/>
                <w:kern w:val="0"/>
                <w:szCs w:val="21"/>
                <w:lang w:val="en-US" w:eastAsia="zh-CN"/>
              </w:rPr>
              <w:t>、</w:t>
            </w:r>
            <w:r>
              <w:rPr>
                <w:rFonts w:hint="default" w:ascii="Times New Roman" w:hAnsi="Times New Roman" w:cs="Times New Roman"/>
                <w:kern w:val="0"/>
                <w:szCs w:val="21"/>
              </w:rPr>
              <w:fldChar w:fldCharType="begin"/>
            </w:r>
            <w:r>
              <w:rPr>
                <w:rFonts w:hint="default" w:ascii="Times New Roman" w:hAnsi="Times New Roman" w:cs="Times New Roman"/>
                <w:kern w:val="0"/>
                <w:szCs w:val="21"/>
              </w:rPr>
              <w:instrText xml:space="preserve"> HYPERLINK \l _Toc6812 </w:instrText>
            </w:r>
            <w:r>
              <w:rPr>
                <w:rFonts w:hint="default" w:ascii="Times New Roman" w:hAnsi="Times New Roman" w:cs="Times New Roman"/>
                <w:kern w:val="0"/>
                <w:szCs w:val="21"/>
              </w:rPr>
              <w:fldChar w:fldCharType="separate"/>
            </w:r>
            <w:r>
              <w:rPr>
                <w:rFonts w:hint="default" w:ascii="Times New Roman" w:hAnsi="Times New Roman" w:cs="Times New Roman"/>
                <w:kern w:val="0"/>
                <w:szCs w:val="21"/>
              </w:rPr>
              <w:t>作业搬迁吊装操作规程</w:t>
            </w:r>
            <w:r>
              <w:rPr>
                <w:rFonts w:hint="default" w:ascii="Times New Roman" w:hAnsi="Times New Roman" w:cs="Times New Roman"/>
                <w:kern w:val="0"/>
                <w:szCs w:val="21"/>
              </w:rPr>
              <w:fldChar w:fldCharType="end"/>
            </w:r>
            <w:r>
              <w:rPr>
                <w:rFonts w:hint="eastAsia" w:cs="Times New Roman"/>
                <w:kern w:val="0"/>
                <w:szCs w:val="21"/>
                <w:lang w:eastAsia="zh-CN"/>
              </w:rPr>
              <w:t>、</w:t>
            </w:r>
            <w:r>
              <w:rPr>
                <w:rFonts w:hint="eastAsia" w:cs="Times New Roman"/>
                <w:kern w:val="0"/>
                <w:szCs w:val="21"/>
                <w:lang w:eastAsia="zh-CN"/>
              </w:rPr>
              <w:fldChar w:fldCharType="begin"/>
            </w:r>
            <w:r>
              <w:rPr>
                <w:rFonts w:hint="eastAsia" w:cs="Times New Roman"/>
                <w:kern w:val="0"/>
                <w:szCs w:val="21"/>
                <w:lang w:eastAsia="zh-CN"/>
              </w:rPr>
              <w:instrText xml:space="preserve"> HYPERLINK \l _Toc20448 </w:instrText>
            </w:r>
            <w:r>
              <w:rPr>
                <w:rFonts w:hint="eastAsia" w:cs="Times New Roman"/>
                <w:kern w:val="0"/>
                <w:szCs w:val="21"/>
                <w:lang w:eastAsia="zh-CN"/>
              </w:rPr>
              <w:fldChar w:fldCharType="separate"/>
            </w:r>
            <w:r>
              <w:rPr>
                <w:rFonts w:hint="eastAsia" w:cs="Times New Roman"/>
                <w:kern w:val="0"/>
                <w:szCs w:val="21"/>
                <w:lang w:eastAsia="zh-CN"/>
              </w:rPr>
              <w:t>套管补贴作业操作规程</w:t>
            </w:r>
            <w:r>
              <w:rPr>
                <w:rFonts w:hint="eastAsia" w:cs="Times New Roman"/>
                <w:kern w:val="0"/>
                <w:szCs w:val="21"/>
                <w:lang w:eastAsia="zh-CN"/>
              </w:rPr>
              <w:fldChar w:fldCharType="end"/>
            </w:r>
            <w:r>
              <w:rPr>
                <w:rFonts w:hint="eastAsia" w:cs="Times New Roman"/>
                <w:kern w:val="0"/>
                <w:szCs w:val="21"/>
                <w:lang w:eastAsia="zh-CN"/>
              </w:rPr>
              <w:fldChar w:fldCharType="begin"/>
            </w:r>
            <w:r>
              <w:rPr>
                <w:rFonts w:hint="eastAsia" w:cs="Times New Roman"/>
                <w:kern w:val="0"/>
                <w:szCs w:val="21"/>
                <w:lang w:eastAsia="zh-CN"/>
              </w:rPr>
              <w:instrText xml:space="preserve"> HYPERLINK \l _Toc11919 </w:instrText>
            </w:r>
            <w:r>
              <w:rPr>
                <w:rFonts w:hint="eastAsia" w:cs="Times New Roman"/>
                <w:kern w:val="0"/>
                <w:szCs w:val="21"/>
                <w:lang w:eastAsia="zh-CN"/>
              </w:rPr>
              <w:fldChar w:fldCharType="separate"/>
            </w:r>
            <w:r>
              <w:rPr>
                <w:rFonts w:hint="eastAsia" w:cs="Times New Roman"/>
                <w:kern w:val="0"/>
                <w:szCs w:val="21"/>
                <w:lang w:eastAsia="zh-CN"/>
              </w:rPr>
              <w:t>、防砂作业操作规程</w:t>
            </w:r>
            <w:r>
              <w:rPr>
                <w:rFonts w:hint="eastAsia" w:cs="Times New Roman"/>
                <w:kern w:val="0"/>
                <w:szCs w:val="21"/>
                <w:lang w:eastAsia="zh-CN"/>
              </w:rPr>
              <w:fldChar w:fldCharType="end"/>
            </w:r>
            <w:r>
              <w:rPr>
                <w:rFonts w:hint="eastAsia" w:cs="Times New Roman"/>
                <w:kern w:val="0"/>
                <w:szCs w:val="21"/>
                <w:lang w:eastAsia="zh-CN"/>
              </w:rPr>
              <w:fldChar w:fldCharType="begin"/>
            </w:r>
            <w:r>
              <w:rPr>
                <w:rFonts w:hint="eastAsia" w:cs="Times New Roman"/>
                <w:kern w:val="0"/>
                <w:szCs w:val="21"/>
                <w:lang w:eastAsia="zh-CN"/>
              </w:rPr>
              <w:instrText xml:space="preserve"> HYPERLINK \l _Toc28811 </w:instrText>
            </w:r>
            <w:r>
              <w:rPr>
                <w:rFonts w:hint="eastAsia" w:cs="Times New Roman"/>
                <w:kern w:val="0"/>
                <w:szCs w:val="21"/>
                <w:lang w:eastAsia="zh-CN"/>
              </w:rPr>
              <w:fldChar w:fldCharType="separate"/>
            </w:r>
            <w:r>
              <w:rPr>
                <w:rFonts w:hint="eastAsia" w:cs="Times New Roman"/>
                <w:kern w:val="0"/>
                <w:szCs w:val="21"/>
                <w:lang w:eastAsia="zh-CN"/>
              </w:rPr>
              <w:t>、酸化作业操作规程</w:t>
            </w:r>
            <w:r>
              <w:rPr>
                <w:rFonts w:hint="eastAsia" w:cs="Times New Roman"/>
                <w:kern w:val="0"/>
                <w:szCs w:val="21"/>
                <w:lang w:eastAsia="zh-CN"/>
              </w:rPr>
              <w:fldChar w:fldCharType="end"/>
            </w:r>
            <w:r>
              <w:rPr>
                <w:rFonts w:hint="eastAsia" w:cs="Times New Roman"/>
                <w:kern w:val="0"/>
                <w:szCs w:val="21"/>
                <w:lang w:eastAsia="zh-CN"/>
              </w:rPr>
              <w:fldChar w:fldCharType="begin"/>
            </w:r>
            <w:r>
              <w:rPr>
                <w:rFonts w:hint="eastAsia" w:cs="Times New Roman"/>
                <w:kern w:val="0"/>
                <w:szCs w:val="21"/>
                <w:lang w:eastAsia="zh-CN"/>
              </w:rPr>
              <w:instrText xml:space="preserve"> HYPERLINK \l _Toc7084 </w:instrText>
            </w:r>
            <w:r>
              <w:rPr>
                <w:rFonts w:hint="eastAsia" w:cs="Times New Roman"/>
                <w:kern w:val="0"/>
                <w:szCs w:val="21"/>
                <w:lang w:eastAsia="zh-CN"/>
              </w:rPr>
              <w:fldChar w:fldCharType="separate"/>
            </w:r>
            <w:r>
              <w:rPr>
                <w:rFonts w:hint="eastAsia" w:cs="Times New Roman"/>
                <w:kern w:val="0"/>
                <w:szCs w:val="21"/>
                <w:lang w:eastAsia="zh-CN"/>
              </w:rPr>
              <w:t>、堵水/调剖施工操作规程</w:t>
            </w:r>
            <w:r>
              <w:rPr>
                <w:rFonts w:hint="eastAsia" w:cs="Times New Roman"/>
                <w:kern w:val="0"/>
                <w:szCs w:val="21"/>
                <w:lang w:eastAsia="zh-CN"/>
              </w:rPr>
              <w:fldChar w:fldCharType="end"/>
            </w:r>
            <w:r>
              <w:rPr>
                <w:rFonts w:hint="default" w:ascii="Times New Roman" w:hAnsi="Times New Roman" w:cs="Times New Roman"/>
                <w:kern w:val="0"/>
                <w:szCs w:val="21"/>
                <w:lang w:eastAsia="zh-CN"/>
              </w:rPr>
              <w:t>等操作规程</w:t>
            </w:r>
            <w:r>
              <w:rPr>
                <w:rFonts w:hint="default" w:ascii="Times New Roman" w:hAnsi="Times New Roman" w:cs="Times New Roman"/>
                <w:color w:val="000000"/>
              </w:rPr>
              <w:t>。</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2</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val="en-US" w:eastAsia="zh-CN"/>
              </w:rPr>
            </w:pPr>
            <w:r>
              <w:rPr>
                <w:rFonts w:hint="default" w:ascii="Times New Roman" w:hAnsi="Times New Roman" w:cs="Times New Roman"/>
              </w:rPr>
              <w:t>安全投入符合安全生产要求，依照国家有关规定足额提取安全生产费用</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rPr>
            </w:pPr>
            <w:r>
              <w:rPr>
                <w:rFonts w:hint="default" w:ascii="Times New Roman" w:hAnsi="Times New Roman" w:cs="Times New Roman"/>
              </w:rPr>
              <w:t>每年</w:t>
            </w:r>
            <w:r>
              <w:rPr>
                <w:rFonts w:hint="default" w:ascii="Times New Roman" w:hAnsi="Times New Roman" w:cs="Times New Roman"/>
                <w:color w:val="000000"/>
              </w:rPr>
              <w:t>建立年度安全费用提取计划，按照计划计提安全费用，建立有安全费用台账，提取比例不低于工程</w:t>
            </w:r>
            <w:r>
              <w:rPr>
                <w:rFonts w:hint="default" w:ascii="Times New Roman" w:hAnsi="Times New Roman" w:cs="Times New Roman"/>
                <w:color w:val="000000"/>
                <w:lang w:eastAsia="zh-CN"/>
              </w:rPr>
              <w:t>产值</w:t>
            </w:r>
            <w:r>
              <w:rPr>
                <w:rFonts w:hint="default" w:ascii="Times New Roman" w:hAnsi="Times New Roman" w:cs="Times New Roman"/>
                <w:color w:val="000000"/>
              </w:rPr>
              <w:t>的2.5%。</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rPr>
            </w:pPr>
            <w:r>
              <w:rPr>
                <w:rFonts w:hint="default"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3</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rPr>
              <w:t>设置安全生产管理机构，或者配备专职安全生产管理人员</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rPr>
            </w:pPr>
            <w:r>
              <w:rPr>
                <w:rFonts w:hint="eastAsia" w:cs="Times New Roman"/>
                <w:kern w:val="0"/>
                <w:szCs w:val="21"/>
                <w:lang w:val="en-US" w:eastAsia="zh-CN"/>
              </w:rPr>
              <w:t>《</w:t>
            </w:r>
            <w:r>
              <w:rPr>
                <w:rFonts w:hint="default" w:ascii="Times New Roman" w:hAnsi="Times New Roman" w:cs="Times New Roman"/>
                <w:kern w:val="0"/>
                <w:szCs w:val="21"/>
                <w:lang w:val="en-US" w:eastAsia="zh-CN"/>
              </w:rPr>
              <w:t>关于公司成立安全管理部的通知</w:t>
            </w:r>
            <w:r>
              <w:rPr>
                <w:rFonts w:hint="default" w:ascii="Times New Roman" w:hAnsi="Times New Roman" w:cs="Times New Roman"/>
                <w:kern w:val="0"/>
                <w:szCs w:val="21"/>
              </w:rPr>
              <w:t>》（</w:t>
            </w:r>
            <w:r>
              <w:rPr>
                <w:rFonts w:hint="default" w:ascii="Times New Roman" w:hAnsi="Times New Roman" w:cs="Times New Roman"/>
                <w:kern w:val="0"/>
                <w:szCs w:val="21"/>
                <w:lang w:val="en-US" w:eastAsia="zh-CN"/>
              </w:rPr>
              <w:t>胜康司发[</w:t>
            </w:r>
            <w:r>
              <w:rPr>
                <w:rFonts w:hint="default" w:ascii="Times New Roman" w:hAnsi="Times New Roman" w:cs="Times New Roman"/>
                <w:kern w:val="0"/>
                <w:szCs w:val="21"/>
              </w:rPr>
              <w:t>20</w:t>
            </w:r>
            <w:r>
              <w:rPr>
                <w:rFonts w:hint="default" w:ascii="Times New Roman" w:hAnsi="Times New Roman" w:cs="Times New Roman"/>
                <w:kern w:val="0"/>
                <w:szCs w:val="21"/>
                <w:lang w:val="en-US" w:eastAsia="zh-CN"/>
              </w:rPr>
              <w:t>22]</w:t>
            </w:r>
            <w:r>
              <w:rPr>
                <w:rFonts w:hint="default" w:ascii="Times New Roman" w:hAnsi="Times New Roman" w:cs="Times New Roman"/>
                <w:kern w:val="0"/>
                <w:szCs w:val="21"/>
              </w:rPr>
              <w:t>）</w:t>
            </w:r>
            <w:r>
              <w:rPr>
                <w:rFonts w:hint="default" w:ascii="Times New Roman" w:hAnsi="Times New Roman" w:cs="Times New Roman"/>
                <w:kern w:val="0"/>
                <w:szCs w:val="21"/>
                <w:lang w:val="en-US" w:eastAsia="zh-CN"/>
              </w:rPr>
              <w:t>8</w:t>
            </w:r>
            <w:r>
              <w:rPr>
                <w:rFonts w:hint="default" w:ascii="Times New Roman" w:hAnsi="Times New Roman" w:cs="Times New Roman"/>
                <w:kern w:val="0"/>
                <w:szCs w:val="21"/>
              </w:rPr>
              <w:t>号），公司</w:t>
            </w:r>
            <w:r>
              <w:rPr>
                <w:rFonts w:hint="default" w:ascii="Times New Roman" w:hAnsi="Times New Roman" w:cs="Times New Roman"/>
                <w:kern w:val="0"/>
                <w:szCs w:val="21"/>
                <w:lang w:val="en-US" w:eastAsia="zh-CN"/>
              </w:rPr>
              <w:t>成立安全管理部作为</w:t>
            </w:r>
            <w:r>
              <w:rPr>
                <w:rFonts w:hint="default" w:ascii="Times New Roman" w:hAnsi="Times New Roman" w:cs="Times New Roman"/>
                <w:kern w:val="0"/>
                <w:szCs w:val="21"/>
              </w:rPr>
              <w:t>安全生产管理机构，任命</w:t>
            </w:r>
            <w:r>
              <w:rPr>
                <w:rFonts w:hint="default" w:ascii="Times New Roman" w:hAnsi="Times New Roman" w:cs="Times New Roman"/>
                <w:kern w:val="0"/>
                <w:szCs w:val="21"/>
                <w:lang w:val="en-US" w:eastAsia="zh-CN"/>
              </w:rPr>
              <w:t>秦思维</w:t>
            </w:r>
            <w:r>
              <w:rPr>
                <w:rFonts w:hint="default" w:ascii="Times New Roman" w:hAnsi="Times New Roman" w:cs="Times New Roman"/>
                <w:kern w:val="0"/>
                <w:szCs w:val="21"/>
                <w:lang w:eastAsia="zh-CN"/>
              </w:rPr>
              <w:t>、</w:t>
            </w:r>
            <w:r>
              <w:rPr>
                <w:rFonts w:hint="default" w:ascii="Times New Roman" w:hAnsi="Times New Roman" w:cs="Times New Roman"/>
                <w:kern w:val="0"/>
                <w:szCs w:val="21"/>
                <w:lang w:val="en-US" w:eastAsia="zh-CN"/>
              </w:rPr>
              <w:t>陈云钊为专职安全管理人员</w:t>
            </w:r>
            <w:r>
              <w:rPr>
                <w:rFonts w:hint="default" w:ascii="Times New Roman" w:hAnsi="Times New Roman" w:cs="Times New Roman"/>
                <w:kern w:val="0"/>
                <w:szCs w:val="21"/>
              </w:rPr>
              <w:t>，另任命</w:t>
            </w:r>
            <w:r>
              <w:rPr>
                <w:rFonts w:hint="eastAsia" w:cs="Times New Roman"/>
                <w:kern w:val="0"/>
                <w:szCs w:val="21"/>
                <w:lang w:val="en-US" w:eastAsia="zh-CN"/>
              </w:rPr>
              <w:t>刘佣</w:t>
            </w:r>
            <w:r>
              <w:rPr>
                <w:rFonts w:hint="default" w:ascii="Times New Roman" w:hAnsi="Times New Roman" w:cs="Times New Roman"/>
                <w:kern w:val="0"/>
                <w:szCs w:val="21"/>
              </w:rPr>
              <w:t>为安全总监。</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rPr>
            </w:pPr>
            <w:r>
              <w:rPr>
                <w:rFonts w:hint="default"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4</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rPr>
              <w:t>主要负责人和安全生产管理人员经安全生产监督管理部门考核合格，取得安全</w:t>
            </w:r>
            <w:r>
              <w:rPr>
                <w:rFonts w:hint="default" w:ascii="Times New Roman" w:hAnsi="Times New Roman" w:cs="Times New Roman"/>
                <w:lang w:eastAsia="zh-CN"/>
              </w:rPr>
              <w:t>合格</w:t>
            </w:r>
            <w:r>
              <w:rPr>
                <w:rFonts w:hint="default" w:ascii="Times New Roman" w:hAnsi="Times New Roman" w:cs="Times New Roman"/>
              </w:rPr>
              <w:t>证书</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rPr>
            </w:pPr>
            <w:r>
              <w:rPr>
                <w:rFonts w:hint="default" w:ascii="Times New Roman" w:hAnsi="Times New Roman" w:cs="Times New Roman"/>
                <w:szCs w:val="21"/>
                <w:lang w:val="en-US" w:eastAsia="zh-CN"/>
              </w:rPr>
              <w:t>安全管理人员已取得安全合格证，且在年检有效期内；</w:t>
            </w:r>
            <w:r>
              <w:rPr>
                <w:rFonts w:hint="eastAsia" w:cs="Times New Roman"/>
                <w:szCs w:val="21"/>
                <w:lang w:val="en-US" w:eastAsia="zh-CN"/>
              </w:rPr>
              <w:t>主要负责人范涛</w:t>
            </w:r>
            <w:r>
              <w:rPr>
                <w:rFonts w:hint="default" w:ascii="Times New Roman" w:hAnsi="Times New Roman" w:cs="Times New Roman"/>
                <w:szCs w:val="21"/>
                <w:lang w:val="en-US" w:eastAsia="zh-CN"/>
              </w:rPr>
              <w:t>已于</w:t>
            </w:r>
            <w:r>
              <w:rPr>
                <w:rFonts w:hint="eastAsia" w:cs="Times New Roman"/>
                <w:color w:val="auto"/>
                <w:szCs w:val="21"/>
                <w:lang w:val="en-US" w:eastAsia="zh-CN"/>
              </w:rPr>
              <w:t>6</w:t>
            </w:r>
            <w:r>
              <w:rPr>
                <w:rFonts w:hint="default" w:ascii="Times New Roman" w:hAnsi="Times New Roman" w:cs="Times New Roman"/>
                <w:color w:val="auto"/>
                <w:szCs w:val="21"/>
                <w:lang w:val="en-US" w:eastAsia="zh-CN"/>
              </w:rPr>
              <w:t>月</w:t>
            </w:r>
            <w:r>
              <w:rPr>
                <w:rFonts w:hint="eastAsia" w:cs="Times New Roman"/>
                <w:color w:val="auto"/>
                <w:szCs w:val="21"/>
                <w:lang w:val="en-US" w:eastAsia="zh-CN"/>
              </w:rPr>
              <w:t>14</w:t>
            </w:r>
            <w:r>
              <w:rPr>
                <w:rFonts w:hint="default" w:ascii="Times New Roman" w:hAnsi="Times New Roman" w:cs="Times New Roman"/>
                <w:color w:val="auto"/>
                <w:szCs w:val="21"/>
                <w:lang w:val="en-US" w:eastAsia="zh-CN"/>
              </w:rPr>
              <w:t>日参</w:t>
            </w:r>
            <w:r>
              <w:rPr>
                <w:rFonts w:hint="default" w:ascii="Times New Roman" w:hAnsi="Times New Roman" w:cs="Times New Roman"/>
                <w:color w:val="000000" w:themeColor="text1"/>
                <w:szCs w:val="21"/>
                <w:lang w:val="en-US" w:eastAsia="zh-CN"/>
                <w14:textFill>
                  <w14:solidFill>
                    <w14:schemeClr w14:val="tx1"/>
                  </w14:solidFill>
                </w14:textFill>
              </w:rPr>
              <w:t>加陆上石油天然气开采安全合格培训考试</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6月1</w:t>
            </w:r>
            <w:r>
              <w:rPr>
                <w:rFonts w:hint="eastAsia" w:cs="Times New Roman"/>
                <w:color w:val="000000" w:themeColor="text1"/>
                <w:szCs w:val="21"/>
                <w:lang w:val="en-US" w:eastAsia="zh-CN"/>
                <w14:textFill>
                  <w14:solidFill>
                    <w14:schemeClr w14:val="tx1"/>
                  </w14:solidFill>
                </w14:textFill>
              </w:rPr>
              <w:t>6</w:t>
            </w:r>
            <w:r>
              <w:rPr>
                <w:rFonts w:hint="default" w:ascii="Times New Roman" w:hAnsi="Times New Roman" w:cs="Times New Roman"/>
                <w:color w:val="000000" w:themeColor="text1"/>
                <w:szCs w:val="21"/>
                <w:lang w:val="en-US" w:eastAsia="zh-CN"/>
                <w14:textFill>
                  <w14:solidFill>
                    <w14:schemeClr w14:val="tx1"/>
                  </w14:solidFill>
                </w14:textFill>
              </w:rPr>
              <w:t>日</w:t>
            </w:r>
            <w:r>
              <w:rPr>
                <w:rFonts w:hint="eastAsia" w:cs="Times New Roman"/>
                <w:color w:val="000000" w:themeColor="text1"/>
                <w:szCs w:val="21"/>
                <w:lang w:eastAsia="zh-CN"/>
                <w14:textFill>
                  <w14:solidFill>
                    <w14:schemeClr w14:val="tx1"/>
                  </w14:solidFill>
                </w14:textFill>
              </w:rPr>
              <w:t>取得</w:t>
            </w:r>
            <w:r>
              <w:rPr>
                <w:rFonts w:hint="eastAsia" w:cs="Times New Roman"/>
                <w:color w:val="000000" w:themeColor="text1"/>
                <w:szCs w:val="21"/>
                <w:lang w:val="en-US" w:eastAsia="zh-CN"/>
                <w14:textFill>
                  <w14:solidFill>
                    <w14:schemeClr w14:val="tx1"/>
                  </w14:solidFill>
                </w14:textFill>
              </w:rPr>
              <w:t>主要负责人</w:t>
            </w:r>
            <w:r>
              <w:rPr>
                <w:rFonts w:hint="eastAsia" w:cs="Times New Roman"/>
                <w:color w:val="000000" w:themeColor="text1"/>
                <w:szCs w:val="21"/>
                <w:lang w:eastAsia="zh-CN"/>
                <w14:textFill>
                  <w14:solidFill>
                    <w14:schemeClr w14:val="tx1"/>
                  </w14:solidFill>
                </w14:textFill>
              </w:rPr>
              <w:t>安全合格证</w:t>
            </w:r>
            <w:r>
              <w:rPr>
                <w:rFonts w:hint="default" w:ascii="Times New Roman" w:hAnsi="Times New Roman" w:cs="Times New Roman"/>
                <w:b w:val="0"/>
                <w:bCs w:val="0"/>
                <w:color w:val="000000" w:themeColor="text1"/>
                <w14:textFill>
                  <w14:solidFill>
                    <w14:schemeClr w14:val="tx1"/>
                  </w14:solidFill>
                </w14:textFill>
              </w:rPr>
              <w:t>。</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rPr>
            </w:pPr>
            <w:r>
              <w:rPr>
                <w:rFonts w:hint="default"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5</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rPr>
              <w:t>特种作业人员经有关业务主管部门考核合格，取得特种作业操作</w:t>
            </w:r>
            <w:r>
              <w:rPr>
                <w:rFonts w:hint="default" w:ascii="Times New Roman" w:hAnsi="Times New Roman" w:cs="Times New Roman"/>
                <w:lang w:eastAsia="zh-CN"/>
              </w:rPr>
              <w:t>合格</w:t>
            </w:r>
            <w:r>
              <w:rPr>
                <w:rFonts w:hint="default" w:ascii="Times New Roman" w:hAnsi="Times New Roman" w:cs="Times New Roman"/>
              </w:rPr>
              <w:t>证书</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szCs w:val="21"/>
                <w:lang w:val="en-US" w:eastAsia="zh-CN"/>
              </w:rPr>
              <w:t>该公司</w:t>
            </w:r>
            <w:r>
              <w:rPr>
                <w:rFonts w:hint="default" w:ascii="Times New Roman" w:hAnsi="Times New Roman" w:cs="Times New Roman"/>
                <w:color w:val="000000"/>
                <w:sz w:val="21"/>
                <w:szCs w:val="21"/>
                <w:lang w:val="en-US" w:eastAsia="zh-CN"/>
              </w:rPr>
              <w:t>高处</w:t>
            </w:r>
            <w:r>
              <w:rPr>
                <w:rFonts w:hint="eastAsia" w:cs="Times New Roman"/>
                <w:color w:val="000000"/>
                <w:sz w:val="21"/>
                <w:szCs w:val="21"/>
                <w:lang w:val="en-US" w:eastAsia="zh-CN"/>
              </w:rPr>
              <w:t>作业、电工、司钻</w:t>
            </w:r>
            <w:r>
              <w:rPr>
                <w:rFonts w:hint="eastAsia" w:cs="Times New Roman"/>
                <w:szCs w:val="21"/>
                <w:lang w:val="en-US" w:eastAsia="zh-CN"/>
              </w:rPr>
              <w:t>特种作业人员</w:t>
            </w:r>
            <w:r>
              <w:rPr>
                <w:rFonts w:hint="default" w:ascii="Times New Roman" w:hAnsi="Times New Roman" w:cs="Times New Roman"/>
                <w:color w:val="000000"/>
                <w:sz w:val="21"/>
                <w:szCs w:val="21"/>
                <w:lang w:val="en-US" w:eastAsia="zh-CN"/>
              </w:rPr>
              <w:t>取得特种作业操作合格证书</w:t>
            </w:r>
            <w:r>
              <w:rPr>
                <w:rFonts w:hint="default" w:ascii="Times New Roman" w:hAnsi="Times New Roman" w:cs="Times New Roman"/>
                <w:b w:val="0"/>
                <w:bCs w:val="0"/>
                <w:color w:val="000000"/>
              </w:rPr>
              <w:t>。</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6</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rPr>
              <w:t>其他从业人员依照规定接受安全生产教育和培训，并经考试合格</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color w:val="000000" w:themeColor="text1"/>
                <w:szCs w:val="24"/>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从业人员依照规定接受安全生产教育和培训，</w:t>
            </w:r>
            <w:r>
              <w:rPr>
                <w:rFonts w:hint="default" w:ascii="Times New Roman" w:hAnsi="Times New Roman" w:cs="Times New Roman"/>
                <w:color w:val="000000" w:themeColor="text1"/>
                <w:lang w:val="en-US" w:eastAsia="zh-CN"/>
                <w14:textFill>
                  <w14:solidFill>
                    <w14:schemeClr w14:val="tx1"/>
                  </w14:solidFill>
                </w14:textFill>
              </w:rPr>
              <w:t>新员工培训时间不小于72学时，</w:t>
            </w:r>
            <w:r>
              <w:rPr>
                <w:rFonts w:hint="eastAsia" w:cs="Times New Roman"/>
                <w:color w:val="000000" w:themeColor="text1"/>
                <w:kern w:val="0"/>
                <w:szCs w:val="21"/>
                <w:lang w:val="en-US" w:eastAsia="zh-CN"/>
                <w14:textFill>
                  <w14:solidFill>
                    <w14:schemeClr w14:val="tx1"/>
                  </w14:solidFill>
                </w14:textFill>
              </w:rPr>
              <w:t>在岗</w:t>
            </w:r>
            <w:r>
              <w:rPr>
                <w:rFonts w:hint="default" w:ascii="Times New Roman" w:hAnsi="Times New Roman" w:cs="Times New Roman"/>
                <w:color w:val="000000" w:themeColor="text1"/>
                <w:kern w:val="0"/>
                <w:szCs w:val="21"/>
                <w14:textFill>
                  <w14:solidFill>
                    <w14:schemeClr w14:val="tx1"/>
                  </w14:solidFill>
                </w14:textFill>
              </w:rPr>
              <w:t>人员</w:t>
            </w:r>
            <w:r>
              <w:rPr>
                <w:rFonts w:hint="default" w:ascii="Times New Roman" w:hAnsi="Times New Roman" w:cs="Times New Roman"/>
                <w:color w:val="000000" w:themeColor="text1"/>
                <w:lang w:val="en-US" w:eastAsia="zh-CN"/>
                <w14:textFill>
                  <w14:solidFill>
                    <w14:schemeClr w14:val="tx1"/>
                  </w14:solidFill>
                </w14:textFill>
              </w:rPr>
              <w:t>再培训时间</w:t>
            </w:r>
            <w:r>
              <w:rPr>
                <w:rFonts w:hint="eastAsia" w:cs="Times New Roman"/>
                <w:color w:val="000000" w:themeColor="text1"/>
                <w:kern w:val="0"/>
                <w:szCs w:val="21"/>
                <w:lang w:val="en-US" w:eastAsia="zh-CN"/>
                <w14:textFill>
                  <w14:solidFill>
                    <w14:schemeClr w14:val="tx1"/>
                  </w14:solidFill>
                </w14:textFill>
              </w:rPr>
              <w:t>不低于20</w:t>
            </w:r>
            <w:r>
              <w:rPr>
                <w:rFonts w:hint="default" w:ascii="Times New Roman" w:hAnsi="Times New Roman" w:cs="Times New Roman"/>
                <w:color w:val="000000" w:themeColor="text1"/>
                <w:kern w:val="0"/>
                <w:szCs w:val="21"/>
                <w:lang w:val="en-US" w:eastAsia="zh-CN"/>
                <w14:textFill>
                  <w14:solidFill>
                    <w14:schemeClr w14:val="tx1"/>
                  </w14:solidFill>
                </w14:textFill>
              </w:rPr>
              <w:t>学时</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人员</w:t>
            </w:r>
            <w:r>
              <w:rPr>
                <w:rFonts w:hint="default" w:ascii="Times New Roman" w:hAnsi="Times New Roman" w:cs="Times New Roman"/>
                <w:color w:val="000000" w:themeColor="text1"/>
                <w14:textFill>
                  <w14:solidFill>
                    <w14:schemeClr w14:val="tx1"/>
                  </w14:solidFill>
                </w14:textFill>
              </w:rPr>
              <w:t>经</w:t>
            </w:r>
            <w:r>
              <w:rPr>
                <w:rFonts w:hint="eastAsia" w:cs="Times New Roman"/>
                <w:color w:val="000000" w:themeColor="text1"/>
                <w:lang w:val="en-US" w:eastAsia="zh-CN"/>
                <w14:textFill>
                  <w14:solidFill>
                    <w14:schemeClr w14:val="tx1"/>
                  </w14:solidFill>
                </w14:textFill>
              </w:rPr>
              <w:t>培训</w:t>
            </w:r>
            <w:r>
              <w:rPr>
                <w:rFonts w:hint="default" w:ascii="Times New Roman" w:hAnsi="Times New Roman" w:cs="Times New Roman"/>
                <w:color w:val="000000" w:themeColor="text1"/>
                <w14:textFill>
                  <w14:solidFill>
                    <w14:schemeClr w14:val="tx1"/>
                  </w14:solidFill>
                </w14:textFill>
              </w:rPr>
              <w:t>考试合格</w:t>
            </w:r>
            <w:r>
              <w:rPr>
                <w:rFonts w:hint="default" w:ascii="Times New Roman" w:hAnsi="Times New Roman" w:cs="Times New Roman"/>
                <w:color w:val="000000" w:themeColor="text1"/>
                <w:lang w:val="en-US" w:eastAsia="zh-CN"/>
                <w14:textFill>
                  <w14:solidFill>
                    <w14:schemeClr w14:val="tx1"/>
                  </w14:solidFill>
                </w14:textFill>
              </w:rPr>
              <w:t>后上岗。</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color w:val="000000" w:themeColor="text1"/>
                <w:szCs w:val="24"/>
                <w14:textFill>
                  <w14:solidFill>
                    <w14:schemeClr w14:val="tx1"/>
                  </w14:solidFill>
                </w14:textFill>
              </w:rPr>
            </w:pPr>
            <w:r>
              <w:rPr>
                <w:rFonts w:hint="default" w:ascii="Times New Roman" w:hAnsi="Times New Roman" w:eastAsia="宋体" w:cs="Times New Roman"/>
                <w:smallCaps w:val="0"/>
                <w:color w:val="000000" w:themeColor="text1"/>
                <w:szCs w:val="24"/>
                <w:lang w:val="en-US" w:eastAsia="zh-CN"/>
                <w14:textFill>
                  <w14:solidFill>
                    <w14:schemeClr w14:val="tx1"/>
                  </w14:solidFill>
                </w14:textFill>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7</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rPr>
              <w:t>依法参加工伤保险，为从业人员缴纳保险费</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rPr>
            </w:pPr>
            <w:r>
              <w:rPr>
                <w:rFonts w:hint="eastAsia" w:cs="Times New Roman"/>
                <w:color w:val="auto"/>
                <w:szCs w:val="21"/>
                <w:lang w:val="en-US" w:eastAsia="zh-CN"/>
              </w:rPr>
              <w:t>涉及企业机密，不予公开。</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8</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rPr>
              <w:t>制定防治职业危害的具体措施，并为从业人员配备符合国家标准或者行业标准的劳动防护用品</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color w:val="000000" w:themeColor="text1"/>
                <w:szCs w:val="24"/>
                <w:lang w:val="en-US" w:eastAsia="zh-CN"/>
                <w14:textFill>
                  <w14:solidFill>
                    <w14:schemeClr w14:val="tx1"/>
                  </w14:solidFill>
                </w14:textFill>
              </w:rPr>
            </w:pPr>
            <w:r>
              <w:rPr>
                <w:rFonts w:hint="default" w:ascii="Times New Roman" w:hAnsi="Times New Roman" w:eastAsia="宋体" w:cs="Times New Roman"/>
                <w:smallCaps w:val="0"/>
                <w:color w:val="000000" w:themeColor="text1"/>
                <w:szCs w:val="24"/>
                <w:lang w:val="en-US" w:eastAsia="zh-CN"/>
                <w14:textFill>
                  <w14:solidFill>
                    <w14:schemeClr w14:val="tx1"/>
                  </w14:solidFill>
                </w14:textFill>
              </w:rPr>
              <w:t>制</w:t>
            </w:r>
            <w:r>
              <w:rPr>
                <w:rFonts w:hint="default" w:ascii="Times New Roman" w:hAnsi="Times New Roman" w:eastAsia="宋体" w:cs="Times New Roman"/>
                <w:b w:val="0"/>
                <w:bCs w:val="0"/>
                <w:color w:val="000000" w:themeColor="text1"/>
                <w:lang w:val="en-US" w:eastAsia="zh-CN"/>
                <w14:textFill>
                  <w14:solidFill>
                    <w14:schemeClr w14:val="tx1"/>
                  </w14:solidFill>
                </w14:textFill>
              </w:rPr>
              <w:t>定</w:t>
            </w:r>
            <w:r>
              <w:rPr>
                <w:rFonts w:hint="default" w:ascii="Times New Roman" w:hAnsi="Times New Roman" w:eastAsia="宋体" w:cs="Times New Roman"/>
                <w:b w:val="0"/>
                <w:bCs w:val="0"/>
                <w:color w:val="000000" w:themeColor="text1"/>
                <w:lang w:val="en-US" w:eastAsia="zh-CN"/>
                <w14:textFill>
                  <w14:solidFill>
                    <w14:schemeClr w14:val="tx1"/>
                  </w14:solidFill>
                </w14:textFill>
              </w:rPr>
              <w:fldChar w:fldCharType="begin"/>
            </w:r>
            <w:r>
              <w:rPr>
                <w:rFonts w:hint="default" w:ascii="Times New Roman" w:hAnsi="Times New Roman" w:eastAsia="宋体" w:cs="Times New Roman"/>
                <w:b w:val="0"/>
                <w:bCs w:val="0"/>
                <w:color w:val="000000" w:themeColor="text1"/>
                <w:lang w:val="en-US" w:eastAsia="zh-CN"/>
                <w14:textFill>
                  <w14:solidFill>
                    <w14:schemeClr w14:val="tx1"/>
                  </w14:solidFill>
                </w14:textFill>
              </w:rPr>
              <w:instrText xml:space="preserve"> HYPERLINK \l _Toc22568 </w:instrText>
            </w:r>
            <w:r>
              <w:rPr>
                <w:rFonts w:hint="default" w:ascii="Times New Roman" w:hAnsi="Times New Roman" w:eastAsia="宋体" w:cs="Times New Roman"/>
                <w:b w:val="0"/>
                <w:bCs w:val="0"/>
                <w:color w:val="000000" w:themeColor="text1"/>
                <w:lang w:val="en-US" w:eastAsia="zh-CN"/>
                <w14:textFill>
                  <w14:solidFill>
                    <w14:schemeClr w14:val="tx1"/>
                  </w14:solidFill>
                </w14:textFill>
              </w:rPr>
              <w:fldChar w:fldCharType="separate"/>
            </w:r>
            <w:r>
              <w:rPr>
                <w:rFonts w:hint="default" w:ascii="Times New Roman" w:hAnsi="Times New Roman" w:eastAsia="宋体" w:cs="Times New Roman"/>
                <w:b w:val="0"/>
                <w:bCs w:val="0"/>
                <w:color w:val="000000" w:themeColor="text1"/>
                <w:lang w:val="en-US" w:eastAsia="zh-CN"/>
                <w14:textFill>
                  <w14:solidFill>
                    <w14:schemeClr w14:val="tx1"/>
                  </w14:solidFill>
                </w14:textFill>
              </w:rPr>
              <w:t>职业病危害预防制度</w:t>
            </w:r>
            <w:r>
              <w:rPr>
                <w:rFonts w:hint="default" w:ascii="Times New Roman" w:hAnsi="Times New Roman" w:eastAsia="宋体" w:cs="Times New Roman"/>
                <w:b w:val="0"/>
                <w:bCs w:val="0"/>
                <w:color w:val="000000" w:themeColor="text1"/>
                <w:lang w:val="en-US" w:eastAsia="zh-CN"/>
                <w14:textFill>
                  <w14:solidFill>
                    <w14:schemeClr w14:val="tx1"/>
                  </w14:solidFill>
                </w14:textFill>
              </w:rPr>
              <w:fldChar w:fldCharType="end"/>
            </w:r>
            <w:r>
              <w:rPr>
                <w:rFonts w:hint="eastAsia" w:cs="Times New Roman"/>
                <w:b w:val="0"/>
                <w:bCs w:val="0"/>
                <w:color w:val="000000" w:themeColor="text1"/>
                <w:lang w:val="en-US" w:eastAsia="zh-CN"/>
                <w14:textFill>
                  <w14:solidFill>
                    <w14:schemeClr w14:val="tx1"/>
                  </w14:solidFill>
                </w14:textFill>
              </w:rPr>
              <w:t>、</w:t>
            </w:r>
            <w:r>
              <w:rPr>
                <w:rFonts w:hint="eastAsia" w:cs="Times New Roman"/>
                <w:b w:val="0"/>
                <w:bCs w:val="0"/>
                <w:color w:val="000000" w:themeColor="text1"/>
                <w:lang w:val="en-US" w:eastAsia="zh-CN"/>
                <w14:textFill>
                  <w14:solidFill>
                    <w14:schemeClr w14:val="tx1"/>
                  </w14:solidFill>
                </w14:textFill>
              </w:rPr>
              <w:fldChar w:fldCharType="begin"/>
            </w:r>
            <w:r>
              <w:rPr>
                <w:rFonts w:hint="eastAsia" w:cs="Times New Roman"/>
                <w:b w:val="0"/>
                <w:bCs w:val="0"/>
                <w:color w:val="000000" w:themeColor="text1"/>
                <w:lang w:val="en-US" w:eastAsia="zh-CN"/>
                <w14:textFill>
                  <w14:solidFill>
                    <w14:schemeClr w14:val="tx1"/>
                  </w14:solidFill>
                </w14:textFill>
              </w:rPr>
              <w:instrText xml:space="preserve"> HYPERLINK \l _Toc15574 </w:instrText>
            </w:r>
            <w:r>
              <w:rPr>
                <w:rFonts w:hint="eastAsia" w:cs="Times New Roman"/>
                <w:b w:val="0"/>
                <w:bCs w:val="0"/>
                <w:color w:val="000000" w:themeColor="text1"/>
                <w:lang w:val="en-US" w:eastAsia="zh-CN"/>
                <w14:textFill>
                  <w14:solidFill>
                    <w14:schemeClr w14:val="tx1"/>
                  </w14:solidFill>
                </w14:textFill>
              </w:rPr>
              <w:fldChar w:fldCharType="separate"/>
            </w:r>
            <w:r>
              <w:rPr>
                <w:rFonts w:hint="eastAsia" w:cs="Times New Roman"/>
                <w:b w:val="0"/>
                <w:bCs w:val="0"/>
                <w:color w:val="000000" w:themeColor="text1"/>
                <w:lang w:val="en-US" w:eastAsia="zh-CN"/>
                <w14:textFill>
                  <w14:solidFill>
                    <w14:schemeClr w14:val="tx1"/>
                  </w14:solidFill>
                </w14:textFill>
              </w:rPr>
              <w:t>职工工伤管理制度</w:t>
            </w:r>
            <w:r>
              <w:rPr>
                <w:rFonts w:hint="eastAsia" w:cs="Times New Roman"/>
                <w:b w:val="0"/>
                <w:bCs w:val="0"/>
                <w:color w:val="000000" w:themeColor="text1"/>
                <w:lang w:val="en-US" w:eastAsia="zh-CN"/>
                <w14:textFill>
                  <w14:solidFill>
                    <w14:schemeClr w14:val="tx1"/>
                  </w14:solidFill>
                </w14:textFill>
              </w:rPr>
              <w:fldChar w:fldCharType="end"/>
            </w:r>
            <w:r>
              <w:rPr>
                <w:rFonts w:hint="eastAsia" w:cs="Times New Roman"/>
                <w:b w:val="0"/>
                <w:bCs w:val="0"/>
                <w:color w:val="000000" w:themeColor="text1"/>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lang w:val="en-US" w:eastAsia="zh-CN"/>
                <w14:textFill>
                  <w14:solidFill>
                    <w14:schemeClr w14:val="tx1"/>
                  </w14:solidFill>
                </w14:textFill>
              </w:rPr>
              <w:fldChar w:fldCharType="begin"/>
            </w:r>
            <w:r>
              <w:rPr>
                <w:rFonts w:hint="default" w:ascii="Times New Roman" w:hAnsi="Times New Roman" w:eastAsia="宋体" w:cs="Times New Roman"/>
                <w:b w:val="0"/>
                <w:bCs w:val="0"/>
                <w:color w:val="000000" w:themeColor="text1"/>
                <w:lang w:val="en-US" w:eastAsia="zh-CN"/>
                <w14:textFill>
                  <w14:solidFill>
                    <w14:schemeClr w14:val="tx1"/>
                  </w14:solidFill>
                </w14:textFill>
              </w:rPr>
              <w:instrText xml:space="preserve"> HYPERLINK \l _Toc31545 </w:instrText>
            </w:r>
            <w:r>
              <w:rPr>
                <w:rFonts w:hint="default" w:ascii="Times New Roman" w:hAnsi="Times New Roman" w:eastAsia="宋体" w:cs="Times New Roman"/>
                <w:b w:val="0"/>
                <w:bCs w:val="0"/>
                <w:color w:val="000000" w:themeColor="text1"/>
                <w:lang w:val="en-US" w:eastAsia="zh-CN"/>
                <w14:textFill>
                  <w14:solidFill>
                    <w14:schemeClr w14:val="tx1"/>
                  </w14:solidFill>
                </w14:textFill>
              </w:rPr>
              <w:fldChar w:fldCharType="separate"/>
            </w:r>
            <w:r>
              <w:rPr>
                <w:rFonts w:hint="default" w:ascii="Times New Roman" w:hAnsi="Times New Roman" w:eastAsia="宋体" w:cs="Times New Roman"/>
                <w:b w:val="0"/>
                <w:bCs w:val="0"/>
                <w:color w:val="000000" w:themeColor="text1"/>
                <w:lang w:val="en-US" w:eastAsia="zh-CN"/>
                <w14:textFill>
                  <w14:solidFill>
                    <w14:schemeClr w14:val="tx1"/>
                  </w14:solidFill>
                </w14:textFill>
              </w:rPr>
              <w:t>劳动防护用品管理制度</w:t>
            </w:r>
            <w:r>
              <w:rPr>
                <w:rFonts w:hint="default" w:ascii="Times New Roman" w:hAnsi="Times New Roman" w:eastAsia="宋体" w:cs="Times New Roman"/>
                <w:b w:val="0"/>
                <w:bCs w:val="0"/>
                <w:color w:val="000000" w:themeColor="text1"/>
                <w:lang w:val="en-US" w:eastAsia="zh-CN"/>
                <w14:textFill>
                  <w14:solidFill>
                    <w14:schemeClr w14:val="tx1"/>
                  </w14:solidFill>
                </w14:textFill>
              </w:rPr>
              <w:fldChar w:fldCharType="end"/>
            </w:r>
            <w:r>
              <w:rPr>
                <w:rFonts w:hint="default" w:ascii="Times New Roman" w:hAnsi="Times New Roman" w:eastAsia="宋体" w:cs="Times New Roman"/>
                <w:b w:val="0"/>
                <w:bCs w:val="0"/>
                <w:color w:val="000000" w:themeColor="text1"/>
                <w:lang w:val="en-US" w:eastAsia="zh-CN"/>
                <w14:textFill>
                  <w14:solidFill>
                    <w14:schemeClr w14:val="tx1"/>
                  </w14:solidFill>
                </w14:textFill>
              </w:rPr>
              <w:t>等制度，并为从业人员按照国家标准发放工衣、工鞋、安全帽、手套等，建有发放台账。</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color w:val="000000" w:themeColor="text1"/>
                <w:szCs w:val="21"/>
                <w:lang w:val="en-US" w:eastAsia="zh-CN"/>
                <w14:textFill>
                  <w14:solidFill>
                    <w14:schemeClr w14:val="tx1"/>
                  </w14:solidFill>
                </w14:textFill>
              </w:rPr>
            </w:pPr>
            <w:r>
              <w:rPr>
                <w:rFonts w:hint="default" w:ascii="Times New Roman" w:hAnsi="Times New Roman" w:eastAsia="宋体" w:cs="Times New Roman"/>
                <w:smallCaps w:val="0"/>
                <w:color w:val="000000" w:themeColor="text1"/>
                <w:szCs w:val="21"/>
                <w:lang w:val="en-US" w:eastAsia="zh-CN"/>
                <w14:textFill>
                  <w14:solidFill>
                    <w14:schemeClr w14:val="tx1"/>
                  </w14:solidFill>
                </w14:textFill>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9</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rPr>
              <w:t>新建、改建、扩建工程项目依法进行安全评价，其安全设施经验收合格</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rPr>
            </w:pPr>
            <w:r>
              <w:rPr>
                <w:rFonts w:hint="default" w:ascii="Times New Roman" w:hAnsi="Times New Roman" w:cs="Times New Roman"/>
                <w:color w:val="000000"/>
              </w:rPr>
              <w:t>不涉及此项。</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rPr>
            </w:pPr>
            <w:r>
              <w:rPr>
                <w:rFonts w:hint="default" w:ascii="Times New Roman" w:hAnsi="Times New Roman" w:cs="Times New Roman"/>
                <w:color w:val="000000"/>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10</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rPr>
              <w:t>危险性较大的设备、设施按照国家有关规定进行定期检测检验</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s="Times New Roman"/>
                <w:b w:val="0"/>
                <w:bCs w:val="0"/>
                <w:color w:val="000000" w:themeColor="text1"/>
                <w:lang w:val="en-US" w:eastAsia="zh-CN"/>
                <w14:textFill>
                  <w14:solidFill>
                    <w14:schemeClr w14:val="tx1"/>
                  </w14:solidFill>
                </w14:textFill>
              </w:rPr>
              <w:t>井架、底座等</w:t>
            </w:r>
            <w:r>
              <w:rPr>
                <w:rFonts w:hint="default" w:ascii="Times New Roman" w:hAnsi="Times New Roman" w:cs="Times New Roman"/>
                <w:b w:val="0"/>
                <w:bCs w:val="0"/>
                <w:color w:val="000000" w:themeColor="text1"/>
                <w:lang w:val="en-US" w:eastAsia="zh-CN"/>
                <w14:textFill>
                  <w14:solidFill>
                    <w14:schemeClr w14:val="tx1"/>
                  </w14:solidFill>
                </w14:textFill>
              </w:rPr>
              <w:t>已按照要求进行检验检测，并在检验有效期内，</w:t>
            </w:r>
            <w:r>
              <w:rPr>
                <w:rFonts w:hint="eastAsia" w:cs="Times New Roman"/>
                <w:b w:val="0"/>
                <w:bCs w:val="0"/>
                <w:color w:val="000000" w:themeColor="text1"/>
                <w:lang w:val="en-US" w:eastAsia="zh-CN"/>
                <w14:textFill>
                  <w14:solidFill>
                    <w14:schemeClr w14:val="tx1"/>
                  </w14:solidFill>
                </w14:textFill>
              </w:rPr>
              <w:t>检验</w:t>
            </w:r>
            <w:r>
              <w:rPr>
                <w:rFonts w:hint="default" w:ascii="Times New Roman" w:hAnsi="Times New Roman" w:cs="Times New Roman"/>
                <w:b w:val="0"/>
                <w:bCs w:val="0"/>
                <w:color w:val="000000" w:themeColor="text1"/>
                <w:lang w:val="en-US" w:eastAsia="zh-CN"/>
                <w14:textFill>
                  <w14:solidFill>
                    <w14:schemeClr w14:val="tx1"/>
                  </w14:solidFill>
                </w14:textFill>
              </w:rPr>
              <w:t>超期的</w:t>
            </w:r>
            <w:r>
              <w:rPr>
                <w:rFonts w:hint="eastAsia" w:cs="Times New Roman"/>
                <w:b w:val="0"/>
                <w:bCs w:val="0"/>
                <w:color w:val="000000" w:themeColor="text1"/>
                <w:lang w:val="en-US" w:eastAsia="zh-CN"/>
                <w14:textFill>
                  <w14:solidFill>
                    <w14:schemeClr w14:val="tx1"/>
                  </w14:solidFill>
                </w14:textFill>
              </w:rPr>
              <w:t>设备</w:t>
            </w:r>
            <w:r>
              <w:rPr>
                <w:rFonts w:hint="default" w:ascii="Times New Roman" w:hAnsi="Times New Roman" w:cs="Times New Roman"/>
                <w:b w:val="0"/>
                <w:bCs w:val="0"/>
                <w:color w:val="000000" w:themeColor="text1"/>
                <w:lang w:val="en-US" w:eastAsia="zh-CN"/>
                <w14:textFill>
                  <w14:solidFill>
                    <w14:schemeClr w14:val="tx1"/>
                  </w14:solidFill>
                </w14:textFill>
              </w:rPr>
              <w:t>已</w:t>
            </w:r>
            <w:r>
              <w:rPr>
                <w:rFonts w:hint="eastAsia" w:cs="Times New Roman"/>
                <w:b w:val="0"/>
                <w:bCs w:val="0"/>
                <w:color w:val="000000" w:themeColor="text1"/>
                <w:lang w:val="en-US" w:eastAsia="zh-CN"/>
                <w14:textFill>
                  <w14:solidFill>
                    <w14:schemeClr w14:val="tx1"/>
                  </w14:solidFill>
                </w14:textFill>
              </w:rPr>
              <w:t>重新检验合格</w:t>
            </w:r>
            <w:r>
              <w:rPr>
                <w:rFonts w:hint="default" w:ascii="Times New Roman" w:hAnsi="Times New Roman" w:cs="Times New Roman"/>
                <w:b w:val="0"/>
                <w:bCs w:val="0"/>
                <w:color w:val="000000" w:themeColor="text1"/>
                <w14:textFill>
                  <w14:solidFill>
                    <w14:schemeClr w14:val="tx1"/>
                  </w14:solidFill>
                </w14:textFill>
              </w:rPr>
              <w:t>。</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b w:val="0"/>
                <w:bCs w:val="0"/>
                <w:color w:val="000000" w:themeColor="text1"/>
                <w:lang w:val="en-US" w:eastAsia="zh-CN"/>
                <w14:textFill>
                  <w14:solidFill>
                    <w14:schemeClr w14:val="tx1"/>
                  </w14:solidFill>
                </w14:textFill>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11</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ascii="Times New Roman" w:hAnsi="Times New Roman" w:eastAsia="宋体" w:cs="Times New Roman"/>
                <w:smallCaps w:val="0"/>
                <w:szCs w:val="24"/>
              </w:rPr>
            </w:pPr>
            <w:r>
              <w:rPr>
                <w:rFonts w:hint="default" w:ascii="Times New Roman" w:hAnsi="Times New Roman" w:cs="Times New Roman"/>
                <w:b w:val="0"/>
                <w:bCs w:val="0"/>
                <w:color w:val="000000"/>
                <w:lang w:val="en-US" w:eastAsia="zh-CN"/>
              </w:rPr>
              <w:t>该公司已</w:t>
            </w:r>
            <w:r>
              <w:rPr>
                <w:rFonts w:hint="default" w:ascii="Times New Roman" w:hAnsi="Times New Roman" w:cs="Times New Roman"/>
                <w:b w:val="0"/>
                <w:bCs w:val="0"/>
                <w:color w:val="000000"/>
              </w:rPr>
              <w:t>编制有事</w:t>
            </w:r>
            <w:r>
              <w:rPr>
                <w:rFonts w:hint="default" w:ascii="Times New Roman" w:hAnsi="Times New Roman" w:cs="Times New Roman"/>
                <w:b w:val="0"/>
                <w:bCs w:val="0"/>
                <w:color w:val="000000"/>
                <w:lang w:val="en-US" w:eastAsia="zh-CN"/>
              </w:rPr>
              <w:t>故应急救援预案，已于</w:t>
            </w:r>
            <w:r>
              <w:rPr>
                <w:rFonts w:hint="default" w:ascii="Times New Roman" w:hAnsi="Times New Roman" w:cs="Times New Roman"/>
                <w:b w:val="0"/>
                <w:bCs w:val="0"/>
                <w:color w:val="000000" w:themeColor="text1"/>
                <w:lang w:val="en-US" w:eastAsia="zh-CN"/>
                <w14:textFill>
                  <w14:solidFill>
                    <w14:schemeClr w14:val="tx1"/>
                  </w14:solidFill>
                </w14:textFill>
              </w:rPr>
              <w:t>2022年4月30日在东营区应急管理局备案（备案编号：370501-2022-1061）</w:t>
            </w:r>
            <w:r>
              <w:rPr>
                <w:rFonts w:hint="default" w:ascii="Times New Roman" w:hAnsi="Times New Roman" w:cs="Times New Roman"/>
                <w:b w:val="0"/>
                <w:bCs w:val="0"/>
                <w:color w:val="000000"/>
                <w:lang w:val="en-US" w:eastAsia="zh-CN"/>
              </w:rPr>
              <w:t>，</w:t>
            </w:r>
            <w:r>
              <w:rPr>
                <w:rFonts w:hint="eastAsia" w:cs="Times New Roman"/>
                <w:b w:val="0"/>
                <w:bCs w:val="0"/>
                <w:color w:val="000000"/>
                <w:lang w:val="en-US" w:eastAsia="zh-CN"/>
              </w:rPr>
              <w:t>《关于公司成立应急救援小组的通知》胜康司发[2022]7号公司成立应急救援小组，</w:t>
            </w:r>
            <w:r>
              <w:rPr>
                <w:rFonts w:hint="default" w:ascii="Times New Roman" w:hAnsi="Times New Roman" w:cs="Times New Roman"/>
                <w:b w:val="0"/>
                <w:bCs w:val="0"/>
                <w:color w:val="000000" w:themeColor="text1"/>
                <w:lang w:val="en-US" w:eastAsia="zh-CN"/>
                <w14:textFill>
                  <w14:solidFill>
                    <w14:schemeClr w14:val="tx1"/>
                  </w14:solidFill>
                </w14:textFill>
              </w:rPr>
              <w:t>公司与</w:t>
            </w:r>
            <w:r>
              <w:rPr>
                <w:rFonts w:hint="eastAsia" w:cs="Times New Roman"/>
                <w:b w:val="0"/>
                <w:bCs w:val="0"/>
                <w:color w:val="000000" w:themeColor="text1"/>
                <w:lang w:val="en-US" w:eastAsia="zh-CN"/>
                <w14:textFill>
                  <w14:solidFill>
                    <w14:schemeClr w14:val="tx1"/>
                  </w14:solidFill>
                </w14:textFill>
              </w:rPr>
              <w:t>胜利油田石油开发中心有限公司</w:t>
            </w:r>
            <w:r>
              <w:rPr>
                <w:rFonts w:hint="default" w:ascii="Times New Roman" w:hAnsi="Times New Roman" w:cs="Times New Roman"/>
                <w:b w:val="0"/>
                <w:bCs w:val="0"/>
                <w:color w:val="000000" w:themeColor="text1"/>
                <w:lang w:val="en-US" w:eastAsia="zh-CN"/>
                <w14:textFill>
                  <w14:solidFill>
                    <w14:schemeClr w14:val="tx1"/>
                  </w14:solidFill>
                </w14:textFill>
              </w:rPr>
              <w:t>签订了应急救</w:t>
            </w:r>
            <w:bookmarkStart w:id="162" w:name="_GoBack"/>
            <w:bookmarkEnd w:id="162"/>
            <w:r>
              <w:rPr>
                <w:rFonts w:hint="default" w:ascii="Times New Roman" w:hAnsi="Times New Roman" w:cs="Times New Roman"/>
                <w:b w:val="0"/>
                <w:bCs w:val="0"/>
                <w:color w:val="000000" w:themeColor="text1"/>
                <w:lang w:val="en-US" w:eastAsia="zh-CN"/>
                <w14:textFill>
                  <w14:solidFill>
                    <w14:schemeClr w14:val="tx1"/>
                  </w14:solidFill>
                </w14:textFill>
              </w:rPr>
              <w:t>援协议</w:t>
            </w:r>
            <w:r>
              <w:rPr>
                <w:rFonts w:hint="default" w:ascii="Times New Roman" w:hAnsi="Times New Roman" w:cs="Times New Roman"/>
                <w:b w:val="0"/>
                <w:bCs w:val="0"/>
                <w:color w:val="auto"/>
                <w:lang w:val="en-US" w:eastAsia="zh-CN"/>
              </w:rPr>
              <w:t>。</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mallCaps w:val="0"/>
                <w:szCs w:val="24"/>
              </w:rPr>
            </w:pPr>
            <w:r>
              <w:rPr>
                <w:rFonts w:hint="default" w:ascii="Times New Roman" w:hAnsi="Times New Roman"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1"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12</w:t>
            </w:r>
          </w:p>
        </w:tc>
        <w:tc>
          <w:tcPr>
            <w:tcW w:w="3750" w:type="dxa"/>
            <w:noWrap w:val="0"/>
            <w:tcMar>
              <w:top w:w="57" w:type="dxa"/>
              <w:left w:w="28" w:type="dxa"/>
              <w:bottom w:w="57"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eastAsia="zh-CN"/>
              </w:rPr>
            </w:pPr>
            <w:r>
              <w:rPr>
                <w:rFonts w:hint="default" w:ascii="Times New Roman" w:hAnsi="Times New Roman" w:cs="Times New Roman"/>
              </w:rPr>
              <w:t>符合有关国家标准、行业标准规定的其他条件</w:t>
            </w:r>
            <w:r>
              <w:rPr>
                <w:rFonts w:hint="default" w:ascii="Times New Roman" w:hAnsi="Times New Roman" w:cs="Times New Roman"/>
                <w:lang w:eastAsia="zh-CN"/>
              </w:rPr>
              <w:t>。</w:t>
            </w:r>
          </w:p>
        </w:tc>
        <w:tc>
          <w:tcPr>
            <w:tcW w:w="3375" w:type="dxa"/>
            <w:noWrap w:val="0"/>
            <w:tcMar>
              <w:top w:w="0" w:type="dxa"/>
              <w:left w:w="28" w:type="dxa"/>
              <w:bottom w:w="0" w:type="dxa"/>
              <w:right w:w="28"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具有</w:t>
            </w:r>
            <w:r>
              <w:rPr>
                <w:rFonts w:hint="default" w:ascii="Times New Roman" w:hAnsi="Times New Roman" w:cs="Times New Roman"/>
              </w:rPr>
              <w:t>有关国家标准、行业标准规定的其他条件</w:t>
            </w:r>
            <w:r>
              <w:rPr>
                <w:rFonts w:hint="default" w:ascii="Times New Roman" w:hAnsi="Times New Roman" w:cs="Times New Roman"/>
                <w:lang w:eastAsia="zh-CN"/>
              </w:rPr>
              <w:t>。</w:t>
            </w:r>
          </w:p>
        </w:tc>
        <w:tc>
          <w:tcPr>
            <w:tcW w:w="75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smallCaps w:val="0"/>
                <w:szCs w:val="24"/>
                <w:lang w:val="en-US" w:eastAsia="zh-CN"/>
              </w:rPr>
            </w:pPr>
            <w:r>
              <w:rPr>
                <w:rFonts w:hint="default" w:ascii="Times New Roman" w:hAnsi="Times New Roman" w:eastAsia="宋体" w:cs="Times New Roman"/>
                <w:smallCaps w:val="0"/>
                <w:szCs w:val="24"/>
                <w:lang w:val="en-US" w:eastAsia="zh-CN"/>
              </w:rPr>
              <w:t>符合要求</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560" w:firstLineChars="200"/>
        <w:textAlignment w:val="auto"/>
        <w:rPr>
          <w:rFonts w:hint="default" w:ascii="Times New Roman" w:hAnsi="Times New Roman" w:cs="Times New Roman"/>
          <w:color w:val="000000"/>
          <w:sz w:val="28"/>
          <w:szCs w:val="28"/>
          <w:lang w:val="en-US" w:eastAsia="zh-CN"/>
        </w:rPr>
      </w:pPr>
      <w:r>
        <w:rPr>
          <w:rFonts w:hint="default" w:ascii="Times New Roman" w:hAnsi="Times New Roman" w:cs="Times New Roman"/>
          <w:color w:val="000000"/>
          <w:sz w:val="28"/>
          <w:szCs w:val="28"/>
          <w:lang w:val="en-US" w:eastAsia="zh-CN"/>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lang w:eastAsia="zh-CN"/>
        </w:rPr>
      </w:pPr>
      <w:r>
        <w:rPr>
          <w:rFonts w:hint="default" w:ascii="Times New Roman" w:hAnsi="Times New Roman" w:cs="Times New Roman"/>
          <w:color w:val="000000"/>
          <w:sz w:val="28"/>
          <w:szCs w:val="28"/>
          <w:lang w:val="en-US" w:eastAsia="zh-CN"/>
        </w:rPr>
        <w:t>经过现场检查和评价，该企业涉及的井下作业项目取证安全生产条件有11项检查项为符合，无不符合项，1项检查项为不涉及，因此</w:t>
      </w:r>
      <w:r>
        <w:rPr>
          <w:rFonts w:hint="default" w:ascii="Times New Roman" w:hAnsi="Times New Roman" w:cs="Times New Roman"/>
          <w:color w:val="auto"/>
          <w:sz w:val="28"/>
          <w:szCs w:val="28"/>
          <w:lang w:val="en-US" w:eastAsia="zh-CN"/>
        </w:rPr>
        <w:t>胜利油田康贝油气工程有限公司</w:t>
      </w:r>
      <w:r>
        <w:rPr>
          <w:rFonts w:hint="default" w:ascii="Times New Roman" w:hAnsi="Times New Roman" w:cs="Times New Roman"/>
          <w:b w:val="0"/>
          <w:bCs/>
          <w:smallCaps w:val="0"/>
          <w:sz w:val="28"/>
          <w:lang w:val="en-US" w:eastAsia="zh-CN"/>
        </w:rPr>
        <w:t>具备</w:t>
      </w:r>
      <w:r>
        <w:rPr>
          <w:rFonts w:hint="default" w:ascii="Times New Roman" w:hAnsi="Times New Roman" w:cs="Times New Roman"/>
          <w:color w:val="000000"/>
          <w:sz w:val="28"/>
          <w:szCs w:val="28"/>
          <w:lang w:val="en-US" w:eastAsia="zh-CN"/>
        </w:rPr>
        <w:t>井下作业</w:t>
      </w:r>
      <w:r>
        <w:rPr>
          <w:rFonts w:hint="default" w:ascii="Times New Roman" w:hAnsi="Times New Roman" w:cs="Times New Roman"/>
          <w:b w:val="0"/>
          <w:bCs/>
          <w:smallCaps w:val="0"/>
          <w:sz w:val="28"/>
          <w:lang w:val="en-US" w:eastAsia="zh-CN"/>
        </w:rPr>
        <w:t>项目的安全生产条件</w:t>
      </w:r>
      <w:r>
        <w:rPr>
          <w:rFonts w:hint="default" w:ascii="Times New Roman" w:hAnsi="Times New Roman" w:cs="Times New Roman"/>
          <w:color w:val="00000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center"/>
        <w:textAlignment w:val="auto"/>
        <w:rPr>
          <w:rFonts w:hint="default" w:ascii="Times New Roman" w:hAnsi="Times New Roman" w:cs="Times New Roman"/>
          <w:b/>
          <w:sz w:val="24"/>
          <w:szCs w:val="28"/>
          <w:lang w:val="en-US" w:eastAsia="zh-CN"/>
        </w:rPr>
      </w:pPr>
      <w:r>
        <w:rPr>
          <w:rFonts w:hint="default" w:ascii="Times New Roman" w:hAnsi="Times New Roman" w:cs="Times New Roman"/>
          <w:b/>
          <w:sz w:val="24"/>
          <w:szCs w:val="28"/>
        </w:rPr>
        <w:t>表</w:t>
      </w:r>
      <w:r>
        <w:rPr>
          <w:rFonts w:hint="default" w:ascii="Times New Roman" w:hAnsi="Times New Roman" w:cs="Times New Roman"/>
          <w:b/>
          <w:sz w:val="24"/>
          <w:szCs w:val="28"/>
          <w:lang w:val="en-US" w:eastAsia="zh-CN"/>
        </w:rPr>
        <w:t>8</w:t>
      </w:r>
      <w:r>
        <w:rPr>
          <w:rFonts w:hint="default" w:ascii="Times New Roman" w:hAnsi="Times New Roman" w:cs="Times New Roman"/>
          <w:b/>
          <w:sz w:val="24"/>
          <w:szCs w:val="28"/>
        </w:rPr>
        <w:t>-</w:t>
      </w:r>
      <w:r>
        <w:rPr>
          <w:rFonts w:hint="default" w:ascii="Times New Roman" w:hAnsi="Times New Roman" w:cs="Times New Roman"/>
          <w:b/>
          <w:sz w:val="24"/>
          <w:szCs w:val="28"/>
          <w:lang w:val="en-US" w:eastAsia="zh-CN"/>
        </w:rPr>
        <w:t>2</w:t>
      </w:r>
      <w:r>
        <w:rPr>
          <w:rFonts w:hint="default" w:ascii="Times New Roman" w:hAnsi="Times New Roman" w:cs="Times New Roman"/>
          <w:b/>
          <w:sz w:val="24"/>
          <w:szCs w:val="28"/>
        </w:rPr>
        <w:t xml:space="preserve"> </w:t>
      </w:r>
      <w:r>
        <w:rPr>
          <w:rFonts w:hint="default" w:ascii="Times New Roman" w:hAnsi="Times New Roman" w:eastAsia="宋体" w:cs="Times New Roman"/>
          <w:b/>
          <w:sz w:val="24"/>
          <w:szCs w:val="28"/>
          <w:lang w:val="en-US" w:eastAsia="zh-CN"/>
        </w:rPr>
        <w:t>非煤矿矿山企业安全生产许可证</w:t>
      </w:r>
      <w:r>
        <w:rPr>
          <w:rFonts w:hint="default" w:ascii="Times New Roman" w:hAnsi="Times New Roman" w:cs="Times New Roman"/>
          <w:b/>
          <w:sz w:val="24"/>
          <w:szCs w:val="28"/>
          <w:lang w:val="en-US" w:eastAsia="zh-CN"/>
        </w:rPr>
        <w:t>审查书</w:t>
      </w:r>
    </w:p>
    <w:tbl>
      <w:tblPr>
        <w:tblStyle w:val="52"/>
        <w:tblW w:w="817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44"/>
        <w:gridCol w:w="2067"/>
        <w:gridCol w:w="3058"/>
        <w:gridCol w:w="7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tblHeader/>
          <w:jc w:val="center"/>
        </w:trPr>
        <w:tc>
          <w:tcPr>
            <w:tcW w:w="2344"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审查内容</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rPr>
              <w:t>审查方法</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bCs/>
                <w:color w:val="000000"/>
                <w:kern w:val="2"/>
                <w:sz w:val="21"/>
                <w:szCs w:val="24"/>
                <w:lang w:val="en-US" w:eastAsia="zh-CN" w:bidi="ar-SA"/>
              </w:rPr>
            </w:pPr>
            <w:r>
              <w:rPr>
                <w:rFonts w:hint="default" w:ascii="Times New Roman" w:hAnsi="Times New Roman" w:cs="Times New Roman"/>
                <w:b/>
                <w:bCs/>
                <w:color w:val="000000"/>
                <w:lang w:val="en-US" w:eastAsia="zh-CN"/>
              </w:rPr>
              <w:t>实际情况</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bCs/>
                <w:color w:val="000000"/>
              </w:rPr>
            </w:pPr>
            <w:r>
              <w:rPr>
                <w:rFonts w:hint="default" w:ascii="Times New Roman" w:hAnsi="Times New Roman" w:cs="Times New Roman"/>
                <w:b/>
                <w:bCs/>
                <w:color w:val="000000"/>
                <w:lang w:val="en-US" w:eastAsia="zh-CN"/>
              </w:rPr>
              <w:t>评价</w:t>
            </w:r>
            <w:r>
              <w:rPr>
                <w:rFonts w:hint="default" w:ascii="Times New Roman" w:hAnsi="Times New Roman" w:cs="Times New Roman"/>
                <w:b/>
                <w:bCs/>
                <w:color w:val="000000"/>
              </w:rPr>
              <w:t>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1.工商营业执照复印件。</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审查工商营业执照登记名称是否与申请单位名称一致；经营范围是否与申请许可范围相符；是否在有效期并进行年检。</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b w:val="0"/>
                <w:bCs w:val="0"/>
                <w:color w:val="000000"/>
              </w:rPr>
              <w:t>单位名称一致，</w:t>
            </w:r>
            <w:r>
              <w:rPr>
                <w:rFonts w:hint="default" w:ascii="Times New Roman" w:hAnsi="Times New Roman" w:cs="Times New Roman"/>
                <w:lang w:val="en-US" w:eastAsia="zh-CN"/>
              </w:rPr>
              <w:t>营业执照经营范围中的“石油天然气技术服务”与申请许可范围“井下作业（小修作业、大修作业、侧钻、</w:t>
            </w:r>
            <w:r>
              <w:rPr>
                <w:rFonts w:hint="eastAsia" w:cs="Times New Roman"/>
                <w:lang w:val="en-US" w:eastAsia="zh-CN"/>
              </w:rPr>
              <w:t>连续油管</w:t>
            </w:r>
            <w:r>
              <w:rPr>
                <w:rFonts w:hint="default" w:ascii="Times New Roman" w:hAnsi="Times New Roman" w:cs="Times New Roman"/>
                <w:lang w:val="en-US" w:eastAsia="zh-CN"/>
              </w:rPr>
              <w:t>作业、酸化、防砂、</w:t>
            </w:r>
            <w:r>
              <w:rPr>
                <w:rFonts w:hint="eastAsia" w:cs="Times New Roman"/>
                <w:lang w:val="en-US" w:eastAsia="zh-CN"/>
              </w:rPr>
              <w:t>堵水/调剖</w:t>
            </w:r>
            <w:r>
              <w:rPr>
                <w:rFonts w:hint="default" w:ascii="Times New Roman" w:hAnsi="Times New Roman" w:cs="Times New Roman"/>
                <w:lang w:val="en-US" w:eastAsia="zh-CN"/>
              </w:rPr>
              <w:t>、特殊工艺技术服务（套管补贴）、井下复杂情况处理（打捞、堵漏）、现场试压）”相符</w:t>
            </w:r>
            <w:r>
              <w:rPr>
                <w:rFonts w:hint="default" w:ascii="Times New Roman" w:hAnsi="Times New Roman" w:cs="Times New Roman"/>
                <w:b w:val="0"/>
                <w:bCs w:val="0"/>
                <w:color w:val="000000"/>
              </w:rPr>
              <w:t>，在有效期内并进行年检。</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color w:val="000000"/>
                <w:lang w:val="en-US" w:eastAsia="zh-CN"/>
              </w:rPr>
            </w:pPr>
            <w:r>
              <w:rPr>
                <w:rFonts w:hint="default" w:ascii="Times New Roman" w:hAnsi="Times New Roman"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2.采矿许可证（地质勘查资质证书、矿山工程施工相关资质证书）复印件。</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审查证书是否在有效期内。</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b w:val="0"/>
                <w:bCs w:val="0"/>
                <w:color w:val="000000"/>
              </w:rPr>
              <w:t>不涉及此项。</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eastAsia="宋体" w:cs="Times New Roman"/>
                <w:b w:val="0"/>
                <w:bCs w:val="0"/>
                <w:color w:val="000000"/>
                <w:lang w:val="en-US" w:eastAsia="zh-CN"/>
              </w:rPr>
            </w:pPr>
            <w:r>
              <w:rPr>
                <w:rFonts w:hint="default" w:ascii="Times New Roman" w:hAnsi="Times New Roman" w:cs="Times New Roman"/>
                <w:b w:val="0"/>
                <w:bCs w:val="0"/>
                <w:color w:val="00000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3.主要负责人、分管负责人、安全生产管理人员、职能部门、岗位安全生产责任制。</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审查各项安全生产责任制是否健全。</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kern w:val="0"/>
                <w:szCs w:val="21"/>
                <w:lang w:val="en-US" w:eastAsia="zh-CN"/>
              </w:rPr>
              <w:t>已编制从总经理（法人）到操作</w:t>
            </w:r>
            <w:r>
              <w:rPr>
                <w:rFonts w:hint="default" w:ascii="Times New Roman" w:hAnsi="Times New Roman" w:cs="Times New Roman"/>
                <w:color w:val="000000" w:themeColor="text1"/>
                <w:kern w:val="0"/>
                <w:szCs w:val="21"/>
                <w:lang w:val="en-US" w:eastAsia="zh-CN"/>
                <w14:textFill>
                  <w14:solidFill>
                    <w14:schemeClr w14:val="tx1"/>
                  </w14:solidFill>
                </w14:textFill>
              </w:rPr>
              <w:t>工等</w:t>
            </w:r>
            <w:r>
              <w:rPr>
                <w:rFonts w:hint="eastAsia" w:cs="Times New Roman"/>
                <w:color w:val="000000" w:themeColor="text1"/>
                <w:kern w:val="0"/>
                <w:szCs w:val="21"/>
                <w:lang w:val="en-US" w:eastAsia="zh-CN"/>
                <w14:textFill>
                  <w14:solidFill>
                    <w14:schemeClr w14:val="tx1"/>
                  </w14:solidFill>
                </w14:textFill>
              </w:rPr>
              <w:t>41</w:t>
            </w:r>
            <w:r>
              <w:rPr>
                <w:rFonts w:hint="default" w:ascii="Times New Roman" w:hAnsi="Times New Roman" w:cs="Times New Roman"/>
                <w:color w:val="000000" w:themeColor="text1"/>
                <w:kern w:val="0"/>
                <w:szCs w:val="21"/>
                <w:lang w:val="en-US" w:eastAsia="zh-CN"/>
                <w14:textFill>
                  <w14:solidFill>
                    <w14:schemeClr w14:val="tx1"/>
                  </w14:solidFill>
                </w14:textFill>
              </w:rPr>
              <w:t>项安全生</w:t>
            </w:r>
            <w:r>
              <w:rPr>
                <w:rFonts w:hint="default" w:ascii="Times New Roman" w:hAnsi="Times New Roman" w:cs="Times New Roman"/>
                <w:kern w:val="0"/>
                <w:szCs w:val="21"/>
                <w:lang w:val="en-US" w:eastAsia="zh-CN"/>
              </w:rPr>
              <w:t>产责任制，涵盖</w:t>
            </w:r>
            <w:r>
              <w:rPr>
                <w:rFonts w:hint="default" w:ascii="Times New Roman" w:hAnsi="Times New Roman" w:cs="Times New Roman"/>
                <w:kern w:val="0"/>
                <w:szCs w:val="21"/>
              </w:rPr>
              <w:t>全体从业人员</w:t>
            </w:r>
            <w:r>
              <w:rPr>
                <w:rFonts w:hint="default" w:ascii="Times New Roman" w:hAnsi="Times New Roman" w:cs="Times New Roman"/>
                <w:b w:val="0"/>
                <w:bCs w:val="0"/>
                <w:color w:val="000000"/>
              </w:rPr>
              <w:t>。</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default" w:ascii="Times New Roman" w:hAnsi="Times New Roman"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4.安全生产规章制度目录清单；作业安全规程和各工种操作规程目录清单。</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审查各项规章制度、作业安全规程、操作规程是否健全。</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kern w:val="0"/>
                <w:szCs w:val="21"/>
              </w:rPr>
              <w:t>该公司制定了安全生产</w:t>
            </w:r>
            <w:r>
              <w:rPr>
                <w:rFonts w:hint="default" w:ascii="Times New Roman" w:hAnsi="Times New Roman" w:cs="Times New Roman"/>
                <w:kern w:val="0"/>
                <w:szCs w:val="21"/>
                <w:lang w:val="en-US" w:eastAsia="zh-CN"/>
              </w:rPr>
              <w:t>会议</w:t>
            </w:r>
            <w:r>
              <w:rPr>
                <w:rFonts w:hint="default" w:ascii="Times New Roman" w:hAnsi="Times New Roman" w:cs="Times New Roman"/>
                <w:kern w:val="0"/>
                <w:szCs w:val="21"/>
              </w:rPr>
              <w:t>制度、安全生产检查制度、安全教育培训制度、事故</w:t>
            </w:r>
            <w:r>
              <w:rPr>
                <w:rFonts w:hint="default" w:ascii="Times New Roman" w:hAnsi="Times New Roman" w:cs="Times New Roman"/>
                <w:kern w:val="0"/>
                <w:szCs w:val="21"/>
                <w:lang w:val="en-US" w:eastAsia="zh-CN"/>
              </w:rPr>
              <w:t>报告</w:t>
            </w:r>
            <w:r>
              <w:rPr>
                <w:rFonts w:hint="default" w:ascii="Times New Roman" w:hAnsi="Times New Roman" w:cs="Times New Roman"/>
                <w:kern w:val="0"/>
                <w:szCs w:val="21"/>
              </w:rPr>
              <w:t>制度</w:t>
            </w:r>
            <w:r>
              <w:rPr>
                <w:rFonts w:hint="default" w:ascii="Times New Roman" w:hAnsi="Times New Roman" w:cs="Times New Roman"/>
                <w:kern w:val="0"/>
                <w:szCs w:val="21"/>
                <w:lang w:eastAsia="zh-CN"/>
              </w:rPr>
              <w:t>、领导干部带班制度、</w:t>
            </w:r>
            <w:r>
              <w:rPr>
                <w:rFonts w:hint="default" w:ascii="Times New Roman" w:hAnsi="Times New Roman" w:cs="Times New Roman"/>
                <w:kern w:val="0"/>
                <w:szCs w:val="21"/>
              </w:rPr>
              <w:t>设备</w:t>
            </w:r>
            <w:r>
              <w:rPr>
                <w:rFonts w:hint="default" w:ascii="Times New Roman" w:hAnsi="Times New Roman" w:cs="Times New Roman"/>
                <w:kern w:val="0"/>
                <w:szCs w:val="21"/>
                <w:lang w:eastAsia="zh-CN"/>
              </w:rPr>
              <w:t>安全</w:t>
            </w:r>
            <w:r>
              <w:rPr>
                <w:rFonts w:hint="default" w:ascii="Times New Roman" w:hAnsi="Times New Roman" w:cs="Times New Roman"/>
                <w:kern w:val="0"/>
                <w:szCs w:val="21"/>
              </w:rPr>
              <w:t>管理制度等</w:t>
            </w:r>
            <w:r>
              <w:rPr>
                <w:rFonts w:hint="default" w:ascii="Times New Roman" w:hAnsi="Times New Roman" w:cs="Times New Roman"/>
                <w:kern w:val="0"/>
                <w:szCs w:val="21"/>
                <w:lang w:val="en-US" w:eastAsia="zh-CN"/>
              </w:rPr>
              <w:t>3</w:t>
            </w:r>
            <w:r>
              <w:rPr>
                <w:rFonts w:hint="eastAsia" w:cs="Times New Roman"/>
                <w:kern w:val="0"/>
                <w:szCs w:val="21"/>
                <w:lang w:val="en-US" w:eastAsia="zh-CN"/>
              </w:rPr>
              <w:t>2</w:t>
            </w:r>
            <w:r>
              <w:rPr>
                <w:rFonts w:hint="default" w:ascii="Times New Roman" w:hAnsi="Times New Roman" w:cs="Times New Roman"/>
                <w:kern w:val="0"/>
                <w:szCs w:val="21"/>
              </w:rPr>
              <w:t>项安全管理制度；制定有</w:t>
            </w:r>
            <w:r>
              <w:rPr>
                <w:rFonts w:hint="default" w:ascii="Times New Roman" w:hAnsi="Times New Roman" w:cs="Times New Roman"/>
                <w:kern w:val="0"/>
                <w:szCs w:val="21"/>
              </w:rPr>
              <w:fldChar w:fldCharType="begin"/>
            </w:r>
            <w:r>
              <w:rPr>
                <w:rFonts w:hint="default" w:ascii="Times New Roman" w:hAnsi="Times New Roman" w:cs="Times New Roman"/>
                <w:kern w:val="0"/>
                <w:szCs w:val="21"/>
              </w:rPr>
              <w:instrText xml:space="preserve"> HYPERLINK \l _Toc32037 </w:instrText>
            </w:r>
            <w:r>
              <w:rPr>
                <w:rFonts w:hint="default" w:ascii="Times New Roman" w:hAnsi="Times New Roman" w:cs="Times New Roman"/>
                <w:kern w:val="0"/>
                <w:szCs w:val="21"/>
              </w:rPr>
              <w:fldChar w:fldCharType="separate"/>
            </w:r>
            <w:r>
              <w:rPr>
                <w:rFonts w:hint="default" w:ascii="Times New Roman" w:hAnsi="Times New Roman" w:cs="Times New Roman"/>
                <w:kern w:val="0"/>
                <w:szCs w:val="21"/>
              </w:rPr>
              <w:t>修井机立放井架操作规程</w:t>
            </w:r>
            <w:r>
              <w:rPr>
                <w:rFonts w:hint="default" w:ascii="Times New Roman" w:hAnsi="Times New Roman" w:cs="Times New Roman"/>
                <w:kern w:val="0"/>
                <w:szCs w:val="21"/>
              </w:rPr>
              <w:fldChar w:fldCharType="end"/>
            </w:r>
            <w:r>
              <w:rPr>
                <w:rFonts w:hint="default" w:ascii="Times New Roman" w:hAnsi="Times New Roman" w:cs="Times New Roman"/>
                <w:kern w:val="0"/>
                <w:szCs w:val="21"/>
                <w:lang w:val="en-US" w:eastAsia="zh-CN"/>
              </w:rPr>
              <w:t>、</w:t>
            </w:r>
            <w:r>
              <w:rPr>
                <w:rFonts w:hint="default" w:ascii="Times New Roman" w:hAnsi="Times New Roman" w:cs="Times New Roman"/>
                <w:kern w:val="0"/>
                <w:szCs w:val="21"/>
              </w:rPr>
              <w:fldChar w:fldCharType="begin"/>
            </w:r>
            <w:r>
              <w:rPr>
                <w:rFonts w:hint="default" w:ascii="Times New Roman" w:hAnsi="Times New Roman" w:cs="Times New Roman"/>
                <w:kern w:val="0"/>
                <w:szCs w:val="21"/>
              </w:rPr>
              <w:instrText xml:space="preserve"> HYPERLINK \l _Toc6812 </w:instrText>
            </w:r>
            <w:r>
              <w:rPr>
                <w:rFonts w:hint="default" w:ascii="Times New Roman" w:hAnsi="Times New Roman" w:cs="Times New Roman"/>
                <w:kern w:val="0"/>
                <w:szCs w:val="21"/>
              </w:rPr>
              <w:fldChar w:fldCharType="separate"/>
            </w:r>
            <w:r>
              <w:rPr>
                <w:rFonts w:hint="default" w:ascii="Times New Roman" w:hAnsi="Times New Roman" w:cs="Times New Roman"/>
                <w:kern w:val="0"/>
                <w:szCs w:val="21"/>
              </w:rPr>
              <w:t>作业搬迁吊装操作规程</w:t>
            </w:r>
            <w:r>
              <w:rPr>
                <w:rFonts w:hint="default" w:ascii="Times New Roman" w:hAnsi="Times New Roman" w:cs="Times New Roman"/>
                <w:kern w:val="0"/>
                <w:szCs w:val="21"/>
              </w:rPr>
              <w:fldChar w:fldCharType="end"/>
            </w:r>
            <w:r>
              <w:rPr>
                <w:rFonts w:hint="default" w:ascii="Times New Roman" w:hAnsi="Times New Roman" w:cs="Times New Roman"/>
                <w:kern w:val="0"/>
                <w:szCs w:val="21"/>
                <w:lang w:eastAsia="zh-CN"/>
              </w:rPr>
              <w:t>、</w:t>
            </w:r>
            <w:r>
              <w:rPr>
                <w:rFonts w:hint="default" w:ascii="Times New Roman" w:hAnsi="Times New Roman" w:cs="Times New Roman"/>
                <w:kern w:val="0"/>
                <w:szCs w:val="21"/>
                <w:lang w:eastAsia="zh-CN"/>
              </w:rPr>
              <w:fldChar w:fldCharType="begin"/>
            </w:r>
            <w:r>
              <w:rPr>
                <w:rFonts w:hint="default" w:ascii="Times New Roman" w:hAnsi="Times New Roman" w:cs="Times New Roman"/>
                <w:kern w:val="0"/>
                <w:szCs w:val="21"/>
                <w:lang w:eastAsia="zh-CN"/>
              </w:rPr>
              <w:instrText xml:space="preserve"> HYPERLINK \l _Toc20448 </w:instrText>
            </w:r>
            <w:r>
              <w:rPr>
                <w:rFonts w:hint="default" w:ascii="Times New Roman" w:hAnsi="Times New Roman" w:cs="Times New Roman"/>
                <w:kern w:val="0"/>
                <w:szCs w:val="21"/>
                <w:lang w:eastAsia="zh-CN"/>
              </w:rPr>
              <w:fldChar w:fldCharType="separate"/>
            </w:r>
            <w:r>
              <w:rPr>
                <w:rFonts w:hint="default" w:ascii="Times New Roman" w:hAnsi="Times New Roman" w:cs="Times New Roman"/>
                <w:kern w:val="0"/>
                <w:szCs w:val="21"/>
                <w:lang w:eastAsia="zh-CN"/>
              </w:rPr>
              <w:t>套管补贴作业操作规程</w:t>
            </w:r>
            <w:r>
              <w:rPr>
                <w:rFonts w:hint="default" w:ascii="Times New Roman" w:hAnsi="Times New Roman" w:cs="Times New Roman"/>
                <w:kern w:val="0"/>
                <w:szCs w:val="21"/>
                <w:lang w:eastAsia="zh-CN"/>
              </w:rPr>
              <w:fldChar w:fldCharType="end"/>
            </w:r>
            <w:r>
              <w:rPr>
                <w:rFonts w:hint="default" w:ascii="Times New Roman" w:hAnsi="Times New Roman" w:cs="Times New Roman"/>
                <w:kern w:val="0"/>
                <w:szCs w:val="21"/>
                <w:lang w:eastAsia="zh-CN"/>
              </w:rPr>
              <w:fldChar w:fldCharType="begin"/>
            </w:r>
            <w:r>
              <w:rPr>
                <w:rFonts w:hint="default" w:ascii="Times New Roman" w:hAnsi="Times New Roman" w:cs="Times New Roman"/>
                <w:kern w:val="0"/>
                <w:szCs w:val="21"/>
                <w:lang w:eastAsia="zh-CN"/>
              </w:rPr>
              <w:instrText xml:space="preserve"> HYPERLINK \l _Toc11919 </w:instrText>
            </w:r>
            <w:r>
              <w:rPr>
                <w:rFonts w:hint="default" w:ascii="Times New Roman" w:hAnsi="Times New Roman" w:cs="Times New Roman"/>
                <w:kern w:val="0"/>
                <w:szCs w:val="21"/>
                <w:lang w:eastAsia="zh-CN"/>
              </w:rPr>
              <w:fldChar w:fldCharType="separate"/>
            </w:r>
            <w:r>
              <w:rPr>
                <w:rFonts w:hint="default" w:ascii="Times New Roman" w:hAnsi="Times New Roman" w:cs="Times New Roman"/>
                <w:kern w:val="0"/>
                <w:szCs w:val="21"/>
                <w:lang w:eastAsia="zh-CN"/>
              </w:rPr>
              <w:t>、防砂作业操作规程</w:t>
            </w:r>
            <w:r>
              <w:rPr>
                <w:rFonts w:hint="default" w:ascii="Times New Roman" w:hAnsi="Times New Roman" w:cs="Times New Roman"/>
                <w:kern w:val="0"/>
                <w:szCs w:val="21"/>
                <w:lang w:eastAsia="zh-CN"/>
              </w:rPr>
              <w:fldChar w:fldCharType="end"/>
            </w:r>
            <w:r>
              <w:rPr>
                <w:rFonts w:hint="default" w:ascii="Times New Roman" w:hAnsi="Times New Roman" w:cs="Times New Roman"/>
                <w:kern w:val="0"/>
                <w:szCs w:val="21"/>
                <w:lang w:eastAsia="zh-CN"/>
              </w:rPr>
              <w:fldChar w:fldCharType="begin"/>
            </w:r>
            <w:r>
              <w:rPr>
                <w:rFonts w:hint="default" w:ascii="Times New Roman" w:hAnsi="Times New Roman" w:cs="Times New Roman"/>
                <w:kern w:val="0"/>
                <w:szCs w:val="21"/>
                <w:lang w:eastAsia="zh-CN"/>
              </w:rPr>
              <w:instrText xml:space="preserve"> HYPERLINK \l _Toc28811 </w:instrText>
            </w:r>
            <w:r>
              <w:rPr>
                <w:rFonts w:hint="default" w:ascii="Times New Roman" w:hAnsi="Times New Roman" w:cs="Times New Roman"/>
                <w:kern w:val="0"/>
                <w:szCs w:val="21"/>
                <w:lang w:eastAsia="zh-CN"/>
              </w:rPr>
              <w:fldChar w:fldCharType="separate"/>
            </w:r>
            <w:r>
              <w:rPr>
                <w:rFonts w:hint="default" w:ascii="Times New Roman" w:hAnsi="Times New Roman" w:cs="Times New Roman"/>
                <w:kern w:val="0"/>
                <w:szCs w:val="21"/>
                <w:lang w:eastAsia="zh-CN"/>
              </w:rPr>
              <w:t>、酸化作业操作规程</w:t>
            </w:r>
            <w:r>
              <w:rPr>
                <w:rFonts w:hint="default" w:ascii="Times New Roman" w:hAnsi="Times New Roman" w:cs="Times New Roman"/>
                <w:kern w:val="0"/>
                <w:szCs w:val="21"/>
                <w:lang w:eastAsia="zh-CN"/>
              </w:rPr>
              <w:fldChar w:fldCharType="end"/>
            </w:r>
            <w:r>
              <w:rPr>
                <w:rFonts w:hint="default" w:ascii="Times New Roman" w:hAnsi="Times New Roman" w:cs="Times New Roman"/>
                <w:kern w:val="0"/>
                <w:szCs w:val="21"/>
                <w:lang w:eastAsia="zh-CN"/>
              </w:rPr>
              <w:fldChar w:fldCharType="begin"/>
            </w:r>
            <w:r>
              <w:rPr>
                <w:rFonts w:hint="default" w:ascii="Times New Roman" w:hAnsi="Times New Roman" w:cs="Times New Roman"/>
                <w:kern w:val="0"/>
                <w:szCs w:val="21"/>
                <w:lang w:eastAsia="zh-CN"/>
              </w:rPr>
              <w:instrText xml:space="preserve"> HYPERLINK \l _Toc7084 </w:instrText>
            </w:r>
            <w:r>
              <w:rPr>
                <w:rFonts w:hint="default" w:ascii="Times New Roman" w:hAnsi="Times New Roman" w:cs="Times New Roman"/>
                <w:kern w:val="0"/>
                <w:szCs w:val="21"/>
                <w:lang w:eastAsia="zh-CN"/>
              </w:rPr>
              <w:fldChar w:fldCharType="separate"/>
            </w:r>
            <w:r>
              <w:rPr>
                <w:rFonts w:hint="default" w:ascii="Times New Roman" w:hAnsi="Times New Roman" w:cs="Times New Roman"/>
                <w:kern w:val="0"/>
                <w:szCs w:val="21"/>
                <w:lang w:eastAsia="zh-CN"/>
              </w:rPr>
              <w:t>、</w:t>
            </w:r>
            <w:r>
              <w:rPr>
                <w:rFonts w:hint="eastAsia" w:cs="Times New Roman"/>
                <w:kern w:val="0"/>
                <w:szCs w:val="21"/>
                <w:lang w:eastAsia="zh-CN"/>
              </w:rPr>
              <w:t>堵水/调剖</w:t>
            </w:r>
            <w:r>
              <w:rPr>
                <w:rFonts w:hint="default" w:ascii="Times New Roman" w:hAnsi="Times New Roman" w:cs="Times New Roman"/>
                <w:kern w:val="0"/>
                <w:szCs w:val="21"/>
                <w:lang w:eastAsia="zh-CN"/>
              </w:rPr>
              <w:t>施工操作规程</w:t>
            </w:r>
            <w:r>
              <w:rPr>
                <w:rFonts w:hint="default" w:ascii="Times New Roman" w:hAnsi="Times New Roman" w:cs="Times New Roman"/>
                <w:kern w:val="0"/>
                <w:szCs w:val="21"/>
                <w:lang w:eastAsia="zh-CN"/>
              </w:rPr>
              <w:fldChar w:fldCharType="end"/>
            </w:r>
            <w:r>
              <w:rPr>
                <w:rFonts w:hint="default" w:ascii="Times New Roman" w:hAnsi="Times New Roman" w:cs="Times New Roman"/>
                <w:kern w:val="0"/>
                <w:szCs w:val="21"/>
                <w:lang w:eastAsia="zh-CN"/>
              </w:rPr>
              <w:t>等操作规程</w:t>
            </w:r>
            <w:r>
              <w:rPr>
                <w:rFonts w:hint="default" w:ascii="Times New Roman" w:hAnsi="Times New Roman" w:cs="Times New Roman"/>
                <w:kern w:val="0"/>
                <w:szCs w:val="21"/>
              </w:rPr>
              <w:t>。</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default" w:ascii="Times New Roman" w:hAnsi="Times New Roman"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5.设置安全生产管理机构或者配备专职安全生产管理人员的文件复印件。</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审查文件是否有效。</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eastAsia="宋体" w:cs="Times New Roman"/>
                <w:kern w:val="0"/>
                <w:szCs w:val="21"/>
                <w:lang w:val="en-US" w:eastAsia="zh-CN"/>
              </w:rPr>
              <w:t>《关于公司成立安全管理部的通知》（胜康司发[2022]）8号），公司成立安全管理部作为安全生产管理机构，任命秦思维、陈云钊为专职安全管理人员，另任命刘佣为安全总监</w:t>
            </w:r>
            <w:r>
              <w:rPr>
                <w:rFonts w:hint="eastAsia" w:cs="Times New Roman"/>
                <w:kern w:val="0"/>
                <w:szCs w:val="21"/>
                <w:lang w:val="en-US" w:eastAsia="zh-CN"/>
              </w:rPr>
              <w:t>。</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default" w:ascii="Times New Roman" w:hAnsi="Times New Roman"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6.主要负责人和安全生产管理人员安全</w:t>
            </w:r>
            <w:r>
              <w:rPr>
                <w:rFonts w:hint="default" w:ascii="Times New Roman" w:hAnsi="Times New Roman" w:cs="Times New Roman"/>
                <w:b w:val="0"/>
                <w:bCs w:val="0"/>
                <w:color w:val="000000"/>
                <w:lang w:eastAsia="zh-CN"/>
              </w:rPr>
              <w:t>合格</w:t>
            </w:r>
            <w:r>
              <w:rPr>
                <w:rFonts w:hint="default" w:ascii="Times New Roman" w:hAnsi="Times New Roman" w:cs="Times New Roman"/>
                <w:b w:val="0"/>
                <w:bCs w:val="0"/>
                <w:color w:val="000000"/>
              </w:rPr>
              <w:t>证书复印件。</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审查安全</w:t>
            </w:r>
            <w:r>
              <w:rPr>
                <w:rFonts w:hint="default" w:ascii="Times New Roman" w:hAnsi="Times New Roman" w:cs="Times New Roman"/>
                <w:b w:val="0"/>
                <w:bCs w:val="0"/>
                <w:color w:val="000000"/>
                <w:lang w:eastAsia="zh-CN"/>
              </w:rPr>
              <w:t>合格</w:t>
            </w:r>
            <w:r>
              <w:rPr>
                <w:rFonts w:hint="default" w:ascii="Times New Roman" w:hAnsi="Times New Roman" w:cs="Times New Roman"/>
                <w:b w:val="0"/>
                <w:bCs w:val="0"/>
                <w:color w:val="000000"/>
              </w:rPr>
              <w:t>证书是否在有效期内。</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eastAsia" w:cs="Times New Roman"/>
                <w:szCs w:val="21"/>
                <w:lang w:val="en-US" w:eastAsia="zh-CN"/>
              </w:rPr>
              <w:t>主</w:t>
            </w:r>
            <w:r>
              <w:rPr>
                <w:rFonts w:hint="default" w:ascii="Times New Roman" w:hAnsi="Times New Roman" w:cs="Times New Roman"/>
                <w:szCs w:val="21"/>
                <w:lang w:val="en-US" w:eastAsia="zh-CN"/>
              </w:rPr>
              <w:t>要负责人与安全管理人员已取得安全合格证，且在年检有效期内；</w:t>
            </w:r>
            <w:r>
              <w:rPr>
                <w:rFonts w:hint="eastAsia" w:cs="Times New Roman"/>
                <w:szCs w:val="21"/>
                <w:lang w:val="en-US" w:eastAsia="zh-CN"/>
              </w:rPr>
              <w:t>主要负责人范涛</w:t>
            </w:r>
            <w:r>
              <w:rPr>
                <w:rFonts w:hint="default" w:ascii="Times New Roman" w:hAnsi="Times New Roman" w:cs="Times New Roman"/>
                <w:szCs w:val="21"/>
                <w:lang w:val="en-US" w:eastAsia="zh-CN"/>
              </w:rPr>
              <w:t>已于</w:t>
            </w:r>
            <w:r>
              <w:rPr>
                <w:rFonts w:hint="eastAsia" w:cs="Times New Roman"/>
                <w:color w:val="auto"/>
                <w:szCs w:val="21"/>
                <w:lang w:val="en-US" w:eastAsia="zh-CN"/>
              </w:rPr>
              <w:t>6</w:t>
            </w:r>
            <w:r>
              <w:rPr>
                <w:rFonts w:hint="default" w:ascii="Times New Roman" w:hAnsi="Times New Roman" w:cs="Times New Roman"/>
                <w:color w:val="auto"/>
                <w:szCs w:val="21"/>
                <w:lang w:val="en-US" w:eastAsia="zh-CN"/>
              </w:rPr>
              <w:t>月</w:t>
            </w:r>
            <w:r>
              <w:rPr>
                <w:rFonts w:hint="eastAsia" w:cs="Times New Roman"/>
                <w:color w:val="auto"/>
                <w:szCs w:val="21"/>
                <w:lang w:val="en-US" w:eastAsia="zh-CN"/>
              </w:rPr>
              <w:t>14</w:t>
            </w:r>
            <w:r>
              <w:rPr>
                <w:rFonts w:hint="default" w:ascii="Times New Roman" w:hAnsi="Times New Roman" w:cs="Times New Roman"/>
                <w:color w:val="auto"/>
                <w:szCs w:val="21"/>
                <w:lang w:val="en-US" w:eastAsia="zh-CN"/>
              </w:rPr>
              <w:t>日参</w:t>
            </w:r>
            <w:r>
              <w:rPr>
                <w:rFonts w:hint="default" w:ascii="Times New Roman" w:hAnsi="Times New Roman" w:cs="Times New Roman"/>
                <w:color w:val="000000" w:themeColor="text1"/>
                <w:szCs w:val="21"/>
                <w:lang w:val="en-US" w:eastAsia="zh-CN"/>
                <w14:textFill>
                  <w14:solidFill>
                    <w14:schemeClr w14:val="tx1"/>
                  </w14:solidFill>
                </w14:textFill>
              </w:rPr>
              <w:t>加陆上石油天然气开采安全合格培训考试</w:t>
            </w:r>
            <w:r>
              <w:rPr>
                <w:rFonts w:hint="default" w:ascii="Times New Roman" w:hAnsi="Times New Roman" w:cs="Times New Roman"/>
                <w:color w:val="000000" w:themeColor="text1"/>
                <w:szCs w:val="21"/>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6月1</w:t>
            </w:r>
            <w:r>
              <w:rPr>
                <w:rFonts w:hint="eastAsia" w:cs="Times New Roman"/>
                <w:color w:val="000000" w:themeColor="text1"/>
                <w:szCs w:val="21"/>
                <w:lang w:val="en-US" w:eastAsia="zh-CN"/>
                <w14:textFill>
                  <w14:solidFill>
                    <w14:schemeClr w14:val="tx1"/>
                  </w14:solidFill>
                </w14:textFill>
              </w:rPr>
              <w:t>6</w:t>
            </w:r>
            <w:r>
              <w:rPr>
                <w:rFonts w:hint="default" w:ascii="Times New Roman" w:hAnsi="Times New Roman" w:cs="Times New Roman"/>
                <w:color w:val="000000" w:themeColor="text1"/>
                <w:szCs w:val="21"/>
                <w:lang w:val="en-US" w:eastAsia="zh-CN"/>
                <w14:textFill>
                  <w14:solidFill>
                    <w14:schemeClr w14:val="tx1"/>
                  </w14:solidFill>
                </w14:textFill>
              </w:rPr>
              <w:t>日</w:t>
            </w:r>
            <w:r>
              <w:rPr>
                <w:rFonts w:hint="eastAsia" w:cs="Times New Roman"/>
                <w:color w:val="000000" w:themeColor="text1"/>
                <w:szCs w:val="21"/>
                <w:lang w:eastAsia="zh-CN"/>
                <w14:textFill>
                  <w14:solidFill>
                    <w14:schemeClr w14:val="tx1"/>
                  </w14:solidFill>
                </w14:textFill>
              </w:rPr>
              <w:t>取得</w:t>
            </w:r>
            <w:r>
              <w:rPr>
                <w:rFonts w:hint="eastAsia" w:cs="Times New Roman"/>
                <w:color w:val="000000" w:themeColor="text1"/>
                <w:szCs w:val="21"/>
                <w:lang w:val="en-US" w:eastAsia="zh-CN"/>
                <w14:textFill>
                  <w14:solidFill>
                    <w14:schemeClr w14:val="tx1"/>
                  </w14:solidFill>
                </w14:textFill>
              </w:rPr>
              <w:t>主要负责人</w:t>
            </w:r>
            <w:r>
              <w:rPr>
                <w:rFonts w:hint="eastAsia" w:cs="Times New Roman"/>
                <w:color w:val="000000" w:themeColor="text1"/>
                <w:szCs w:val="21"/>
                <w:lang w:eastAsia="zh-CN"/>
                <w14:textFill>
                  <w14:solidFill>
                    <w14:schemeClr w14:val="tx1"/>
                  </w14:solidFill>
                </w14:textFill>
              </w:rPr>
              <w:t>安全合格证。</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default" w:ascii="Times New Roman" w:hAnsi="Times New Roman"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7.特种作业人员操作</w:t>
            </w:r>
            <w:r>
              <w:rPr>
                <w:rFonts w:hint="default" w:ascii="Times New Roman" w:hAnsi="Times New Roman" w:cs="Times New Roman"/>
                <w:b w:val="0"/>
                <w:bCs w:val="0"/>
                <w:color w:val="000000"/>
                <w:lang w:eastAsia="zh-CN"/>
              </w:rPr>
              <w:t>合格</w:t>
            </w:r>
            <w:r>
              <w:rPr>
                <w:rFonts w:hint="default" w:ascii="Times New Roman" w:hAnsi="Times New Roman" w:cs="Times New Roman"/>
                <w:b w:val="0"/>
                <w:bCs w:val="0"/>
                <w:color w:val="000000"/>
              </w:rPr>
              <w:t>证书复印件。</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审查特种作业人员操作</w:t>
            </w:r>
            <w:r>
              <w:rPr>
                <w:rFonts w:hint="default" w:ascii="Times New Roman" w:hAnsi="Times New Roman" w:cs="Times New Roman"/>
                <w:b w:val="0"/>
                <w:bCs w:val="0"/>
                <w:color w:val="000000"/>
                <w:lang w:eastAsia="zh-CN"/>
              </w:rPr>
              <w:t>合格</w:t>
            </w:r>
            <w:r>
              <w:rPr>
                <w:rFonts w:hint="default" w:ascii="Times New Roman" w:hAnsi="Times New Roman" w:cs="Times New Roman"/>
                <w:b w:val="0"/>
                <w:bCs w:val="0"/>
                <w:color w:val="000000"/>
              </w:rPr>
              <w:t>证书是否在有效期内。</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szCs w:val="21"/>
                <w:lang w:val="en-US" w:eastAsia="zh-CN"/>
              </w:rPr>
              <w:t>该公司高处作业、电工、司钻特种作业人员取得特种作业操作合格证书。</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leftChars="0" w:right="0" w:rightChars="0"/>
              <w:jc w:val="center"/>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eastAsia="宋体" w:cs="Times New Roman"/>
                <w:smallCaps w:val="0"/>
                <w:szCs w:val="24"/>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8.足额提取安全生产费用、缴纳并存储安全生产风险抵押金的证明材料。</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审查证明材料是否有效。</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lang w:val="en-US" w:eastAsia="zh-CN"/>
              </w:rPr>
              <w:t>每年</w:t>
            </w:r>
            <w:r>
              <w:rPr>
                <w:rFonts w:hint="default" w:ascii="Times New Roman" w:hAnsi="Times New Roman" w:cs="Times New Roman"/>
                <w:b w:val="0"/>
                <w:bCs w:val="0"/>
                <w:color w:val="000000"/>
                <w:lang w:val="en-US" w:eastAsia="zh-CN"/>
              </w:rPr>
              <w:t>建立年度安全费用提取计划，按照计划计提安全费用，建立有安全费用台账，提取比例不低于工程产值的2.5%</w:t>
            </w:r>
            <w:r>
              <w:rPr>
                <w:rFonts w:hint="default" w:ascii="Times New Roman" w:hAnsi="Times New Roman" w:cs="Times New Roman"/>
                <w:b w:val="0"/>
                <w:bCs w:val="0"/>
                <w:color w:val="000000"/>
                <w:lang w:eastAsia="zh-CN"/>
              </w:rPr>
              <w:t>。</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default" w:ascii="Times New Roman" w:hAnsi="Times New Roman"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9.为从业人员缴纳工伤保险费的证明材料；因特殊情况不能办理工伤保险的，可以出具办理安全生产责任保险或者雇主责任保险的证明材料。</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审查证明材料是否有效。</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eastAsia="宋体" w:cs="Times New Roman"/>
                <w:smallCaps w:val="0"/>
                <w:szCs w:val="24"/>
                <w:lang w:eastAsia="zh-CN"/>
              </w:rPr>
              <w:t>胜利油田康贝油气工程有限公司现有员工</w:t>
            </w:r>
            <w:r>
              <w:rPr>
                <w:rFonts w:hint="default" w:ascii="Times New Roman" w:hAnsi="Times New Roman" w:eastAsia="宋体" w:cs="Times New Roman"/>
                <w:smallCaps w:val="0"/>
                <w:szCs w:val="24"/>
                <w:lang w:val="en-US" w:eastAsia="zh-CN"/>
              </w:rPr>
              <w:t>298</w:t>
            </w:r>
            <w:r>
              <w:rPr>
                <w:rFonts w:hint="default" w:ascii="Times New Roman" w:hAnsi="Times New Roman" w:eastAsia="宋体" w:cs="Times New Roman"/>
                <w:smallCaps w:val="0"/>
                <w:szCs w:val="24"/>
                <w:lang w:eastAsia="zh-CN"/>
              </w:rPr>
              <w:t>人，</w:t>
            </w:r>
            <w:r>
              <w:rPr>
                <w:rFonts w:hint="default" w:ascii="Times New Roman" w:hAnsi="Times New Roman" w:eastAsia="宋体" w:cs="Times New Roman"/>
                <w:smallCaps w:val="0"/>
                <w:szCs w:val="24"/>
                <w:lang w:val="en-US" w:eastAsia="zh-CN"/>
              </w:rPr>
              <w:t>其中257人缴纳东营市社保；41人缴纳油田社保。</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default" w:ascii="Times New Roman" w:hAnsi="Times New Roman"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10.危险性较大的设备、设施由具备相应资质的检测检验机构出具合格的检测检验报告。</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审查检测检验报告是否由有资质的单位出具，是否在有效期内。</w:t>
            </w:r>
          </w:p>
        </w:tc>
        <w:tc>
          <w:tcPr>
            <w:tcW w:w="305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b w:val="0"/>
                <w:bCs w:val="0"/>
                <w:color w:val="000000" w:themeColor="text1"/>
                <w:lang w:val="en-US" w:eastAsia="zh-CN"/>
                <w14:textFill>
                  <w14:solidFill>
                    <w14:schemeClr w14:val="tx1"/>
                  </w14:solidFill>
                </w14:textFill>
              </w:rPr>
              <w:t>井架、底座等已按照要求进行检验检测，并在检验有效期内，检验超期的设备已重新检验合格。</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default" w:ascii="Times New Roman" w:hAnsi="Times New Roman"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11.事故应急救援预案，设立事故应急救援组织的文件或者与矿山救护队、其他应急救援组织签订的救护协议。</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审查是否编制应急救援预案，相关文件或者协议是否有效。</w:t>
            </w:r>
          </w:p>
        </w:tc>
        <w:tc>
          <w:tcPr>
            <w:tcW w:w="305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textAlignment w:val="auto"/>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b w:val="0"/>
                <w:bCs w:val="0"/>
                <w:color w:val="000000"/>
                <w:lang w:val="en-US" w:eastAsia="zh-CN"/>
              </w:rPr>
              <w:t>该公司已</w:t>
            </w:r>
            <w:r>
              <w:rPr>
                <w:rFonts w:hint="default" w:ascii="Times New Roman" w:hAnsi="Times New Roman" w:cs="Times New Roman"/>
                <w:b w:val="0"/>
                <w:bCs w:val="0"/>
                <w:color w:val="000000"/>
              </w:rPr>
              <w:t>编制有事</w:t>
            </w:r>
            <w:r>
              <w:rPr>
                <w:rFonts w:hint="default" w:ascii="Times New Roman" w:hAnsi="Times New Roman" w:cs="Times New Roman"/>
                <w:b w:val="0"/>
                <w:bCs w:val="0"/>
                <w:color w:val="000000"/>
                <w:lang w:val="en-US" w:eastAsia="zh-CN"/>
              </w:rPr>
              <w:t>故应急救援预案，已于</w:t>
            </w:r>
            <w:r>
              <w:rPr>
                <w:rFonts w:hint="default" w:ascii="Times New Roman" w:hAnsi="Times New Roman" w:cs="Times New Roman"/>
                <w:b w:val="0"/>
                <w:bCs w:val="0"/>
                <w:color w:val="000000" w:themeColor="text1"/>
                <w:lang w:val="en-US" w:eastAsia="zh-CN"/>
                <w14:textFill>
                  <w14:solidFill>
                    <w14:schemeClr w14:val="tx1"/>
                  </w14:solidFill>
                </w14:textFill>
              </w:rPr>
              <w:t>2022年4月30日在东营区应急管理局备案（备案编号：370501-2022-1061）</w:t>
            </w:r>
            <w:r>
              <w:rPr>
                <w:rFonts w:hint="default" w:ascii="Times New Roman" w:hAnsi="Times New Roman" w:cs="Times New Roman"/>
                <w:b w:val="0"/>
                <w:bCs w:val="0"/>
                <w:color w:val="000000"/>
                <w:lang w:val="en-US" w:eastAsia="zh-CN"/>
              </w:rPr>
              <w:t>，</w:t>
            </w:r>
            <w:r>
              <w:rPr>
                <w:rFonts w:hint="eastAsia" w:cs="Times New Roman"/>
                <w:b w:val="0"/>
                <w:bCs w:val="0"/>
                <w:color w:val="000000"/>
                <w:lang w:val="en-US" w:eastAsia="zh-CN"/>
              </w:rPr>
              <w:t>《关于公司成立应急救援小组的通知》胜康司发[2022]7号公司成立应急救援小组，</w:t>
            </w:r>
            <w:r>
              <w:rPr>
                <w:rFonts w:hint="default" w:ascii="Times New Roman" w:hAnsi="Times New Roman" w:cs="Times New Roman"/>
                <w:b w:val="0"/>
                <w:bCs w:val="0"/>
                <w:color w:val="000000" w:themeColor="text1"/>
                <w:lang w:val="en-US" w:eastAsia="zh-CN"/>
                <w14:textFill>
                  <w14:solidFill>
                    <w14:schemeClr w14:val="tx1"/>
                  </w14:solidFill>
                </w14:textFill>
              </w:rPr>
              <w:t>公司与</w:t>
            </w:r>
            <w:r>
              <w:rPr>
                <w:rFonts w:hint="eastAsia" w:cs="Times New Roman"/>
                <w:b w:val="0"/>
                <w:bCs w:val="0"/>
                <w:color w:val="000000" w:themeColor="text1"/>
                <w:lang w:val="en-US" w:eastAsia="zh-CN"/>
                <w14:textFill>
                  <w14:solidFill>
                    <w14:schemeClr w14:val="tx1"/>
                  </w14:solidFill>
                </w14:textFill>
              </w:rPr>
              <w:t>胜利油田石油开发中心有限公司</w:t>
            </w:r>
            <w:r>
              <w:rPr>
                <w:rFonts w:hint="default" w:ascii="Times New Roman" w:hAnsi="Times New Roman" w:cs="Times New Roman"/>
                <w:b w:val="0"/>
                <w:bCs w:val="0"/>
                <w:color w:val="000000" w:themeColor="text1"/>
                <w:lang w:val="en-US" w:eastAsia="zh-CN"/>
                <w14:textFill>
                  <w14:solidFill>
                    <w14:schemeClr w14:val="tx1"/>
                  </w14:solidFill>
                </w14:textFill>
              </w:rPr>
              <w:t>签订了应急救援协议</w:t>
            </w:r>
            <w:r>
              <w:rPr>
                <w:rFonts w:hint="default" w:cs="Times New Roman"/>
                <w:b w:val="0"/>
                <w:bCs w:val="0"/>
                <w:color w:val="000000"/>
                <w:lang w:val="en-US" w:eastAsia="zh-CN"/>
              </w:rPr>
              <w:t>。</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default" w:ascii="Times New Roman" w:hAnsi="Times New Roman" w:cs="Times New Roman"/>
                <w:b w:val="0"/>
                <w:bCs w:val="0"/>
                <w:color w:val="000000"/>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12.</w:t>
            </w:r>
            <w:r>
              <w:rPr>
                <w:rFonts w:hint="default" w:ascii="Times New Roman" w:hAnsi="Times New Roman" w:eastAsia="宋体" w:cs="Times New Roman"/>
                <w:smallCaps w:val="0"/>
                <w:szCs w:val="24"/>
              </w:rPr>
              <w:t>矿山建设项目安全设施经安全生产监督管理部门验收合格的证明材料</w:t>
            </w:r>
            <w:r>
              <w:rPr>
                <w:rFonts w:hint="default" w:ascii="Times New Roman" w:hAnsi="Times New Roman" w:cs="Times New Roman"/>
                <w:b w:val="0"/>
                <w:bCs w:val="0"/>
                <w:color w:val="000000"/>
              </w:rPr>
              <w:t>。</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eastAsia="宋体" w:cs="Times New Roman"/>
                <w:smallCaps w:val="0"/>
                <w:szCs w:val="24"/>
              </w:rPr>
              <w:t>审查验收批复文件是否由具备相应审批权限的安全监管部门出具</w:t>
            </w:r>
            <w:r>
              <w:rPr>
                <w:rFonts w:hint="default" w:ascii="Times New Roman" w:hAnsi="Times New Roman" w:cs="Times New Roman"/>
                <w:b w:val="0"/>
                <w:bCs w:val="0"/>
                <w:color w:val="000000"/>
              </w:rPr>
              <w:t>。</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b w:val="0"/>
                <w:bCs w:val="0"/>
                <w:color w:val="000000"/>
              </w:rPr>
              <w:t>不涉及此项。</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default" w:ascii="Times New Roman" w:hAnsi="Times New Roman" w:cs="Times New Roman"/>
                <w:b w:val="0"/>
                <w:bCs w:val="0"/>
                <w:color w:val="00000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44" w:type="dxa"/>
            <w:noWrap w:val="0"/>
            <w:tcMar>
              <w:top w:w="57" w:type="dxa"/>
              <w:left w:w="28" w:type="dxa"/>
              <w:bottom w:w="57"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13.爆破作业单位许可证复印件。</w:t>
            </w:r>
          </w:p>
        </w:tc>
        <w:tc>
          <w:tcPr>
            <w:tcW w:w="2067" w:type="dxa"/>
            <w:noWrap w:val="0"/>
            <w:tcMar>
              <w:top w:w="0" w:type="dxa"/>
              <w:left w:w="28" w:type="dxa"/>
              <w:bottom w:w="0" w:type="dxa"/>
              <w:right w:w="28" w:type="dxa"/>
            </w:tcMar>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cs="Times New Roman"/>
                <w:b w:val="0"/>
                <w:bCs w:val="0"/>
                <w:color w:val="000000"/>
              </w:rPr>
            </w:pPr>
            <w:r>
              <w:rPr>
                <w:rFonts w:hint="default" w:ascii="Times New Roman" w:hAnsi="Times New Roman" w:cs="Times New Roman"/>
                <w:b w:val="0"/>
                <w:bCs w:val="0"/>
                <w:color w:val="000000"/>
              </w:rPr>
              <w:t>审查证件是否有效。</w:t>
            </w:r>
          </w:p>
        </w:tc>
        <w:tc>
          <w:tcPr>
            <w:tcW w:w="3058" w:type="dxa"/>
            <w:noWrap w:val="0"/>
            <w:vAlign w:val="center"/>
          </w:tcPr>
          <w:p>
            <w:pPr>
              <w:keepNext w:val="0"/>
              <w:keepLines w:val="0"/>
              <w:suppressLineNumbers w:val="0"/>
              <w:adjustRightInd w:val="0"/>
              <w:snapToGrid w:val="0"/>
              <w:spacing w:before="62" w:beforeLines="20" w:beforeAutospacing="0" w:after="62" w:afterLines="20" w:afterAutospacing="0"/>
              <w:ind w:left="0" w:right="0"/>
              <w:rPr>
                <w:rFonts w:hint="default" w:ascii="Times New Roman" w:hAnsi="Times New Roman" w:eastAsia="宋体" w:cs="Times New Roman"/>
                <w:b w:val="0"/>
                <w:bCs w:val="0"/>
                <w:color w:val="000000"/>
                <w:kern w:val="2"/>
                <w:sz w:val="21"/>
                <w:szCs w:val="24"/>
                <w:lang w:val="en-US" w:eastAsia="zh-CN" w:bidi="ar-SA"/>
              </w:rPr>
            </w:pPr>
            <w:r>
              <w:rPr>
                <w:rFonts w:hint="default" w:ascii="Times New Roman" w:hAnsi="Times New Roman" w:cs="Times New Roman"/>
                <w:b w:val="0"/>
                <w:bCs w:val="0"/>
                <w:color w:val="000000"/>
              </w:rPr>
              <w:t>不涉及此项。</w:t>
            </w:r>
          </w:p>
        </w:tc>
        <w:tc>
          <w:tcPr>
            <w:tcW w:w="705" w:type="dxa"/>
            <w:noWrap w:val="0"/>
            <w:vAlign w:val="center"/>
          </w:tcPr>
          <w:p>
            <w:pPr>
              <w:keepNext w:val="0"/>
              <w:keepLines w:val="0"/>
              <w:suppressLineNumbers w:val="0"/>
              <w:adjustRightInd w:val="0"/>
              <w:snapToGrid w:val="0"/>
              <w:spacing w:before="62" w:beforeLines="20" w:beforeAutospacing="0" w:after="62" w:afterLines="20" w:afterAutospacing="0"/>
              <w:ind w:left="0" w:right="0"/>
              <w:jc w:val="center"/>
              <w:rPr>
                <w:rFonts w:hint="default" w:ascii="Times New Roman" w:hAnsi="Times New Roman" w:cs="Times New Roman"/>
                <w:b w:val="0"/>
                <w:bCs w:val="0"/>
                <w:color w:val="000000"/>
              </w:rPr>
            </w:pPr>
            <w:r>
              <w:rPr>
                <w:rFonts w:hint="default" w:ascii="Times New Roman" w:hAnsi="Times New Roman" w:cs="Times New Roman"/>
                <w:b w:val="0"/>
                <w:bCs w:val="0"/>
                <w:color w:val="000000"/>
                <w:lang w:val="en-US" w:eastAsia="zh-CN"/>
              </w:rPr>
              <w:t>--</w:t>
            </w:r>
          </w:p>
        </w:tc>
      </w:tr>
    </w:tbl>
    <w:p>
      <w:pPr>
        <w:adjustRightInd w:val="0"/>
        <w:snapToGrid w:val="0"/>
        <w:ind w:firstLine="420" w:firstLineChars="200"/>
        <w:rPr>
          <w:rFonts w:hint="default" w:ascii="Times New Roman" w:hAnsi="Times New Roman" w:cs="Times New Roman"/>
          <w:color w:val="000000"/>
          <w:szCs w:val="21"/>
        </w:rPr>
      </w:pPr>
      <w:r>
        <w:rPr>
          <w:rFonts w:hint="default" w:ascii="Times New Roman" w:hAnsi="Times New Roman" w:cs="Times New Roman"/>
          <w:color w:val="000000"/>
          <w:szCs w:val="21"/>
        </w:rPr>
        <w:t>注</w:t>
      </w:r>
      <w:r>
        <w:rPr>
          <w:rFonts w:hint="default" w:ascii="Times New Roman" w:hAnsi="Times New Roman" w:cs="Times New Roman"/>
          <w:color w:val="000000"/>
          <w:szCs w:val="21"/>
          <w:lang w:eastAsia="zh-CN"/>
        </w:rPr>
        <w:t>：</w:t>
      </w:r>
      <w:r>
        <w:rPr>
          <w:rFonts w:hint="default" w:ascii="Times New Roman" w:hAnsi="Times New Roman" w:cs="Times New Roman"/>
          <w:color w:val="000000"/>
          <w:szCs w:val="21"/>
        </w:rPr>
        <w:t>非煤矿矿山企业总部申请安全生产许可证，需审查第1、3、4、5、6项；金属非金属矿山企业申请安全生产许可证，需审查第1-12项，如果该单位从事爆破作业，还需审查第13项；尾矿库申请安全生产许可证，需审查第1、3、4、5、6、7、8、9、10、11、12项；地质勘探单位和采掘施工企业申请安全生产许可证，需审查第1、2、3、4、5、6、7、9、10、11项，如果该单位从事爆破作业，还需审查第13项；石油天然气勘探、开发生产和储运（陆上采油气、海上采油气、物探、钻井、测井、录井、井下作业、油田建设、海油工程、储运）单位申请安全生产许可证，需审查第1、3、4、5、6、7、8、9、10、11项（其中陆上采油气、海上采油气单位需增加审查第2、12项，储运单位需增加审查第12项）。</w:t>
      </w:r>
    </w:p>
    <w:p>
      <w:pPr>
        <w:keepNext w:val="0"/>
        <w:keepLines w:val="0"/>
        <w:pageBreakBefore w:val="0"/>
        <w:widowControl w:val="0"/>
        <w:kinsoku/>
        <w:wordWrap/>
        <w:overflowPunct/>
        <w:topLinePunct w:val="0"/>
        <w:autoSpaceDE/>
        <w:autoSpaceDN/>
        <w:bidi w:val="0"/>
        <w:adjustRightInd w:val="0"/>
        <w:snapToGrid w:val="0"/>
        <w:spacing w:before="161" w:beforeLines="50" w:line="360" w:lineRule="auto"/>
        <w:ind w:firstLine="560" w:firstLineChars="200"/>
        <w:textAlignment w:val="auto"/>
        <w:rPr>
          <w:rFonts w:hint="default" w:ascii="Times New Roman" w:hAnsi="Times New Roman" w:cs="Times New Roman"/>
          <w:color w:val="000000"/>
          <w:sz w:val="28"/>
          <w:szCs w:val="28"/>
          <w:lang w:val="en-US" w:eastAsia="zh-CN"/>
        </w:rPr>
      </w:pPr>
      <w:r>
        <w:rPr>
          <w:rFonts w:hint="default" w:ascii="Times New Roman" w:hAnsi="Times New Roman" w:cs="Times New Roman"/>
          <w:color w:val="000000"/>
          <w:sz w:val="28"/>
          <w:szCs w:val="28"/>
          <w:lang w:val="en-US" w:eastAsia="zh-CN"/>
        </w:rPr>
        <w:t>评价小结：</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Times New Roman" w:hAnsi="Times New Roman" w:cs="Times New Roman"/>
          <w:color w:val="000000"/>
          <w:sz w:val="28"/>
          <w:szCs w:val="28"/>
          <w:lang w:eastAsia="zh-CN"/>
        </w:rPr>
      </w:pPr>
      <w:r>
        <w:rPr>
          <w:rFonts w:hint="default" w:ascii="Times New Roman" w:hAnsi="Times New Roman" w:cs="Times New Roman"/>
          <w:color w:val="000000"/>
          <w:sz w:val="28"/>
          <w:szCs w:val="28"/>
          <w:lang w:val="en-US" w:eastAsia="zh-CN"/>
        </w:rPr>
        <w:t>经过现场检查和评价，该企业涉及的井下作业项目有</w:t>
      </w:r>
      <w:r>
        <w:rPr>
          <w:rFonts w:hint="default" w:ascii="Times New Roman" w:hAnsi="Times New Roman" w:cs="Times New Roman"/>
          <w:color w:val="auto"/>
          <w:sz w:val="28"/>
          <w:szCs w:val="28"/>
          <w:lang w:val="en-US" w:eastAsia="zh-CN"/>
        </w:rPr>
        <w:t>10项审查项为符合，无不符合项，3项审查项为不涉及，</w:t>
      </w:r>
      <w:r>
        <w:rPr>
          <w:rFonts w:hint="default" w:ascii="Times New Roman" w:hAnsi="Times New Roman" w:cs="Times New Roman"/>
          <w:color w:val="000000"/>
          <w:sz w:val="28"/>
          <w:szCs w:val="28"/>
          <w:lang w:val="en-US" w:eastAsia="zh-CN"/>
        </w:rPr>
        <w:t>因此</w:t>
      </w:r>
      <w:r>
        <w:rPr>
          <w:rFonts w:hint="default" w:ascii="Times New Roman" w:hAnsi="Times New Roman" w:cs="Times New Roman"/>
          <w:b w:val="0"/>
          <w:bCs/>
          <w:smallCaps w:val="0"/>
          <w:sz w:val="28"/>
          <w:lang w:val="en-US" w:eastAsia="zh-CN"/>
        </w:rPr>
        <w:t>胜利油田康贝油气工程有限公司</w:t>
      </w:r>
      <w:r>
        <w:rPr>
          <w:rFonts w:hint="default" w:ascii="Times New Roman" w:hAnsi="Times New Roman" w:cs="Times New Roman"/>
          <w:b w:val="0"/>
          <w:bCs/>
          <w:smallCaps w:val="0"/>
          <w:sz w:val="28"/>
          <w:lang w:eastAsia="zh-CN"/>
        </w:rPr>
        <w:t>井下作业项目</w:t>
      </w:r>
      <w:r>
        <w:rPr>
          <w:rFonts w:hint="default" w:ascii="Times New Roman" w:hAnsi="Times New Roman" w:cs="Times New Roman"/>
          <w:b w:val="0"/>
          <w:bCs/>
          <w:smallCaps w:val="0"/>
          <w:sz w:val="28"/>
          <w:lang w:val="en-US" w:eastAsia="zh-CN"/>
        </w:rPr>
        <w:t>的审查条件符合要求</w:t>
      </w:r>
      <w:r>
        <w:rPr>
          <w:rFonts w:hint="default" w:ascii="Times New Roman" w:hAnsi="Times New Roman" w:cs="Times New Roman"/>
          <w:color w:val="000000"/>
          <w:sz w:val="28"/>
          <w:szCs w:val="28"/>
          <w:lang w:eastAsia="zh-CN"/>
        </w:rPr>
        <w:t>。</w:t>
      </w:r>
    </w:p>
    <w:p>
      <w:pPr>
        <w:pStyle w:val="4"/>
        <w:keepNext w:val="0"/>
        <w:keepLines w:val="0"/>
        <w:pageBreakBefore w:val="0"/>
        <w:widowControl w:val="0"/>
        <w:bidi w:val="0"/>
        <w:adjustRightInd w:val="0"/>
        <w:snapToGrid w:val="0"/>
        <w:spacing w:before="0" w:after="0" w:line="360" w:lineRule="auto"/>
        <w:rPr>
          <w:rFonts w:hint="default" w:ascii="Times New Roman" w:hAnsi="Times New Roman" w:cs="Times New Roman"/>
          <w:b w:val="0"/>
          <w:bCs/>
          <w:color w:val="000000" w:themeColor="text1"/>
          <w:szCs w:val="32"/>
          <w14:textFill>
            <w14:solidFill>
              <w14:schemeClr w14:val="tx1"/>
            </w14:solidFill>
          </w14:textFill>
        </w:rPr>
      </w:pPr>
      <w:bookmarkStart w:id="158" w:name="_Toc32451"/>
      <w:bookmarkStart w:id="159" w:name="_Toc12531"/>
      <w:bookmarkStart w:id="160" w:name="_Toc29423"/>
      <w:r>
        <w:rPr>
          <w:rFonts w:hint="default" w:ascii="Times New Roman" w:hAnsi="Times New Roman" w:cs="Times New Roman"/>
          <w:b w:val="0"/>
          <w:bCs/>
          <w:color w:val="000000" w:themeColor="text1"/>
          <w:szCs w:val="32"/>
          <w:lang w:val="en-US" w:eastAsia="zh-CN"/>
          <w14:textFill>
            <w14:solidFill>
              <w14:schemeClr w14:val="tx1"/>
            </w14:solidFill>
          </w14:textFill>
        </w:rPr>
        <w:t>8.2</w:t>
      </w:r>
      <w:bookmarkEnd w:id="158"/>
      <w:r>
        <w:rPr>
          <w:rFonts w:hint="eastAsia" w:ascii="Times New Roman" w:hAnsi="Times New Roman" w:cs="Times New Roman"/>
          <w:b w:val="0"/>
          <w:bCs/>
          <w:color w:val="000000" w:themeColor="text1"/>
          <w:szCs w:val="32"/>
          <w:lang w:val="en-US" w:eastAsia="zh-CN"/>
          <w14:textFill>
            <w14:solidFill>
              <w14:schemeClr w14:val="tx1"/>
            </w14:solidFill>
          </w14:textFill>
        </w:rPr>
        <w:t xml:space="preserve"> </w:t>
      </w:r>
      <w:r>
        <w:rPr>
          <w:rFonts w:hint="default" w:ascii="Times New Roman" w:hAnsi="Times New Roman" w:cs="Times New Roman"/>
          <w:b w:val="0"/>
          <w:bCs/>
          <w:color w:val="000000" w:themeColor="text1"/>
          <w:szCs w:val="32"/>
          <w:lang w:eastAsia="zh-CN"/>
          <w14:textFill>
            <w14:solidFill>
              <w14:schemeClr w14:val="tx1"/>
            </w14:solidFill>
          </w14:textFill>
        </w:rPr>
        <w:t>重大安全风险隐患</w:t>
      </w:r>
      <w:r>
        <w:rPr>
          <w:rFonts w:hint="default" w:ascii="Times New Roman" w:hAnsi="Times New Roman" w:cs="Times New Roman"/>
          <w:b w:val="0"/>
          <w:bCs/>
          <w:color w:val="000000" w:themeColor="text1"/>
          <w:szCs w:val="32"/>
          <w14:textFill>
            <w14:solidFill>
              <w14:schemeClr w14:val="tx1"/>
            </w14:solidFill>
          </w14:textFill>
        </w:rPr>
        <w:t>分析</w:t>
      </w:r>
      <w:bookmarkEnd w:id="159"/>
      <w:bookmarkEnd w:id="160"/>
    </w:p>
    <w:p>
      <w:pPr>
        <w:pStyle w:val="288"/>
        <w:keepNext w:val="0"/>
        <w:keepLines w:val="0"/>
        <w:pageBreakBefore w:val="0"/>
        <w:widowControl w:val="0"/>
        <w:kinsoku/>
        <w:wordWrap/>
        <w:overflowPunct/>
        <w:topLinePunct w:val="0"/>
        <w:autoSpaceDE/>
        <w:autoSpaceDN/>
        <w:bidi w:val="0"/>
        <w:adjustRightInd w:val="0"/>
        <w:snapToGrid w:val="0"/>
        <w:spacing w:before="0" w:beforeLines="0"/>
        <w:jc w:val="both"/>
        <w:textAlignment w:val="auto"/>
        <w:rPr>
          <w:rFonts w:hint="default" w:ascii="Times New Roman" w:hAnsi="Times New Roman" w:cs="Times New Roman"/>
        </w:rPr>
      </w:pPr>
      <w:r>
        <w:rPr>
          <w:rFonts w:hint="default" w:ascii="Times New Roman" w:hAnsi="Times New Roman" w:cs="Times New Roman"/>
        </w:rPr>
        <w:t>根据《</w:t>
      </w:r>
      <w:r>
        <w:rPr>
          <w:rFonts w:hint="default" w:ascii="Times New Roman" w:hAnsi="Times New Roman" w:cs="Times New Roman"/>
          <w:lang w:val="en-US" w:eastAsia="zh-CN"/>
        </w:rPr>
        <w:t>重点行业领域重大安全风险隐患清单</w:t>
      </w:r>
      <w:r>
        <w:rPr>
          <w:rFonts w:hint="default" w:ascii="Times New Roman" w:hAnsi="Times New Roman" w:cs="Times New Roman"/>
        </w:rPr>
        <w:t>》</w:t>
      </w:r>
      <w:r>
        <w:rPr>
          <w:rFonts w:hint="default" w:ascii="Times New Roman" w:hAnsi="Times New Roman" w:cs="Times New Roman"/>
          <w:lang w:val="en-US" w:eastAsia="zh-CN"/>
        </w:rPr>
        <w:t>（鲁安发</w:t>
      </w:r>
      <w:r>
        <w:rPr>
          <w:rFonts w:hint="default" w:ascii="Times New Roman" w:hAnsi="Times New Roman" w:cs="Times New Roman"/>
          <w:lang w:eastAsia="zh-CN"/>
        </w:rPr>
        <w:t>[</w:t>
      </w:r>
      <w:r>
        <w:rPr>
          <w:rFonts w:hint="default" w:ascii="Times New Roman" w:hAnsi="Times New Roman" w:cs="Times New Roman"/>
          <w:lang w:val="en-US" w:eastAsia="zh-CN"/>
        </w:rPr>
        <w:t>2022</w:t>
      </w:r>
      <w:r>
        <w:rPr>
          <w:rFonts w:hint="default" w:ascii="Times New Roman" w:hAnsi="Times New Roman" w:cs="Times New Roman"/>
          <w:lang w:eastAsia="zh-CN"/>
        </w:rPr>
        <w:t>]</w:t>
      </w:r>
      <w:r>
        <w:rPr>
          <w:rFonts w:hint="default" w:ascii="Times New Roman" w:hAnsi="Times New Roman" w:cs="Times New Roman"/>
          <w:lang w:val="en-US" w:eastAsia="zh-CN"/>
        </w:rPr>
        <w:t>11号）</w:t>
      </w:r>
      <w:r>
        <w:rPr>
          <w:rFonts w:hint="default" w:ascii="Times New Roman" w:hAnsi="Times New Roman" w:cs="Times New Roman"/>
        </w:rPr>
        <w:t>，对本项目是否涉及重大安全</w:t>
      </w:r>
      <w:r>
        <w:rPr>
          <w:rFonts w:hint="default" w:ascii="Times New Roman" w:hAnsi="Times New Roman" w:cs="Times New Roman"/>
          <w:lang w:eastAsia="zh-CN"/>
        </w:rPr>
        <w:t>风险</w:t>
      </w:r>
      <w:r>
        <w:rPr>
          <w:rFonts w:hint="default" w:ascii="Times New Roman" w:hAnsi="Times New Roman" w:cs="Times New Roman"/>
        </w:rPr>
        <w:t>隐患判定情况如下：</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sz w:val="24"/>
          <w:szCs w:val="24"/>
        </w:rPr>
      </w:pPr>
      <w:r>
        <w:rPr>
          <w:rFonts w:hint="default" w:ascii="Times New Roman" w:hAnsi="Times New Roman" w:cs="Times New Roman"/>
          <w:b/>
          <w:sz w:val="24"/>
          <w:szCs w:val="24"/>
        </w:rPr>
        <w:t>表</w:t>
      </w:r>
      <w:r>
        <w:rPr>
          <w:rFonts w:hint="default" w:ascii="Times New Roman" w:hAnsi="Times New Roman" w:cs="Times New Roman"/>
          <w:b/>
          <w:sz w:val="24"/>
          <w:szCs w:val="24"/>
          <w:lang w:val="en-US" w:eastAsia="zh-CN"/>
        </w:rPr>
        <w:t>8</w:t>
      </w:r>
      <w:r>
        <w:rPr>
          <w:rFonts w:hint="default" w:ascii="Times New Roman" w:hAnsi="Times New Roman" w:cs="Times New Roman"/>
          <w:b/>
          <w:sz w:val="24"/>
          <w:szCs w:val="24"/>
        </w:rPr>
        <w:t>-</w:t>
      </w:r>
      <w:r>
        <w:rPr>
          <w:rFonts w:hint="default" w:ascii="Times New Roman" w:hAnsi="Times New Roman" w:cs="Times New Roman"/>
          <w:b/>
          <w:sz w:val="24"/>
          <w:szCs w:val="24"/>
          <w:lang w:val="en-US" w:eastAsia="zh-CN"/>
        </w:rPr>
        <w:t>3</w:t>
      </w:r>
      <w:r>
        <w:rPr>
          <w:rFonts w:hint="default" w:ascii="Times New Roman" w:hAnsi="Times New Roman" w:cs="Times New Roman"/>
          <w:b/>
          <w:sz w:val="24"/>
          <w:szCs w:val="24"/>
        </w:rPr>
        <w:t xml:space="preserve">  重大安全</w:t>
      </w:r>
      <w:r>
        <w:rPr>
          <w:rFonts w:hint="default" w:ascii="Times New Roman" w:hAnsi="Times New Roman" w:cs="Times New Roman"/>
          <w:b/>
          <w:sz w:val="24"/>
          <w:szCs w:val="24"/>
          <w:lang w:eastAsia="zh-CN"/>
        </w:rPr>
        <w:t>风险</w:t>
      </w:r>
      <w:r>
        <w:rPr>
          <w:rFonts w:hint="default" w:ascii="Times New Roman" w:hAnsi="Times New Roman" w:cs="Times New Roman"/>
          <w:b/>
          <w:sz w:val="24"/>
          <w:szCs w:val="24"/>
        </w:rPr>
        <w:t>隐患判定表</w:t>
      </w:r>
    </w:p>
    <w:tbl>
      <w:tblPr>
        <w:tblStyle w:val="52"/>
        <w:tblW w:w="85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0"/>
        <w:gridCol w:w="4957"/>
        <w:gridCol w:w="28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
                <w:snapToGrid w:val="0"/>
                <w:szCs w:val="21"/>
              </w:rPr>
            </w:pPr>
            <w:r>
              <w:rPr>
                <w:rFonts w:hint="default" w:ascii="Times New Roman" w:hAnsi="Times New Roman" w:cs="Times New Roman"/>
                <w:b/>
                <w:snapToGrid w:val="0"/>
                <w:szCs w:val="21"/>
              </w:rPr>
              <w:t>序号</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
                <w:snapToGrid w:val="0"/>
                <w:szCs w:val="21"/>
              </w:rPr>
            </w:pPr>
            <w:r>
              <w:rPr>
                <w:rFonts w:hint="default" w:ascii="Times New Roman" w:hAnsi="Times New Roman" w:cs="Times New Roman"/>
                <w:b/>
                <w:snapToGrid w:val="0"/>
                <w:szCs w:val="21"/>
              </w:rPr>
              <w:t>重大安全</w:t>
            </w:r>
            <w:r>
              <w:rPr>
                <w:rFonts w:hint="default" w:ascii="Times New Roman" w:hAnsi="Times New Roman" w:cs="Times New Roman"/>
                <w:b/>
                <w:snapToGrid w:val="0"/>
                <w:szCs w:val="21"/>
                <w:lang w:eastAsia="zh-CN"/>
              </w:rPr>
              <w:t>风险</w:t>
            </w:r>
            <w:r>
              <w:rPr>
                <w:rFonts w:hint="default" w:ascii="Times New Roman" w:hAnsi="Times New Roman" w:cs="Times New Roman"/>
                <w:b/>
                <w:snapToGrid w:val="0"/>
                <w:szCs w:val="21"/>
              </w:rPr>
              <w:t>隐患判定标准</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
                <w:snapToGrid w:val="0"/>
                <w:szCs w:val="21"/>
              </w:rPr>
            </w:pPr>
            <w:r>
              <w:rPr>
                <w:rFonts w:hint="default" w:ascii="Times New Roman" w:hAnsi="Times New Roman" w:cs="Times New Roman"/>
                <w:b/>
                <w:snapToGrid w:val="0"/>
                <w:szCs w:val="21"/>
              </w:rPr>
              <w:t>实际情况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rPr>
            </w:pPr>
            <w:r>
              <w:rPr>
                <w:rFonts w:hint="default" w:ascii="Times New Roman" w:hAnsi="Times New Roman" w:cs="Times New Roman"/>
                <w:bCs/>
                <w:snapToGrid w:val="0"/>
                <w:szCs w:val="21"/>
              </w:rPr>
              <w:t>1</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Cs/>
                <w:snapToGrid w:val="0"/>
                <w:szCs w:val="21"/>
              </w:rPr>
            </w:pPr>
            <w:r>
              <w:rPr>
                <w:rFonts w:hint="default" w:ascii="Times New Roman" w:hAnsi="Times New Roman" w:cs="Times New Roman"/>
                <w:b/>
                <w:bCs w:val="0"/>
                <w:snapToGrid w:val="0"/>
                <w:szCs w:val="21"/>
                <w:lang w:val="en-US" w:eastAsia="zh-CN"/>
              </w:rPr>
              <w:t>主要负责人和安全生产管理人员安全风险隐患：</w:t>
            </w:r>
            <w:r>
              <w:rPr>
                <w:rFonts w:hint="default" w:ascii="Times New Roman" w:hAnsi="Times New Roman" w:cs="Times New Roman"/>
                <w:bCs/>
                <w:snapToGrid w:val="0"/>
                <w:szCs w:val="21"/>
                <w:lang w:val="en-US" w:eastAsia="zh-CN"/>
              </w:rPr>
              <w:t>未按要求配备主要负责人和安全生产管理人员，或者主要负责人和安全生产管理人员未依法经考核合格。</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Cs/>
                <w:snapToGrid w:val="0"/>
                <w:szCs w:val="21"/>
              </w:rPr>
            </w:pP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cs="Times New Roman"/>
                <w:lang w:val="en-US" w:eastAsia="zh-CN"/>
              </w:rPr>
            </w:pPr>
            <w:r>
              <w:rPr>
                <w:rFonts w:hint="default" w:ascii="Times New Roman" w:hAnsi="Times New Roman" w:eastAsia="宋体" w:cs="Times New Roman"/>
                <w:spacing w:val="0"/>
                <w:w w:val="100"/>
                <w:kern w:val="0"/>
                <w:sz w:val="21"/>
                <w:szCs w:val="21"/>
                <w:lang w:val="en-US" w:eastAsia="zh-CN"/>
              </w:rPr>
              <w:t>企业已按照要求配备有主要负责人、安全总监和专职安全生产管理人员2名，主要负责人和专职安全生产管理人员已取得安全合格证，</w:t>
            </w:r>
            <w:r>
              <w:rPr>
                <w:rFonts w:hint="default" w:ascii="Times New Roman" w:hAnsi="Times New Roman" w:eastAsia="宋体"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eastAsia="宋体" w:cs="Times New Roman"/>
                <w:bCs/>
                <w:snapToGrid w:val="0"/>
                <w:szCs w:val="21"/>
                <w:lang w:val="en-US" w:eastAsia="zh-CN"/>
              </w:rPr>
            </w:pPr>
            <w:r>
              <w:rPr>
                <w:rFonts w:hint="default" w:ascii="Times New Roman" w:hAnsi="Times New Roman" w:cs="Times New Roman"/>
                <w:bCs/>
                <w:snapToGrid w:val="0"/>
                <w:szCs w:val="21"/>
                <w:lang w:val="en-US" w:eastAsia="zh-CN"/>
              </w:rPr>
              <w:t>2</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rPr>
            </w:pPr>
            <w:r>
              <w:rPr>
                <w:rFonts w:hint="default" w:ascii="Times New Roman" w:hAnsi="Times New Roman" w:cs="Times New Roman"/>
                <w:b/>
                <w:bCs w:val="0"/>
                <w:snapToGrid w:val="0"/>
                <w:kern w:val="0"/>
                <w:szCs w:val="21"/>
                <w:lang w:val="en-US" w:eastAsia="zh-CN"/>
              </w:rPr>
              <w:t>技术管理机构安全风险隐患：</w:t>
            </w:r>
            <w:r>
              <w:rPr>
                <w:rFonts w:hint="default" w:ascii="Times New Roman" w:hAnsi="Times New Roman" w:cs="Times New Roman"/>
                <w:bCs/>
                <w:snapToGrid w:val="0"/>
                <w:kern w:val="0"/>
                <w:szCs w:val="21"/>
                <w:lang w:val="en-US" w:eastAsia="zh-CN"/>
              </w:rPr>
              <w:t>未按规定设立管理机构，或者管理机构未足额配备相关专业专职技术人员。</w:t>
            </w: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3</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从业人员安全风险隐患：</w:t>
            </w:r>
            <w:r>
              <w:rPr>
                <w:rFonts w:hint="default" w:ascii="Times New Roman" w:hAnsi="Times New Roman" w:cs="Times New Roman"/>
                <w:bCs/>
                <w:snapToGrid w:val="0"/>
                <w:kern w:val="0"/>
                <w:szCs w:val="21"/>
                <w:lang w:val="en-US" w:eastAsia="zh-CN"/>
              </w:rPr>
              <w:t>从业人员未经安全培训合格，特种作业人员未持证上岗。</w:t>
            </w: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color w:val="auto"/>
                <w:spacing w:val="0"/>
                <w:w w:val="100"/>
                <w:kern w:val="0"/>
                <w:sz w:val="21"/>
                <w:szCs w:val="21"/>
                <w:lang w:val="en-US" w:eastAsia="zh-CN"/>
              </w:rPr>
              <w:t>从业人员均持有3小证，</w:t>
            </w:r>
            <w:r>
              <w:rPr>
                <w:rFonts w:hint="default" w:ascii="Times New Roman" w:hAnsi="Times New Roman" w:cs="Times New Roman"/>
                <w:bCs/>
                <w:snapToGrid w:val="0"/>
                <w:color w:val="auto"/>
                <w:spacing w:val="0"/>
                <w:w w:val="100"/>
                <w:kern w:val="0"/>
                <w:sz w:val="21"/>
                <w:szCs w:val="21"/>
                <w:lang w:val="en-US" w:eastAsia="zh-CN"/>
              </w:rPr>
              <w:t>特种作业人员持证上岗。</w:t>
            </w:r>
            <w:r>
              <w:rPr>
                <w:rFonts w:hint="default" w:ascii="Times New Roman" w:hAnsi="Times New Roman" w:cs="Times New Roman"/>
                <w:b/>
                <w:bCs w:val="0"/>
                <w:snapToGrid w:val="0"/>
                <w:color w:val="auto"/>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4</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责任制度安全风险隐患：</w:t>
            </w:r>
            <w:r>
              <w:rPr>
                <w:rFonts w:hint="default" w:ascii="Times New Roman" w:hAnsi="Times New Roman" w:cs="Times New Roman"/>
                <w:bCs/>
                <w:snapToGrid w:val="0"/>
                <w:kern w:val="0"/>
                <w:szCs w:val="21"/>
                <w:lang w:val="en-US" w:eastAsia="zh-CN"/>
              </w:rPr>
              <w:t>未建立与岗位相匹配的全员安全生产责任制或者未制定实施生产安全事故隐患排查治理制度。</w:t>
            </w: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已建立</w:t>
            </w:r>
            <w:r>
              <w:rPr>
                <w:rFonts w:hint="default" w:ascii="Times New Roman" w:hAnsi="Times New Roman" w:cs="Times New Roman"/>
                <w:bCs/>
                <w:snapToGrid w:val="0"/>
                <w:spacing w:val="0"/>
                <w:w w:val="100"/>
                <w:kern w:val="0"/>
                <w:sz w:val="21"/>
                <w:szCs w:val="21"/>
                <w:lang w:val="en-US" w:eastAsia="zh-CN"/>
              </w:rPr>
              <w:t>与岗位相匹配的全员安全生产责任制，并制定事故隐患排查治理制度。</w:t>
            </w:r>
            <w:r>
              <w:rPr>
                <w:rFonts w:hint="default" w:ascii="Times New Roman" w:hAnsi="Times New Roman" w:cs="Times New Roman"/>
                <w:b/>
                <w:bCs w:val="0"/>
                <w:snapToGrid w:val="0"/>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5</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操作规程安全风险隐患：</w:t>
            </w:r>
            <w:r>
              <w:rPr>
                <w:rFonts w:hint="default" w:ascii="Times New Roman" w:hAnsi="Times New Roman" w:cs="Times New Roman"/>
                <w:bCs/>
                <w:snapToGrid w:val="0"/>
                <w:kern w:val="0"/>
                <w:szCs w:val="21"/>
                <w:lang w:val="en-US" w:eastAsia="zh-CN"/>
              </w:rPr>
              <w:t>未制定实施与岗位相匹配的操作规程。</w:t>
            </w: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已制定实施与岗位相匹配的操作规程。</w:t>
            </w:r>
            <w:r>
              <w:rPr>
                <w:rFonts w:hint="default" w:ascii="Times New Roman" w:hAnsi="Times New Roman" w:eastAsia="宋体"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6</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“三同时”安全风险隐患：</w:t>
            </w:r>
            <w:r>
              <w:rPr>
                <w:rFonts w:hint="default" w:ascii="Times New Roman" w:hAnsi="Times New Roman" w:cs="Times New Roman"/>
                <w:bCs/>
                <w:snapToGrid w:val="0"/>
                <w:kern w:val="0"/>
                <w:szCs w:val="21"/>
                <w:lang w:val="en-US" w:eastAsia="zh-CN"/>
              </w:rPr>
              <w:t>不严格履行建设项目安全设施“三同时”制度，不按批准的安全设施设计建设、生产，安全生产许可证有效期满未办理延期手续。</w:t>
            </w: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7</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整合矿山安全风险隐患：</w:t>
            </w:r>
            <w:r>
              <w:rPr>
                <w:rFonts w:hint="default" w:ascii="Times New Roman" w:hAnsi="Times New Roman" w:cs="Times New Roman"/>
                <w:bCs/>
                <w:snapToGrid w:val="0"/>
                <w:kern w:val="0"/>
                <w:szCs w:val="21"/>
                <w:lang w:val="en-US" w:eastAsia="zh-CN"/>
              </w:rPr>
              <w:t>整合后的矿山管理不规范，纳入整合的生产系统仍然“各自为政”。</w:t>
            </w: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8</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基建矿山安全风险隐患：</w:t>
            </w:r>
            <w:r>
              <w:rPr>
                <w:rFonts w:hint="default" w:ascii="Times New Roman" w:hAnsi="Times New Roman" w:cs="Times New Roman"/>
                <w:bCs/>
                <w:snapToGrid w:val="0"/>
                <w:kern w:val="0"/>
                <w:szCs w:val="21"/>
                <w:lang w:val="en-US" w:eastAsia="zh-CN"/>
              </w:rPr>
              <w:t xml:space="preserve">未按规定合理编制基建工程进度计划，未明确优先贯通安全出口和尽快形成主要供电、通风、排水系统的要求。竖井、斜井、斜坡道等施工到底后，未按规定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Cs/>
                <w:snapToGrid w:val="0"/>
                <w:kern w:val="0"/>
                <w:szCs w:val="21"/>
                <w:lang w:val="en-US" w:eastAsia="zh-CN"/>
              </w:rPr>
              <w:t>集中在一个中段贯通。</w:t>
            </w: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9</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Cs/>
                <w:snapToGrid w:val="0"/>
                <w:kern w:val="0"/>
                <w:szCs w:val="21"/>
                <w:lang w:val="en-US" w:eastAsia="zh-CN"/>
              </w:rPr>
            </w:pPr>
            <w:r>
              <w:rPr>
                <w:rFonts w:hint="default" w:ascii="Times New Roman" w:hAnsi="Times New Roman" w:cs="Times New Roman"/>
                <w:b/>
                <w:bCs w:val="0"/>
                <w:snapToGrid w:val="0"/>
                <w:kern w:val="0"/>
                <w:szCs w:val="21"/>
                <w:lang w:val="en-US" w:eastAsia="zh-CN"/>
              </w:rPr>
              <w:t>停产停建矿山安全风险隐患：</w:t>
            </w:r>
            <w:r>
              <w:rPr>
                <w:rFonts w:hint="default" w:ascii="Times New Roman" w:hAnsi="Times New Roman" w:cs="Times New Roman"/>
                <w:bCs/>
                <w:snapToGrid w:val="0"/>
                <w:kern w:val="0"/>
                <w:szCs w:val="21"/>
                <w:lang w:val="en-US" w:eastAsia="zh-CN"/>
              </w:rPr>
              <w:t>未制定落实停产停建期间安全风险管控措施，或者以设备调试、检修和设施维修等为由组织建设或生产。</w:t>
            </w: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10</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bCs w:val="0"/>
                <w:snapToGrid w:val="0"/>
                <w:kern w:val="0"/>
                <w:szCs w:val="21"/>
                <w:lang w:val="en-US" w:eastAsia="zh-CN"/>
              </w:rPr>
              <w:t>动火作业安全风险隐患：</w:t>
            </w:r>
            <w:r>
              <w:rPr>
                <w:rFonts w:hint="default" w:ascii="Times New Roman" w:hAnsi="Times New Roman" w:cs="Times New Roman"/>
                <w:b w:val="0"/>
                <w:bCs/>
                <w:snapToGrid w:val="0"/>
                <w:kern w:val="0"/>
                <w:szCs w:val="21"/>
                <w:lang w:val="en-US" w:eastAsia="zh-CN"/>
              </w:rPr>
              <w:t>未按照要求制定动火作业管理和审批制度，或者制度未有效执行。</w:t>
            </w: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11</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图纸管理安全风险隐患：</w:t>
            </w:r>
            <w:r>
              <w:rPr>
                <w:rFonts w:hint="default" w:ascii="Times New Roman" w:hAnsi="Times New Roman" w:cs="Times New Roman"/>
                <w:b w:val="0"/>
                <w:bCs/>
                <w:snapToGrid w:val="0"/>
                <w:kern w:val="0"/>
                <w:szCs w:val="21"/>
                <w:lang w:val="en-US" w:eastAsia="zh-CN"/>
              </w:rPr>
              <w:t xml:space="preserve">未及时填绘图纸，或者现状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图与实际严重不符。</w:t>
            </w: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eastAsia="宋体"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12</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应急预案安全风险隐患：</w:t>
            </w:r>
            <w:r>
              <w:rPr>
                <w:rFonts w:hint="default" w:ascii="Times New Roman" w:hAnsi="Times New Roman" w:cs="Times New Roman"/>
                <w:b w:val="0"/>
                <w:bCs/>
                <w:snapToGrid w:val="0"/>
                <w:kern w:val="0"/>
                <w:szCs w:val="21"/>
                <w:lang w:val="en-US" w:eastAsia="zh-CN"/>
              </w:rPr>
              <w:t>未按要求编制符合实际的综 合应急预案、专项应急预案和现场处置方案，或者预案未进行评审、公布、备案。</w:t>
            </w:r>
          </w:p>
        </w:tc>
        <w:tc>
          <w:tcPr>
            <w:tcW w:w="2865" w:type="dxa"/>
            <w:noWrap w:val="0"/>
            <w:vAlign w:val="center"/>
          </w:tcPr>
          <w:p>
            <w:pPr>
              <w:pStyle w:val="5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已编制应急预案并在东营区应急管理局备案。</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13</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应急救援体系安全风险隐患：</w:t>
            </w:r>
            <w:r>
              <w:rPr>
                <w:rFonts w:hint="default" w:ascii="Times New Roman" w:hAnsi="Times New Roman" w:cs="Times New Roman"/>
                <w:b w:val="0"/>
                <w:bCs/>
                <w:snapToGrid w:val="0"/>
                <w:kern w:val="0"/>
                <w:szCs w:val="21"/>
                <w:lang w:val="en-US" w:eastAsia="zh-CN"/>
              </w:rPr>
              <w:t xml:space="preserve">未建立应急救援队伍，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未按规定定期组织开展应急演练。</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已</w:t>
            </w:r>
            <w:r>
              <w:rPr>
                <w:rFonts w:hint="default" w:ascii="Times New Roman" w:hAnsi="Times New Roman" w:cs="Times New Roman"/>
                <w:b w:val="0"/>
                <w:bCs/>
                <w:snapToGrid w:val="0"/>
                <w:spacing w:val="0"/>
                <w:w w:val="100"/>
                <w:kern w:val="0"/>
                <w:sz w:val="21"/>
                <w:szCs w:val="21"/>
                <w:lang w:val="en-US" w:eastAsia="zh-CN"/>
              </w:rPr>
              <w:t>建立应急救援队伍，并按规定定期组织开展应急演练。</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14</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设备检测检验安全风险隐患：</w:t>
            </w:r>
            <w:r>
              <w:rPr>
                <w:rFonts w:hint="default" w:ascii="Times New Roman" w:hAnsi="Times New Roman" w:cs="Times New Roman"/>
                <w:b w:val="0"/>
                <w:bCs/>
                <w:snapToGrid w:val="0"/>
                <w:kern w:val="0"/>
                <w:szCs w:val="21"/>
                <w:lang w:val="en-US" w:eastAsia="zh-CN"/>
              </w:rPr>
              <w:t xml:space="preserve">涉及人身安全、危险性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较大的设备设施未按照相关规定进行检测检验，或者使用检测检验不合格的设备设施。</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设备设施</w:t>
            </w:r>
            <w:r>
              <w:rPr>
                <w:rFonts w:hint="default" w:ascii="Times New Roman" w:hAnsi="Times New Roman" w:cs="Times New Roman"/>
                <w:b w:val="0"/>
                <w:bCs/>
                <w:snapToGrid w:val="0"/>
                <w:kern w:val="0"/>
                <w:szCs w:val="21"/>
                <w:lang w:val="en-US" w:eastAsia="zh-CN"/>
              </w:rPr>
              <w:t>按照相关规定进行检测检验。</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15</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淘汰落后工艺设备安全风险隐患：</w:t>
            </w:r>
            <w:r>
              <w:rPr>
                <w:rFonts w:hint="default" w:ascii="Times New Roman" w:hAnsi="Times New Roman" w:cs="Times New Roman"/>
                <w:b w:val="0"/>
                <w:bCs/>
                <w:snapToGrid w:val="0"/>
                <w:kern w:val="0"/>
                <w:szCs w:val="21"/>
                <w:lang w:val="en-US" w:eastAsia="zh-CN"/>
              </w:rPr>
              <w:t xml:space="preserve">使用禁止使用的设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备及工艺目录列出的工艺、设备。</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未使用</w:t>
            </w:r>
            <w:r>
              <w:rPr>
                <w:rFonts w:hint="default" w:ascii="Times New Roman" w:hAnsi="Times New Roman" w:cs="Times New Roman"/>
                <w:b w:val="0"/>
                <w:bCs/>
                <w:snapToGrid w:val="0"/>
                <w:kern w:val="0"/>
                <w:szCs w:val="21"/>
                <w:lang w:val="en-US" w:eastAsia="zh-CN"/>
              </w:rPr>
              <w:t>禁止使用的设备及工艺目录列出的工艺、设备。</w:t>
            </w:r>
            <w:r>
              <w:rPr>
                <w:rFonts w:hint="default" w:ascii="Times New Roman" w:hAnsi="Times New Roman" w:cs="Times New Roman"/>
                <w:b/>
                <w:bCs/>
                <w:spacing w:val="0"/>
                <w:w w:val="100"/>
                <w:kern w:val="0"/>
                <w:sz w:val="21"/>
                <w:szCs w:val="21"/>
                <w:lang w:val="en-US" w:eastAsia="zh-CN"/>
              </w:rPr>
              <w:t>符合要求。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16</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采空区及周边老窑安全风险隐患：</w:t>
            </w:r>
            <w:r>
              <w:rPr>
                <w:rFonts w:hint="default" w:ascii="Times New Roman" w:hAnsi="Times New Roman" w:cs="Times New Roman"/>
                <w:b w:val="0"/>
                <w:bCs/>
                <w:snapToGrid w:val="0"/>
                <w:kern w:val="0"/>
                <w:szCs w:val="21"/>
                <w:lang w:val="en-US" w:eastAsia="zh-CN"/>
              </w:rPr>
              <w:t>未查明遗留采空区、悬顶采空区、历史上形成的采空区以及周边废弃矿井（井筒）分布、积水等基本情况，或者未采取有效措施进行治理。</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17</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水文地质安全风险隐患：</w:t>
            </w:r>
            <w:r>
              <w:rPr>
                <w:rFonts w:hint="default" w:ascii="Times New Roman" w:hAnsi="Times New Roman" w:cs="Times New Roman"/>
                <w:b w:val="0"/>
                <w:bCs/>
                <w:snapToGrid w:val="0"/>
                <w:kern w:val="0"/>
                <w:szCs w:val="21"/>
                <w:lang w:val="en-US" w:eastAsia="zh-CN"/>
              </w:rPr>
              <w:t xml:space="preserve">未查明地下含水体、地下岩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溶、地表水体和地质勘探钻孔、工程施工钻孔、防治水工程有关情况，或者未采取有效措施进行治理。</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18</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地压灾害风险隐患：</w:t>
            </w:r>
            <w:r>
              <w:rPr>
                <w:rFonts w:hint="default" w:ascii="Times New Roman" w:hAnsi="Times New Roman" w:cs="Times New Roman"/>
                <w:b w:val="0"/>
                <w:bCs/>
                <w:snapToGrid w:val="0"/>
                <w:kern w:val="0"/>
                <w:szCs w:val="21"/>
                <w:lang w:val="en-US" w:eastAsia="zh-CN"/>
              </w:rPr>
              <w:t xml:space="preserve">未查明矿区主要地质构造、地压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活动区域，或者未采取有效措施进行治理。</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19</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火灾安全风险隐患：</w:t>
            </w:r>
            <w:r>
              <w:rPr>
                <w:rFonts w:hint="default" w:ascii="Times New Roman" w:hAnsi="Times New Roman" w:cs="Times New Roman"/>
                <w:b w:val="0"/>
                <w:bCs/>
                <w:snapToGrid w:val="0"/>
                <w:kern w:val="0"/>
                <w:szCs w:val="21"/>
                <w:lang w:val="en-US" w:eastAsia="zh-CN"/>
              </w:rPr>
              <w:t xml:space="preserve">未查明矿石自燃倾向性以及井下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木支护、油料电缆等非阻燃材料分布和使用情况，或者未采取有效措施进行治理。</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20</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保安矿柱安全风险隐患：</w:t>
            </w:r>
            <w:r>
              <w:rPr>
                <w:rFonts w:hint="default" w:ascii="Times New Roman" w:hAnsi="Times New Roman" w:cs="Times New Roman"/>
                <w:b w:val="0"/>
                <w:bCs/>
                <w:snapToGrid w:val="0"/>
                <w:kern w:val="0"/>
                <w:szCs w:val="21"/>
                <w:lang w:val="en-US" w:eastAsia="zh-CN"/>
              </w:rPr>
              <w:t xml:space="preserve">未按规定或设计留设保安矿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柱，或者擅自开采保安矿柱。</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21</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排水系统安全风险隐患：</w:t>
            </w:r>
            <w:r>
              <w:rPr>
                <w:rFonts w:hint="default" w:ascii="Times New Roman" w:hAnsi="Times New Roman" w:cs="Times New Roman"/>
                <w:b w:val="0"/>
                <w:bCs/>
                <w:snapToGrid w:val="0"/>
                <w:kern w:val="0"/>
                <w:szCs w:val="21"/>
                <w:lang w:val="en-US" w:eastAsia="zh-CN"/>
              </w:rPr>
              <w:t xml:space="preserve">未按照设计和规程要求建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立排水系统，或者排水系统不完好、不可靠。</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22</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探放水安全风险隐患：</w:t>
            </w:r>
            <w:r>
              <w:rPr>
                <w:rFonts w:hint="default" w:ascii="Times New Roman" w:hAnsi="Times New Roman" w:cs="Times New Roman"/>
                <w:b w:val="0"/>
                <w:bCs/>
                <w:snapToGrid w:val="0"/>
                <w:kern w:val="0"/>
                <w:szCs w:val="21"/>
                <w:lang w:val="en-US" w:eastAsia="zh-CN"/>
              </w:rPr>
              <w:t xml:space="preserve">未制定并落实探放水制度，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或者未落实“防、堵、疏、排、截”和“三专两探一撤”等措施。</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23</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通风系统安全风险隐患：</w:t>
            </w:r>
            <w:r>
              <w:rPr>
                <w:rFonts w:hint="default" w:ascii="Times New Roman" w:hAnsi="Times New Roman" w:cs="Times New Roman"/>
                <w:b w:val="0"/>
                <w:bCs/>
                <w:snapToGrid w:val="0"/>
                <w:kern w:val="0"/>
                <w:szCs w:val="21"/>
                <w:lang w:val="en-US" w:eastAsia="zh-CN"/>
              </w:rPr>
              <w:t>未按要求建立机械通风系统、安装通风构筑物。未按规定安装主要通风机和局部通风机，或者风速、风量、风质不符合标准。</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24</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bCs w:val="0"/>
                <w:snapToGrid w:val="0"/>
                <w:kern w:val="0"/>
                <w:szCs w:val="21"/>
                <w:lang w:val="en-US" w:eastAsia="zh-CN"/>
              </w:rPr>
              <w:t>提升系统安全风险隐患：</w:t>
            </w:r>
            <w:r>
              <w:rPr>
                <w:rFonts w:hint="default" w:ascii="Times New Roman" w:hAnsi="Times New Roman" w:cs="Times New Roman"/>
                <w:b w:val="0"/>
                <w:bCs/>
                <w:snapToGrid w:val="0"/>
                <w:kern w:val="0"/>
                <w:szCs w:val="21"/>
                <w:lang w:val="en-US" w:eastAsia="zh-CN"/>
              </w:rPr>
              <w:t>罐笼、安全门、摇台（托台）、阻车器等未与提升机信号实现连锁，提升信号未与提升机控制闭锁。斜井未按规定设置常闭式防跑车装置、阻车器或挡车栏、躲避硐室、轨道防滑装置等设施。</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25</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bCs w:val="0"/>
                <w:snapToGrid w:val="0"/>
                <w:kern w:val="0"/>
                <w:szCs w:val="21"/>
                <w:lang w:val="en-US" w:eastAsia="zh-CN"/>
              </w:rPr>
              <w:t>露天矿山安全风险隐患：</w:t>
            </w:r>
            <w:r>
              <w:rPr>
                <w:rFonts w:hint="default" w:ascii="Times New Roman" w:hAnsi="Times New Roman" w:cs="Times New Roman"/>
                <w:b w:val="0"/>
                <w:bCs/>
                <w:snapToGrid w:val="0"/>
                <w:kern w:val="0"/>
                <w:szCs w:val="21"/>
                <w:lang w:val="en-US" w:eastAsia="zh-CN"/>
              </w:rPr>
              <w:t>未按规定采用自上而下、分台阶或者分层的方式进行开采。或者工作帮坡角、台阶（分层）高度等开采参数不符合设计或标准要求。</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26</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尾矿库安全风险隐患：</w:t>
            </w:r>
            <w:r>
              <w:rPr>
                <w:rFonts w:hint="default" w:ascii="Times New Roman" w:hAnsi="Times New Roman" w:cs="Times New Roman"/>
                <w:b w:val="0"/>
                <w:bCs/>
                <w:snapToGrid w:val="0"/>
                <w:kern w:val="0"/>
                <w:szCs w:val="21"/>
                <w:lang w:val="en-US" w:eastAsia="zh-CN"/>
              </w:rPr>
              <w:t xml:space="preserve">尾矿库坝高、库容、坡比、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bCs w:val="0"/>
                <w:snapToGrid w:val="0"/>
                <w:kern w:val="0"/>
                <w:szCs w:val="21"/>
                <w:lang w:val="en-US" w:eastAsia="zh-CN"/>
              </w:rPr>
            </w:pPr>
            <w:r>
              <w:rPr>
                <w:rFonts w:hint="default" w:ascii="Times New Roman" w:hAnsi="Times New Roman" w:cs="Times New Roman"/>
                <w:b w:val="0"/>
                <w:bCs/>
                <w:snapToGrid w:val="0"/>
                <w:kern w:val="0"/>
                <w:szCs w:val="21"/>
                <w:lang w:val="en-US" w:eastAsia="zh-CN"/>
              </w:rPr>
              <w:t>安全超高、干滩长度、浸润线埋深以及堆积坝上升速率等参数不符合设计或标准要求，未按规定对坝体稳定性进行评估、对排洪系统进行检查。</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27</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应急电源安全风险隐患：</w:t>
            </w:r>
            <w:r>
              <w:rPr>
                <w:rFonts w:hint="default" w:ascii="Times New Roman" w:hAnsi="Times New Roman" w:cs="Times New Roman"/>
                <w:b w:val="0"/>
                <w:bCs/>
                <w:snapToGrid w:val="0"/>
                <w:kern w:val="0"/>
                <w:szCs w:val="21"/>
                <w:lang w:val="en-US" w:eastAsia="zh-CN"/>
              </w:rPr>
              <w:t xml:space="preserve">矿山未按规定配备应急电 </w:t>
            </w:r>
          </w:p>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val="0"/>
                <w:bCs/>
                <w:snapToGrid w:val="0"/>
                <w:kern w:val="0"/>
                <w:szCs w:val="21"/>
                <w:lang w:val="en-US" w:eastAsia="zh-CN"/>
              </w:rPr>
              <w:t>源，一级负荷未按规定采用双回路或双电源供电。</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0" w:type="dxa"/>
            <w:noWrap w:val="0"/>
            <w:vAlign w:val="center"/>
          </w:tcPr>
          <w:p>
            <w:pPr>
              <w:keepNext w:val="0"/>
              <w:keepLines w:val="0"/>
              <w:suppressLineNumbers w:val="0"/>
              <w:adjustRightInd w:val="0"/>
              <w:snapToGrid w:val="0"/>
              <w:spacing w:before="48" w:beforeLines="20" w:beforeAutospacing="0" w:after="48" w:afterLines="20" w:afterAutospacing="0"/>
              <w:ind w:left="0" w:right="0"/>
              <w:jc w:val="center"/>
              <w:rPr>
                <w:rFonts w:hint="default" w:ascii="Times New Roman" w:hAnsi="Times New Roman" w:cs="Times New Roman"/>
                <w:bCs/>
                <w:snapToGrid w:val="0"/>
                <w:szCs w:val="21"/>
                <w:lang w:val="en-US" w:eastAsia="zh-CN"/>
              </w:rPr>
            </w:pPr>
            <w:r>
              <w:rPr>
                <w:rFonts w:hint="default" w:ascii="Times New Roman" w:hAnsi="Times New Roman" w:cs="Times New Roman"/>
                <w:bCs/>
                <w:snapToGrid w:val="0"/>
                <w:szCs w:val="21"/>
                <w:lang w:val="en-US" w:eastAsia="zh-CN"/>
              </w:rPr>
              <w:t>28</w:t>
            </w:r>
          </w:p>
        </w:tc>
        <w:tc>
          <w:tcPr>
            <w:tcW w:w="4957"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b w:val="0"/>
                <w:bCs/>
                <w:snapToGrid w:val="0"/>
                <w:kern w:val="0"/>
                <w:szCs w:val="21"/>
                <w:lang w:val="en-US" w:eastAsia="zh-CN"/>
              </w:rPr>
            </w:pPr>
            <w:r>
              <w:rPr>
                <w:rFonts w:hint="default" w:ascii="Times New Roman" w:hAnsi="Times New Roman" w:cs="Times New Roman"/>
                <w:b/>
                <w:bCs w:val="0"/>
                <w:snapToGrid w:val="0"/>
                <w:kern w:val="0"/>
                <w:szCs w:val="21"/>
                <w:lang w:val="en-US" w:eastAsia="zh-CN"/>
              </w:rPr>
              <w:t>外包工程安全风险隐患：</w:t>
            </w:r>
            <w:r>
              <w:rPr>
                <w:rFonts w:hint="default" w:ascii="Times New Roman" w:hAnsi="Times New Roman" w:cs="Times New Roman"/>
                <w:b w:val="0"/>
                <w:bCs/>
                <w:snapToGrid w:val="0"/>
                <w:kern w:val="0"/>
                <w:szCs w:val="21"/>
                <w:lang w:val="en-US" w:eastAsia="zh-CN"/>
              </w:rPr>
              <w:t>外包工程未实行“五统一”管理，非法分包、转包。项目部未按规定设置管理机构、配备安全管理人员和技术人员。</w:t>
            </w:r>
          </w:p>
        </w:tc>
        <w:tc>
          <w:tcPr>
            <w:tcW w:w="2865" w:type="dxa"/>
            <w:noWrap w:val="0"/>
            <w:vAlign w:val="center"/>
          </w:tcPr>
          <w:p>
            <w:pPr>
              <w:keepNext w:val="0"/>
              <w:keepLines w:val="0"/>
              <w:suppressLineNumbers w:val="0"/>
              <w:adjustRightInd w:val="0"/>
              <w:snapToGrid w:val="0"/>
              <w:spacing w:before="48" w:beforeLines="20" w:beforeAutospacing="0" w:after="48" w:afterLines="20" w:afterAutospacing="0"/>
              <w:ind w:left="0" w:right="0"/>
              <w:rPr>
                <w:rFonts w:hint="default" w:ascii="Times New Roman" w:hAnsi="Times New Roman" w:cs="Times New Roman"/>
                <w:spacing w:val="0"/>
                <w:w w:val="100"/>
                <w:kern w:val="0"/>
                <w:sz w:val="21"/>
                <w:szCs w:val="21"/>
                <w:lang w:val="en-US" w:eastAsia="zh-CN"/>
              </w:rPr>
            </w:pPr>
            <w:r>
              <w:rPr>
                <w:rFonts w:hint="default" w:ascii="Times New Roman" w:hAnsi="Times New Roman" w:cs="Times New Roman"/>
                <w:spacing w:val="0"/>
                <w:w w:val="100"/>
                <w:kern w:val="0"/>
                <w:sz w:val="21"/>
                <w:szCs w:val="21"/>
                <w:lang w:val="en-US" w:eastAsia="zh-CN"/>
              </w:rPr>
              <w:t>此项不涉及。</w:t>
            </w:r>
          </w:p>
        </w:tc>
      </w:tr>
    </w:tbl>
    <w:p>
      <w:pPr>
        <w:pStyle w:val="288"/>
        <w:keepNext w:val="0"/>
        <w:keepLines w:val="0"/>
        <w:pageBreakBefore w:val="0"/>
        <w:widowControl w:val="0"/>
        <w:kinsoku/>
        <w:wordWrap/>
        <w:overflowPunct/>
        <w:topLinePunct w:val="0"/>
        <w:autoSpaceDE/>
        <w:autoSpaceDN/>
        <w:bidi w:val="0"/>
        <w:adjustRightInd w:val="0"/>
        <w:snapToGrid w:val="0"/>
        <w:jc w:val="both"/>
        <w:textAlignment w:val="auto"/>
        <w:rPr>
          <w:rFonts w:hint="default" w:ascii="Times New Roman" w:hAnsi="Times New Roman" w:cs="Times New Roman"/>
        </w:rPr>
      </w:pPr>
      <w:r>
        <w:rPr>
          <w:rFonts w:hint="default" w:ascii="Times New Roman" w:hAnsi="Times New Roman" w:cs="Times New Roman"/>
        </w:rPr>
        <w:t>经分析，该项目不存在《</w:t>
      </w:r>
      <w:r>
        <w:rPr>
          <w:rFonts w:hint="default" w:ascii="Times New Roman" w:hAnsi="Times New Roman" w:cs="Times New Roman"/>
          <w:lang w:val="en-US" w:eastAsia="zh-CN"/>
        </w:rPr>
        <w:t>重点行业领域重大安全风险隐患清单</w:t>
      </w:r>
      <w:r>
        <w:rPr>
          <w:rFonts w:hint="default" w:ascii="Times New Roman" w:hAnsi="Times New Roman" w:cs="Times New Roman"/>
        </w:rPr>
        <w:t>》</w:t>
      </w:r>
      <w:r>
        <w:rPr>
          <w:rFonts w:hint="default" w:ascii="Times New Roman" w:hAnsi="Times New Roman" w:cs="Times New Roman"/>
          <w:lang w:val="en-US" w:eastAsia="zh-CN"/>
        </w:rPr>
        <w:t>（鲁安发</w:t>
      </w:r>
      <w:r>
        <w:rPr>
          <w:rFonts w:hint="default" w:ascii="Times New Roman" w:hAnsi="Times New Roman" w:cs="Times New Roman"/>
          <w:lang w:eastAsia="zh-CN"/>
        </w:rPr>
        <w:t>[</w:t>
      </w:r>
      <w:r>
        <w:rPr>
          <w:rFonts w:hint="default" w:ascii="Times New Roman" w:hAnsi="Times New Roman" w:cs="Times New Roman"/>
          <w:lang w:val="en-US" w:eastAsia="zh-CN"/>
        </w:rPr>
        <w:t>2022</w:t>
      </w:r>
      <w:r>
        <w:rPr>
          <w:rFonts w:hint="default" w:ascii="Times New Roman" w:hAnsi="Times New Roman" w:cs="Times New Roman"/>
          <w:lang w:eastAsia="zh-CN"/>
        </w:rPr>
        <w:t>]</w:t>
      </w:r>
      <w:r>
        <w:rPr>
          <w:rFonts w:hint="default" w:ascii="Times New Roman" w:hAnsi="Times New Roman" w:cs="Times New Roman"/>
          <w:lang w:val="en-US" w:eastAsia="zh-CN"/>
        </w:rPr>
        <w:t>11号）</w:t>
      </w:r>
      <w:r>
        <w:rPr>
          <w:rFonts w:hint="default" w:ascii="Times New Roman" w:hAnsi="Times New Roman" w:cs="Times New Roman"/>
        </w:rPr>
        <w:t>规定的重大安全</w:t>
      </w:r>
      <w:r>
        <w:rPr>
          <w:rFonts w:hint="default" w:ascii="Times New Roman" w:hAnsi="Times New Roman" w:cs="Times New Roman"/>
          <w:lang w:eastAsia="zh-CN"/>
        </w:rPr>
        <w:t>风险</w:t>
      </w:r>
      <w:r>
        <w:rPr>
          <w:rFonts w:hint="default" w:ascii="Times New Roman" w:hAnsi="Times New Roman" w:cs="Times New Roman"/>
        </w:rPr>
        <w:t>隐患。</w:t>
      </w:r>
    </w:p>
    <w:p>
      <w:pPr>
        <w:pStyle w:val="2"/>
        <w:rPr>
          <w:rFonts w:hint="default"/>
        </w:rPr>
      </w:pPr>
    </w:p>
    <w:p>
      <w:pPr>
        <w:pStyle w:val="3"/>
        <w:adjustRightInd w:val="0"/>
        <w:snapToGrid w:val="0"/>
        <w:spacing w:line="360" w:lineRule="auto"/>
        <w:rPr>
          <w:rFonts w:hint="eastAsia" w:eastAsia="楷体_GB2312"/>
          <w:b/>
          <w:sz w:val="36"/>
          <w:szCs w:val="36"/>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AndChars" w:linePitch="312" w:charSpace="0"/>
        </w:sectPr>
      </w:pPr>
    </w:p>
    <w:p>
      <w:pPr>
        <w:pStyle w:val="3"/>
        <w:adjustRightInd w:val="0"/>
        <w:snapToGrid w:val="0"/>
        <w:spacing w:line="360" w:lineRule="auto"/>
        <w:rPr>
          <w:rFonts w:eastAsia="楷体_GB2312"/>
          <w:b/>
          <w:sz w:val="36"/>
          <w:szCs w:val="36"/>
        </w:rPr>
      </w:pPr>
      <w:bookmarkStart w:id="161" w:name="_Toc25882"/>
      <w:r>
        <w:rPr>
          <w:rFonts w:hint="eastAsia" w:eastAsia="楷体_GB2312"/>
          <w:b/>
          <w:sz w:val="36"/>
          <w:szCs w:val="36"/>
          <w:lang w:val="en-US" w:eastAsia="zh-CN"/>
        </w:rPr>
        <w:t xml:space="preserve">9 </w:t>
      </w:r>
      <w:r>
        <w:rPr>
          <w:rFonts w:hint="eastAsia" w:eastAsia="楷体_GB2312"/>
          <w:b/>
          <w:sz w:val="36"/>
          <w:szCs w:val="36"/>
        </w:rPr>
        <w:t>安全现状评价结论</w:t>
      </w:r>
      <w:bookmarkEnd w:id="151"/>
      <w:bookmarkEnd w:id="161"/>
    </w:p>
    <w:p>
      <w:pPr>
        <w:adjustRightInd w:val="0"/>
        <w:snapToGrid w:val="0"/>
        <w:spacing w:line="360" w:lineRule="auto"/>
        <w:ind w:firstLine="573"/>
        <w:rPr>
          <w:rFonts w:hint="eastAsia" w:eastAsia="宋体"/>
          <w:color w:val="auto"/>
          <w:sz w:val="28"/>
          <w:szCs w:val="28"/>
          <w:highlight w:val="none"/>
          <w:lang w:val="en-US" w:eastAsia="zh-CN"/>
        </w:rPr>
      </w:pPr>
      <w:r>
        <w:rPr>
          <w:rFonts w:hint="eastAsia"/>
          <w:color w:val="auto"/>
          <w:sz w:val="28"/>
          <w:szCs w:val="28"/>
          <w:highlight w:val="none"/>
          <w:lang w:val="en-US" w:eastAsia="zh-CN"/>
        </w:rPr>
        <w:t>根据胜利油田康贝油气工程有限公司提供的有关资料，本次评价在主要危险、有害因素辨识、分析的基础上，依据国家有关法律、法规、技术标准的要求，运用安全检查表等评价方法，对本项目进行了安全现状评价，得出以下评价结论：</w:t>
      </w:r>
    </w:p>
    <w:p>
      <w:pPr>
        <w:adjustRightInd w:val="0"/>
        <w:snapToGrid w:val="0"/>
        <w:spacing w:line="360" w:lineRule="auto"/>
        <w:ind w:firstLine="573"/>
        <w:rPr>
          <w:rFonts w:hint="eastAsia"/>
          <w:color w:val="auto"/>
          <w:sz w:val="28"/>
          <w:szCs w:val="28"/>
          <w:highlight w:val="none"/>
        </w:rPr>
      </w:pPr>
      <w:r>
        <w:rPr>
          <w:rFonts w:hint="eastAsia"/>
          <w:color w:val="auto"/>
          <w:sz w:val="28"/>
          <w:szCs w:val="28"/>
          <w:highlight w:val="none"/>
          <w:lang w:eastAsia="zh-CN"/>
        </w:rPr>
        <w:t>胜利油田康贝油气工程有限公司</w:t>
      </w:r>
      <w:r>
        <w:rPr>
          <w:rFonts w:hint="eastAsia"/>
          <w:color w:val="auto"/>
          <w:sz w:val="28"/>
          <w:szCs w:val="28"/>
          <w:highlight w:val="none"/>
        </w:rPr>
        <w:t>井下作业（小修作业、大修作业、</w:t>
      </w:r>
      <w:r>
        <w:rPr>
          <w:rFonts w:hint="eastAsia"/>
          <w:color w:val="auto"/>
          <w:sz w:val="28"/>
          <w:szCs w:val="28"/>
          <w:highlight w:val="none"/>
          <w:lang w:val="en-US" w:eastAsia="zh-CN"/>
        </w:rPr>
        <w:t>侧钻、</w:t>
      </w:r>
      <w:r>
        <w:rPr>
          <w:rFonts w:hint="eastAsia"/>
          <w:color w:val="auto"/>
          <w:sz w:val="28"/>
          <w:szCs w:val="28"/>
          <w:highlight w:val="none"/>
          <w:lang w:eastAsia="zh-CN"/>
        </w:rPr>
        <w:t>连续油管</w:t>
      </w:r>
      <w:r>
        <w:rPr>
          <w:rFonts w:hint="eastAsia"/>
          <w:color w:val="auto"/>
          <w:sz w:val="28"/>
          <w:szCs w:val="28"/>
          <w:highlight w:val="none"/>
        </w:rPr>
        <w:t>作业、酸化、防砂、堵水</w:t>
      </w:r>
      <w:r>
        <w:rPr>
          <w:rFonts w:hint="eastAsia"/>
          <w:color w:val="auto"/>
          <w:sz w:val="28"/>
          <w:szCs w:val="28"/>
          <w:highlight w:val="none"/>
          <w:lang w:val="en-US" w:eastAsia="zh-CN"/>
        </w:rPr>
        <w:t>/</w:t>
      </w:r>
      <w:r>
        <w:rPr>
          <w:rFonts w:hint="eastAsia"/>
          <w:color w:val="auto"/>
          <w:sz w:val="28"/>
          <w:szCs w:val="28"/>
          <w:highlight w:val="none"/>
        </w:rPr>
        <w:t>调剖、特殊工艺技术服务（套管补贴</w:t>
      </w:r>
      <w:r>
        <w:rPr>
          <w:rFonts w:hint="eastAsia"/>
          <w:color w:val="auto"/>
          <w:sz w:val="28"/>
          <w:szCs w:val="28"/>
          <w:highlight w:val="none"/>
          <w:lang w:eastAsia="zh-CN"/>
        </w:rPr>
        <w:t>）</w:t>
      </w:r>
      <w:r>
        <w:rPr>
          <w:rFonts w:hint="eastAsia"/>
          <w:color w:val="auto"/>
          <w:sz w:val="28"/>
          <w:szCs w:val="28"/>
          <w:highlight w:val="none"/>
        </w:rPr>
        <w:t>、井下复杂情况处理（打捞、堵漏）、现场试压）施工过程中，涉及的主要危险、有害物质有：原油、天然气、硫化氢、二氧化硫、柴油</w:t>
      </w:r>
      <w:r>
        <w:rPr>
          <w:rFonts w:hint="eastAsia"/>
          <w:color w:val="auto"/>
          <w:sz w:val="28"/>
          <w:szCs w:val="28"/>
          <w:highlight w:val="none"/>
          <w:lang w:eastAsia="zh-CN"/>
        </w:rPr>
        <w:t>、</w:t>
      </w:r>
      <w:r>
        <w:rPr>
          <w:rFonts w:hint="eastAsia"/>
          <w:color w:val="auto"/>
          <w:sz w:val="28"/>
          <w:szCs w:val="28"/>
          <w:highlight w:val="none"/>
        </w:rPr>
        <w:t>化学助剂、</w:t>
      </w:r>
      <w:r>
        <w:rPr>
          <w:rFonts w:hint="eastAsia"/>
          <w:color w:val="auto"/>
          <w:sz w:val="28"/>
          <w:szCs w:val="28"/>
          <w:highlight w:val="none"/>
          <w:lang w:val="en-US" w:eastAsia="zh-CN"/>
        </w:rPr>
        <w:t>盐酸、复合酸</w:t>
      </w:r>
      <w:r>
        <w:rPr>
          <w:rFonts w:hint="eastAsia"/>
          <w:color w:val="auto"/>
          <w:sz w:val="28"/>
          <w:szCs w:val="28"/>
          <w:highlight w:val="none"/>
        </w:rPr>
        <w:t>等</w:t>
      </w:r>
      <w:r>
        <w:rPr>
          <w:rFonts w:hint="eastAsia"/>
          <w:color w:val="auto"/>
          <w:sz w:val="28"/>
          <w:szCs w:val="28"/>
          <w:highlight w:val="none"/>
          <w:lang w:eastAsia="zh-CN"/>
        </w:rPr>
        <w:t>；</w:t>
      </w:r>
      <w:r>
        <w:rPr>
          <w:rFonts w:hint="eastAsia"/>
          <w:color w:val="auto"/>
          <w:sz w:val="28"/>
          <w:szCs w:val="28"/>
          <w:highlight w:val="none"/>
        </w:rPr>
        <w:t>主要危险</w:t>
      </w:r>
      <w:r>
        <w:rPr>
          <w:rFonts w:hint="eastAsia"/>
          <w:color w:val="auto"/>
          <w:sz w:val="28"/>
          <w:szCs w:val="28"/>
          <w:highlight w:val="none"/>
          <w:lang w:eastAsia="zh-CN"/>
        </w:rPr>
        <w:t>、</w:t>
      </w:r>
      <w:r>
        <w:rPr>
          <w:rFonts w:hint="eastAsia"/>
          <w:color w:val="auto"/>
          <w:sz w:val="28"/>
          <w:szCs w:val="28"/>
          <w:highlight w:val="none"/>
          <w:lang w:val="en-US" w:eastAsia="zh-CN"/>
        </w:rPr>
        <w:t>有害</w:t>
      </w:r>
      <w:r>
        <w:rPr>
          <w:rFonts w:hint="eastAsia"/>
          <w:color w:val="auto"/>
          <w:sz w:val="28"/>
          <w:szCs w:val="28"/>
          <w:highlight w:val="none"/>
        </w:rPr>
        <w:t>因素有：火灾爆炸、井喷及井喷失控、中毒窒息、物体打击、机械伤害、触电、车辆伤害</w:t>
      </w:r>
      <w:r>
        <w:rPr>
          <w:rFonts w:hint="eastAsia"/>
          <w:color w:val="auto"/>
          <w:sz w:val="28"/>
          <w:szCs w:val="28"/>
          <w:highlight w:val="none"/>
          <w:lang w:eastAsia="zh-CN"/>
        </w:rPr>
        <w:t>、</w:t>
      </w:r>
      <w:r>
        <w:rPr>
          <w:rFonts w:hint="eastAsia"/>
          <w:color w:val="auto"/>
          <w:sz w:val="28"/>
          <w:szCs w:val="28"/>
          <w:highlight w:val="none"/>
        </w:rPr>
        <w:t>灼烫、</w:t>
      </w:r>
      <w:r>
        <w:rPr>
          <w:rFonts w:hint="eastAsia"/>
          <w:color w:val="auto"/>
          <w:sz w:val="28"/>
          <w:szCs w:val="28"/>
          <w:highlight w:val="none"/>
          <w:lang w:val="en-US" w:eastAsia="zh-CN"/>
        </w:rPr>
        <w:t>高处坠落、坍塌、</w:t>
      </w:r>
      <w:r>
        <w:rPr>
          <w:rFonts w:hint="eastAsia"/>
          <w:color w:val="auto"/>
          <w:sz w:val="28"/>
          <w:szCs w:val="28"/>
          <w:highlight w:val="none"/>
        </w:rPr>
        <w:t>噪声危害</w:t>
      </w:r>
      <w:r>
        <w:rPr>
          <w:rFonts w:hint="eastAsia"/>
          <w:color w:val="auto"/>
          <w:sz w:val="28"/>
          <w:szCs w:val="28"/>
          <w:highlight w:val="none"/>
          <w:lang w:eastAsia="zh-CN"/>
        </w:rPr>
        <w:t>、</w:t>
      </w:r>
      <w:r>
        <w:rPr>
          <w:rFonts w:hint="eastAsia"/>
          <w:color w:val="auto"/>
          <w:sz w:val="28"/>
          <w:szCs w:val="28"/>
          <w:highlight w:val="none"/>
        </w:rPr>
        <w:t>毒物危害</w:t>
      </w:r>
      <w:r>
        <w:rPr>
          <w:rFonts w:hint="eastAsia"/>
          <w:color w:val="auto"/>
          <w:sz w:val="28"/>
          <w:szCs w:val="28"/>
          <w:highlight w:val="none"/>
          <w:lang w:val="en-US" w:eastAsia="zh-CN"/>
        </w:rPr>
        <w:t>和振动危害等</w:t>
      </w:r>
      <w:r>
        <w:rPr>
          <w:rFonts w:hint="eastAsia"/>
          <w:color w:val="auto"/>
          <w:sz w:val="28"/>
          <w:szCs w:val="28"/>
          <w:highlight w:val="none"/>
        </w:rPr>
        <w:t>。</w:t>
      </w:r>
    </w:p>
    <w:p>
      <w:pPr>
        <w:adjustRightInd w:val="0"/>
        <w:snapToGrid w:val="0"/>
        <w:spacing w:line="360" w:lineRule="auto"/>
        <w:ind w:firstLine="573"/>
        <w:rPr>
          <w:rFonts w:hint="default"/>
          <w:color w:val="auto"/>
          <w:sz w:val="28"/>
          <w:highlight w:val="none"/>
          <w:lang w:val="en-US"/>
        </w:rPr>
      </w:pPr>
      <w:r>
        <w:rPr>
          <w:rFonts w:hint="eastAsia"/>
          <w:color w:val="auto"/>
          <w:sz w:val="28"/>
          <w:szCs w:val="28"/>
          <w:highlight w:val="none"/>
          <w:lang w:eastAsia="zh-CN"/>
        </w:rPr>
        <w:t>胜利油田康贝油气工程有限公司</w:t>
      </w:r>
      <w:r>
        <w:rPr>
          <w:rFonts w:hint="eastAsia"/>
          <w:color w:val="auto"/>
          <w:sz w:val="28"/>
          <w:highlight w:val="none"/>
          <w:lang w:val="en-US" w:eastAsia="zh-CN"/>
        </w:rPr>
        <w:t>安全生产责任制健全、安全管理制度和安全操作规程齐全；依法提取安全生产费用并使用；按要求设置安全生产管理机构，并配备专职安全管理人员；主要负责人、各级安全管理人员经培训并考核合格，均持有安全合格证；其他从业人员按要求进行教育培训，持证上岗；依法参加工伤保险，为从业人员缴纳工伤保险和安全生产责任险；按规定为从业人员配备符合国家标准要求的劳动防护用品；定期对危险性较大的设备设施、安全设施及附件等进行检测检验；制定有应急救援预案并备案，建立了应急救援组织，配备有必要的应急救援器材、设备，制定有应急演练计划，并按照演练计划进行演练、评估。</w:t>
      </w:r>
    </w:p>
    <w:p>
      <w:pPr>
        <w:adjustRightInd w:val="0"/>
        <w:snapToGrid w:val="0"/>
        <w:spacing w:line="360" w:lineRule="auto"/>
        <w:ind w:firstLine="570"/>
        <w:rPr>
          <w:rFonts w:hint="eastAsia"/>
          <w:b/>
          <w:color w:val="auto"/>
          <w:sz w:val="28"/>
          <w:highlight w:val="none"/>
        </w:rPr>
      </w:pPr>
      <w:r>
        <w:rPr>
          <w:rFonts w:hint="eastAsia"/>
          <w:b/>
          <w:color w:val="auto"/>
          <w:sz w:val="28"/>
          <w:highlight w:val="none"/>
        </w:rPr>
        <w:t>综上所述，</w:t>
      </w:r>
      <w:r>
        <w:rPr>
          <w:rFonts w:hint="eastAsia"/>
          <w:b/>
          <w:color w:val="auto"/>
          <w:sz w:val="28"/>
          <w:highlight w:val="none"/>
          <w:lang w:eastAsia="zh-CN"/>
        </w:rPr>
        <w:t>胜利油田康贝油气工程有限公司</w:t>
      </w:r>
      <w:r>
        <w:rPr>
          <w:rFonts w:hint="eastAsia"/>
          <w:b/>
          <w:color w:val="auto"/>
          <w:sz w:val="28"/>
          <w:highlight w:val="none"/>
        </w:rPr>
        <w:t>井下作业（小修作业、大修作业、</w:t>
      </w:r>
      <w:r>
        <w:rPr>
          <w:rFonts w:hint="eastAsia"/>
          <w:b/>
          <w:color w:val="auto"/>
          <w:sz w:val="28"/>
          <w:highlight w:val="none"/>
          <w:lang w:val="en-US" w:eastAsia="zh-CN"/>
        </w:rPr>
        <w:t>侧钻、</w:t>
      </w:r>
      <w:r>
        <w:rPr>
          <w:rFonts w:hint="eastAsia"/>
          <w:b/>
          <w:color w:val="auto"/>
          <w:sz w:val="28"/>
          <w:highlight w:val="none"/>
          <w:lang w:eastAsia="zh-CN"/>
        </w:rPr>
        <w:t>连续油管</w:t>
      </w:r>
      <w:r>
        <w:rPr>
          <w:rFonts w:hint="eastAsia"/>
          <w:b/>
          <w:color w:val="auto"/>
          <w:sz w:val="28"/>
          <w:highlight w:val="none"/>
        </w:rPr>
        <w:t>作业、酸化、防砂、</w:t>
      </w:r>
      <w:r>
        <w:rPr>
          <w:rFonts w:hint="eastAsia"/>
          <w:b/>
          <w:color w:val="auto"/>
          <w:sz w:val="28"/>
          <w:highlight w:val="none"/>
          <w:lang w:eastAsia="zh-CN"/>
        </w:rPr>
        <w:t>堵水/调剖</w:t>
      </w:r>
      <w:r>
        <w:rPr>
          <w:rFonts w:hint="eastAsia"/>
          <w:b/>
          <w:color w:val="auto"/>
          <w:sz w:val="28"/>
          <w:highlight w:val="none"/>
        </w:rPr>
        <w:t>、特殊工艺技术服务（套管补贴</w:t>
      </w:r>
      <w:r>
        <w:rPr>
          <w:rFonts w:hint="eastAsia"/>
          <w:b/>
          <w:color w:val="auto"/>
          <w:sz w:val="28"/>
          <w:highlight w:val="none"/>
          <w:lang w:eastAsia="zh-CN"/>
        </w:rPr>
        <w:t>）</w:t>
      </w:r>
      <w:r>
        <w:rPr>
          <w:rFonts w:hint="eastAsia"/>
          <w:b/>
          <w:color w:val="auto"/>
          <w:sz w:val="28"/>
          <w:highlight w:val="none"/>
        </w:rPr>
        <w:t>、井下复杂情况处理（打捞、堵漏）、现场试压）项目</w:t>
      </w:r>
      <w:r>
        <w:rPr>
          <w:rFonts w:hint="eastAsia"/>
          <w:b/>
          <w:color w:val="auto"/>
          <w:sz w:val="28"/>
          <w:highlight w:val="none"/>
          <w:lang w:val="en-US" w:eastAsia="zh-CN"/>
        </w:rPr>
        <w:t>具备法律法规、标准规范规定的</w:t>
      </w:r>
      <w:r>
        <w:rPr>
          <w:rFonts w:hint="eastAsia"/>
          <w:b/>
          <w:color w:val="auto"/>
          <w:sz w:val="28"/>
          <w:highlight w:val="none"/>
        </w:rPr>
        <w:t>安全生产条件。</w:t>
      </w:r>
    </w:p>
    <w:p>
      <w:pPr>
        <w:adjustRightInd w:val="0"/>
        <w:snapToGrid w:val="0"/>
        <w:spacing w:line="360" w:lineRule="auto"/>
        <w:ind w:firstLine="573"/>
        <w:rPr>
          <w:rFonts w:hint="eastAsia"/>
          <w:color w:val="auto"/>
          <w:sz w:val="28"/>
          <w:szCs w:val="28"/>
          <w:highlight w:val="none"/>
        </w:rPr>
      </w:pPr>
      <w:r>
        <w:rPr>
          <w:rFonts w:hint="eastAsia"/>
          <w:color w:val="auto"/>
          <w:sz w:val="28"/>
          <w:szCs w:val="28"/>
          <w:highlight w:val="none"/>
          <w:lang w:eastAsia="zh-CN"/>
        </w:rPr>
        <w:t>胜利油田康贝油气工程有限公司</w:t>
      </w:r>
      <w:r>
        <w:rPr>
          <w:rFonts w:hint="eastAsia"/>
          <w:color w:val="auto"/>
          <w:sz w:val="28"/>
          <w:szCs w:val="28"/>
          <w:highlight w:val="none"/>
          <w:lang w:val="en-US" w:eastAsia="zh-CN"/>
        </w:rPr>
        <w:t>还应落实本次安全评价所提出的安全建议措施，</w:t>
      </w:r>
      <w:r>
        <w:rPr>
          <w:rFonts w:hint="eastAsia"/>
          <w:color w:val="auto"/>
          <w:sz w:val="28"/>
          <w:szCs w:val="28"/>
          <w:highlight w:val="none"/>
        </w:rPr>
        <w:t>在</w:t>
      </w:r>
      <w:r>
        <w:rPr>
          <w:rFonts w:hint="eastAsia"/>
          <w:color w:val="auto"/>
          <w:sz w:val="28"/>
          <w:szCs w:val="28"/>
          <w:highlight w:val="none"/>
          <w:lang w:val="en-US" w:eastAsia="zh-CN"/>
        </w:rPr>
        <w:t>以后的</w:t>
      </w:r>
      <w:r>
        <w:rPr>
          <w:rFonts w:hint="eastAsia"/>
          <w:color w:val="auto"/>
          <w:sz w:val="28"/>
          <w:szCs w:val="28"/>
          <w:highlight w:val="none"/>
        </w:rPr>
        <w:t>生产运行过程中，应严格执行各项安全管理制度，落实安全生产责任制，严格遵守各项安全操作规程，持续保持安全生产条件，从组织、管理、制度、人员等各个层面确保安全生产。</w:t>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1752"/>
        </w:tabs>
        <w:bidi w:val="0"/>
        <w:jc w:val="left"/>
        <w:rPr>
          <w:rFonts w:hint="default"/>
          <w:lang w:val="en-US" w:eastAsia="zh-CN"/>
        </w:rPr>
      </w:pPr>
      <w:r>
        <w:rPr>
          <w:rFonts w:hint="eastAsia"/>
          <w:lang w:val="en-US" w:eastAsia="zh-CN"/>
        </w:rPr>
        <w:tab/>
      </w:r>
    </w:p>
    <w:sectPr>
      <w:pgSz w:w="11906" w:h="16838"/>
      <w:pgMar w:top="1440" w:right="1803" w:bottom="1440" w:left="1803" w:header="850" w:footer="992" w:gutter="0"/>
      <w:pgBorders>
        <w:top w:val="none" w:sz="0" w:space="0"/>
        <w:left w:val="none" w:sz="0" w:space="0"/>
        <w:bottom w:val="none" w:sz="0" w:space="0"/>
        <w:right w:val="none" w:sz="0" w:space="0"/>
      </w:pgBorders>
      <w:cols w:space="0" w:num="1"/>
      <w:rtlGutter w:val="0"/>
      <w:docGrid w:type="linesAndChars" w:linePitch="319" w:charSpace="5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framePr w:wrap="around" w:vAnchor="text" w:hAnchor="margin" w:xAlign="right" w:y="1"/>
      <w:ind w:firstLine="560"/>
      <w:rPr>
        <w:rStyle w:val="56"/>
      </w:rPr>
    </w:pPr>
    <w:r>
      <w:rPr>
        <w:rStyle w:val="56"/>
      </w:rPr>
      <w:fldChar w:fldCharType="begin"/>
    </w:r>
    <w:r>
      <w:rPr>
        <w:rStyle w:val="56"/>
      </w:rPr>
      <w:instrText xml:space="preserve">PAGE  </w:instrText>
    </w:r>
    <w:r>
      <w:rPr>
        <w:rStyle w:val="56"/>
      </w:rPr>
      <w:fldChar w:fldCharType="separate"/>
    </w:r>
    <w:r>
      <w:rPr>
        <w:rStyle w:val="56"/>
      </w:rPr>
      <w:t>2</w:t>
    </w:r>
    <w:r>
      <w:rPr>
        <w:rStyle w:val="56"/>
      </w:rPr>
      <w:fldChar w:fldCharType="end"/>
    </w:r>
  </w:p>
  <w:p>
    <w:pPr>
      <w:pStyle w:val="34"/>
      <w:ind w:right="360" w:firstLine="4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ind w:firstLine="4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2336" behindDoc="0" locked="0" layoutInCell="1" allowOverlap="1">
              <wp:simplePos x="0" y="0"/>
              <wp:positionH relativeFrom="margin">
                <wp:posOffset>2550160</wp:posOffset>
              </wp:positionH>
              <wp:positionV relativeFrom="paragraph">
                <wp:posOffset>-12065</wp:posOffset>
              </wp:positionV>
              <wp:extent cx="257175" cy="14986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257175" cy="1498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39</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0.8pt;margin-top:-0.95pt;height:11.8pt;width:20.25pt;mso-position-horizontal-relative:margin;z-index:251662336;mso-width-relative:page;mso-height-relative:page;" filled="f" stroked="f" coordsize="21600,21600" o:gfxdata="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swrMW1wAAAAkBAAAPAAAAAAAAAAEAIAAAACIAAABkcnMvZG93bnJl&#10;di54bWxQSwECFAAUAAAACACHTuJAo4Tn6DcCAABjBAAADgAAAAAAAAABACAAAAAmAQAAZHJzL2Uy&#10;b0RvYy54bWxQSwUGAAAAAAYABgBZAQAAzwUAAAAA&#10;">
              <v:fill on="f" focussize="0,0"/>
              <v:stroke on="f" weight="0.5pt"/>
              <v:imagedata o:title=""/>
              <o:lock v:ext="edit" aspectratio="f"/>
              <v:textbox inset="0mm,0mm,0mm,0mm">
                <w:txbxContent>
                  <w:p>
                    <w:pPr>
                      <w:pStyle w:val="34"/>
                      <w:jc w:val="center"/>
                    </w:pPr>
                    <w:r>
                      <w:fldChar w:fldCharType="begin"/>
                    </w:r>
                    <w:r>
                      <w:instrText xml:space="preserve">PAGE   \* MERGEFORMAT</w:instrText>
                    </w:r>
                    <w:r>
                      <w:fldChar w:fldCharType="separate"/>
                    </w:r>
                    <w:r>
                      <w:rPr>
                        <w:lang w:val="zh-CN"/>
                      </w:rPr>
                      <w:t>39</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51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53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jc w:val="center"/>
                          </w:pPr>
                          <w:r>
                            <w:fldChar w:fldCharType="begin"/>
                          </w:r>
                          <w:r>
                            <w:instrText xml:space="preserve">PAGE   \* MERGEFORMAT</w:instrText>
                          </w:r>
                          <w:r>
                            <w:fldChar w:fldCharType="separate"/>
                          </w:r>
                          <w:r>
                            <w:rPr>
                              <w:lang w:val="zh-CN"/>
                            </w:rP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34"/>
                      <w:jc w:val="center"/>
                    </w:pPr>
                    <w:r>
                      <w:fldChar w:fldCharType="begin"/>
                    </w:r>
                    <w:r>
                      <w:instrText xml:space="preserve">PAGE   \* MERGEFORMAT</w:instrText>
                    </w:r>
                    <w:r>
                      <w:fldChar w:fldCharType="separate"/>
                    </w:r>
                    <w:r>
                      <w:rPr>
                        <w:lang w:val="zh-CN"/>
                      </w:rPr>
                      <w:t>55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framePr w:wrap="around" w:vAnchor="text" w:hAnchor="margin" w:xAlign="center" w:y="1"/>
      <w:jc w:val="center"/>
      <w:rPr>
        <w:rStyle w:val="56"/>
      </w:rPr>
    </w:pPr>
    <w:r>
      <w:rPr>
        <w:rStyle w:val="56"/>
      </w:rPr>
      <w:fldChar w:fldCharType="begin"/>
    </w:r>
    <w:r>
      <w:rPr>
        <w:rStyle w:val="56"/>
      </w:rPr>
      <w:instrText xml:space="preserve">PAGE  </w:instrText>
    </w:r>
    <w:r>
      <w:rPr>
        <w:rStyle w:val="56"/>
      </w:rPr>
      <w:fldChar w:fldCharType="separate"/>
    </w:r>
    <w:r>
      <w:rPr>
        <w:rStyle w:val="56"/>
      </w:rPr>
      <w:t>30</w:t>
    </w:r>
    <w:r>
      <w:rPr>
        <w:rStyle w:val="56"/>
      </w:rPr>
      <w:fldChar w:fldCharType="end"/>
    </w:r>
  </w:p>
  <w:p>
    <w:pPr>
      <w:pStyle w:val="34"/>
      <w:pBdr>
        <w:top w:val="single" w:color="auto" w:sz="6" w:space="1"/>
      </w:pBdr>
      <w:tabs>
        <w:tab w:val="left" w:pos="9180"/>
      </w:tabs>
      <w:ind w:right="5"/>
    </w:pPr>
    <w:r>
      <w:rPr>
        <w:rStyle w:val="56"/>
        <w:rFonts w:hint="eastAsia"/>
      </w:rPr>
      <w:t xml:space="preserve">                                                                  </w:t>
    </w:r>
    <w:r>
      <w:rPr>
        <w:rFonts w:hint="eastAsia" w:ascii="仿宋_GB2312" w:eastAsia="仿宋_GB2312"/>
        <w:bCs/>
        <w:spacing w:val="20"/>
        <w:kern w:val="0"/>
      </w:rPr>
      <w:t>北京实华油海工程技术有限公司</w:t>
    </w:r>
    <w: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-12065</wp:posOffset>
              </wp:positionV>
              <wp:extent cx="6019800" cy="635"/>
              <wp:effectExtent l="0" t="0" r="19050" b="37465"/>
              <wp:wrapNone/>
              <wp:docPr id="2" name="Line 1"/>
              <wp:cNvGraphicFramePr/>
              <a:graphic xmlns:a="http://schemas.openxmlformats.org/drawingml/2006/main">
                <a:graphicData uri="http://schemas.microsoft.com/office/word/2010/wordprocessingShape">
                  <wps:wsp>
                    <wps:cNvCnPr>
                      <a:cxnSpLocks noChangeShapeType="1"/>
                    </wps:cNvCnPr>
                    <wps:spPr bwMode="auto">
                      <a:xfrm>
                        <a:off x="0" y="0"/>
                        <a:ext cx="6019800" cy="635"/>
                      </a:xfrm>
                      <a:prstGeom prst="line">
                        <a:avLst/>
                      </a:prstGeom>
                      <a:noFill/>
                      <a:ln w="9525">
                        <a:solidFill>
                          <a:srgbClr val="FFFFFF"/>
                        </a:solidFill>
                        <a:round/>
                      </a:ln>
                    </wps:spPr>
                    <wps:bodyPr/>
                  </wps:wsp>
                </a:graphicData>
              </a:graphic>
            </wp:anchor>
          </w:drawing>
        </mc:Choice>
        <mc:Fallback>
          <w:pict>
            <v:line id="Line 1" o:spid="_x0000_s1026" o:spt="20" style="position:absolute;left:0pt;margin-left:0pt;margin-top:-0.95pt;height:0.05pt;width:474pt;z-index:251659264;mso-width-relative:page;mso-height-relative:page;" filled="f" stroked="t" coordsize="21600,21600" o:allowincell="f"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NOy3k1AAAAAYBAAAPAAAAAAAAAAEAIAAAACIAAABkcnMvZG93&#10;bnJldi54bWxQSwECFAAUAAAACACHTuJAfC3jZcsBAAChAwAADgAAAAAAAAABACAAAAAjAQAAZHJz&#10;L2Uyb0RvYy54bWxQSwUGAAAAAAYABgBZAQAAYAUAAAAA&#10;">
              <v:fill on="f" focussize="0,0"/>
              <v:stroke color="#FFFFFF" joinstyle="round"/>
              <v:imagedata o:title=""/>
              <o:lock v:ext="edit" aspectratio="f"/>
            </v:line>
          </w:pict>
        </mc:Fallback>
      </mc:AlternateContent>
    </w:r>
    <w:r>
      <mc:AlternateContent>
        <mc:Choice Requires="wps">
          <w:drawing>
            <wp:anchor distT="0" distB="0" distL="114300" distR="114300" simplePos="0" relativeHeight="251660288" behindDoc="0" locked="0" layoutInCell="0" allowOverlap="1">
              <wp:simplePos x="0" y="0"/>
              <wp:positionH relativeFrom="column">
                <wp:posOffset>0</wp:posOffset>
              </wp:positionH>
              <wp:positionV relativeFrom="paragraph">
                <wp:posOffset>-12065</wp:posOffset>
              </wp:positionV>
              <wp:extent cx="6019800" cy="635"/>
              <wp:effectExtent l="0" t="0" r="19050" b="37465"/>
              <wp:wrapNone/>
              <wp:docPr id="1" name="Line 2"/>
              <wp:cNvGraphicFramePr/>
              <a:graphic xmlns:a="http://schemas.openxmlformats.org/drawingml/2006/main">
                <a:graphicData uri="http://schemas.microsoft.com/office/word/2010/wordprocessingShape">
                  <wps:wsp>
                    <wps:cNvCnPr>
                      <a:cxnSpLocks noChangeShapeType="1"/>
                    </wps:cNvCnPr>
                    <wps:spPr bwMode="auto">
                      <a:xfrm>
                        <a:off x="0" y="0"/>
                        <a:ext cx="6019800" cy="635"/>
                      </a:xfrm>
                      <a:prstGeom prst="line">
                        <a:avLst/>
                      </a:prstGeom>
                      <a:noFill/>
                      <a:ln w="9525">
                        <a:solidFill>
                          <a:srgbClr val="FFFFFF"/>
                        </a:solidFill>
                        <a:round/>
                      </a:ln>
                    </wps:spPr>
                    <wps:bodyPr/>
                  </wps:wsp>
                </a:graphicData>
              </a:graphic>
            </wp:anchor>
          </w:drawing>
        </mc:Choice>
        <mc:Fallback>
          <w:pict>
            <v:line id="Line 2" o:spid="_x0000_s1026" o:spt="20" style="position:absolute;left:0pt;margin-left:0pt;margin-top:-0.95pt;height:0.05pt;width:474pt;z-index:251660288;mso-width-relative:page;mso-height-relative:page;" filled="f" stroked="t" coordsize="21600,21600" o:allowincell="f" o:gfxdata="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jTst5NQAAAAGAQAADwAAAAAAAAABACAAAAAiAAAAZHJzL2Rv&#10;d25yZXYueG1sUEsBAhQAFAAAAAgAh07iQFGxv3TMAQAAoQMAAA4AAAAAAAAAAQAgAAAAIwEAAGRy&#10;cy9lMm9Eb2MueG1sUEsFBgAAAAAGAAYAWQEAAGEFAAAAAA==&#10;">
              <v:fill on="f" focussize="0,0"/>
              <v:stroke color="#FFFFFF" joinstyle="round"/>
              <v:imagedata o:title=""/>
              <o:lock v:ext="edit" aspectratio="f"/>
            </v:line>
          </w:pict>
        </mc:Fallback>
      </mc:AlternateContent>
    </w:r>
  </w:p>
  <w:p>
    <w:pPr>
      <w:ind w:firstLine="560"/>
    </w:pPr>
  </w:p>
  <w:p>
    <w:pPr>
      <w:ind w:firstLine="560"/>
    </w:pPr>
  </w:p>
  <w:p>
    <w:pPr>
      <w:ind w:firstLine="5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firstLine="4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firstLine="4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sz w:val="15"/>
        <w:szCs w:val="15"/>
      </w:rPr>
    </w:pPr>
    <w:r>
      <w:rPr>
        <w:rFonts w:hint="eastAsia"/>
        <w:sz w:val="15"/>
        <w:szCs w:val="15"/>
        <w:lang w:eastAsia="zh-CN"/>
      </w:rPr>
      <w:t>胜利油田康贝油气工程有限公司</w:t>
    </w:r>
    <w:r>
      <w:rPr>
        <w:rFonts w:hint="eastAsia"/>
        <w:sz w:val="15"/>
        <w:szCs w:val="15"/>
      </w:rPr>
      <w:t>井下作业项目安全现状评价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sz w:val="15"/>
        <w:szCs w:val="15"/>
      </w:rPr>
    </w:pPr>
    <w:r>
      <w:rPr>
        <w:rFonts w:hint="eastAsia"/>
        <w:sz w:val="15"/>
        <w:szCs w:val="15"/>
        <w:lang w:eastAsia="zh-CN"/>
      </w:rPr>
      <w:t>胜利油田康贝油气工程有限公司</w:t>
    </w:r>
    <w:r>
      <w:rPr>
        <w:rFonts w:hint="eastAsia"/>
        <w:sz w:val="15"/>
        <w:szCs w:val="15"/>
      </w:rPr>
      <w:t>井下作业项目安全现状评价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sz w:val="15"/>
        <w:szCs w:val="15"/>
      </w:rPr>
    </w:pPr>
    <w:r>
      <w:rPr>
        <w:rFonts w:hint="eastAsia"/>
        <w:sz w:val="15"/>
        <w:szCs w:val="15"/>
        <w:lang w:eastAsia="zh-CN"/>
      </w:rPr>
      <w:t>胜利油田康贝油气工程有限公司</w:t>
    </w:r>
    <w:r>
      <w:rPr>
        <w:rFonts w:hint="eastAsia"/>
        <w:sz w:val="15"/>
        <w:szCs w:val="15"/>
      </w:rPr>
      <w:t>井下作业项目安全现状评价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both"/>
    </w:pPr>
    <w:r>
      <w:rPr>
        <w:rFonts w:hint="eastAsia"/>
      </w:rPr>
      <w:t>胜利油田石化总厂汽油产品质量升级技改工程                                            设立安全评价报告</w:t>
    </w:r>
    <w:r>
      <w:rPr>
        <w:rFonts w:hint="eastAsia" w:ascii="仿宋_GB2312" w:eastAsia="仿宋_GB2312"/>
        <w:bCs/>
        <w:spacing w:val="20"/>
        <w:kern w:val="0"/>
      </w:rPr>
      <w:t xml:space="preserve">            </w:t>
    </w:r>
  </w:p>
  <w:p>
    <w:pPr>
      <w:ind w:firstLine="560"/>
    </w:pPr>
  </w:p>
  <w:p>
    <w:pPr>
      <w:ind w:firstLine="560"/>
    </w:pPr>
  </w:p>
  <w:p>
    <w:pPr>
      <w:ind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5EC32B"/>
    <w:multiLevelType w:val="multilevel"/>
    <w:tmpl w:val="895EC32B"/>
    <w:lvl w:ilvl="0" w:tentative="0">
      <w:start w:val="1"/>
      <w:numFmt w:val="decimal"/>
      <w:lvlText w:val="%1."/>
      <w:lvlJc w:val="left"/>
      <w:pPr>
        <w:ind w:left="635" w:hanging="425"/>
      </w:pPr>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1">
    <w:nsid w:val="8A733E1E"/>
    <w:multiLevelType w:val="singleLevel"/>
    <w:tmpl w:val="8A733E1E"/>
    <w:lvl w:ilvl="0" w:tentative="0">
      <w:start w:val="1"/>
      <w:numFmt w:val="decimal"/>
      <w:lvlText w:val="%1."/>
      <w:lvlJc w:val="left"/>
      <w:pPr>
        <w:ind w:left="425" w:hanging="425"/>
      </w:pPr>
      <w:rPr>
        <w:rFonts w:hint="default"/>
      </w:rPr>
    </w:lvl>
  </w:abstractNum>
  <w:abstractNum w:abstractNumId="2">
    <w:nsid w:val="8B16EC6A"/>
    <w:multiLevelType w:val="singleLevel"/>
    <w:tmpl w:val="8B16EC6A"/>
    <w:lvl w:ilvl="0" w:tentative="0">
      <w:start w:val="5"/>
      <w:numFmt w:val="decimal"/>
      <w:suff w:val="nothing"/>
      <w:lvlText w:val="%1）"/>
      <w:lvlJc w:val="left"/>
    </w:lvl>
  </w:abstractNum>
  <w:abstractNum w:abstractNumId="3">
    <w:nsid w:val="94DBD433"/>
    <w:multiLevelType w:val="singleLevel"/>
    <w:tmpl w:val="94DBD433"/>
    <w:lvl w:ilvl="0" w:tentative="0">
      <w:start w:val="1"/>
      <w:numFmt w:val="decimal"/>
      <w:lvlText w:val="%1)"/>
      <w:lvlJc w:val="left"/>
      <w:pPr>
        <w:ind w:left="425" w:hanging="425"/>
      </w:pPr>
      <w:rPr>
        <w:rFonts w:hint="default"/>
      </w:rPr>
    </w:lvl>
  </w:abstractNum>
  <w:abstractNum w:abstractNumId="4">
    <w:nsid w:val="B39ED5EB"/>
    <w:multiLevelType w:val="singleLevel"/>
    <w:tmpl w:val="B39ED5EB"/>
    <w:lvl w:ilvl="0" w:tentative="0">
      <w:start w:val="1"/>
      <w:numFmt w:val="decimal"/>
      <w:lvlText w:val="%1)"/>
      <w:lvlJc w:val="left"/>
      <w:pPr>
        <w:ind w:left="425" w:hanging="425"/>
      </w:pPr>
      <w:rPr>
        <w:rFonts w:hint="default"/>
      </w:rPr>
    </w:lvl>
  </w:abstractNum>
  <w:abstractNum w:abstractNumId="5">
    <w:nsid w:val="B982B4AA"/>
    <w:multiLevelType w:val="singleLevel"/>
    <w:tmpl w:val="B982B4AA"/>
    <w:lvl w:ilvl="0" w:tentative="0">
      <w:start w:val="2"/>
      <w:numFmt w:val="chineseCounting"/>
      <w:suff w:val="nothing"/>
      <w:lvlText w:val="%1、"/>
      <w:lvlJc w:val="left"/>
      <w:rPr>
        <w:rFonts w:hint="eastAsia"/>
      </w:rPr>
    </w:lvl>
  </w:abstractNum>
  <w:abstractNum w:abstractNumId="6">
    <w:nsid w:val="BD01AA71"/>
    <w:multiLevelType w:val="multilevel"/>
    <w:tmpl w:val="BD01AA71"/>
    <w:lvl w:ilvl="0" w:tentative="0">
      <w:start w:val="1"/>
      <w:numFmt w:val="decimal"/>
      <w:lvlText w:val="%1"/>
      <w:lvlJc w:val="left"/>
      <w:pPr>
        <w:tabs>
          <w:tab w:val="left" w:pos="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C322BB82"/>
    <w:multiLevelType w:val="singleLevel"/>
    <w:tmpl w:val="C322BB82"/>
    <w:lvl w:ilvl="0" w:tentative="0">
      <w:start w:val="1"/>
      <w:numFmt w:val="decimal"/>
      <w:lvlText w:val="%1."/>
      <w:lvlJc w:val="left"/>
      <w:pPr>
        <w:tabs>
          <w:tab w:val="left" w:pos="312"/>
        </w:tabs>
      </w:pPr>
    </w:lvl>
  </w:abstractNum>
  <w:abstractNum w:abstractNumId="8">
    <w:nsid w:val="C589AB66"/>
    <w:multiLevelType w:val="singleLevel"/>
    <w:tmpl w:val="C589AB66"/>
    <w:lvl w:ilvl="0" w:tentative="0">
      <w:start w:val="3"/>
      <w:numFmt w:val="decimal"/>
      <w:suff w:val="nothing"/>
      <w:lvlText w:val="%1）"/>
      <w:lvlJc w:val="left"/>
    </w:lvl>
  </w:abstractNum>
  <w:abstractNum w:abstractNumId="9">
    <w:nsid w:val="CDBA1701"/>
    <w:multiLevelType w:val="singleLevel"/>
    <w:tmpl w:val="CDBA1701"/>
    <w:lvl w:ilvl="0" w:tentative="0">
      <w:start w:val="1"/>
      <w:numFmt w:val="decimal"/>
      <w:suff w:val="nothing"/>
      <w:lvlText w:val="（%1）"/>
      <w:lvlJc w:val="left"/>
      <w:pPr>
        <w:ind w:left="70"/>
      </w:pPr>
    </w:lvl>
  </w:abstractNum>
  <w:abstractNum w:abstractNumId="10">
    <w:nsid w:val="DB380AAF"/>
    <w:multiLevelType w:val="multilevel"/>
    <w:tmpl w:val="DB380AAF"/>
    <w:lvl w:ilvl="0" w:tentative="0">
      <w:start w:val="1"/>
      <w:numFmt w:val="lowerLetter"/>
      <w:lvlText w:val="%1)"/>
      <w:lvlJc w:val="left"/>
      <w:pPr>
        <w:tabs>
          <w:tab w:val="left" w:pos="312"/>
        </w:tabs>
      </w:p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1">
    <w:nsid w:val="EA21B047"/>
    <w:multiLevelType w:val="multilevel"/>
    <w:tmpl w:val="EA21B047"/>
    <w:lvl w:ilvl="0" w:tentative="0">
      <w:start w:val="1"/>
      <w:numFmt w:val="decimal"/>
      <w:lvlText w:val="(%1)"/>
      <w:lvlJc w:val="left"/>
      <w:pPr>
        <w:tabs>
          <w:tab w:val="left" w:pos="312"/>
        </w:tabs>
      </w:p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2">
    <w:nsid w:val="EBC54293"/>
    <w:multiLevelType w:val="singleLevel"/>
    <w:tmpl w:val="EBC54293"/>
    <w:lvl w:ilvl="0" w:tentative="0">
      <w:start w:val="2"/>
      <w:numFmt w:val="decimal"/>
      <w:suff w:val="nothing"/>
      <w:lvlText w:val="%1）"/>
      <w:lvlJc w:val="left"/>
    </w:lvl>
  </w:abstractNum>
  <w:abstractNum w:abstractNumId="13">
    <w:nsid w:val="F1B49C8E"/>
    <w:multiLevelType w:val="singleLevel"/>
    <w:tmpl w:val="F1B49C8E"/>
    <w:lvl w:ilvl="0" w:tentative="0">
      <w:start w:val="2"/>
      <w:numFmt w:val="decimal"/>
      <w:suff w:val="nothing"/>
      <w:lvlText w:val="%1）"/>
      <w:lvlJc w:val="left"/>
    </w:lvl>
  </w:abstractNum>
  <w:abstractNum w:abstractNumId="14">
    <w:nsid w:val="F2180079"/>
    <w:multiLevelType w:val="multilevel"/>
    <w:tmpl w:val="F2180079"/>
    <w:lvl w:ilvl="0" w:tentative="0">
      <w:start w:val="1"/>
      <w:numFmt w:val="decimal"/>
      <w:lvlText w:val="%1."/>
      <w:lvlJc w:val="left"/>
      <w:pPr>
        <w:ind w:left="425" w:hanging="425"/>
      </w:pPr>
      <w:rPr>
        <w:rFonts w:hint="default"/>
        <w:b w:val="0"/>
        <w:bCs w:val="0"/>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5">
    <w:nsid w:val="F374AC7A"/>
    <w:multiLevelType w:val="singleLevel"/>
    <w:tmpl w:val="F374AC7A"/>
    <w:lvl w:ilvl="0" w:tentative="0">
      <w:start w:val="1"/>
      <w:numFmt w:val="decimal"/>
      <w:lvlText w:val="%1)"/>
      <w:lvlJc w:val="left"/>
      <w:pPr>
        <w:ind w:left="425" w:hanging="425"/>
      </w:pPr>
      <w:rPr>
        <w:rFonts w:hint="default"/>
      </w:rPr>
    </w:lvl>
  </w:abstractNum>
  <w:abstractNum w:abstractNumId="16">
    <w:nsid w:val="081B2C76"/>
    <w:multiLevelType w:val="multilevel"/>
    <w:tmpl w:val="081B2C76"/>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7">
    <w:nsid w:val="16D2CFE9"/>
    <w:multiLevelType w:val="singleLevel"/>
    <w:tmpl w:val="16D2CFE9"/>
    <w:lvl w:ilvl="0" w:tentative="0">
      <w:start w:val="1"/>
      <w:numFmt w:val="decimal"/>
      <w:lvlText w:val="%1)"/>
      <w:lvlJc w:val="left"/>
      <w:pPr>
        <w:ind w:left="425" w:hanging="425"/>
      </w:pPr>
      <w:rPr>
        <w:rFonts w:hint="default"/>
      </w:rPr>
    </w:lvl>
  </w:abstractNum>
  <w:abstractNum w:abstractNumId="18">
    <w:nsid w:val="18466C22"/>
    <w:multiLevelType w:val="multilevel"/>
    <w:tmpl w:val="18466C22"/>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9">
    <w:nsid w:val="185C2D08"/>
    <w:multiLevelType w:val="multilevel"/>
    <w:tmpl w:val="185C2D08"/>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20">
    <w:nsid w:val="1A322263"/>
    <w:multiLevelType w:val="multilevel"/>
    <w:tmpl w:val="1A322263"/>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1">
    <w:nsid w:val="282C49B3"/>
    <w:multiLevelType w:val="multilevel"/>
    <w:tmpl w:val="282C49B3"/>
    <w:lvl w:ilvl="0" w:tentative="0">
      <w:start w:val="1"/>
      <w:numFmt w:val="decimalEnclosedCircle"/>
      <w:pStyle w:val="149"/>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22">
    <w:nsid w:val="306D6629"/>
    <w:multiLevelType w:val="singleLevel"/>
    <w:tmpl w:val="306D6629"/>
    <w:lvl w:ilvl="0" w:tentative="0">
      <w:start w:val="1"/>
      <w:numFmt w:val="decimal"/>
      <w:suff w:val="nothing"/>
      <w:lvlText w:val="%1）"/>
      <w:lvlJc w:val="left"/>
    </w:lvl>
  </w:abstractNum>
  <w:abstractNum w:abstractNumId="23">
    <w:nsid w:val="34B4B941"/>
    <w:multiLevelType w:val="singleLevel"/>
    <w:tmpl w:val="34B4B941"/>
    <w:lvl w:ilvl="0" w:tentative="0">
      <w:start w:val="1"/>
      <w:numFmt w:val="decimal"/>
      <w:lvlText w:val="%1."/>
      <w:lvlJc w:val="left"/>
      <w:pPr>
        <w:tabs>
          <w:tab w:val="left" w:pos="312"/>
        </w:tabs>
      </w:pPr>
    </w:lvl>
  </w:abstractNum>
  <w:abstractNum w:abstractNumId="24">
    <w:nsid w:val="35090CB7"/>
    <w:multiLevelType w:val="singleLevel"/>
    <w:tmpl w:val="35090CB7"/>
    <w:lvl w:ilvl="0" w:tentative="0">
      <w:start w:val="7"/>
      <w:numFmt w:val="decimal"/>
      <w:suff w:val="nothing"/>
      <w:lvlText w:val="%1）"/>
      <w:lvlJc w:val="left"/>
    </w:lvl>
  </w:abstractNum>
  <w:abstractNum w:abstractNumId="25">
    <w:nsid w:val="390AA02F"/>
    <w:multiLevelType w:val="singleLevel"/>
    <w:tmpl w:val="390AA02F"/>
    <w:lvl w:ilvl="0" w:tentative="0">
      <w:start w:val="1"/>
      <w:numFmt w:val="decimal"/>
      <w:lvlText w:val="%1)"/>
      <w:lvlJc w:val="left"/>
      <w:pPr>
        <w:ind w:left="425" w:hanging="425"/>
      </w:pPr>
      <w:rPr>
        <w:rFonts w:hint="default"/>
      </w:rPr>
    </w:lvl>
  </w:abstractNum>
  <w:abstractNum w:abstractNumId="26">
    <w:nsid w:val="3CAE20DE"/>
    <w:multiLevelType w:val="multilevel"/>
    <w:tmpl w:val="3CAE20DE"/>
    <w:lvl w:ilvl="0" w:tentative="0">
      <w:start w:val="1"/>
      <w:numFmt w:val="decimal"/>
      <w:suff w:val="nothing"/>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27">
    <w:nsid w:val="446105B5"/>
    <w:multiLevelType w:val="multilevel"/>
    <w:tmpl w:val="446105B5"/>
    <w:lvl w:ilvl="0" w:tentative="0">
      <w:start w:val="1"/>
      <w:numFmt w:val="decimal"/>
      <w:lvlText w:val="%1"/>
      <w:lvlJc w:val="left"/>
      <w:pPr>
        <w:tabs>
          <w:tab w:val="left" w:pos="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45A99C3B"/>
    <w:multiLevelType w:val="singleLevel"/>
    <w:tmpl w:val="45A99C3B"/>
    <w:lvl w:ilvl="0" w:tentative="0">
      <w:start w:val="1"/>
      <w:numFmt w:val="decimal"/>
      <w:suff w:val="nothing"/>
      <w:lvlText w:val="（%1）"/>
      <w:lvlJc w:val="left"/>
    </w:lvl>
  </w:abstractNum>
  <w:abstractNum w:abstractNumId="29">
    <w:nsid w:val="4AADA535"/>
    <w:multiLevelType w:val="singleLevel"/>
    <w:tmpl w:val="4AADA535"/>
    <w:lvl w:ilvl="0" w:tentative="0">
      <w:start w:val="1"/>
      <w:numFmt w:val="decimal"/>
      <w:lvlText w:val="%1."/>
      <w:lvlJc w:val="left"/>
      <w:pPr>
        <w:ind w:left="425" w:hanging="425"/>
      </w:pPr>
      <w:rPr>
        <w:rFonts w:hint="default"/>
      </w:rPr>
    </w:lvl>
  </w:abstractNum>
  <w:abstractNum w:abstractNumId="30">
    <w:nsid w:val="4AC8E19C"/>
    <w:multiLevelType w:val="singleLevel"/>
    <w:tmpl w:val="4AC8E19C"/>
    <w:lvl w:ilvl="0" w:tentative="0">
      <w:start w:val="12"/>
      <w:numFmt w:val="upperLetter"/>
      <w:suff w:val="nothing"/>
      <w:lvlText w:val="%1、"/>
      <w:lvlJc w:val="left"/>
    </w:lvl>
  </w:abstractNum>
  <w:abstractNum w:abstractNumId="31">
    <w:nsid w:val="5384580A"/>
    <w:multiLevelType w:val="singleLevel"/>
    <w:tmpl w:val="5384580A"/>
    <w:lvl w:ilvl="0" w:tentative="0">
      <w:start w:val="10"/>
      <w:numFmt w:val="decimal"/>
      <w:lvlText w:val="%1."/>
      <w:lvlJc w:val="left"/>
      <w:pPr>
        <w:tabs>
          <w:tab w:val="left" w:pos="312"/>
        </w:tabs>
      </w:pPr>
    </w:lvl>
  </w:abstractNum>
  <w:abstractNum w:abstractNumId="32">
    <w:nsid w:val="577C0581"/>
    <w:multiLevelType w:val="singleLevel"/>
    <w:tmpl w:val="577C0581"/>
    <w:lvl w:ilvl="0" w:tentative="0">
      <w:start w:val="1"/>
      <w:numFmt w:val="decimal"/>
      <w:suff w:val="nothing"/>
      <w:lvlText w:val="（%1）"/>
      <w:lvlJc w:val="left"/>
    </w:lvl>
  </w:abstractNum>
  <w:abstractNum w:abstractNumId="33">
    <w:nsid w:val="578F4838"/>
    <w:multiLevelType w:val="multilevel"/>
    <w:tmpl w:val="578F4838"/>
    <w:lvl w:ilvl="0" w:tentative="0">
      <w:start w:val="1"/>
      <w:numFmt w:val="decimal"/>
      <w:suff w:val="nothing"/>
      <w:lvlText w:val="%1."/>
      <w:lvlJc w:val="left"/>
      <w:pPr>
        <w:ind w:left="737" w:hanging="177"/>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34">
    <w:nsid w:val="59BB18A3"/>
    <w:multiLevelType w:val="multilevel"/>
    <w:tmpl w:val="59BB18A3"/>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5">
    <w:nsid w:val="59F9B4C1"/>
    <w:multiLevelType w:val="multilevel"/>
    <w:tmpl w:val="59F9B4C1"/>
    <w:lvl w:ilvl="0" w:tentative="0">
      <w:start w:val="1"/>
      <w:numFmt w:val="lowerLetter"/>
      <w:lvlText w:val="%1)"/>
      <w:lvlJc w:val="left"/>
      <w:pPr>
        <w:tabs>
          <w:tab w:val="left" w:pos="312"/>
        </w:tabs>
      </w:pPr>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36">
    <w:nsid w:val="67D11B0D"/>
    <w:multiLevelType w:val="multilevel"/>
    <w:tmpl w:val="67D11B0D"/>
    <w:lvl w:ilvl="0" w:tentative="0">
      <w:start w:val="1"/>
      <w:numFmt w:val="decimalEnclosedCircle"/>
      <w:pStyle w:val="129"/>
      <w:lvlText w:val="%1"/>
      <w:lvlJc w:val="left"/>
      <w:pPr>
        <w:tabs>
          <w:tab w:val="left" w:pos="821"/>
        </w:tabs>
        <w:ind w:left="821" w:hanging="360"/>
      </w:pPr>
      <w:rPr>
        <w:rFonts w:hint="eastAsia"/>
      </w:rPr>
    </w:lvl>
    <w:lvl w:ilvl="1" w:tentative="0">
      <w:start w:val="1"/>
      <w:numFmt w:val="lowerLetter"/>
      <w:lvlText w:val="%2)"/>
      <w:lvlJc w:val="left"/>
      <w:pPr>
        <w:tabs>
          <w:tab w:val="left" w:pos="1301"/>
        </w:tabs>
        <w:ind w:left="1301" w:hanging="420"/>
      </w:pPr>
    </w:lvl>
    <w:lvl w:ilvl="2" w:tentative="0">
      <w:start w:val="1"/>
      <w:numFmt w:val="lowerRoman"/>
      <w:lvlText w:val="%3."/>
      <w:lvlJc w:val="right"/>
      <w:pPr>
        <w:tabs>
          <w:tab w:val="left" w:pos="1721"/>
        </w:tabs>
        <w:ind w:left="1721" w:hanging="420"/>
      </w:pPr>
    </w:lvl>
    <w:lvl w:ilvl="3" w:tentative="0">
      <w:start w:val="1"/>
      <w:numFmt w:val="decimal"/>
      <w:lvlText w:val="%4."/>
      <w:lvlJc w:val="left"/>
      <w:pPr>
        <w:tabs>
          <w:tab w:val="left" w:pos="2141"/>
        </w:tabs>
        <w:ind w:left="2141" w:hanging="420"/>
      </w:pPr>
    </w:lvl>
    <w:lvl w:ilvl="4" w:tentative="0">
      <w:start w:val="1"/>
      <w:numFmt w:val="lowerLetter"/>
      <w:lvlText w:val="%5)"/>
      <w:lvlJc w:val="left"/>
      <w:pPr>
        <w:tabs>
          <w:tab w:val="left" w:pos="2561"/>
        </w:tabs>
        <w:ind w:left="2561" w:hanging="420"/>
      </w:pPr>
    </w:lvl>
    <w:lvl w:ilvl="5" w:tentative="0">
      <w:start w:val="1"/>
      <w:numFmt w:val="lowerRoman"/>
      <w:lvlText w:val="%6."/>
      <w:lvlJc w:val="right"/>
      <w:pPr>
        <w:tabs>
          <w:tab w:val="left" w:pos="2981"/>
        </w:tabs>
        <w:ind w:left="2981" w:hanging="420"/>
      </w:pPr>
    </w:lvl>
    <w:lvl w:ilvl="6" w:tentative="0">
      <w:start w:val="1"/>
      <w:numFmt w:val="decimal"/>
      <w:lvlText w:val="%7."/>
      <w:lvlJc w:val="left"/>
      <w:pPr>
        <w:tabs>
          <w:tab w:val="left" w:pos="3401"/>
        </w:tabs>
        <w:ind w:left="3401" w:hanging="420"/>
      </w:pPr>
    </w:lvl>
    <w:lvl w:ilvl="7" w:tentative="0">
      <w:start w:val="1"/>
      <w:numFmt w:val="lowerLetter"/>
      <w:lvlText w:val="%8)"/>
      <w:lvlJc w:val="left"/>
      <w:pPr>
        <w:tabs>
          <w:tab w:val="left" w:pos="3821"/>
        </w:tabs>
        <w:ind w:left="3821" w:hanging="420"/>
      </w:pPr>
    </w:lvl>
    <w:lvl w:ilvl="8" w:tentative="0">
      <w:start w:val="1"/>
      <w:numFmt w:val="lowerRoman"/>
      <w:lvlText w:val="%9."/>
      <w:lvlJc w:val="right"/>
      <w:pPr>
        <w:tabs>
          <w:tab w:val="left" w:pos="4241"/>
        </w:tabs>
        <w:ind w:left="4241" w:hanging="420"/>
      </w:pPr>
    </w:lvl>
  </w:abstractNum>
  <w:abstractNum w:abstractNumId="37">
    <w:nsid w:val="6FF1113F"/>
    <w:multiLevelType w:val="singleLevel"/>
    <w:tmpl w:val="6FF1113F"/>
    <w:lvl w:ilvl="0" w:tentative="0">
      <w:start w:val="1"/>
      <w:numFmt w:val="decimal"/>
      <w:suff w:val="nothing"/>
      <w:lvlText w:val="%1、"/>
      <w:lvlJc w:val="left"/>
    </w:lvl>
  </w:abstractNum>
  <w:abstractNum w:abstractNumId="38">
    <w:nsid w:val="7062CF8B"/>
    <w:multiLevelType w:val="singleLevel"/>
    <w:tmpl w:val="7062CF8B"/>
    <w:lvl w:ilvl="0" w:tentative="0">
      <w:start w:val="1"/>
      <w:numFmt w:val="decimal"/>
      <w:lvlText w:val="%1)"/>
      <w:lvlJc w:val="left"/>
      <w:pPr>
        <w:ind w:left="425" w:hanging="425"/>
      </w:pPr>
      <w:rPr>
        <w:rFonts w:hint="default"/>
      </w:rPr>
    </w:lvl>
  </w:abstractNum>
  <w:abstractNum w:abstractNumId="39">
    <w:nsid w:val="70DF7B76"/>
    <w:multiLevelType w:val="multilevel"/>
    <w:tmpl w:val="70DF7B76"/>
    <w:lvl w:ilvl="0" w:tentative="0">
      <w:start w:val="1"/>
      <w:numFmt w:val="decimal"/>
      <w:lvlText w:val="%1."/>
      <w:lvlJc w:val="left"/>
      <w:pPr>
        <w:ind w:left="980" w:hanging="420"/>
      </w:pPr>
      <w:rPr>
        <w:rFonts w:hint="default"/>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0">
    <w:nsid w:val="71F6B3CB"/>
    <w:multiLevelType w:val="multilevel"/>
    <w:tmpl w:val="71F6B3CB"/>
    <w:lvl w:ilvl="0" w:tentative="0">
      <w:start w:val="1"/>
      <w:numFmt w:val="decimal"/>
      <w:lvlText w:val="%1."/>
      <w:lvlJc w:val="left"/>
      <w:pPr>
        <w:ind w:left="425" w:hanging="425"/>
      </w:pPr>
      <w:rPr>
        <w:rFonts w:hint="default"/>
        <w:b w:val="0"/>
        <w:bCs w:val="0"/>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36"/>
  </w:num>
  <w:num w:numId="2">
    <w:abstractNumId w:val="21"/>
  </w:num>
  <w:num w:numId="3">
    <w:abstractNumId w:val="39"/>
  </w:num>
  <w:num w:numId="4">
    <w:abstractNumId w:val="16"/>
  </w:num>
  <w:num w:numId="5">
    <w:abstractNumId w:val="34"/>
  </w:num>
  <w:num w:numId="6">
    <w:abstractNumId w:val="26"/>
  </w:num>
  <w:num w:numId="7">
    <w:abstractNumId w:val="20"/>
  </w:num>
  <w:num w:numId="8">
    <w:abstractNumId w:val="33"/>
  </w:num>
  <w:num w:numId="9">
    <w:abstractNumId w:val="19"/>
  </w:num>
  <w:num w:numId="10">
    <w:abstractNumId w:val="32"/>
  </w:num>
  <w:num w:numId="11">
    <w:abstractNumId w:val="31"/>
  </w:num>
  <w:num w:numId="12">
    <w:abstractNumId w:val="28"/>
  </w:num>
  <w:num w:numId="13">
    <w:abstractNumId w:val="23"/>
  </w:num>
  <w:num w:numId="14">
    <w:abstractNumId w:val="24"/>
  </w:num>
  <w:num w:numId="15">
    <w:abstractNumId w:val="2"/>
  </w:num>
  <w:num w:numId="16">
    <w:abstractNumId w:val="25"/>
  </w:num>
  <w:num w:numId="17">
    <w:abstractNumId w:val="18"/>
  </w:num>
  <w:num w:numId="18">
    <w:abstractNumId w:val="3"/>
  </w:num>
  <w:num w:numId="19">
    <w:abstractNumId w:val="38"/>
  </w:num>
  <w:num w:numId="20">
    <w:abstractNumId w:val="17"/>
  </w:num>
  <w:num w:numId="21">
    <w:abstractNumId w:val="15"/>
  </w:num>
  <w:num w:numId="22">
    <w:abstractNumId w:val="4"/>
  </w:num>
  <w:num w:numId="23">
    <w:abstractNumId w:val="8"/>
  </w:num>
  <w:num w:numId="24">
    <w:abstractNumId w:val="22"/>
  </w:num>
  <w:num w:numId="25">
    <w:abstractNumId w:val="5"/>
  </w:num>
  <w:num w:numId="26">
    <w:abstractNumId w:val="37"/>
  </w:num>
  <w:num w:numId="27">
    <w:abstractNumId w:val="30"/>
  </w:num>
  <w:num w:numId="28">
    <w:abstractNumId w:val="13"/>
  </w:num>
  <w:num w:numId="29">
    <w:abstractNumId w:val="27"/>
  </w:num>
  <w:num w:numId="30">
    <w:abstractNumId w:val="10"/>
  </w:num>
  <w:num w:numId="31">
    <w:abstractNumId w:val="11"/>
  </w:num>
  <w:num w:numId="32">
    <w:abstractNumId w:val="6"/>
  </w:num>
  <w:num w:numId="33">
    <w:abstractNumId w:val="12"/>
  </w:num>
  <w:num w:numId="34">
    <w:abstractNumId w:val="7"/>
  </w:num>
  <w:num w:numId="35">
    <w:abstractNumId w:val="1"/>
  </w:num>
  <w:num w:numId="36">
    <w:abstractNumId w:val="35"/>
  </w:num>
  <w:num w:numId="37">
    <w:abstractNumId w:val="29"/>
  </w:num>
  <w:num w:numId="38">
    <w:abstractNumId w:val="0"/>
  </w:num>
  <w:num w:numId="39">
    <w:abstractNumId w:val="40"/>
  </w:num>
  <w:num w:numId="40">
    <w:abstractNumId w:val="14"/>
  </w:num>
  <w:num w:numId="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bordersDoNotSurroundHeader w:val="0"/>
  <w:bordersDoNotSurroundFooter w:val="0"/>
  <w:hideSpellingErrors/>
  <w:documentProtection w:enforcement="0"/>
  <w:defaultTabStop w:val="420"/>
  <w:drawingGridHorizontalSpacing w:val="106"/>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2MWJiZmRjNjAyNTI1MGM0NzNmODQ5MzE2YTcwNDMifQ=="/>
  </w:docVars>
  <w:rsids>
    <w:rsidRoot w:val="00172A27"/>
    <w:rsid w:val="000001C0"/>
    <w:rsid w:val="000002D0"/>
    <w:rsid w:val="0000032A"/>
    <w:rsid w:val="00000390"/>
    <w:rsid w:val="00000392"/>
    <w:rsid w:val="000009B1"/>
    <w:rsid w:val="000020F1"/>
    <w:rsid w:val="00002A96"/>
    <w:rsid w:val="00002EEC"/>
    <w:rsid w:val="00002F23"/>
    <w:rsid w:val="000037D9"/>
    <w:rsid w:val="00003D5F"/>
    <w:rsid w:val="0000405A"/>
    <w:rsid w:val="00004824"/>
    <w:rsid w:val="000054D6"/>
    <w:rsid w:val="000062A3"/>
    <w:rsid w:val="000063CE"/>
    <w:rsid w:val="000066D6"/>
    <w:rsid w:val="00007350"/>
    <w:rsid w:val="000074D3"/>
    <w:rsid w:val="00007ABF"/>
    <w:rsid w:val="00007CA4"/>
    <w:rsid w:val="000100A1"/>
    <w:rsid w:val="00010B3E"/>
    <w:rsid w:val="000112B5"/>
    <w:rsid w:val="00012536"/>
    <w:rsid w:val="00012884"/>
    <w:rsid w:val="0001370A"/>
    <w:rsid w:val="000137DB"/>
    <w:rsid w:val="00013B73"/>
    <w:rsid w:val="00013BCD"/>
    <w:rsid w:val="00013BD3"/>
    <w:rsid w:val="00013F67"/>
    <w:rsid w:val="000140AE"/>
    <w:rsid w:val="00014187"/>
    <w:rsid w:val="000143AE"/>
    <w:rsid w:val="000148D7"/>
    <w:rsid w:val="00014CA5"/>
    <w:rsid w:val="00014CFD"/>
    <w:rsid w:val="00015470"/>
    <w:rsid w:val="0001599A"/>
    <w:rsid w:val="00015CF6"/>
    <w:rsid w:val="00015D27"/>
    <w:rsid w:val="000168E4"/>
    <w:rsid w:val="00016EF4"/>
    <w:rsid w:val="0001746A"/>
    <w:rsid w:val="00017541"/>
    <w:rsid w:val="000179A3"/>
    <w:rsid w:val="00020823"/>
    <w:rsid w:val="0002113E"/>
    <w:rsid w:val="00021E38"/>
    <w:rsid w:val="00022397"/>
    <w:rsid w:val="000225B1"/>
    <w:rsid w:val="00022A70"/>
    <w:rsid w:val="00022E0E"/>
    <w:rsid w:val="00022EFA"/>
    <w:rsid w:val="000235A0"/>
    <w:rsid w:val="0002387A"/>
    <w:rsid w:val="00023D3F"/>
    <w:rsid w:val="00023DBA"/>
    <w:rsid w:val="000244BD"/>
    <w:rsid w:val="000244D3"/>
    <w:rsid w:val="0002476B"/>
    <w:rsid w:val="00024D25"/>
    <w:rsid w:val="000250FA"/>
    <w:rsid w:val="00025306"/>
    <w:rsid w:val="00025D85"/>
    <w:rsid w:val="0002684A"/>
    <w:rsid w:val="000271D6"/>
    <w:rsid w:val="000274F0"/>
    <w:rsid w:val="0002770A"/>
    <w:rsid w:val="000277A2"/>
    <w:rsid w:val="00027B52"/>
    <w:rsid w:val="00027D64"/>
    <w:rsid w:val="00030344"/>
    <w:rsid w:val="0003194A"/>
    <w:rsid w:val="00031EA4"/>
    <w:rsid w:val="00031F73"/>
    <w:rsid w:val="000325D7"/>
    <w:rsid w:val="000325FB"/>
    <w:rsid w:val="00032743"/>
    <w:rsid w:val="00032FF0"/>
    <w:rsid w:val="00032FFD"/>
    <w:rsid w:val="000332E2"/>
    <w:rsid w:val="000341A1"/>
    <w:rsid w:val="00034AE4"/>
    <w:rsid w:val="00034CF3"/>
    <w:rsid w:val="00034FDE"/>
    <w:rsid w:val="000353D1"/>
    <w:rsid w:val="00035A7A"/>
    <w:rsid w:val="000363E5"/>
    <w:rsid w:val="0003654F"/>
    <w:rsid w:val="0003674E"/>
    <w:rsid w:val="000367FD"/>
    <w:rsid w:val="00036D80"/>
    <w:rsid w:val="00036E06"/>
    <w:rsid w:val="00037351"/>
    <w:rsid w:val="000374AF"/>
    <w:rsid w:val="00037D13"/>
    <w:rsid w:val="0004030D"/>
    <w:rsid w:val="00040750"/>
    <w:rsid w:val="00040DD0"/>
    <w:rsid w:val="00040E01"/>
    <w:rsid w:val="000413E4"/>
    <w:rsid w:val="00042249"/>
    <w:rsid w:val="00042510"/>
    <w:rsid w:val="00044127"/>
    <w:rsid w:val="00044687"/>
    <w:rsid w:val="00044C5B"/>
    <w:rsid w:val="00044D35"/>
    <w:rsid w:val="00044EF9"/>
    <w:rsid w:val="000455DB"/>
    <w:rsid w:val="00045653"/>
    <w:rsid w:val="000457AC"/>
    <w:rsid w:val="00046CAE"/>
    <w:rsid w:val="00046F86"/>
    <w:rsid w:val="0004785F"/>
    <w:rsid w:val="00047F10"/>
    <w:rsid w:val="0005009A"/>
    <w:rsid w:val="00050263"/>
    <w:rsid w:val="00050D31"/>
    <w:rsid w:val="00051226"/>
    <w:rsid w:val="00051235"/>
    <w:rsid w:val="00051AFE"/>
    <w:rsid w:val="00051C37"/>
    <w:rsid w:val="00052080"/>
    <w:rsid w:val="00052373"/>
    <w:rsid w:val="00052725"/>
    <w:rsid w:val="00052A96"/>
    <w:rsid w:val="000536C0"/>
    <w:rsid w:val="00053B8A"/>
    <w:rsid w:val="00053FE3"/>
    <w:rsid w:val="000540B6"/>
    <w:rsid w:val="00054A9E"/>
    <w:rsid w:val="00054B46"/>
    <w:rsid w:val="00054F36"/>
    <w:rsid w:val="00055640"/>
    <w:rsid w:val="0005704D"/>
    <w:rsid w:val="00061178"/>
    <w:rsid w:val="00061463"/>
    <w:rsid w:val="00061529"/>
    <w:rsid w:val="000620EA"/>
    <w:rsid w:val="000621DC"/>
    <w:rsid w:val="00062406"/>
    <w:rsid w:val="00062478"/>
    <w:rsid w:val="000627DB"/>
    <w:rsid w:val="00062C17"/>
    <w:rsid w:val="00063029"/>
    <w:rsid w:val="00063B7D"/>
    <w:rsid w:val="00063CDC"/>
    <w:rsid w:val="00064655"/>
    <w:rsid w:val="00064759"/>
    <w:rsid w:val="00064797"/>
    <w:rsid w:val="0006530F"/>
    <w:rsid w:val="000654B0"/>
    <w:rsid w:val="00065736"/>
    <w:rsid w:val="00065F70"/>
    <w:rsid w:val="00066305"/>
    <w:rsid w:val="00066331"/>
    <w:rsid w:val="00067116"/>
    <w:rsid w:val="000671CC"/>
    <w:rsid w:val="000675D8"/>
    <w:rsid w:val="000675D9"/>
    <w:rsid w:val="0006770D"/>
    <w:rsid w:val="0007052B"/>
    <w:rsid w:val="00070C74"/>
    <w:rsid w:val="00070CBF"/>
    <w:rsid w:val="00070ED0"/>
    <w:rsid w:val="00070F7A"/>
    <w:rsid w:val="00070FD9"/>
    <w:rsid w:val="000710B9"/>
    <w:rsid w:val="000711BD"/>
    <w:rsid w:val="00071741"/>
    <w:rsid w:val="000717FD"/>
    <w:rsid w:val="000726D3"/>
    <w:rsid w:val="00072B52"/>
    <w:rsid w:val="00072E37"/>
    <w:rsid w:val="00073076"/>
    <w:rsid w:val="00073195"/>
    <w:rsid w:val="00073931"/>
    <w:rsid w:val="00073D90"/>
    <w:rsid w:val="00074046"/>
    <w:rsid w:val="0007496B"/>
    <w:rsid w:val="00074983"/>
    <w:rsid w:val="00074DA4"/>
    <w:rsid w:val="00074E58"/>
    <w:rsid w:val="00075272"/>
    <w:rsid w:val="00075801"/>
    <w:rsid w:val="00075A2F"/>
    <w:rsid w:val="00075A33"/>
    <w:rsid w:val="00075B28"/>
    <w:rsid w:val="00076441"/>
    <w:rsid w:val="00076B1E"/>
    <w:rsid w:val="000776D5"/>
    <w:rsid w:val="00077EB1"/>
    <w:rsid w:val="000800A7"/>
    <w:rsid w:val="00080156"/>
    <w:rsid w:val="00080D11"/>
    <w:rsid w:val="000815F0"/>
    <w:rsid w:val="00081908"/>
    <w:rsid w:val="0008204D"/>
    <w:rsid w:val="00082316"/>
    <w:rsid w:val="00082480"/>
    <w:rsid w:val="00082A33"/>
    <w:rsid w:val="00082D72"/>
    <w:rsid w:val="0008447C"/>
    <w:rsid w:val="00084EAB"/>
    <w:rsid w:val="00085383"/>
    <w:rsid w:val="0008543C"/>
    <w:rsid w:val="000854B8"/>
    <w:rsid w:val="00085548"/>
    <w:rsid w:val="00085C0D"/>
    <w:rsid w:val="00086355"/>
    <w:rsid w:val="0008644F"/>
    <w:rsid w:val="00086480"/>
    <w:rsid w:val="000866F2"/>
    <w:rsid w:val="00086B4F"/>
    <w:rsid w:val="00087352"/>
    <w:rsid w:val="000877AC"/>
    <w:rsid w:val="00087B63"/>
    <w:rsid w:val="00087D86"/>
    <w:rsid w:val="0009041F"/>
    <w:rsid w:val="00090451"/>
    <w:rsid w:val="00090660"/>
    <w:rsid w:val="00090A9A"/>
    <w:rsid w:val="00090B7A"/>
    <w:rsid w:val="00090DB7"/>
    <w:rsid w:val="00091414"/>
    <w:rsid w:val="00091A9F"/>
    <w:rsid w:val="00092138"/>
    <w:rsid w:val="00094A0B"/>
    <w:rsid w:val="00094E9E"/>
    <w:rsid w:val="00094FBB"/>
    <w:rsid w:val="000951B9"/>
    <w:rsid w:val="00095494"/>
    <w:rsid w:val="0009598B"/>
    <w:rsid w:val="00095A15"/>
    <w:rsid w:val="00095AD4"/>
    <w:rsid w:val="00095F6C"/>
    <w:rsid w:val="00096451"/>
    <w:rsid w:val="000966CF"/>
    <w:rsid w:val="000978B0"/>
    <w:rsid w:val="000A0093"/>
    <w:rsid w:val="000A0BEE"/>
    <w:rsid w:val="000A10FB"/>
    <w:rsid w:val="000A191B"/>
    <w:rsid w:val="000A1AED"/>
    <w:rsid w:val="000A1CDC"/>
    <w:rsid w:val="000A201F"/>
    <w:rsid w:val="000A23E1"/>
    <w:rsid w:val="000A2471"/>
    <w:rsid w:val="000A257B"/>
    <w:rsid w:val="000A27BE"/>
    <w:rsid w:val="000A2889"/>
    <w:rsid w:val="000A2A31"/>
    <w:rsid w:val="000A2FF9"/>
    <w:rsid w:val="000A53EB"/>
    <w:rsid w:val="000A5723"/>
    <w:rsid w:val="000A5AF2"/>
    <w:rsid w:val="000A5DBA"/>
    <w:rsid w:val="000A6AF7"/>
    <w:rsid w:val="000A6E82"/>
    <w:rsid w:val="000A6F56"/>
    <w:rsid w:val="000A705E"/>
    <w:rsid w:val="000A7AC7"/>
    <w:rsid w:val="000B0235"/>
    <w:rsid w:val="000B052F"/>
    <w:rsid w:val="000B063A"/>
    <w:rsid w:val="000B08B2"/>
    <w:rsid w:val="000B1371"/>
    <w:rsid w:val="000B2538"/>
    <w:rsid w:val="000B2B2D"/>
    <w:rsid w:val="000B2BEE"/>
    <w:rsid w:val="000B38DB"/>
    <w:rsid w:val="000B3A4E"/>
    <w:rsid w:val="000B3F45"/>
    <w:rsid w:val="000B401D"/>
    <w:rsid w:val="000B4466"/>
    <w:rsid w:val="000B4D29"/>
    <w:rsid w:val="000B5156"/>
    <w:rsid w:val="000B630F"/>
    <w:rsid w:val="000B725D"/>
    <w:rsid w:val="000B7EC1"/>
    <w:rsid w:val="000B7F76"/>
    <w:rsid w:val="000C08C9"/>
    <w:rsid w:val="000C0A86"/>
    <w:rsid w:val="000C0ED4"/>
    <w:rsid w:val="000C133C"/>
    <w:rsid w:val="000C15C3"/>
    <w:rsid w:val="000C1D8B"/>
    <w:rsid w:val="000C2606"/>
    <w:rsid w:val="000C2993"/>
    <w:rsid w:val="000C2ED7"/>
    <w:rsid w:val="000C2EF0"/>
    <w:rsid w:val="000C303C"/>
    <w:rsid w:val="000C321D"/>
    <w:rsid w:val="000C456B"/>
    <w:rsid w:val="000C46D8"/>
    <w:rsid w:val="000C4E20"/>
    <w:rsid w:val="000C5497"/>
    <w:rsid w:val="000C5B38"/>
    <w:rsid w:val="000C5B3F"/>
    <w:rsid w:val="000C5FD1"/>
    <w:rsid w:val="000C668A"/>
    <w:rsid w:val="000C679D"/>
    <w:rsid w:val="000C710D"/>
    <w:rsid w:val="000C7196"/>
    <w:rsid w:val="000C72DC"/>
    <w:rsid w:val="000C7990"/>
    <w:rsid w:val="000C7F4E"/>
    <w:rsid w:val="000D0ADE"/>
    <w:rsid w:val="000D0BC6"/>
    <w:rsid w:val="000D12F2"/>
    <w:rsid w:val="000D3471"/>
    <w:rsid w:val="000D35B8"/>
    <w:rsid w:val="000D4930"/>
    <w:rsid w:val="000D4C0F"/>
    <w:rsid w:val="000D528B"/>
    <w:rsid w:val="000D55ED"/>
    <w:rsid w:val="000D5861"/>
    <w:rsid w:val="000D58BC"/>
    <w:rsid w:val="000D5925"/>
    <w:rsid w:val="000D64BA"/>
    <w:rsid w:val="000D6543"/>
    <w:rsid w:val="000D6EAC"/>
    <w:rsid w:val="000D774C"/>
    <w:rsid w:val="000D7AA5"/>
    <w:rsid w:val="000E0A26"/>
    <w:rsid w:val="000E0B90"/>
    <w:rsid w:val="000E0ECD"/>
    <w:rsid w:val="000E1217"/>
    <w:rsid w:val="000E12D0"/>
    <w:rsid w:val="000E2066"/>
    <w:rsid w:val="000E2E2C"/>
    <w:rsid w:val="000E352B"/>
    <w:rsid w:val="000E3563"/>
    <w:rsid w:val="000E3773"/>
    <w:rsid w:val="000E4405"/>
    <w:rsid w:val="000E4BFE"/>
    <w:rsid w:val="000E50F0"/>
    <w:rsid w:val="000E5264"/>
    <w:rsid w:val="000E5297"/>
    <w:rsid w:val="000E532F"/>
    <w:rsid w:val="000E55E3"/>
    <w:rsid w:val="000E5661"/>
    <w:rsid w:val="000E572D"/>
    <w:rsid w:val="000E5C15"/>
    <w:rsid w:val="000E679C"/>
    <w:rsid w:val="000E6FE2"/>
    <w:rsid w:val="000E7063"/>
    <w:rsid w:val="000E74E0"/>
    <w:rsid w:val="000E7BB8"/>
    <w:rsid w:val="000E7EDC"/>
    <w:rsid w:val="000F03ED"/>
    <w:rsid w:val="000F08FB"/>
    <w:rsid w:val="000F0951"/>
    <w:rsid w:val="000F0CCD"/>
    <w:rsid w:val="000F104D"/>
    <w:rsid w:val="000F113B"/>
    <w:rsid w:val="000F1972"/>
    <w:rsid w:val="000F242D"/>
    <w:rsid w:val="000F25F4"/>
    <w:rsid w:val="000F26FB"/>
    <w:rsid w:val="000F2AC7"/>
    <w:rsid w:val="000F374E"/>
    <w:rsid w:val="000F3893"/>
    <w:rsid w:val="000F42AC"/>
    <w:rsid w:val="000F43FB"/>
    <w:rsid w:val="000F44CC"/>
    <w:rsid w:val="000F4A23"/>
    <w:rsid w:val="000F5159"/>
    <w:rsid w:val="000F5210"/>
    <w:rsid w:val="000F5581"/>
    <w:rsid w:val="000F660D"/>
    <w:rsid w:val="000F74D0"/>
    <w:rsid w:val="000F77CE"/>
    <w:rsid w:val="000F7CA4"/>
    <w:rsid w:val="000F7E5B"/>
    <w:rsid w:val="000F7FB5"/>
    <w:rsid w:val="0010068B"/>
    <w:rsid w:val="00100D67"/>
    <w:rsid w:val="00101032"/>
    <w:rsid w:val="00101F1A"/>
    <w:rsid w:val="00101F9C"/>
    <w:rsid w:val="001023B7"/>
    <w:rsid w:val="001028AC"/>
    <w:rsid w:val="00103229"/>
    <w:rsid w:val="001033FF"/>
    <w:rsid w:val="001034DE"/>
    <w:rsid w:val="00103EAF"/>
    <w:rsid w:val="001047AA"/>
    <w:rsid w:val="00106058"/>
    <w:rsid w:val="00106BB9"/>
    <w:rsid w:val="00107042"/>
    <w:rsid w:val="001071C4"/>
    <w:rsid w:val="001074EC"/>
    <w:rsid w:val="00107798"/>
    <w:rsid w:val="0011004B"/>
    <w:rsid w:val="001100E9"/>
    <w:rsid w:val="00110458"/>
    <w:rsid w:val="00110666"/>
    <w:rsid w:val="001109B4"/>
    <w:rsid w:val="00110B03"/>
    <w:rsid w:val="0011122F"/>
    <w:rsid w:val="00111901"/>
    <w:rsid w:val="00111D5B"/>
    <w:rsid w:val="00111D8F"/>
    <w:rsid w:val="001120CE"/>
    <w:rsid w:val="0011243B"/>
    <w:rsid w:val="00112450"/>
    <w:rsid w:val="00112AB6"/>
    <w:rsid w:val="00112BBC"/>
    <w:rsid w:val="00112C8D"/>
    <w:rsid w:val="00112ECF"/>
    <w:rsid w:val="00112FCF"/>
    <w:rsid w:val="00113571"/>
    <w:rsid w:val="00113938"/>
    <w:rsid w:val="00114334"/>
    <w:rsid w:val="001143CC"/>
    <w:rsid w:val="001144E6"/>
    <w:rsid w:val="001144F7"/>
    <w:rsid w:val="00114B87"/>
    <w:rsid w:val="00114CDB"/>
    <w:rsid w:val="00114D62"/>
    <w:rsid w:val="00115247"/>
    <w:rsid w:val="00115397"/>
    <w:rsid w:val="00115419"/>
    <w:rsid w:val="00115BB7"/>
    <w:rsid w:val="00115F71"/>
    <w:rsid w:val="001160FC"/>
    <w:rsid w:val="00117610"/>
    <w:rsid w:val="00117CCF"/>
    <w:rsid w:val="001200C3"/>
    <w:rsid w:val="00120E70"/>
    <w:rsid w:val="00120F8D"/>
    <w:rsid w:val="00121796"/>
    <w:rsid w:val="0012186E"/>
    <w:rsid w:val="0012209F"/>
    <w:rsid w:val="001220E3"/>
    <w:rsid w:val="001228E4"/>
    <w:rsid w:val="00122CDD"/>
    <w:rsid w:val="00122F96"/>
    <w:rsid w:val="0012328D"/>
    <w:rsid w:val="0012371D"/>
    <w:rsid w:val="0012381E"/>
    <w:rsid w:val="00123D74"/>
    <w:rsid w:val="00123E4A"/>
    <w:rsid w:val="00123F9A"/>
    <w:rsid w:val="00124212"/>
    <w:rsid w:val="001247D5"/>
    <w:rsid w:val="00124890"/>
    <w:rsid w:val="00124A48"/>
    <w:rsid w:val="00124FFA"/>
    <w:rsid w:val="0012544E"/>
    <w:rsid w:val="00125507"/>
    <w:rsid w:val="00125751"/>
    <w:rsid w:val="00125C38"/>
    <w:rsid w:val="001265FF"/>
    <w:rsid w:val="00126DC7"/>
    <w:rsid w:val="00127352"/>
    <w:rsid w:val="00127649"/>
    <w:rsid w:val="00127A2A"/>
    <w:rsid w:val="00127A9F"/>
    <w:rsid w:val="00127B0F"/>
    <w:rsid w:val="00130A1B"/>
    <w:rsid w:val="00130F36"/>
    <w:rsid w:val="00131ABF"/>
    <w:rsid w:val="00131E54"/>
    <w:rsid w:val="00131F02"/>
    <w:rsid w:val="00132310"/>
    <w:rsid w:val="00133E40"/>
    <w:rsid w:val="00133F81"/>
    <w:rsid w:val="0013448B"/>
    <w:rsid w:val="00134691"/>
    <w:rsid w:val="001346E8"/>
    <w:rsid w:val="0013485C"/>
    <w:rsid w:val="00134924"/>
    <w:rsid w:val="001351F8"/>
    <w:rsid w:val="00135E33"/>
    <w:rsid w:val="001364E8"/>
    <w:rsid w:val="0013657F"/>
    <w:rsid w:val="001368FC"/>
    <w:rsid w:val="00136AB0"/>
    <w:rsid w:val="00136B2D"/>
    <w:rsid w:val="00136B8A"/>
    <w:rsid w:val="001377B0"/>
    <w:rsid w:val="00137813"/>
    <w:rsid w:val="00137854"/>
    <w:rsid w:val="00137BC6"/>
    <w:rsid w:val="00140148"/>
    <w:rsid w:val="0014042A"/>
    <w:rsid w:val="001407AA"/>
    <w:rsid w:val="00140905"/>
    <w:rsid w:val="00140EDD"/>
    <w:rsid w:val="0014181F"/>
    <w:rsid w:val="0014190C"/>
    <w:rsid w:val="001428C5"/>
    <w:rsid w:val="00142952"/>
    <w:rsid w:val="00142B5C"/>
    <w:rsid w:val="00142CC5"/>
    <w:rsid w:val="001436C0"/>
    <w:rsid w:val="001438B7"/>
    <w:rsid w:val="00143F1E"/>
    <w:rsid w:val="00144042"/>
    <w:rsid w:val="001440C7"/>
    <w:rsid w:val="00144425"/>
    <w:rsid w:val="00144FB2"/>
    <w:rsid w:val="00145422"/>
    <w:rsid w:val="00145ED3"/>
    <w:rsid w:val="00145F48"/>
    <w:rsid w:val="00146F4E"/>
    <w:rsid w:val="00147118"/>
    <w:rsid w:val="00147EE1"/>
    <w:rsid w:val="001509BE"/>
    <w:rsid w:val="00150A34"/>
    <w:rsid w:val="00150E2C"/>
    <w:rsid w:val="00151379"/>
    <w:rsid w:val="0015151E"/>
    <w:rsid w:val="00152A37"/>
    <w:rsid w:val="00152EA2"/>
    <w:rsid w:val="001530E2"/>
    <w:rsid w:val="00153D4E"/>
    <w:rsid w:val="00154850"/>
    <w:rsid w:val="00154B6F"/>
    <w:rsid w:val="00154CFA"/>
    <w:rsid w:val="001552DE"/>
    <w:rsid w:val="001553A4"/>
    <w:rsid w:val="00155763"/>
    <w:rsid w:val="00155E81"/>
    <w:rsid w:val="00155FFB"/>
    <w:rsid w:val="001569C6"/>
    <w:rsid w:val="00157049"/>
    <w:rsid w:val="0015730D"/>
    <w:rsid w:val="001573B4"/>
    <w:rsid w:val="00157EBE"/>
    <w:rsid w:val="001609BA"/>
    <w:rsid w:val="001610E8"/>
    <w:rsid w:val="0016240F"/>
    <w:rsid w:val="00162481"/>
    <w:rsid w:val="001624A2"/>
    <w:rsid w:val="001628AC"/>
    <w:rsid w:val="00162D08"/>
    <w:rsid w:val="00163325"/>
    <w:rsid w:val="001633DA"/>
    <w:rsid w:val="00163A4F"/>
    <w:rsid w:val="00163BB2"/>
    <w:rsid w:val="00163C19"/>
    <w:rsid w:val="0016490E"/>
    <w:rsid w:val="00164FF7"/>
    <w:rsid w:val="00165400"/>
    <w:rsid w:val="0016554B"/>
    <w:rsid w:val="00165F5D"/>
    <w:rsid w:val="00166125"/>
    <w:rsid w:val="0016634B"/>
    <w:rsid w:val="001663F3"/>
    <w:rsid w:val="00166E1C"/>
    <w:rsid w:val="00167158"/>
    <w:rsid w:val="00170A1A"/>
    <w:rsid w:val="0017100A"/>
    <w:rsid w:val="00171357"/>
    <w:rsid w:val="00171E95"/>
    <w:rsid w:val="001720F7"/>
    <w:rsid w:val="0017288C"/>
    <w:rsid w:val="001728D5"/>
    <w:rsid w:val="001733C5"/>
    <w:rsid w:val="00173910"/>
    <w:rsid w:val="00173FBC"/>
    <w:rsid w:val="00174529"/>
    <w:rsid w:val="001745DA"/>
    <w:rsid w:val="00175013"/>
    <w:rsid w:val="0017710D"/>
    <w:rsid w:val="001773AC"/>
    <w:rsid w:val="00177CD7"/>
    <w:rsid w:val="00177D43"/>
    <w:rsid w:val="00180066"/>
    <w:rsid w:val="001806BE"/>
    <w:rsid w:val="00181144"/>
    <w:rsid w:val="001813CB"/>
    <w:rsid w:val="00181750"/>
    <w:rsid w:val="00181AB7"/>
    <w:rsid w:val="00181C2B"/>
    <w:rsid w:val="00182699"/>
    <w:rsid w:val="001834D3"/>
    <w:rsid w:val="00183616"/>
    <w:rsid w:val="00183700"/>
    <w:rsid w:val="00183EB9"/>
    <w:rsid w:val="001845BA"/>
    <w:rsid w:val="0018463C"/>
    <w:rsid w:val="00184B68"/>
    <w:rsid w:val="00185590"/>
    <w:rsid w:val="0018618F"/>
    <w:rsid w:val="00186479"/>
    <w:rsid w:val="00186AAE"/>
    <w:rsid w:val="00186B13"/>
    <w:rsid w:val="00186B44"/>
    <w:rsid w:val="00186BB7"/>
    <w:rsid w:val="00186CAF"/>
    <w:rsid w:val="00187A27"/>
    <w:rsid w:val="0019053C"/>
    <w:rsid w:val="001906F9"/>
    <w:rsid w:val="0019095B"/>
    <w:rsid w:val="00190BD9"/>
    <w:rsid w:val="00190BE2"/>
    <w:rsid w:val="00190FEE"/>
    <w:rsid w:val="00191A1A"/>
    <w:rsid w:val="00192514"/>
    <w:rsid w:val="00192F03"/>
    <w:rsid w:val="00193754"/>
    <w:rsid w:val="0019411B"/>
    <w:rsid w:val="00194264"/>
    <w:rsid w:val="001944D1"/>
    <w:rsid w:val="00194C8A"/>
    <w:rsid w:val="001951DC"/>
    <w:rsid w:val="00195408"/>
    <w:rsid w:val="0019556E"/>
    <w:rsid w:val="001956E1"/>
    <w:rsid w:val="00195EB3"/>
    <w:rsid w:val="00196E4C"/>
    <w:rsid w:val="00196FCE"/>
    <w:rsid w:val="001971E5"/>
    <w:rsid w:val="0019760E"/>
    <w:rsid w:val="00197818"/>
    <w:rsid w:val="00197BC2"/>
    <w:rsid w:val="001A001A"/>
    <w:rsid w:val="001A03CC"/>
    <w:rsid w:val="001A042A"/>
    <w:rsid w:val="001A1384"/>
    <w:rsid w:val="001A1A7A"/>
    <w:rsid w:val="001A1DE5"/>
    <w:rsid w:val="001A23FC"/>
    <w:rsid w:val="001A25D0"/>
    <w:rsid w:val="001A2919"/>
    <w:rsid w:val="001A2F16"/>
    <w:rsid w:val="001A3630"/>
    <w:rsid w:val="001A3B54"/>
    <w:rsid w:val="001A3D6F"/>
    <w:rsid w:val="001A3FD7"/>
    <w:rsid w:val="001A4600"/>
    <w:rsid w:val="001A481A"/>
    <w:rsid w:val="001A4EBF"/>
    <w:rsid w:val="001A4FD0"/>
    <w:rsid w:val="001A562D"/>
    <w:rsid w:val="001A5744"/>
    <w:rsid w:val="001A59FD"/>
    <w:rsid w:val="001A6180"/>
    <w:rsid w:val="001A72AB"/>
    <w:rsid w:val="001A72E5"/>
    <w:rsid w:val="001A78F5"/>
    <w:rsid w:val="001A7CBC"/>
    <w:rsid w:val="001A7FA1"/>
    <w:rsid w:val="001B0013"/>
    <w:rsid w:val="001B05D6"/>
    <w:rsid w:val="001B074C"/>
    <w:rsid w:val="001B07D6"/>
    <w:rsid w:val="001B08BF"/>
    <w:rsid w:val="001B1726"/>
    <w:rsid w:val="001B2112"/>
    <w:rsid w:val="001B25C7"/>
    <w:rsid w:val="001B261B"/>
    <w:rsid w:val="001B2EAB"/>
    <w:rsid w:val="001B306E"/>
    <w:rsid w:val="001B3C72"/>
    <w:rsid w:val="001B4298"/>
    <w:rsid w:val="001B4482"/>
    <w:rsid w:val="001B5E9C"/>
    <w:rsid w:val="001B6169"/>
    <w:rsid w:val="001B71AD"/>
    <w:rsid w:val="001B767A"/>
    <w:rsid w:val="001B77DD"/>
    <w:rsid w:val="001C000C"/>
    <w:rsid w:val="001C00CF"/>
    <w:rsid w:val="001C0161"/>
    <w:rsid w:val="001C059F"/>
    <w:rsid w:val="001C0662"/>
    <w:rsid w:val="001C0D86"/>
    <w:rsid w:val="001C12EE"/>
    <w:rsid w:val="001C16DC"/>
    <w:rsid w:val="001C1B30"/>
    <w:rsid w:val="001C1F03"/>
    <w:rsid w:val="001C2255"/>
    <w:rsid w:val="001C2384"/>
    <w:rsid w:val="001C28B4"/>
    <w:rsid w:val="001C2CF8"/>
    <w:rsid w:val="001C3321"/>
    <w:rsid w:val="001C3849"/>
    <w:rsid w:val="001C3BDC"/>
    <w:rsid w:val="001C3C1F"/>
    <w:rsid w:val="001C49A3"/>
    <w:rsid w:val="001C50CB"/>
    <w:rsid w:val="001C5AE1"/>
    <w:rsid w:val="001C5C60"/>
    <w:rsid w:val="001C5F27"/>
    <w:rsid w:val="001C6A7F"/>
    <w:rsid w:val="001C6BBF"/>
    <w:rsid w:val="001C72FD"/>
    <w:rsid w:val="001C7436"/>
    <w:rsid w:val="001C76BF"/>
    <w:rsid w:val="001C7794"/>
    <w:rsid w:val="001C7DB0"/>
    <w:rsid w:val="001D03E0"/>
    <w:rsid w:val="001D0513"/>
    <w:rsid w:val="001D075B"/>
    <w:rsid w:val="001D092D"/>
    <w:rsid w:val="001D0A28"/>
    <w:rsid w:val="001D0F47"/>
    <w:rsid w:val="001D1962"/>
    <w:rsid w:val="001D1BB4"/>
    <w:rsid w:val="001D2A13"/>
    <w:rsid w:val="001D3296"/>
    <w:rsid w:val="001D37AB"/>
    <w:rsid w:val="001D3ABB"/>
    <w:rsid w:val="001D3C97"/>
    <w:rsid w:val="001D3DEA"/>
    <w:rsid w:val="001D41A2"/>
    <w:rsid w:val="001D4D9C"/>
    <w:rsid w:val="001D50F7"/>
    <w:rsid w:val="001D5619"/>
    <w:rsid w:val="001D608A"/>
    <w:rsid w:val="001D6956"/>
    <w:rsid w:val="001D7264"/>
    <w:rsid w:val="001D72E3"/>
    <w:rsid w:val="001D7431"/>
    <w:rsid w:val="001D7BA5"/>
    <w:rsid w:val="001E0061"/>
    <w:rsid w:val="001E00B8"/>
    <w:rsid w:val="001E0390"/>
    <w:rsid w:val="001E0ACD"/>
    <w:rsid w:val="001E1059"/>
    <w:rsid w:val="001E10C5"/>
    <w:rsid w:val="001E16C5"/>
    <w:rsid w:val="001E1BCD"/>
    <w:rsid w:val="001E276A"/>
    <w:rsid w:val="001E2D8B"/>
    <w:rsid w:val="001E331A"/>
    <w:rsid w:val="001E3702"/>
    <w:rsid w:val="001E37CF"/>
    <w:rsid w:val="001E394D"/>
    <w:rsid w:val="001E3F86"/>
    <w:rsid w:val="001E419C"/>
    <w:rsid w:val="001E43F8"/>
    <w:rsid w:val="001E6864"/>
    <w:rsid w:val="001E68A5"/>
    <w:rsid w:val="001E6BF3"/>
    <w:rsid w:val="001E79E9"/>
    <w:rsid w:val="001F0863"/>
    <w:rsid w:val="001F0901"/>
    <w:rsid w:val="001F09CB"/>
    <w:rsid w:val="001F0BD3"/>
    <w:rsid w:val="001F21C4"/>
    <w:rsid w:val="001F229F"/>
    <w:rsid w:val="001F24FB"/>
    <w:rsid w:val="001F28B3"/>
    <w:rsid w:val="001F2D6A"/>
    <w:rsid w:val="001F2E33"/>
    <w:rsid w:val="001F337B"/>
    <w:rsid w:val="001F392B"/>
    <w:rsid w:val="001F4388"/>
    <w:rsid w:val="001F469E"/>
    <w:rsid w:val="001F4DF0"/>
    <w:rsid w:val="001F52AB"/>
    <w:rsid w:val="001F560B"/>
    <w:rsid w:val="001F584E"/>
    <w:rsid w:val="001F5EF6"/>
    <w:rsid w:val="001F649F"/>
    <w:rsid w:val="001F6A5A"/>
    <w:rsid w:val="001F7A59"/>
    <w:rsid w:val="001F7CEF"/>
    <w:rsid w:val="001F7D24"/>
    <w:rsid w:val="00200219"/>
    <w:rsid w:val="00200845"/>
    <w:rsid w:val="00200E17"/>
    <w:rsid w:val="00201263"/>
    <w:rsid w:val="00201304"/>
    <w:rsid w:val="0020191E"/>
    <w:rsid w:val="00201964"/>
    <w:rsid w:val="00201CE1"/>
    <w:rsid w:val="00201FB1"/>
    <w:rsid w:val="00202076"/>
    <w:rsid w:val="00202C09"/>
    <w:rsid w:val="00202C0D"/>
    <w:rsid w:val="0020456A"/>
    <w:rsid w:val="00204A33"/>
    <w:rsid w:val="00204EB0"/>
    <w:rsid w:val="00204F3F"/>
    <w:rsid w:val="002050D6"/>
    <w:rsid w:val="00205C1A"/>
    <w:rsid w:val="00206C83"/>
    <w:rsid w:val="002071E4"/>
    <w:rsid w:val="002074CB"/>
    <w:rsid w:val="0020755E"/>
    <w:rsid w:val="002078A7"/>
    <w:rsid w:val="00210421"/>
    <w:rsid w:val="00210A21"/>
    <w:rsid w:val="00210D55"/>
    <w:rsid w:val="00210ED2"/>
    <w:rsid w:val="0021234B"/>
    <w:rsid w:val="0021256F"/>
    <w:rsid w:val="0021278F"/>
    <w:rsid w:val="00212967"/>
    <w:rsid w:val="00212FE5"/>
    <w:rsid w:val="00213755"/>
    <w:rsid w:val="00214145"/>
    <w:rsid w:val="00214331"/>
    <w:rsid w:val="00214C99"/>
    <w:rsid w:val="00214CDE"/>
    <w:rsid w:val="002154EA"/>
    <w:rsid w:val="00215A0E"/>
    <w:rsid w:val="00215ABE"/>
    <w:rsid w:val="00215C16"/>
    <w:rsid w:val="00215E54"/>
    <w:rsid w:val="002160F0"/>
    <w:rsid w:val="002165A5"/>
    <w:rsid w:val="00216AC0"/>
    <w:rsid w:val="0021700F"/>
    <w:rsid w:val="002171AB"/>
    <w:rsid w:val="002171CA"/>
    <w:rsid w:val="00217F57"/>
    <w:rsid w:val="0022186D"/>
    <w:rsid w:val="00221CE6"/>
    <w:rsid w:val="00221DA1"/>
    <w:rsid w:val="00221EEE"/>
    <w:rsid w:val="00221F28"/>
    <w:rsid w:val="002225A1"/>
    <w:rsid w:val="002228F1"/>
    <w:rsid w:val="00222BA7"/>
    <w:rsid w:val="00222E6C"/>
    <w:rsid w:val="00222F59"/>
    <w:rsid w:val="002237EC"/>
    <w:rsid w:val="002241C0"/>
    <w:rsid w:val="00224439"/>
    <w:rsid w:val="00224708"/>
    <w:rsid w:val="002249EF"/>
    <w:rsid w:val="00224B20"/>
    <w:rsid w:val="00224DB3"/>
    <w:rsid w:val="00224FC7"/>
    <w:rsid w:val="0022577B"/>
    <w:rsid w:val="00225D00"/>
    <w:rsid w:val="002260D6"/>
    <w:rsid w:val="00226190"/>
    <w:rsid w:val="0022668D"/>
    <w:rsid w:val="00226C88"/>
    <w:rsid w:val="00226CB4"/>
    <w:rsid w:val="00227154"/>
    <w:rsid w:val="0022723E"/>
    <w:rsid w:val="00227373"/>
    <w:rsid w:val="00227C8A"/>
    <w:rsid w:val="002309D2"/>
    <w:rsid w:val="00230E34"/>
    <w:rsid w:val="00230F6B"/>
    <w:rsid w:val="00231012"/>
    <w:rsid w:val="0023139B"/>
    <w:rsid w:val="002313B1"/>
    <w:rsid w:val="002315FB"/>
    <w:rsid w:val="00231D4D"/>
    <w:rsid w:val="0023219A"/>
    <w:rsid w:val="002325DB"/>
    <w:rsid w:val="00232AC7"/>
    <w:rsid w:val="00232CD4"/>
    <w:rsid w:val="002332AE"/>
    <w:rsid w:val="00233614"/>
    <w:rsid w:val="0023389B"/>
    <w:rsid w:val="00233A79"/>
    <w:rsid w:val="00233DFE"/>
    <w:rsid w:val="00233F2F"/>
    <w:rsid w:val="00234753"/>
    <w:rsid w:val="002349CA"/>
    <w:rsid w:val="00234D76"/>
    <w:rsid w:val="00235085"/>
    <w:rsid w:val="00235AFA"/>
    <w:rsid w:val="00235CF4"/>
    <w:rsid w:val="0023698F"/>
    <w:rsid w:val="00236B3D"/>
    <w:rsid w:val="00237942"/>
    <w:rsid w:val="00240004"/>
    <w:rsid w:val="0024028F"/>
    <w:rsid w:val="00240589"/>
    <w:rsid w:val="002407A0"/>
    <w:rsid w:val="00240A33"/>
    <w:rsid w:val="00240C9F"/>
    <w:rsid w:val="0024126C"/>
    <w:rsid w:val="0024144B"/>
    <w:rsid w:val="0024192F"/>
    <w:rsid w:val="00241ADF"/>
    <w:rsid w:val="00241F83"/>
    <w:rsid w:val="0024237D"/>
    <w:rsid w:val="0024243B"/>
    <w:rsid w:val="00242A88"/>
    <w:rsid w:val="00243102"/>
    <w:rsid w:val="00243747"/>
    <w:rsid w:val="00243A5F"/>
    <w:rsid w:val="00243D75"/>
    <w:rsid w:val="00244311"/>
    <w:rsid w:val="00244911"/>
    <w:rsid w:val="00246583"/>
    <w:rsid w:val="00247D36"/>
    <w:rsid w:val="00250226"/>
    <w:rsid w:val="0025026D"/>
    <w:rsid w:val="00250366"/>
    <w:rsid w:val="0025045E"/>
    <w:rsid w:val="00250980"/>
    <w:rsid w:val="002522E4"/>
    <w:rsid w:val="00252BB2"/>
    <w:rsid w:val="002530C4"/>
    <w:rsid w:val="002532FF"/>
    <w:rsid w:val="00253EBE"/>
    <w:rsid w:val="00254917"/>
    <w:rsid w:val="00254A10"/>
    <w:rsid w:val="00254BEE"/>
    <w:rsid w:val="00254DA4"/>
    <w:rsid w:val="00254EFA"/>
    <w:rsid w:val="0025569E"/>
    <w:rsid w:val="002557A7"/>
    <w:rsid w:val="002567D0"/>
    <w:rsid w:val="00256B98"/>
    <w:rsid w:val="0025703D"/>
    <w:rsid w:val="002573E9"/>
    <w:rsid w:val="00257421"/>
    <w:rsid w:val="00257898"/>
    <w:rsid w:val="00257A4C"/>
    <w:rsid w:val="00257D53"/>
    <w:rsid w:val="00257E3D"/>
    <w:rsid w:val="002602FA"/>
    <w:rsid w:val="0026032E"/>
    <w:rsid w:val="002603E6"/>
    <w:rsid w:val="00260ACD"/>
    <w:rsid w:val="00260DD2"/>
    <w:rsid w:val="00261D38"/>
    <w:rsid w:val="002628D7"/>
    <w:rsid w:val="00262F12"/>
    <w:rsid w:val="00263286"/>
    <w:rsid w:val="00263789"/>
    <w:rsid w:val="00263864"/>
    <w:rsid w:val="00263DD2"/>
    <w:rsid w:val="002641EE"/>
    <w:rsid w:val="002646AA"/>
    <w:rsid w:val="00264A33"/>
    <w:rsid w:val="00264A87"/>
    <w:rsid w:val="00265928"/>
    <w:rsid w:val="002659B5"/>
    <w:rsid w:val="00265BF5"/>
    <w:rsid w:val="00266B0F"/>
    <w:rsid w:val="002676D0"/>
    <w:rsid w:val="00267978"/>
    <w:rsid w:val="00267A0D"/>
    <w:rsid w:val="0027020A"/>
    <w:rsid w:val="002705EE"/>
    <w:rsid w:val="00270A50"/>
    <w:rsid w:val="0027175C"/>
    <w:rsid w:val="00272013"/>
    <w:rsid w:val="0027236A"/>
    <w:rsid w:val="00272595"/>
    <w:rsid w:val="00272B35"/>
    <w:rsid w:val="00272DD8"/>
    <w:rsid w:val="00272E80"/>
    <w:rsid w:val="00272F5B"/>
    <w:rsid w:val="002734EF"/>
    <w:rsid w:val="00273859"/>
    <w:rsid w:val="00274EB3"/>
    <w:rsid w:val="0027516D"/>
    <w:rsid w:val="00275181"/>
    <w:rsid w:val="0027523D"/>
    <w:rsid w:val="00275374"/>
    <w:rsid w:val="002754C6"/>
    <w:rsid w:val="00275ECB"/>
    <w:rsid w:val="00275F13"/>
    <w:rsid w:val="00276B82"/>
    <w:rsid w:val="002770B4"/>
    <w:rsid w:val="002774DD"/>
    <w:rsid w:val="00277615"/>
    <w:rsid w:val="00277BAE"/>
    <w:rsid w:val="00280154"/>
    <w:rsid w:val="002803CF"/>
    <w:rsid w:val="002803E8"/>
    <w:rsid w:val="002809A0"/>
    <w:rsid w:val="00280C0A"/>
    <w:rsid w:val="00281778"/>
    <w:rsid w:val="0028237F"/>
    <w:rsid w:val="00282389"/>
    <w:rsid w:val="00282F9E"/>
    <w:rsid w:val="002840D4"/>
    <w:rsid w:val="00284A8D"/>
    <w:rsid w:val="00284ECE"/>
    <w:rsid w:val="00284F84"/>
    <w:rsid w:val="002858D7"/>
    <w:rsid w:val="00285C6A"/>
    <w:rsid w:val="002861BC"/>
    <w:rsid w:val="00286B44"/>
    <w:rsid w:val="00287A15"/>
    <w:rsid w:val="00287EEC"/>
    <w:rsid w:val="002900B2"/>
    <w:rsid w:val="0029023E"/>
    <w:rsid w:val="002902D6"/>
    <w:rsid w:val="0029047C"/>
    <w:rsid w:val="002904C0"/>
    <w:rsid w:val="00290651"/>
    <w:rsid w:val="00290951"/>
    <w:rsid w:val="00290E98"/>
    <w:rsid w:val="0029152A"/>
    <w:rsid w:val="002915F9"/>
    <w:rsid w:val="00291875"/>
    <w:rsid w:val="00291EE3"/>
    <w:rsid w:val="00292DB1"/>
    <w:rsid w:val="00293325"/>
    <w:rsid w:val="00293A4F"/>
    <w:rsid w:val="00294222"/>
    <w:rsid w:val="00294BC5"/>
    <w:rsid w:val="00294FBD"/>
    <w:rsid w:val="0029520F"/>
    <w:rsid w:val="0029573A"/>
    <w:rsid w:val="00295E19"/>
    <w:rsid w:val="00295F97"/>
    <w:rsid w:val="0029682E"/>
    <w:rsid w:val="00296B70"/>
    <w:rsid w:val="00296BA3"/>
    <w:rsid w:val="00296F6A"/>
    <w:rsid w:val="0029732F"/>
    <w:rsid w:val="002A0326"/>
    <w:rsid w:val="002A0E2D"/>
    <w:rsid w:val="002A10AD"/>
    <w:rsid w:val="002A13B1"/>
    <w:rsid w:val="002A17A9"/>
    <w:rsid w:val="002A2531"/>
    <w:rsid w:val="002A2E3B"/>
    <w:rsid w:val="002A3448"/>
    <w:rsid w:val="002A3576"/>
    <w:rsid w:val="002A38A2"/>
    <w:rsid w:val="002A3A02"/>
    <w:rsid w:val="002A4148"/>
    <w:rsid w:val="002A43F0"/>
    <w:rsid w:val="002A4562"/>
    <w:rsid w:val="002A4A68"/>
    <w:rsid w:val="002A4C55"/>
    <w:rsid w:val="002A5095"/>
    <w:rsid w:val="002A55EF"/>
    <w:rsid w:val="002A5636"/>
    <w:rsid w:val="002A5793"/>
    <w:rsid w:val="002A5DDE"/>
    <w:rsid w:val="002A5F95"/>
    <w:rsid w:val="002A60BD"/>
    <w:rsid w:val="002A65F8"/>
    <w:rsid w:val="002A682F"/>
    <w:rsid w:val="002A7391"/>
    <w:rsid w:val="002A7742"/>
    <w:rsid w:val="002A7C2C"/>
    <w:rsid w:val="002B0FB2"/>
    <w:rsid w:val="002B1057"/>
    <w:rsid w:val="002B15A1"/>
    <w:rsid w:val="002B18E3"/>
    <w:rsid w:val="002B1A39"/>
    <w:rsid w:val="002B1C5A"/>
    <w:rsid w:val="002B1D44"/>
    <w:rsid w:val="002B278D"/>
    <w:rsid w:val="002B2C2A"/>
    <w:rsid w:val="002B2DED"/>
    <w:rsid w:val="002B3789"/>
    <w:rsid w:val="002B3932"/>
    <w:rsid w:val="002B3EF5"/>
    <w:rsid w:val="002B3F3A"/>
    <w:rsid w:val="002B419E"/>
    <w:rsid w:val="002B420D"/>
    <w:rsid w:val="002B450F"/>
    <w:rsid w:val="002B47EB"/>
    <w:rsid w:val="002B495E"/>
    <w:rsid w:val="002B4A68"/>
    <w:rsid w:val="002B4D93"/>
    <w:rsid w:val="002B540B"/>
    <w:rsid w:val="002B5DEA"/>
    <w:rsid w:val="002B6EDC"/>
    <w:rsid w:val="002B77BC"/>
    <w:rsid w:val="002B79E2"/>
    <w:rsid w:val="002B7B4E"/>
    <w:rsid w:val="002C0491"/>
    <w:rsid w:val="002C04DA"/>
    <w:rsid w:val="002C07BA"/>
    <w:rsid w:val="002C1809"/>
    <w:rsid w:val="002C1865"/>
    <w:rsid w:val="002C1D6E"/>
    <w:rsid w:val="002C210F"/>
    <w:rsid w:val="002C260E"/>
    <w:rsid w:val="002C3B3D"/>
    <w:rsid w:val="002C3FB1"/>
    <w:rsid w:val="002C503D"/>
    <w:rsid w:val="002C58CB"/>
    <w:rsid w:val="002C618A"/>
    <w:rsid w:val="002C62E0"/>
    <w:rsid w:val="002C6309"/>
    <w:rsid w:val="002C6F9D"/>
    <w:rsid w:val="002C7498"/>
    <w:rsid w:val="002C7FF1"/>
    <w:rsid w:val="002D045D"/>
    <w:rsid w:val="002D1375"/>
    <w:rsid w:val="002D150D"/>
    <w:rsid w:val="002D1799"/>
    <w:rsid w:val="002D1D11"/>
    <w:rsid w:val="002D24FF"/>
    <w:rsid w:val="002D2DB0"/>
    <w:rsid w:val="002D31ED"/>
    <w:rsid w:val="002D3BAB"/>
    <w:rsid w:val="002D401C"/>
    <w:rsid w:val="002D4B91"/>
    <w:rsid w:val="002D4E72"/>
    <w:rsid w:val="002D4FF3"/>
    <w:rsid w:val="002D56DD"/>
    <w:rsid w:val="002D6290"/>
    <w:rsid w:val="002D68A8"/>
    <w:rsid w:val="002D73D4"/>
    <w:rsid w:val="002D7447"/>
    <w:rsid w:val="002D75E6"/>
    <w:rsid w:val="002D7FE5"/>
    <w:rsid w:val="002E0E40"/>
    <w:rsid w:val="002E0F9D"/>
    <w:rsid w:val="002E178E"/>
    <w:rsid w:val="002E1D81"/>
    <w:rsid w:val="002E280F"/>
    <w:rsid w:val="002E29C0"/>
    <w:rsid w:val="002E2D30"/>
    <w:rsid w:val="002E2E66"/>
    <w:rsid w:val="002E496E"/>
    <w:rsid w:val="002E59D5"/>
    <w:rsid w:val="002E5AEB"/>
    <w:rsid w:val="002E5B4E"/>
    <w:rsid w:val="002E69EA"/>
    <w:rsid w:val="002E7297"/>
    <w:rsid w:val="002E7716"/>
    <w:rsid w:val="002E77B7"/>
    <w:rsid w:val="002F006F"/>
    <w:rsid w:val="002F0944"/>
    <w:rsid w:val="002F0F74"/>
    <w:rsid w:val="002F1153"/>
    <w:rsid w:val="002F13CA"/>
    <w:rsid w:val="002F199E"/>
    <w:rsid w:val="002F1C90"/>
    <w:rsid w:val="002F26F3"/>
    <w:rsid w:val="002F2A59"/>
    <w:rsid w:val="002F2D00"/>
    <w:rsid w:val="002F312F"/>
    <w:rsid w:val="002F3CBC"/>
    <w:rsid w:val="002F4AE7"/>
    <w:rsid w:val="002F4CAB"/>
    <w:rsid w:val="002F4E20"/>
    <w:rsid w:val="002F4EF1"/>
    <w:rsid w:val="002F57FC"/>
    <w:rsid w:val="002F5BCA"/>
    <w:rsid w:val="002F6BF9"/>
    <w:rsid w:val="002F75B4"/>
    <w:rsid w:val="003005EB"/>
    <w:rsid w:val="00300605"/>
    <w:rsid w:val="00301465"/>
    <w:rsid w:val="00301508"/>
    <w:rsid w:val="00301CE8"/>
    <w:rsid w:val="003028E1"/>
    <w:rsid w:val="00302F21"/>
    <w:rsid w:val="00303125"/>
    <w:rsid w:val="0030326A"/>
    <w:rsid w:val="00303533"/>
    <w:rsid w:val="00303874"/>
    <w:rsid w:val="00304074"/>
    <w:rsid w:val="00304C9C"/>
    <w:rsid w:val="00305632"/>
    <w:rsid w:val="00305F94"/>
    <w:rsid w:val="003063CF"/>
    <w:rsid w:val="003067D2"/>
    <w:rsid w:val="00306B99"/>
    <w:rsid w:val="00306F2E"/>
    <w:rsid w:val="00307E41"/>
    <w:rsid w:val="00310010"/>
    <w:rsid w:val="00310266"/>
    <w:rsid w:val="00311BF0"/>
    <w:rsid w:val="00311E06"/>
    <w:rsid w:val="00311E6A"/>
    <w:rsid w:val="00312808"/>
    <w:rsid w:val="0031282C"/>
    <w:rsid w:val="003128A5"/>
    <w:rsid w:val="003136B5"/>
    <w:rsid w:val="00313B7C"/>
    <w:rsid w:val="00314340"/>
    <w:rsid w:val="003145E7"/>
    <w:rsid w:val="0031475B"/>
    <w:rsid w:val="003148C5"/>
    <w:rsid w:val="00314927"/>
    <w:rsid w:val="003154FB"/>
    <w:rsid w:val="00315535"/>
    <w:rsid w:val="003155FD"/>
    <w:rsid w:val="00315E45"/>
    <w:rsid w:val="0031604C"/>
    <w:rsid w:val="00317A19"/>
    <w:rsid w:val="00317B9F"/>
    <w:rsid w:val="00317DAF"/>
    <w:rsid w:val="003200EA"/>
    <w:rsid w:val="003208B8"/>
    <w:rsid w:val="00320976"/>
    <w:rsid w:val="00320CA7"/>
    <w:rsid w:val="003210F0"/>
    <w:rsid w:val="00321568"/>
    <w:rsid w:val="00321D42"/>
    <w:rsid w:val="00322257"/>
    <w:rsid w:val="00323196"/>
    <w:rsid w:val="0032346A"/>
    <w:rsid w:val="00323540"/>
    <w:rsid w:val="00324106"/>
    <w:rsid w:val="00324273"/>
    <w:rsid w:val="00324318"/>
    <w:rsid w:val="00324324"/>
    <w:rsid w:val="003246E6"/>
    <w:rsid w:val="00324FEB"/>
    <w:rsid w:val="00325D54"/>
    <w:rsid w:val="0032615C"/>
    <w:rsid w:val="00326A54"/>
    <w:rsid w:val="00326CA4"/>
    <w:rsid w:val="00326F2E"/>
    <w:rsid w:val="00327254"/>
    <w:rsid w:val="0032799D"/>
    <w:rsid w:val="00330412"/>
    <w:rsid w:val="00331239"/>
    <w:rsid w:val="00331329"/>
    <w:rsid w:val="00331775"/>
    <w:rsid w:val="00331833"/>
    <w:rsid w:val="003325B2"/>
    <w:rsid w:val="00333076"/>
    <w:rsid w:val="003331BF"/>
    <w:rsid w:val="00333737"/>
    <w:rsid w:val="00333DC6"/>
    <w:rsid w:val="00334165"/>
    <w:rsid w:val="00334AC5"/>
    <w:rsid w:val="00334E09"/>
    <w:rsid w:val="00334E36"/>
    <w:rsid w:val="003351F7"/>
    <w:rsid w:val="00335A26"/>
    <w:rsid w:val="00335CEC"/>
    <w:rsid w:val="00335D20"/>
    <w:rsid w:val="00335F8B"/>
    <w:rsid w:val="00336FC6"/>
    <w:rsid w:val="003374AC"/>
    <w:rsid w:val="003378D9"/>
    <w:rsid w:val="00337C57"/>
    <w:rsid w:val="00337EC5"/>
    <w:rsid w:val="00340329"/>
    <w:rsid w:val="0034034A"/>
    <w:rsid w:val="0034080D"/>
    <w:rsid w:val="00340A2D"/>
    <w:rsid w:val="003414C2"/>
    <w:rsid w:val="003417A8"/>
    <w:rsid w:val="00341AF8"/>
    <w:rsid w:val="00341CB5"/>
    <w:rsid w:val="00342D05"/>
    <w:rsid w:val="003430DB"/>
    <w:rsid w:val="003439E7"/>
    <w:rsid w:val="00343B87"/>
    <w:rsid w:val="00344250"/>
    <w:rsid w:val="003445ED"/>
    <w:rsid w:val="00344AD6"/>
    <w:rsid w:val="0034534C"/>
    <w:rsid w:val="003456DE"/>
    <w:rsid w:val="00345894"/>
    <w:rsid w:val="00345A6B"/>
    <w:rsid w:val="00345F49"/>
    <w:rsid w:val="00346325"/>
    <w:rsid w:val="00346911"/>
    <w:rsid w:val="0034695B"/>
    <w:rsid w:val="00346E94"/>
    <w:rsid w:val="00346FA8"/>
    <w:rsid w:val="00347471"/>
    <w:rsid w:val="00347974"/>
    <w:rsid w:val="00347A78"/>
    <w:rsid w:val="00347E0E"/>
    <w:rsid w:val="0035138D"/>
    <w:rsid w:val="00351838"/>
    <w:rsid w:val="00351CE9"/>
    <w:rsid w:val="003522CD"/>
    <w:rsid w:val="00353930"/>
    <w:rsid w:val="0035408F"/>
    <w:rsid w:val="00354280"/>
    <w:rsid w:val="00355530"/>
    <w:rsid w:val="00356506"/>
    <w:rsid w:val="003565BF"/>
    <w:rsid w:val="00356AAE"/>
    <w:rsid w:val="003578B7"/>
    <w:rsid w:val="00357F04"/>
    <w:rsid w:val="003600E3"/>
    <w:rsid w:val="0036017B"/>
    <w:rsid w:val="003605E5"/>
    <w:rsid w:val="00360C1C"/>
    <w:rsid w:val="00361683"/>
    <w:rsid w:val="00361CF9"/>
    <w:rsid w:val="00361E6A"/>
    <w:rsid w:val="003620C9"/>
    <w:rsid w:val="00362AB5"/>
    <w:rsid w:val="00362C40"/>
    <w:rsid w:val="00364C61"/>
    <w:rsid w:val="00364E45"/>
    <w:rsid w:val="00365243"/>
    <w:rsid w:val="003658B2"/>
    <w:rsid w:val="003660C3"/>
    <w:rsid w:val="00366502"/>
    <w:rsid w:val="00367448"/>
    <w:rsid w:val="003674A3"/>
    <w:rsid w:val="0036760C"/>
    <w:rsid w:val="00367FE0"/>
    <w:rsid w:val="00370844"/>
    <w:rsid w:val="003710E3"/>
    <w:rsid w:val="00371FB8"/>
    <w:rsid w:val="00372232"/>
    <w:rsid w:val="0037326C"/>
    <w:rsid w:val="00373C98"/>
    <w:rsid w:val="00373F67"/>
    <w:rsid w:val="003741F9"/>
    <w:rsid w:val="003745FE"/>
    <w:rsid w:val="00374812"/>
    <w:rsid w:val="003760DB"/>
    <w:rsid w:val="00376598"/>
    <w:rsid w:val="003767F2"/>
    <w:rsid w:val="003777A0"/>
    <w:rsid w:val="003778C0"/>
    <w:rsid w:val="00377940"/>
    <w:rsid w:val="00377F86"/>
    <w:rsid w:val="00380173"/>
    <w:rsid w:val="0038082B"/>
    <w:rsid w:val="003808AB"/>
    <w:rsid w:val="003815E0"/>
    <w:rsid w:val="00381918"/>
    <w:rsid w:val="00381B07"/>
    <w:rsid w:val="00381B8F"/>
    <w:rsid w:val="0038226A"/>
    <w:rsid w:val="00382F4A"/>
    <w:rsid w:val="003833C9"/>
    <w:rsid w:val="00383B64"/>
    <w:rsid w:val="003843EC"/>
    <w:rsid w:val="003843F4"/>
    <w:rsid w:val="0038492A"/>
    <w:rsid w:val="00384B7D"/>
    <w:rsid w:val="0038507B"/>
    <w:rsid w:val="00385318"/>
    <w:rsid w:val="003858C2"/>
    <w:rsid w:val="00385969"/>
    <w:rsid w:val="00385A1D"/>
    <w:rsid w:val="00385A6F"/>
    <w:rsid w:val="00386191"/>
    <w:rsid w:val="00386A48"/>
    <w:rsid w:val="0038700B"/>
    <w:rsid w:val="003872D2"/>
    <w:rsid w:val="003872E5"/>
    <w:rsid w:val="00387B5D"/>
    <w:rsid w:val="00387DAA"/>
    <w:rsid w:val="00387EFD"/>
    <w:rsid w:val="00390B8B"/>
    <w:rsid w:val="00390D99"/>
    <w:rsid w:val="003922D2"/>
    <w:rsid w:val="00393370"/>
    <w:rsid w:val="003933BC"/>
    <w:rsid w:val="00393E8D"/>
    <w:rsid w:val="00394397"/>
    <w:rsid w:val="00394F8D"/>
    <w:rsid w:val="00395E91"/>
    <w:rsid w:val="00396283"/>
    <w:rsid w:val="00396635"/>
    <w:rsid w:val="00396AD7"/>
    <w:rsid w:val="00396CB2"/>
    <w:rsid w:val="00397ABA"/>
    <w:rsid w:val="003A0651"/>
    <w:rsid w:val="003A0B6E"/>
    <w:rsid w:val="003A0D8B"/>
    <w:rsid w:val="003A0FBF"/>
    <w:rsid w:val="003A1959"/>
    <w:rsid w:val="003A1DB9"/>
    <w:rsid w:val="003A1EF7"/>
    <w:rsid w:val="003A2069"/>
    <w:rsid w:val="003A3A3D"/>
    <w:rsid w:val="003A3FA7"/>
    <w:rsid w:val="003A49CB"/>
    <w:rsid w:val="003A504C"/>
    <w:rsid w:val="003A525A"/>
    <w:rsid w:val="003A52A2"/>
    <w:rsid w:val="003A5B2E"/>
    <w:rsid w:val="003A5CF6"/>
    <w:rsid w:val="003A601A"/>
    <w:rsid w:val="003A6110"/>
    <w:rsid w:val="003A6971"/>
    <w:rsid w:val="003A6D9C"/>
    <w:rsid w:val="003A6E43"/>
    <w:rsid w:val="003A70AE"/>
    <w:rsid w:val="003A78AE"/>
    <w:rsid w:val="003A7B54"/>
    <w:rsid w:val="003A7BC6"/>
    <w:rsid w:val="003B0246"/>
    <w:rsid w:val="003B086C"/>
    <w:rsid w:val="003B0B52"/>
    <w:rsid w:val="003B10A8"/>
    <w:rsid w:val="003B141F"/>
    <w:rsid w:val="003B165B"/>
    <w:rsid w:val="003B203D"/>
    <w:rsid w:val="003B2A88"/>
    <w:rsid w:val="003B2C8B"/>
    <w:rsid w:val="003B3201"/>
    <w:rsid w:val="003B3D52"/>
    <w:rsid w:val="003B417B"/>
    <w:rsid w:val="003B44EA"/>
    <w:rsid w:val="003B4F7B"/>
    <w:rsid w:val="003B522D"/>
    <w:rsid w:val="003B5586"/>
    <w:rsid w:val="003B5A32"/>
    <w:rsid w:val="003B5BD9"/>
    <w:rsid w:val="003B704B"/>
    <w:rsid w:val="003B76BA"/>
    <w:rsid w:val="003B7F09"/>
    <w:rsid w:val="003C04DE"/>
    <w:rsid w:val="003C0B0A"/>
    <w:rsid w:val="003C0E61"/>
    <w:rsid w:val="003C12BC"/>
    <w:rsid w:val="003C13B7"/>
    <w:rsid w:val="003C13C0"/>
    <w:rsid w:val="003C145A"/>
    <w:rsid w:val="003C1B1E"/>
    <w:rsid w:val="003C253B"/>
    <w:rsid w:val="003C2CD9"/>
    <w:rsid w:val="003C2E78"/>
    <w:rsid w:val="003C2FBF"/>
    <w:rsid w:val="003C3273"/>
    <w:rsid w:val="003C3A71"/>
    <w:rsid w:val="003C3ED2"/>
    <w:rsid w:val="003C4497"/>
    <w:rsid w:val="003C4852"/>
    <w:rsid w:val="003C4879"/>
    <w:rsid w:val="003C4E2E"/>
    <w:rsid w:val="003C511B"/>
    <w:rsid w:val="003C5B40"/>
    <w:rsid w:val="003C60A0"/>
    <w:rsid w:val="003C636F"/>
    <w:rsid w:val="003C63C0"/>
    <w:rsid w:val="003C7360"/>
    <w:rsid w:val="003C7901"/>
    <w:rsid w:val="003D050A"/>
    <w:rsid w:val="003D054E"/>
    <w:rsid w:val="003D06C2"/>
    <w:rsid w:val="003D0849"/>
    <w:rsid w:val="003D1872"/>
    <w:rsid w:val="003D1D98"/>
    <w:rsid w:val="003D1DDC"/>
    <w:rsid w:val="003D26FE"/>
    <w:rsid w:val="003D270D"/>
    <w:rsid w:val="003D29DE"/>
    <w:rsid w:val="003D3637"/>
    <w:rsid w:val="003D36AC"/>
    <w:rsid w:val="003D3BA4"/>
    <w:rsid w:val="003D4146"/>
    <w:rsid w:val="003D416D"/>
    <w:rsid w:val="003D4716"/>
    <w:rsid w:val="003D4804"/>
    <w:rsid w:val="003D4853"/>
    <w:rsid w:val="003D499C"/>
    <w:rsid w:val="003D4A1C"/>
    <w:rsid w:val="003D4AA0"/>
    <w:rsid w:val="003D52A8"/>
    <w:rsid w:val="003D5529"/>
    <w:rsid w:val="003D596D"/>
    <w:rsid w:val="003D5F8D"/>
    <w:rsid w:val="003D603E"/>
    <w:rsid w:val="003D6195"/>
    <w:rsid w:val="003D669F"/>
    <w:rsid w:val="003D69C7"/>
    <w:rsid w:val="003D6BD4"/>
    <w:rsid w:val="003D6BF6"/>
    <w:rsid w:val="003D7197"/>
    <w:rsid w:val="003D757E"/>
    <w:rsid w:val="003D7A5B"/>
    <w:rsid w:val="003D7FD4"/>
    <w:rsid w:val="003E0146"/>
    <w:rsid w:val="003E0228"/>
    <w:rsid w:val="003E02E9"/>
    <w:rsid w:val="003E0652"/>
    <w:rsid w:val="003E082D"/>
    <w:rsid w:val="003E09EF"/>
    <w:rsid w:val="003E10C3"/>
    <w:rsid w:val="003E215D"/>
    <w:rsid w:val="003E24EF"/>
    <w:rsid w:val="003E35B8"/>
    <w:rsid w:val="003E51A1"/>
    <w:rsid w:val="003E525A"/>
    <w:rsid w:val="003E585E"/>
    <w:rsid w:val="003E6865"/>
    <w:rsid w:val="003E6BB0"/>
    <w:rsid w:val="003E7300"/>
    <w:rsid w:val="003E740E"/>
    <w:rsid w:val="003E75A4"/>
    <w:rsid w:val="003E7ABA"/>
    <w:rsid w:val="003E7D19"/>
    <w:rsid w:val="003F0657"/>
    <w:rsid w:val="003F06B2"/>
    <w:rsid w:val="003F0A0C"/>
    <w:rsid w:val="003F0E4C"/>
    <w:rsid w:val="003F1208"/>
    <w:rsid w:val="003F1280"/>
    <w:rsid w:val="003F13A2"/>
    <w:rsid w:val="003F1557"/>
    <w:rsid w:val="003F19BE"/>
    <w:rsid w:val="003F1A96"/>
    <w:rsid w:val="003F1CBD"/>
    <w:rsid w:val="003F1D54"/>
    <w:rsid w:val="003F1E2D"/>
    <w:rsid w:val="003F3108"/>
    <w:rsid w:val="003F3363"/>
    <w:rsid w:val="003F34AF"/>
    <w:rsid w:val="003F3B61"/>
    <w:rsid w:val="003F3C73"/>
    <w:rsid w:val="003F3CDC"/>
    <w:rsid w:val="003F3EC2"/>
    <w:rsid w:val="003F4170"/>
    <w:rsid w:val="003F489D"/>
    <w:rsid w:val="003F49B4"/>
    <w:rsid w:val="003F4A4F"/>
    <w:rsid w:val="003F5925"/>
    <w:rsid w:val="003F6291"/>
    <w:rsid w:val="003F6353"/>
    <w:rsid w:val="003F63C4"/>
    <w:rsid w:val="003F6AE2"/>
    <w:rsid w:val="003F6FA3"/>
    <w:rsid w:val="003F7336"/>
    <w:rsid w:val="003F782F"/>
    <w:rsid w:val="003F7B56"/>
    <w:rsid w:val="003F7DFB"/>
    <w:rsid w:val="004001E2"/>
    <w:rsid w:val="00400B1D"/>
    <w:rsid w:val="00400B57"/>
    <w:rsid w:val="00400B61"/>
    <w:rsid w:val="00402582"/>
    <w:rsid w:val="00402672"/>
    <w:rsid w:val="00402FDC"/>
    <w:rsid w:val="004030DD"/>
    <w:rsid w:val="0040359A"/>
    <w:rsid w:val="00403686"/>
    <w:rsid w:val="00404604"/>
    <w:rsid w:val="00404E26"/>
    <w:rsid w:val="00404F7C"/>
    <w:rsid w:val="00405131"/>
    <w:rsid w:val="0040645D"/>
    <w:rsid w:val="00406488"/>
    <w:rsid w:val="004076C5"/>
    <w:rsid w:val="00407BE2"/>
    <w:rsid w:val="00410855"/>
    <w:rsid w:val="00410A11"/>
    <w:rsid w:val="00410FA7"/>
    <w:rsid w:val="004120E7"/>
    <w:rsid w:val="00412169"/>
    <w:rsid w:val="004121EB"/>
    <w:rsid w:val="004127D9"/>
    <w:rsid w:val="00412894"/>
    <w:rsid w:val="004129AD"/>
    <w:rsid w:val="00412AC3"/>
    <w:rsid w:val="004133F9"/>
    <w:rsid w:val="00413EFE"/>
    <w:rsid w:val="00414514"/>
    <w:rsid w:val="00414B1F"/>
    <w:rsid w:val="00414B5B"/>
    <w:rsid w:val="004153CD"/>
    <w:rsid w:val="004157F6"/>
    <w:rsid w:val="004158F5"/>
    <w:rsid w:val="004161BD"/>
    <w:rsid w:val="004164A6"/>
    <w:rsid w:val="004169A4"/>
    <w:rsid w:val="00416CA4"/>
    <w:rsid w:val="00416E04"/>
    <w:rsid w:val="004173CF"/>
    <w:rsid w:val="004175B7"/>
    <w:rsid w:val="004179E6"/>
    <w:rsid w:val="00417C16"/>
    <w:rsid w:val="00420668"/>
    <w:rsid w:val="0042068D"/>
    <w:rsid w:val="004209C2"/>
    <w:rsid w:val="00420AEC"/>
    <w:rsid w:val="0042129C"/>
    <w:rsid w:val="00421475"/>
    <w:rsid w:val="0042198D"/>
    <w:rsid w:val="004219E6"/>
    <w:rsid w:val="00423934"/>
    <w:rsid w:val="00423ACA"/>
    <w:rsid w:val="00423C4E"/>
    <w:rsid w:val="00423D7B"/>
    <w:rsid w:val="00423D85"/>
    <w:rsid w:val="00424198"/>
    <w:rsid w:val="00424389"/>
    <w:rsid w:val="00424DC6"/>
    <w:rsid w:val="0042511F"/>
    <w:rsid w:val="0042529B"/>
    <w:rsid w:val="00425575"/>
    <w:rsid w:val="00425707"/>
    <w:rsid w:val="004258C5"/>
    <w:rsid w:val="00425DE6"/>
    <w:rsid w:val="00425E29"/>
    <w:rsid w:val="00426250"/>
    <w:rsid w:val="004269BB"/>
    <w:rsid w:val="00426F5F"/>
    <w:rsid w:val="00427385"/>
    <w:rsid w:val="004273E5"/>
    <w:rsid w:val="0042790E"/>
    <w:rsid w:val="00427A54"/>
    <w:rsid w:val="00427E80"/>
    <w:rsid w:val="00430382"/>
    <w:rsid w:val="004315EB"/>
    <w:rsid w:val="004316E3"/>
    <w:rsid w:val="00431BFA"/>
    <w:rsid w:val="00431C31"/>
    <w:rsid w:val="00432085"/>
    <w:rsid w:val="00432468"/>
    <w:rsid w:val="00433231"/>
    <w:rsid w:val="004338D0"/>
    <w:rsid w:val="00433931"/>
    <w:rsid w:val="004339B1"/>
    <w:rsid w:val="00433A55"/>
    <w:rsid w:val="00433B65"/>
    <w:rsid w:val="00433E16"/>
    <w:rsid w:val="00434E61"/>
    <w:rsid w:val="00435D60"/>
    <w:rsid w:val="00435DEC"/>
    <w:rsid w:val="0043690F"/>
    <w:rsid w:val="00436A3B"/>
    <w:rsid w:val="00436AE1"/>
    <w:rsid w:val="0043713B"/>
    <w:rsid w:val="00437887"/>
    <w:rsid w:val="00437BBF"/>
    <w:rsid w:val="00437D24"/>
    <w:rsid w:val="00437DA3"/>
    <w:rsid w:val="00440426"/>
    <w:rsid w:val="00440765"/>
    <w:rsid w:val="00441444"/>
    <w:rsid w:val="004417FD"/>
    <w:rsid w:val="004426E3"/>
    <w:rsid w:val="004429C3"/>
    <w:rsid w:val="00442A78"/>
    <w:rsid w:val="00442DD7"/>
    <w:rsid w:val="004433D3"/>
    <w:rsid w:val="0044402F"/>
    <w:rsid w:val="00444CF2"/>
    <w:rsid w:val="0044534A"/>
    <w:rsid w:val="00445648"/>
    <w:rsid w:val="0044603E"/>
    <w:rsid w:val="004461B0"/>
    <w:rsid w:val="004466BA"/>
    <w:rsid w:val="00446DCB"/>
    <w:rsid w:val="00447DBA"/>
    <w:rsid w:val="00450123"/>
    <w:rsid w:val="0045041F"/>
    <w:rsid w:val="00450AFB"/>
    <w:rsid w:val="004514A1"/>
    <w:rsid w:val="00452822"/>
    <w:rsid w:val="00452D45"/>
    <w:rsid w:val="00453238"/>
    <w:rsid w:val="00453546"/>
    <w:rsid w:val="00453895"/>
    <w:rsid w:val="004543BB"/>
    <w:rsid w:val="00454922"/>
    <w:rsid w:val="00454C57"/>
    <w:rsid w:val="00455834"/>
    <w:rsid w:val="00455EFE"/>
    <w:rsid w:val="0045694F"/>
    <w:rsid w:val="00456FA9"/>
    <w:rsid w:val="00457021"/>
    <w:rsid w:val="004574C9"/>
    <w:rsid w:val="004606FF"/>
    <w:rsid w:val="004607EC"/>
    <w:rsid w:val="00460B86"/>
    <w:rsid w:val="00460E30"/>
    <w:rsid w:val="0046106B"/>
    <w:rsid w:val="00461112"/>
    <w:rsid w:val="00461275"/>
    <w:rsid w:val="004612AB"/>
    <w:rsid w:val="00461D76"/>
    <w:rsid w:val="00461E02"/>
    <w:rsid w:val="00461F21"/>
    <w:rsid w:val="0046227C"/>
    <w:rsid w:val="004629B0"/>
    <w:rsid w:val="00462BA7"/>
    <w:rsid w:val="00462CD0"/>
    <w:rsid w:val="00463918"/>
    <w:rsid w:val="00463A2C"/>
    <w:rsid w:val="00463AE0"/>
    <w:rsid w:val="00463CD9"/>
    <w:rsid w:val="0046440F"/>
    <w:rsid w:val="0046501F"/>
    <w:rsid w:val="004667E7"/>
    <w:rsid w:val="00467163"/>
    <w:rsid w:val="00467449"/>
    <w:rsid w:val="004676B7"/>
    <w:rsid w:val="004677E9"/>
    <w:rsid w:val="00467875"/>
    <w:rsid w:val="00467EC2"/>
    <w:rsid w:val="004701A2"/>
    <w:rsid w:val="004705C0"/>
    <w:rsid w:val="00471005"/>
    <w:rsid w:val="004710AE"/>
    <w:rsid w:val="0047120B"/>
    <w:rsid w:val="00471338"/>
    <w:rsid w:val="004715C5"/>
    <w:rsid w:val="0047173B"/>
    <w:rsid w:val="004719F7"/>
    <w:rsid w:val="00471E74"/>
    <w:rsid w:val="004721FF"/>
    <w:rsid w:val="00472C67"/>
    <w:rsid w:val="00472F5B"/>
    <w:rsid w:val="004734F3"/>
    <w:rsid w:val="00473B5A"/>
    <w:rsid w:val="00473FFC"/>
    <w:rsid w:val="00474D46"/>
    <w:rsid w:val="004755A2"/>
    <w:rsid w:val="0047575A"/>
    <w:rsid w:val="00475A72"/>
    <w:rsid w:val="00475FDC"/>
    <w:rsid w:val="00476416"/>
    <w:rsid w:val="00476422"/>
    <w:rsid w:val="00476ACE"/>
    <w:rsid w:val="00476E68"/>
    <w:rsid w:val="00476EBB"/>
    <w:rsid w:val="004771F1"/>
    <w:rsid w:val="004776D4"/>
    <w:rsid w:val="00477F49"/>
    <w:rsid w:val="00480109"/>
    <w:rsid w:val="004808AC"/>
    <w:rsid w:val="00480AB2"/>
    <w:rsid w:val="0048106B"/>
    <w:rsid w:val="004813FA"/>
    <w:rsid w:val="00481C8A"/>
    <w:rsid w:val="00481CD2"/>
    <w:rsid w:val="00481D3D"/>
    <w:rsid w:val="00481ED4"/>
    <w:rsid w:val="00481F5E"/>
    <w:rsid w:val="004822A5"/>
    <w:rsid w:val="0048251C"/>
    <w:rsid w:val="00482B46"/>
    <w:rsid w:val="00482CC9"/>
    <w:rsid w:val="00482DB2"/>
    <w:rsid w:val="00483624"/>
    <w:rsid w:val="0048370A"/>
    <w:rsid w:val="00483C79"/>
    <w:rsid w:val="004844BC"/>
    <w:rsid w:val="004845BB"/>
    <w:rsid w:val="00484815"/>
    <w:rsid w:val="00484BB9"/>
    <w:rsid w:val="00485581"/>
    <w:rsid w:val="00485B72"/>
    <w:rsid w:val="00485EB1"/>
    <w:rsid w:val="0048620A"/>
    <w:rsid w:val="0048674C"/>
    <w:rsid w:val="00486D82"/>
    <w:rsid w:val="00486D8B"/>
    <w:rsid w:val="00486FE1"/>
    <w:rsid w:val="004879C7"/>
    <w:rsid w:val="00490D5B"/>
    <w:rsid w:val="004911B4"/>
    <w:rsid w:val="00491A5E"/>
    <w:rsid w:val="00491B0F"/>
    <w:rsid w:val="00492FA1"/>
    <w:rsid w:val="004936DB"/>
    <w:rsid w:val="00494B0D"/>
    <w:rsid w:val="0049565D"/>
    <w:rsid w:val="004958E6"/>
    <w:rsid w:val="00495948"/>
    <w:rsid w:val="00496A05"/>
    <w:rsid w:val="00496D84"/>
    <w:rsid w:val="00496D9B"/>
    <w:rsid w:val="00496E3E"/>
    <w:rsid w:val="00497463"/>
    <w:rsid w:val="00497889"/>
    <w:rsid w:val="004A0277"/>
    <w:rsid w:val="004A0850"/>
    <w:rsid w:val="004A0A49"/>
    <w:rsid w:val="004A25CD"/>
    <w:rsid w:val="004A2A16"/>
    <w:rsid w:val="004A2D9B"/>
    <w:rsid w:val="004A3627"/>
    <w:rsid w:val="004A39E6"/>
    <w:rsid w:val="004A3FDD"/>
    <w:rsid w:val="004A4066"/>
    <w:rsid w:val="004A4191"/>
    <w:rsid w:val="004A4BB1"/>
    <w:rsid w:val="004A581C"/>
    <w:rsid w:val="004A6708"/>
    <w:rsid w:val="004A77A6"/>
    <w:rsid w:val="004B0BDD"/>
    <w:rsid w:val="004B13F1"/>
    <w:rsid w:val="004B189C"/>
    <w:rsid w:val="004B25F9"/>
    <w:rsid w:val="004B29F2"/>
    <w:rsid w:val="004B2C6E"/>
    <w:rsid w:val="004B2C87"/>
    <w:rsid w:val="004B3760"/>
    <w:rsid w:val="004B3ED9"/>
    <w:rsid w:val="004B4422"/>
    <w:rsid w:val="004B4498"/>
    <w:rsid w:val="004B4F47"/>
    <w:rsid w:val="004B5361"/>
    <w:rsid w:val="004B589B"/>
    <w:rsid w:val="004B5DB4"/>
    <w:rsid w:val="004B601A"/>
    <w:rsid w:val="004B6142"/>
    <w:rsid w:val="004B6563"/>
    <w:rsid w:val="004B6DE6"/>
    <w:rsid w:val="004B7425"/>
    <w:rsid w:val="004B76BE"/>
    <w:rsid w:val="004B79E1"/>
    <w:rsid w:val="004B7A32"/>
    <w:rsid w:val="004C07B2"/>
    <w:rsid w:val="004C09F8"/>
    <w:rsid w:val="004C0A70"/>
    <w:rsid w:val="004C10B3"/>
    <w:rsid w:val="004C1336"/>
    <w:rsid w:val="004C1BB4"/>
    <w:rsid w:val="004C1EE1"/>
    <w:rsid w:val="004C1F58"/>
    <w:rsid w:val="004C2151"/>
    <w:rsid w:val="004C283C"/>
    <w:rsid w:val="004C2CE1"/>
    <w:rsid w:val="004C3B2B"/>
    <w:rsid w:val="004C3C78"/>
    <w:rsid w:val="004C3FA9"/>
    <w:rsid w:val="004C402A"/>
    <w:rsid w:val="004C452A"/>
    <w:rsid w:val="004C4787"/>
    <w:rsid w:val="004C4843"/>
    <w:rsid w:val="004C4AAF"/>
    <w:rsid w:val="004C4B6A"/>
    <w:rsid w:val="004C4F9A"/>
    <w:rsid w:val="004C52F3"/>
    <w:rsid w:val="004C54E2"/>
    <w:rsid w:val="004C57D1"/>
    <w:rsid w:val="004C5800"/>
    <w:rsid w:val="004C5C4F"/>
    <w:rsid w:val="004C5D79"/>
    <w:rsid w:val="004C5D87"/>
    <w:rsid w:val="004C6344"/>
    <w:rsid w:val="004C642B"/>
    <w:rsid w:val="004C6ADF"/>
    <w:rsid w:val="004C76CE"/>
    <w:rsid w:val="004C7A3D"/>
    <w:rsid w:val="004C7B96"/>
    <w:rsid w:val="004C7E10"/>
    <w:rsid w:val="004D028E"/>
    <w:rsid w:val="004D037A"/>
    <w:rsid w:val="004D03DD"/>
    <w:rsid w:val="004D076F"/>
    <w:rsid w:val="004D1A85"/>
    <w:rsid w:val="004D23D2"/>
    <w:rsid w:val="004D4ADA"/>
    <w:rsid w:val="004D4D9B"/>
    <w:rsid w:val="004D500C"/>
    <w:rsid w:val="004D567D"/>
    <w:rsid w:val="004D5695"/>
    <w:rsid w:val="004D5B93"/>
    <w:rsid w:val="004D5DC1"/>
    <w:rsid w:val="004D5EB5"/>
    <w:rsid w:val="004D61B7"/>
    <w:rsid w:val="004D71A7"/>
    <w:rsid w:val="004D74E4"/>
    <w:rsid w:val="004D7B70"/>
    <w:rsid w:val="004E0211"/>
    <w:rsid w:val="004E0AF2"/>
    <w:rsid w:val="004E0FBC"/>
    <w:rsid w:val="004E114E"/>
    <w:rsid w:val="004E23DE"/>
    <w:rsid w:val="004E2A2A"/>
    <w:rsid w:val="004E2C6E"/>
    <w:rsid w:val="004E30C7"/>
    <w:rsid w:val="004E3446"/>
    <w:rsid w:val="004E352E"/>
    <w:rsid w:val="004E35EB"/>
    <w:rsid w:val="004E3621"/>
    <w:rsid w:val="004E4321"/>
    <w:rsid w:val="004E4348"/>
    <w:rsid w:val="004E44F4"/>
    <w:rsid w:val="004E5883"/>
    <w:rsid w:val="004E5B31"/>
    <w:rsid w:val="004E611C"/>
    <w:rsid w:val="004E6E94"/>
    <w:rsid w:val="004E6F29"/>
    <w:rsid w:val="004E6F38"/>
    <w:rsid w:val="004E738D"/>
    <w:rsid w:val="004E759F"/>
    <w:rsid w:val="004E7F50"/>
    <w:rsid w:val="004F0058"/>
    <w:rsid w:val="004F0E81"/>
    <w:rsid w:val="004F159B"/>
    <w:rsid w:val="004F17E5"/>
    <w:rsid w:val="004F1A7D"/>
    <w:rsid w:val="004F3093"/>
    <w:rsid w:val="004F39EA"/>
    <w:rsid w:val="004F3C89"/>
    <w:rsid w:val="004F3CFE"/>
    <w:rsid w:val="004F3ED3"/>
    <w:rsid w:val="004F498D"/>
    <w:rsid w:val="004F4A81"/>
    <w:rsid w:val="004F4CED"/>
    <w:rsid w:val="004F4DD3"/>
    <w:rsid w:val="004F595C"/>
    <w:rsid w:val="004F5B34"/>
    <w:rsid w:val="004F5EDB"/>
    <w:rsid w:val="004F5FFD"/>
    <w:rsid w:val="004F6584"/>
    <w:rsid w:val="004F67D8"/>
    <w:rsid w:val="004F6ABE"/>
    <w:rsid w:val="004F6CA6"/>
    <w:rsid w:val="004F75DA"/>
    <w:rsid w:val="00500062"/>
    <w:rsid w:val="00500255"/>
    <w:rsid w:val="0050064C"/>
    <w:rsid w:val="005008D5"/>
    <w:rsid w:val="0050099B"/>
    <w:rsid w:val="00500A1E"/>
    <w:rsid w:val="0050148B"/>
    <w:rsid w:val="005020B7"/>
    <w:rsid w:val="00502670"/>
    <w:rsid w:val="005033BD"/>
    <w:rsid w:val="00504320"/>
    <w:rsid w:val="00504605"/>
    <w:rsid w:val="00504708"/>
    <w:rsid w:val="005048C5"/>
    <w:rsid w:val="00504A69"/>
    <w:rsid w:val="005055E6"/>
    <w:rsid w:val="00505A7B"/>
    <w:rsid w:val="00505F20"/>
    <w:rsid w:val="00506122"/>
    <w:rsid w:val="00506CD3"/>
    <w:rsid w:val="00506D78"/>
    <w:rsid w:val="005074DA"/>
    <w:rsid w:val="00507941"/>
    <w:rsid w:val="00507BCB"/>
    <w:rsid w:val="00507CEA"/>
    <w:rsid w:val="00507FF3"/>
    <w:rsid w:val="00510043"/>
    <w:rsid w:val="0051012A"/>
    <w:rsid w:val="005108ED"/>
    <w:rsid w:val="00510FD3"/>
    <w:rsid w:val="00511CC7"/>
    <w:rsid w:val="0051243D"/>
    <w:rsid w:val="005124B1"/>
    <w:rsid w:val="00512DEE"/>
    <w:rsid w:val="00512E66"/>
    <w:rsid w:val="0051321B"/>
    <w:rsid w:val="0051377B"/>
    <w:rsid w:val="005139ED"/>
    <w:rsid w:val="00513E73"/>
    <w:rsid w:val="00514F67"/>
    <w:rsid w:val="005151A6"/>
    <w:rsid w:val="005157B9"/>
    <w:rsid w:val="00515868"/>
    <w:rsid w:val="00516458"/>
    <w:rsid w:val="00516625"/>
    <w:rsid w:val="00516CBD"/>
    <w:rsid w:val="00517231"/>
    <w:rsid w:val="00517519"/>
    <w:rsid w:val="00517B1E"/>
    <w:rsid w:val="005201D7"/>
    <w:rsid w:val="00520256"/>
    <w:rsid w:val="0052042D"/>
    <w:rsid w:val="00520CB3"/>
    <w:rsid w:val="00520D9B"/>
    <w:rsid w:val="00520FB8"/>
    <w:rsid w:val="00521291"/>
    <w:rsid w:val="00521748"/>
    <w:rsid w:val="00521AEF"/>
    <w:rsid w:val="00521ED7"/>
    <w:rsid w:val="0052233C"/>
    <w:rsid w:val="005225F7"/>
    <w:rsid w:val="005225F9"/>
    <w:rsid w:val="00522E81"/>
    <w:rsid w:val="0052344B"/>
    <w:rsid w:val="005239BC"/>
    <w:rsid w:val="00523DAB"/>
    <w:rsid w:val="0052444F"/>
    <w:rsid w:val="005246C6"/>
    <w:rsid w:val="00524E53"/>
    <w:rsid w:val="00525B7F"/>
    <w:rsid w:val="00526BF0"/>
    <w:rsid w:val="00526E2C"/>
    <w:rsid w:val="00527249"/>
    <w:rsid w:val="0052743A"/>
    <w:rsid w:val="0053200B"/>
    <w:rsid w:val="005322D4"/>
    <w:rsid w:val="0053237F"/>
    <w:rsid w:val="00533113"/>
    <w:rsid w:val="00533793"/>
    <w:rsid w:val="00533A00"/>
    <w:rsid w:val="00534405"/>
    <w:rsid w:val="00534588"/>
    <w:rsid w:val="00534A57"/>
    <w:rsid w:val="00534E8E"/>
    <w:rsid w:val="005351C5"/>
    <w:rsid w:val="005359FF"/>
    <w:rsid w:val="0053626C"/>
    <w:rsid w:val="005364B9"/>
    <w:rsid w:val="00536EA5"/>
    <w:rsid w:val="005371D4"/>
    <w:rsid w:val="00537F34"/>
    <w:rsid w:val="0054041E"/>
    <w:rsid w:val="005406A3"/>
    <w:rsid w:val="00541274"/>
    <w:rsid w:val="005415B9"/>
    <w:rsid w:val="00541E0F"/>
    <w:rsid w:val="00542588"/>
    <w:rsid w:val="005425A1"/>
    <w:rsid w:val="005425AC"/>
    <w:rsid w:val="00542728"/>
    <w:rsid w:val="00542E21"/>
    <w:rsid w:val="00542E4B"/>
    <w:rsid w:val="00544151"/>
    <w:rsid w:val="00544C4E"/>
    <w:rsid w:val="00545ACF"/>
    <w:rsid w:val="00546194"/>
    <w:rsid w:val="0054636E"/>
    <w:rsid w:val="00546568"/>
    <w:rsid w:val="00547423"/>
    <w:rsid w:val="00547CF7"/>
    <w:rsid w:val="00547D7D"/>
    <w:rsid w:val="005500BB"/>
    <w:rsid w:val="00550BFF"/>
    <w:rsid w:val="00550C41"/>
    <w:rsid w:val="00550E82"/>
    <w:rsid w:val="00551293"/>
    <w:rsid w:val="0055179C"/>
    <w:rsid w:val="00551B40"/>
    <w:rsid w:val="0055211E"/>
    <w:rsid w:val="0055357B"/>
    <w:rsid w:val="00553675"/>
    <w:rsid w:val="00553DBB"/>
    <w:rsid w:val="00554920"/>
    <w:rsid w:val="00554AC7"/>
    <w:rsid w:val="00555FAD"/>
    <w:rsid w:val="005560E5"/>
    <w:rsid w:val="0055666F"/>
    <w:rsid w:val="005566F7"/>
    <w:rsid w:val="00556A62"/>
    <w:rsid w:val="00556B84"/>
    <w:rsid w:val="00556C23"/>
    <w:rsid w:val="00557CFB"/>
    <w:rsid w:val="00560152"/>
    <w:rsid w:val="00560268"/>
    <w:rsid w:val="00560EAD"/>
    <w:rsid w:val="00561175"/>
    <w:rsid w:val="00562475"/>
    <w:rsid w:val="00562523"/>
    <w:rsid w:val="00562737"/>
    <w:rsid w:val="00562794"/>
    <w:rsid w:val="00563209"/>
    <w:rsid w:val="0056355C"/>
    <w:rsid w:val="00563872"/>
    <w:rsid w:val="00563943"/>
    <w:rsid w:val="00563D3B"/>
    <w:rsid w:val="00564521"/>
    <w:rsid w:val="00564955"/>
    <w:rsid w:val="00566168"/>
    <w:rsid w:val="005669B2"/>
    <w:rsid w:val="00566A41"/>
    <w:rsid w:val="00566B16"/>
    <w:rsid w:val="00566E5B"/>
    <w:rsid w:val="00566E77"/>
    <w:rsid w:val="0056717E"/>
    <w:rsid w:val="005677BC"/>
    <w:rsid w:val="005678C8"/>
    <w:rsid w:val="005704DD"/>
    <w:rsid w:val="005715AA"/>
    <w:rsid w:val="00571E91"/>
    <w:rsid w:val="0057201D"/>
    <w:rsid w:val="0057246E"/>
    <w:rsid w:val="0057257B"/>
    <w:rsid w:val="005728A9"/>
    <w:rsid w:val="00572B4D"/>
    <w:rsid w:val="00572D13"/>
    <w:rsid w:val="005731BB"/>
    <w:rsid w:val="00573436"/>
    <w:rsid w:val="005742AC"/>
    <w:rsid w:val="0057471B"/>
    <w:rsid w:val="00574AE3"/>
    <w:rsid w:val="00574BF4"/>
    <w:rsid w:val="00575373"/>
    <w:rsid w:val="00575385"/>
    <w:rsid w:val="005755D3"/>
    <w:rsid w:val="00575819"/>
    <w:rsid w:val="00575C02"/>
    <w:rsid w:val="00575E25"/>
    <w:rsid w:val="00575EA1"/>
    <w:rsid w:val="0057646E"/>
    <w:rsid w:val="00577BBF"/>
    <w:rsid w:val="005801C5"/>
    <w:rsid w:val="0058081A"/>
    <w:rsid w:val="005809E4"/>
    <w:rsid w:val="00580BEF"/>
    <w:rsid w:val="0058158E"/>
    <w:rsid w:val="00581696"/>
    <w:rsid w:val="005816BA"/>
    <w:rsid w:val="005817DC"/>
    <w:rsid w:val="00581AE7"/>
    <w:rsid w:val="00581F94"/>
    <w:rsid w:val="0058294E"/>
    <w:rsid w:val="00582F22"/>
    <w:rsid w:val="005838E2"/>
    <w:rsid w:val="00585536"/>
    <w:rsid w:val="00585697"/>
    <w:rsid w:val="005857AD"/>
    <w:rsid w:val="00586108"/>
    <w:rsid w:val="005862DF"/>
    <w:rsid w:val="0058678D"/>
    <w:rsid w:val="005868F0"/>
    <w:rsid w:val="00586CFF"/>
    <w:rsid w:val="005871F6"/>
    <w:rsid w:val="00587377"/>
    <w:rsid w:val="00590878"/>
    <w:rsid w:val="00590EA1"/>
    <w:rsid w:val="00590FF3"/>
    <w:rsid w:val="00591334"/>
    <w:rsid w:val="005914A0"/>
    <w:rsid w:val="00591903"/>
    <w:rsid w:val="00591C33"/>
    <w:rsid w:val="00592274"/>
    <w:rsid w:val="0059288F"/>
    <w:rsid w:val="00592B20"/>
    <w:rsid w:val="0059340E"/>
    <w:rsid w:val="00593858"/>
    <w:rsid w:val="00594664"/>
    <w:rsid w:val="005947F4"/>
    <w:rsid w:val="00594AD5"/>
    <w:rsid w:val="005952AE"/>
    <w:rsid w:val="0059685F"/>
    <w:rsid w:val="005A0978"/>
    <w:rsid w:val="005A0A43"/>
    <w:rsid w:val="005A14B3"/>
    <w:rsid w:val="005A1A5F"/>
    <w:rsid w:val="005A20AF"/>
    <w:rsid w:val="005A23AC"/>
    <w:rsid w:val="005A2837"/>
    <w:rsid w:val="005A2861"/>
    <w:rsid w:val="005A30A5"/>
    <w:rsid w:val="005A4A6E"/>
    <w:rsid w:val="005A4D63"/>
    <w:rsid w:val="005A510E"/>
    <w:rsid w:val="005A53ED"/>
    <w:rsid w:val="005A57C3"/>
    <w:rsid w:val="005A5F38"/>
    <w:rsid w:val="005A6065"/>
    <w:rsid w:val="005A6156"/>
    <w:rsid w:val="005A62F1"/>
    <w:rsid w:val="005A662E"/>
    <w:rsid w:val="005A6E79"/>
    <w:rsid w:val="005A7FB4"/>
    <w:rsid w:val="005B030E"/>
    <w:rsid w:val="005B0407"/>
    <w:rsid w:val="005B0458"/>
    <w:rsid w:val="005B0771"/>
    <w:rsid w:val="005B0B99"/>
    <w:rsid w:val="005B12E4"/>
    <w:rsid w:val="005B1987"/>
    <w:rsid w:val="005B1F1F"/>
    <w:rsid w:val="005B2097"/>
    <w:rsid w:val="005B2375"/>
    <w:rsid w:val="005B2861"/>
    <w:rsid w:val="005B302E"/>
    <w:rsid w:val="005B37A2"/>
    <w:rsid w:val="005B3817"/>
    <w:rsid w:val="005B382B"/>
    <w:rsid w:val="005B38B0"/>
    <w:rsid w:val="005B3F80"/>
    <w:rsid w:val="005B410E"/>
    <w:rsid w:val="005B45EA"/>
    <w:rsid w:val="005B4978"/>
    <w:rsid w:val="005B5231"/>
    <w:rsid w:val="005B55E1"/>
    <w:rsid w:val="005B5945"/>
    <w:rsid w:val="005B5A9A"/>
    <w:rsid w:val="005B6A23"/>
    <w:rsid w:val="005B7248"/>
    <w:rsid w:val="005B7C57"/>
    <w:rsid w:val="005B7F90"/>
    <w:rsid w:val="005C080B"/>
    <w:rsid w:val="005C0EA0"/>
    <w:rsid w:val="005C1021"/>
    <w:rsid w:val="005C13AE"/>
    <w:rsid w:val="005C1401"/>
    <w:rsid w:val="005C16CA"/>
    <w:rsid w:val="005C1BB0"/>
    <w:rsid w:val="005C24AC"/>
    <w:rsid w:val="005C277C"/>
    <w:rsid w:val="005C2968"/>
    <w:rsid w:val="005C34F1"/>
    <w:rsid w:val="005C4014"/>
    <w:rsid w:val="005C4064"/>
    <w:rsid w:val="005C40A9"/>
    <w:rsid w:val="005C4227"/>
    <w:rsid w:val="005C4CA9"/>
    <w:rsid w:val="005C64A4"/>
    <w:rsid w:val="005C66D5"/>
    <w:rsid w:val="005C6A6B"/>
    <w:rsid w:val="005C6CB5"/>
    <w:rsid w:val="005C6DB3"/>
    <w:rsid w:val="005C7360"/>
    <w:rsid w:val="005C7454"/>
    <w:rsid w:val="005C764F"/>
    <w:rsid w:val="005D011E"/>
    <w:rsid w:val="005D03C1"/>
    <w:rsid w:val="005D16DE"/>
    <w:rsid w:val="005D1B5F"/>
    <w:rsid w:val="005D2199"/>
    <w:rsid w:val="005D22CA"/>
    <w:rsid w:val="005D2CB4"/>
    <w:rsid w:val="005D2EB3"/>
    <w:rsid w:val="005D360B"/>
    <w:rsid w:val="005D3BB0"/>
    <w:rsid w:val="005D499F"/>
    <w:rsid w:val="005D4A47"/>
    <w:rsid w:val="005D4C3A"/>
    <w:rsid w:val="005D4F42"/>
    <w:rsid w:val="005D507E"/>
    <w:rsid w:val="005D570E"/>
    <w:rsid w:val="005D5C32"/>
    <w:rsid w:val="005D5EB5"/>
    <w:rsid w:val="005D61AE"/>
    <w:rsid w:val="005D6270"/>
    <w:rsid w:val="005D65EE"/>
    <w:rsid w:val="005D6965"/>
    <w:rsid w:val="005D6AD8"/>
    <w:rsid w:val="005D6DFD"/>
    <w:rsid w:val="005D7004"/>
    <w:rsid w:val="005D7933"/>
    <w:rsid w:val="005D7D2B"/>
    <w:rsid w:val="005D7ECC"/>
    <w:rsid w:val="005D7F13"/>
    <w:rsid w:val="005E07D3"/>
    <w:rsid w:val="005E0BC1"/>
    <w:rsid w:val="005E1575"/>
    <w:rsid w:val="005E1ACF"/>
    <w:rsid w:val="005E1BB9"/>
    <w:rsid w:val="005E259E"/>
    <w:rsid w:val="005E2E02"/>
    <w:rsid w:val="005E3461"/>
    <w:rsid w:val="005E3DE0"/>
    <w:rsid w:val="005E4499"/>
    <w:rsid w:val="005E4896"/>
    <w:rsid w:val="005E4C3C"/>
    <w:rsid w:val="005E53D1"/>
    <w:rsid w:val="005E55D0"/>
    <w:rsid w:val="005E5797"/>
    <w:rsid w:val="005E5980"/>
    <w:rsid w:val="005E6307"/>
    <w:rsid w:val="005E670E"/>
    <w:rsid w:val="005E6E81"/>
    <w:rsid w:val="005E7D3E"/>
    <w:rsid w:val="005F029A"/>
    <w:rsid w:val="005F0322"/>
    <w:rsid w:val="005F19FF"/>
    <w:rsid w:val="005F1D92"/>
    <w:rsid w:val="005F2007"/>
    <w:rsid w:val="005F2858"/>
    <w:rsid w:val="005F28AA"/>
    <w:rsid w:val="005F3A30"/>
    <w:rsid w:val="005F3A4B"/>
    <w:rsid w:val="005F4B00"/>
    <w:rsid w:val="005F5024"/>
    <w:rsid w:val="005F5497"/>
    <w:rsid w:val="005F5D67"/>
    <w:rsid w:val="005F62AE"/>
    <w:rsid w:val="005F7261"/>
    <w:rsid w:val="005F7605"/>
    <w:rsid w:val="005F770D"/>
    <w:rsid w:val="00601E6B"/>
    <w:rsid w:val="0060216E"/>
    <w:rsid w:val="0060287D"/>
    <w:rsid w:val="00602B5A"/>
    <w:rsid w:val="006033BE"/>
    <w:rsid w:val="00603FE2"/>
    <w:rsid w:val="0060452F"/>
    <w:rsid w:val="0060479E"/>
    <w:rsid w:val="00604819"/>
    <w:rsid w:val="0060559E"/>
    <w:rsid w:val="00605E37"/>
    <w:rsid w:val="00606097"/>
    <w:rsid w:val="006063F7"/>
    <w:rsid w:val="006064FF"/>
    <w:rsid w:val="006070C3"/>
    <w:rsid w:val="00607A2E"/>
    <w:rsid w:val="00607D9F"/>
    <w:rsid w:val="0061022B"/>
    <w:rsid w:val="00610314"/>
    <w:rsid w:val="00611531"/>
    <w:rsid w:val="0061177F"/>
    <w:rsid w:val="00611C04"/>
    <w:rsid w:val="00611EFB"/>
    <w:rsid w:val="0061255B"/>
    <w:rsid w:val="006125B0"/>
    <w:rsid w:val="00613BE5"/>
    <w:rsid w:val="00613D02"/>
    <w:rsid w:val="00613F55"/>
    <w:rsid w:val="00614D9D"/>
    <w:rsid w:val="00615AC1"/>
    <w:rsid w:val="00615E55"/>
    <w:rsid w:val="00616061"/>
    <w:rsid w:val="00616239"/>
    <w:rsid w:val="0061643B"/>
    <w:rsid w:val="006164F7"/>
    <w:rsid w:val="00616E22"/>
    <w:rsid w:val="0061751B"/>
    <w:rsid w:val="006176A4"/>
    <w:rsid w:val="0062063A"/>
    <w:rsid w:val="00620734"/>
    <w:rsid w:val="00620765"/>
    <w:rsid w:val="00620B48"/>
    <w:rsid w:val="00620B64"/>
    <w:rsid w:val="00620BE8"/>
    <w:rsid w:val="00620D94"/>
    <w:rsid w:val="00621056"/>
    <w:rsid w:val="00621D8A"/>
    <w:rsid w:val="00622198"/>
    <w:rsid w:val="006228CB"/>
    <w:rsid w:val="00622A23"/>
    <w:rsid w:val="00622DC8"/>
    <w:rsid w:val="00622F95"/>
    <w:rsid w:val="0062316B"/>
    <w:rsid w:val="00623218"/>
    <w:rsid w:val="00623DBF"/>
    <w:rsid w:val="006240F3"/>
    <w:rsid w:val="006246F6"/>
    <w:rsid w:val="0062493C"/>
    <w:rsid w:val="00625077"/>
    <w:rsid w:val="006258FD"/>
    <w:rsid w:val="006265B5"/>
    <w:rsid w:val="006266E1"/>
    <w:rsid w:val="00626C26"/>
    <w:rsid w:val="0063056F"/>
    <w:rsid w:val="00630894"/>
    <w:rsid w:val="00630AA0"/>
    <w:rsid w:val="00631BF1"/>
    <w:rsid w:val="0063260C"/>
    <w:rsid w:val="006333D6"/>
    <w:rsid w:val="00634379"/>
    <w:rsid w:val="0063488B"/>
    <w:rsid w:val="00634932"/>
    <w:rsid w:val="00634EC9"/>
    <w:rsid w:val="00635016"/>
    <w:rsid w:val="0063524A"/>
    <w:rsid w:val="00636096"/>
    <w:rsid w:val="00636240"/>
    <w:rsid w:val="00636A4D"/>
    <w:rsid w:val="00636C1A"/>
    <w:rsid w:val="0063765D"/>
    <w:rsid w:val="00637C70"/>
    <w:rsid w:val="00640005"/>
    <w:rsid w:val="00640043"/>
    <w:rsid w:val="00641176"/>
    <w:rsid w:val="006421D8"/>
    <w:rsid w:val="00642334"/>
    <w:rsid w:val="006429CE"/>
    <w:rsid w:val="00642B27"/>
    <w:rsid w:val="006435A0"/>
    <w:rsid w:val="00644508"/>
    <w:rsid w:val="0064477C"/>
    <w:rsid w:val="0064553B"/>
    <w:rsid w:val="006455FD"/>
    <w:rsid w:val="006460F2"/>
    <w:rsid w:val="006469E6"/>
    <w:rsid w:val="00646D93"/>
    <w:rsid w:val="006470F6"/>
    <w:rsid w:val="00647461"/>
    <w:rsid w:val="00650231"/>
    <w:rsid w:val="0065076D"/>
    <w:rsid w:val="00650940"/>
    <w:rsid w:val="00651191"/>
    <w:rsid w:val="0065126C"/>
    <w:rsid w:val="00651C6F"/>
    <w:rsid w:val="00652727"/>
    <w:rsid w:val="00652ABA"/>
    <w:rsid w:val="00652BDF"/>
    <w:rsid w:val="0065312E"/>
    <w:rsid w:val="00654983"/>
    <w:rsid w:val="00654FED"/>
    <w:rsid w:val="0065546B"/>
    <w:rsid w:val="00655890"/>
    <w:rsid w:val="00655E24"/>
    <w:rsid w:val="0065629F"/>
    <w:rsid w:val="00656828"/>
    <w:rsid w:val="00656923"/>
    <w:rsid w:val="006569D9"/>
    <w:rsid w:val="00656A80"/>
    <w:rsid w:val="00656F5A"/>
    <w:rsid w:val="00657717"/>
    <w:rsid w:val="00657DA1"/>
    <w:rsid w:val="006600CB"/>
    <w:rsid w:val="006603BF"/>
    <w:rsid w:val="0066134D"/>
    <w:rsid w:val="006617FE"/>
    <w:rsid w:val="006618FF"/>
    <w:rsid w:val="006619C6"/>
    <w:rsid w:val="006622D1"/>
    <w:rsid w:val="006630EB"/>
    <w:rsid w:val="00663AC7"/>
    <w:rsid w:val="00663B38"/>
    <w:rsid w:val="00663C42"/>
    <w:rsid w:val="00664459"/>
    <w:rsid w:val="00664465"/>
    <w:rsid w:val="00664FE3"/>
    <w:rsid w:val="00665325"/>
    <w:rsid w:val="0066555B"/>
    <w:rsid w:val="006658A7"/>
    <w:rsid w:val="00665BD1"/>
    <w:rsid w:val="00665D70"/>
    <w:rsid w:val="00665F3F"/>
    <w:rsid w:val="006662FE"/>
    <w:rsid w:val="00666398"/>
    <w:rsid w:val="00666E41"/>
    <w:rsid w:val="00667057"/>
    <w:rsid w:val="00667082"/>
    <w:rsid w:val="00667D70"/>
    <w:rsid w:val="00667EC9"/>
    <w:rsid w:val="006700C4"/>
    <w:rsid w:val="00670534"/>
    <w:rsid w:val="006705BF"/>
    <w:rsid w:val="0067066A"/>
    <w:rsid w:val="006708F1"/>
    <w:rsid w:val="00670F17"/>
    <w:rsid w:val="00670F44"/>
    <w:rsid w:val="00670F9C"/>
    <w:rsid w:val="006710BB"/>
    <w:rsid w:val="00671F05"/>
    <w:rsid w:val="00671F2D"/>
    <w:rsid w:val="00672027"/>
    <w:rsid w:val="0067219A"/>
    <w:rsid w:val="0067245D"/>
    <w:rsid w:val="006725FA"/>
    <w:rsid w:val="006730E9"/>
    <w:rsid w:val="00673645"/>
    <w:rsid w:val="006739DE"/>
    <w:rsid w:val="00673B38"/>
    <w:rsid w:val="00674231"/>
    <w:rsid w:val="00674354"/>
    <w:rsid w:val="006751C4"/>
    <w:rsid w:val="00675712"/>
    <w:rsid w:val="00675E84"/>
    <w:rsid w:val="00676249"/>
    <w:rsid w:val="0067663E"/>
    <w:rsid w:val="0067682A"/>
    <w:rsid w:val="0067748A"/>
    <w:rsid w:val="00677970"/>
    <w:rsid w:val="006805B3"/>
    <w:rsid w:val="006808D6"/>
    <w:rsid w:val="00680BF0"/>
    <w:rsid w:val="00680D79"/>
    <w:rsid w:val="00682269"/>
    <w:rsid w:val="00682977"/>
    <w:rsid w:val="00682C3E"/>
    <w:rsid w:val="00682E0A"/>
    <w:rsid w:val="00683247"/>
    <w:rsid w:val="0068377E"/>
    <w:rsid w:val="0068395F"/>
    <w:rsid w:val="006846BD"/>
    <w:rsid w:val="00684B14"/>
    <w:rsid w:val="00684C86"/>
    <w:rsid w:val="00685562"/>
    <w:rsid w:val="006857D5"/>
    <w:rsid w:val="00685D0F"/>
    <w:rsid w:val="00685F47"/>
    <w:rsid w:val="00686641"/>
    <w:rsid w:val="00686653"/>
    <w:rsid w:val="006868AC"/>
    <w:rsid w:val="006869D3"/>
    <w:rsid w:val="00686C77"/>
    <w:rsid w:val="00686E5B"/>
    <w:rsid w:val="0068716A"/>
    <w:rsid w:val="00687472"/>
    <w:rsid w:val="00687803"/>
    <w:rsid w:val="00687EC0"/>
    <w:rsid w:val="00687F88"/>
    <w:rsid w:val="00690EFF"/>
    <w:rsid w:val="00692825"/>
    <w:rsid w:val="00692892"/>
    <w:rsid w:val="00693107"/>
    <w:rsid w:val="006933DD"/>
    <w:rsid w:val="006936FA"/>
    <w:rsid w:val="00693CDE"/>
    <w:rsid w:val="00693E94"/>
    <w:rsid w:val="00694F72"/>
    <w:rsid w:val="00695239"/>
    <w:rsid w:val="006958E8"/>
    <w:rsid w:val="00695BC3"/>
    <w:rsid w:val="0069626E"/>
    <w:rsid w:val="00696B02"/>
    <w:rsid w:val="00696BA5"/>
    <w:rsid w:val="00696E0C"/>
    <w:rsid w:val="00697401"/>
    <w:rsid w:val="0069783F"/>
    <w:rsid w:val="006A0BB1"/>
    <w:rsid w:val="006A0D55"/>
    <w:rsid w:val="006A125C"/>
    <w:rsid w:val="006A13D0"/>
    <w:rsid w:val="006A26FB"/>
    <w:rsid w:val="006A2729"/>
    <w:rsid w:val="006A2B2B"/>
    <w:rsid w:val="006A2EBA"/>
    <w:rsid w:val="006A2F56"/>
    <w:rsid w:val="006A3D89"/>
    <w:rsid w:val="006A3E5E"/>
    <w:rsid w:val="006A4625"/>
    <w:rsid w:val="006A4C24"/>
    <w:rsid w:val="006A53D9"/>
    <w:rsid w:val="006A5665"/>
    <w:rsid w:val="006A5944"/>
    <w:rsid w:val="006A5B6C"/>
    <w:rsid w:val="006A5D2E"/>
    <w:rsid w:val="006A6958"/>
    <w:rsid w:val="006A6B75"/>
    <w:rsid w:val="006A798A"/>
    <w:rsid w:val="006A7B26"/>
    <w:rsid w:val="006A7C3B"/>
    <w:rsid w:val="006A7C7A"/>
    <w:rsid w:val="006B055E"/>
    <w:rsid w:val="006B06D5"/>
    <w:rsid w:val="006B0F4D"/>
    <w:rsid w:val="006B0FE6"/>
    <w:rsid w:val="006B1AA5"/>
    <w:rsid w:val="006B2E77"/>
    <w:rsid w:val="006B3834"/>
    <w:rsid w:val="006B3D62"/>
    <w:rsid w:val="006B4BEF"/>
    <w:rsid w:val="006B4FCF"/>
    <w:rsid w:val="006B5036"/>
    <w:rsid w:val="006B54BB"/>
    <w:rsid w:val="006B5824"/>
    <w:rsid w:val="006B5DD2"/>
    <w:rsid w:val="006B6A31"/>
    <w:rsid w:val="006B6D24"/>
    <w:rsid w:val="006B6E80"/>
    <w:rsid w:val="006B7368"/>
    <w:rsid w:val="006B7924"/>
    <w:rsid w:val="006B7DE2"/>
    <w:rsid w:val="006C12EA"/>
    <w:rsid w:val="006C1815"/>
    <w:rsid w:val="006C1F97"/>
    <w:rsid w:val="006C2089"/>
    <w:rsid w:val="006C25D9"/>
    <w:rsid w:val="006C293C"/>
    <w:rsid w:val="006C298C"/>
    <w:rsid w:val="006C2E6B"/>
    <w:rsid w:val="006C3005"/>
    <w:rsid w:val="006C39C8"/>
    <w:rsid w:val="006C41C3"/>
    <w:rsid w:val="006C41E8"/>
    <w:rsid w:val="006C47B7"/>
    <w:rsid w:val="006C4B49"/>
    <w:rsid w:val="006C4E16"/>
    <w:rsid w:val="006C606D"/>
    <w:rsid w:val="006C648E"/>
    <w:rsid w:val="006C65CE"/>
    <w:rsid w:val="006C6C63"/>
    <w:rsid w:val="006C7124"/>
    <w:rsid w:val="006C7317"/>
    <w:rsid w:val="006C7999"/>
    <w:rsid w:val="006D07F8"/>
    <w:rsid w:val="006D0859"/>
    <w:rsid w:val="006D0C33"/>
    <w:rsid w:val="006D0DD1"/>
    <w:rsid w:val="006D0ECD"/>
    <w:rsid w:val="006D10D7"/>
    <w:rsid w:val="006D13EB"/>
    <w:rsid w:val="006D16A6"/>
    <w:rsid w:val="006D1823"/>
    <w:rsid w:val="006D1FAB"/>
    <w:rsid w:val="006D22CB"/>
    <w:rsid w:val="006D24BD"/>
    <w:rsid w:val="006D2BEE"/>
    <w:rsid w:val="006D3142"/>
    <w:rsid w:val="006D47CE"/>
    <w:rsid w:val="006D506D"/>
    <w:rsid w:val="006D52B6"/>
    <w:rsid w:val="006D5580"/>
    <w:rsid w:val="006D5679"/>
    <w:rsid w:val="006D5F2F"/>
    <w:rsid w:val="006D6079"/>
    <w:rsid w:val="006D6818"/>
    <w:rsid w:val="006D6952"/>
    <w:rsid w:val="006D73E9"/>
    <w:rsid w:val="006D77D4"/>
    <w:rsid w:val="006D79DB"/>
    <w:rsid w:val="006D7C7D"/>
    <w:rsid w:val="006D7E2E"/>
    <w:rsid w:val="006E01B5"/>
    <w:rsid w:val="006E0732"/>
    <w:rsid w:val="006E0D67"/>
    <w:rsid w:val="006E0FCB"/>
    <w:rsid w:val="006E2522"/>
    <w:rsid w:val="006E278B"/>
    <w:rsid w:val="006E2BF7"/>
    <w:rsid w:val="006E2CDF"/>
    <w:rsid w:val="006E2F73"/>
    <w:rsid w:val="006E3115"/>
    <w:rsid w:val="006E3515"/>
    <w:rsid w:val="006E3A01"/>
    <w:rsid w:val="006E3EEE"/>
    <w:rsid w:val="006E3FF3"/>
    <w:rsid w:val="006E4248"/>
    <w:rsid w:val="006E427A"/>
    <w:rsid w:val="006E4CDD"/>
    <w:rsid w:val="006E4E38"/>
    <w:rsid w:val="006E500F"/>
    <w:rsid w:val="006E5572"/>
    <w:rsid w:val="006E5770"/>
    <w:rsid w:val="006E60CA"/>
    <w:rsid w:val="006E6402"/>
    <w:rsid w:val="006E6536"/>
    <w:rsid w:val="006E6FDD"/>
    <w:rsid w:val="006E7261"/>
    <w:rsid w:val="006E7732"/>
    <w:rsid w:val="006E77A4"/>
    <w:rsid w:val="006E7A34"/>
    <w:rsid w:val="006F0FB3"/>
    <w:rsid w:val="006F1294"/>
    <w:rsid w:val="006F13F9"/>
    <w:rsid w:val="006F144F"/>
    <w:rsid w:val="006F14A6"/>
    <w:rsid w:val="006F154A"/>
    <w:rsid w:val="006F1D22"/>
    <w:rsid w:val="006F1E38"/>
    <w:rsid w:val="006F210D"/>
    <w:rsid w:val="006F2B5C"/>
    <w:rsid w:val="006F46FA"/>
    <w:rsid w:val="006F575C"/>
    <w:rsid w:val="006F5804"/>
    <w:rsid w:val="006F5982"/>
    <w:rsid w:val="006F71CB"/>
    <w:rsid w:val="006F74AA"/>
    <w:rsid w:val="006F7B93"/>
    <w:rsid w:val="006F7C70"/>
    <w:rsid w:val="006F7D02"/>
    <w:rsid w:val="006F7EA4"/>
    <w:rsid w:val="00701278"/>
    <w:rsid w:val="007013AC"/>
    <w:rsid w:val="00701618"/>
    <w:rsid w:val="007016BE"/>
    <w:rsid w:val="00701AA1"/>
    <w:rsid w:val="00701C56"/>
    <w:rsid w:val="0070202F"/>
    <w:rsid w:val="0070211E"/>
    <w:rsid w:val="0070309A"/>
    <w:rsid w:val="007036DE"/>
    <w:rsid w:val="00704D4C"/>
    <w:rsid w:val="00705A14"/>
    <w:rsid w:val="00705A37"/>
    <w:rsid w:val="00705A73"/>
    <w:rsid w:val="007061E1"/>
    <w:rsid w:val="007064E0"/>
    <w:rsid w:val="007065F6"/>
    <w:rsid w:val="0070772D"/>
    <w:rsid w:val="007078F5"/>
    <w:rsid w:val="00707A1B"/>
    <w:rsid w:val="00710443"/>
    <w:rsid w:val="00710A73"/>
    <w:rsid w:val="00710E7C"/>
    <w:rsid w:val="00711021"/>
    <w:rsid w:val="0071142A"/>
    <w:rsid w:val="0071163E"/>
    <w:rsid w:val="00711A9E"/>
    <w:rsid w:val="0071275A"/>
    <w:rsid w:val="00712940"/>
    <w:rsid w:val="00712B12"/>
    <w:rsid w:val="00712D0E"/>
    <w:rsid w:val="007137AB"/>
    <w:rsid w:val="00714E9C"/>
    <w:rsid w:val="007156BD"/>
    <w:rsid w:val="00715DA4"/>
    <w:rsid w:val="0071666E"/>
    <w:rsid w:val="00717778"/>
    <w:rsid w:val="00717875"/>
    <w:rsid w:val="00717950"/>
    <w:rsid w:val="00717BBD"/>
    <w:rsid w:val="00717DEA"/>
    <w:rsid w:val="00717F0F"/>
    <w:rsid w:val="00720175"/>
    <w:rsid w:val="00720776"/>
    <w:rsid w:val="00720B66"/>
    <w:rsid w:val="00721000"/>
    <w:rsid w:val="00721668"/>
    <w:rsid w:val="00721AF9"/>
    <w:rsid w:val="00721BEC"/>
    <w:rsid w:val="00722624"/>
    <w:rsid w:val="0072281D"/>
    <w:rsid w:val="00722D55"/>
    <w:rsid w:val="007231B0"/>
    <w:rsid w:val="00723966"/>
    <w:rsid w:val="00723BE3"/>
    <w:rsid w:val="00723CB9"/>
    <w:rsid w:val="00724D2F"/>
    <w:rsid w:val="00725EC1"/>
    <w:rsid w:val="00725FA5"/>
    <w:rsid w:val="0072635C"/>
    <w:rsid w:val="007269A5"/>
    <w:rsid w:val="00727080"/>
    <w:rsid w:val="007274B3"/>
    <w:rsid w:val="00727BEE"/>
    <w:rsid w:val="00727CC0"/>
    <w:rsid w:val="0073070B"/>
    <w:rsid w:val="007308C6"/>
    <w:rsid w:val="00731323"/>
    <w:rsid w:val="00731561"/>
    <w:rsid w:val="007315FC"/>
    <w:rsid w:val="00731643"/>
    <w:rsid w:val="0073383D"/>
    <w:rsid w:val="00733B08"/>
    <w:rsid w:val="00734DDF"/>
    <w:rsid w:val="00735187"/>
    <w:rsid w:val="00735448"/>
    <w:rsid w:val="00735C14"/>
    <w:rsid w:val="00735E3F"/>
    <w:rsid w:val="00735F03"/>
    <w:rsid w:val="00736FB9"/>
    <w:rsid w:val="00737057"/>
    <w:rsid w:val="007372C0"/>
    <w:rsid w:val="007402BD"/>
    <w:rsid w:val="00740E71"/>
    <w:rsid w:val="0074150F"/>
    <w:rsid w:val="007418C5"/>
    <w:rsid w:val="00741938"/>
    <w:rsid w:val="007419FA"/>
    <w:rsid w:val="00741ADC"/>
    <w:rsid w:val="00741BA4"/>
    <w:rsid w:val="00741F5D"/>
    <w:rsid w:val="00742F61"/>
    <w:rsid w:val="00743329"/>
    <w:rsid w:val="0074380D"/>
    <w:rsid w:val="007438E3"/>
    <w:rsid w:val="0074394F"/>
    <w:rsid w:val="007449BF"/>
    <w:rsid w:val="0074532D"/>
    <w:rsid w:val="007457C1"/>
    <w:rsid w:val="00745C38"/>
    <w:rsid w:val="00745D0B"/>
    <w:rsid w:val="00746515"/>
    <w:rsid w:val="0074667F"/>
    <w:rsid w:val="00746BAF"/>
    <w:rsid w:val="0074741E"/>
    <w:rsid w:val="0074774B"/>
    <w:rsid w:val="007508C2"/>
    <w:rsid w:val="007510B3"/>
    <w:rsid w:val="007514A8"/>
    <w:rsid w:val="00751A3B"/>
    <w:rsid w:val="00751BBE"/>
    <w:rsid w:val="00751C0B"/>
    <w:rsid w:val="00752403"/>
    <w:rsid w:val="00752BEC"/>
    <w:rsid w:val="00752C26"/>
    <w:rsid w:val="00753194"/>
    <w:rsid w:val="00753676"/>
    <w:rsid w:val="00753CE7"/>
    <w:rsid w:val="007543C2"/>
    <w:rsid w:val="0075528F"/>
    <w:rsid w:val="007556D3"/>
    <w:rsid w:val="00755717"/>
    <w:rsid w:val="00755AA4"/>
    <w:rsid w:val="00755B74"/>
    <w:rsid w:val="00755DB5"/>
    <w:rsid w:val="00755EAC"/>
    <w:rsid w:val="007561B7"/>
    <w:rsid w:val="00757E25"/>
    <w:rsid w:val="00757EF7"/>
    <w:rsid w:val="007609F5"/>
    <w:rsid w:val="00761D86"/>
    <w:rsid w:val="00761D92"/>
    <w:rsid w:val="0076267C"/>
    <w:rsid w:val="00762D83"/>
    <w:rsid w:val="00762DFF"/>
    <w:rsid w:val="007631AC"/>
    <w:rsid w:val="0076365B"/>
    <w:rsid w:val="00763664"/>
    <w:rsid w:val="00764291"/>
    <w:rsid w:val="0076440D"/>
    <w:rsid w:val="00764A2B"/>
    <w:rsid w:val="00764C82"/>
    <w:rsid w:val="00764DCC"/>
    <w:rsid w:val="00764E43"/>
    <w:rsid w:val="00765339"/>
    <w:rsid w:val="007656C2"/>
    <w:rsid w:val="00765E1F"/>
    <w:rsid w:val="007666A7"/>
    <w:rsid w:val="007666C0"/>
    <w:rsid w:val="00767C4D"/>
    <w:rsid w:val="00770512"/>
    <w:rsid w:val="007705D1"/>
    <w:rsid w:val="007706C6"/>
    <w:rsid w:val="007706CE"/>
    <w:rsid w:val="007720F8"/>
    <w:rsid w:val="00773349"/>
    <w:rsid w:val="00773FE8"/>
    <w:rsid w:val="007744D5"/>
    <w:rsid w:val="007747B1"/>
    <w:rsid w:val="00774CF2"/>
    <w:rsid w:val="00774D3A"/>
    <w:rsid w:val="00774DD7"/>
    <w:rsid w:val="00774E99"/>
    <w:rsid w:val="0077506C"/>
    <w:rsid w:val="0077531D"/>
    <w:rsid w:val="00775432"/>
    <w:rsid w:val="007754B0"/>
    <w:rsid w:val="00775667"/>
    <w:rsid w:val="007756E0"/>
    <w:rsid w:val="007759FC"/>
    <w:rsid w:val="007761B4"/>
    <w:rsid w:val="00776343"/>
    <w:rsid w:val="007763E9"/>
    <w:rsid w:val="0077656E"/>
    <w:rsid w:val="00776B9E"/>
    <w:rsid w:val="00776E81"/>
    <w:rsid w:val="00777035"/>
    <w:rsid w:val="0077724E"/>
    <w:rsid w:val="0077754C"/>
    <w:rsid w:val="0077760A"/>
    <w:rsid w:val="00777C46"/>
    <w:rsid w:val="00780455"/>
    <w:rsid w:val="007807B4"/>
    <w:rsid w:val="00780962"/>
    <w:rsid w:val="00780F79"/>
    <w:rsid w:val="0078162A"/>
    <w:rsid w:val="0078170E"/>
    <w:rsid w:val="007818AD"/>
    <w:rsid w:val="00782994"/>
    <w:rsid w:val="00782B77"/>
    <w:rsid w:val="00782EA9"/>
    <w:rsid w:val="00783857"/>
    <w:rsid w:val="00784C26"/>
    <w:rsid w:val="00785163"/>
    <w:rsid w:val="007851E1"/>
    <w:rsid w:val="0078569A"/>
    <w:rsid w:val="007857F6"/>
    <w:rsid w:val="00785C08"/>
    <w:rsid w:val="00785DDD"/>
    <w:rsid w:val="0079059B"/>
    <w:rsid w:val="007906A1"/>
    <w:rsid w:val="00790991"/>
    <w:rsid w:val="00791B86"/>
    <w:rsid w:val="00791DA6"/>
    <w:rsid w:val="00791FB0"/>
    <w:rsid w:val="00791FD6"/>
    <w:rsid w:val="00792164"/>
    <w:rsid w:val="00792FB0"/>
    <w:rsid w:val="0079334F"/>
    <w:rsid w:val="0079344A"/>
    <w:rsid w:val="00793F5D"/>
    <w:rsid w:val="007941D5"/>
    <w:rsid w:val="00794227"/>
    <w:rsid w:val="00794886"/>
    <w:rsid w:val="00795327"/>
    <w:rsid w:val="007956C4"/>
    <w:rsid w:val="00795B4E"/>
    <w:rsid w:val="00795EF3"/>
    <w:rsid w:val="00795F90"/>
    <w:rsid w:val="00796372"/>
    <w:rsid w:val="0079687C"/>
    <w:rsid w:val="007968DE"/>
    <w:rsid w:val="00796AFB"/>
    <w:rsid w:val="007977DE"/>
    <w:rsid w:val="00797CB8"/>
    <w:rsid w:val="00797CE2"/>
    <w:rsid w:val="007A00E1"/>
    <w:rsid w:val="007A0949"/>
    <w:rsid w:val="007A0A62"/>
    <w:rsid w:val="007A0D29"/>
    <w:rsid w:val="007A0F9E"/>
    <w:rsid w:val="007A1011"/>
    <w:rsid w:val="007A12F8"/>
    <w:rsid w:val="007A154E"/>
    <w:rsid w:val="007A193F"/>
    <w:rsid w:val="007A1AFD"/>
    <w:rsid w:val="007A297B"/>
    <w:rsid w:val="007A2BCA"/>
    <w:rsid w:val="007A3926"/>
    <w:rsid w:val="007A4052"/>
    <w:rsid w:val="007A437F"/>
    <w:rsid w:val="007A4907"/>
    <w:rsid w:val="007A51CB"/>
    <w:rsid w:val="007A5523"/>
    <w:rsid w:val="007A5B3D"/>
    <w:rsid w:val="007A5D24"/>
    <w:rsid w:val="007A6F99"/>
    <w:rsid w:val="007A734E"/>
    <w:rsid w:val="007A7404"/>
    <w:rsid w:val="007A77D1"/>
    <w:rsid w:val="007B02AB"/>
    <w:rsid w:val="007B0560"/>
    <w:rsid w:val="007B12D1"/>
    <w:rsid w:val="007B12DA"/>
    <w:rsid w:val="007B1455"/>
    <w:rsid w:val="007B15F3"/>
    <w:rsid w:val="007B1829"/>
    <w:rsid w:val="007B216A"/>
    <w:rsid w:val="007B2294"/>
    <w:rsid w:val="007B256A"/>
    <w:rsid w:val="007B260C"/>
    <w:rsid w:val="007B2773"/>
    <w:rsid w:val="007B41FF"/>
    <w:rsid w:val="007B4ED5"/>
    <w:rsid w:val="007B50FE"/>
    <w:rsid w:val="007B57C8"/>
    <w:rsid w:val="007B60E8"/>
    <w:rsid w:val="007B6335"/>
    <w:rsid w:val="007B6C5B"/>
    <w:rsid w:val="007B6D47"/>
    <w:rsid w:val="007B6E59"/>
    <w:rsid w:val="007B6EAF"/>
    <w:rsid w:val="007B7F75"/>
    <w:rsid w:val="007C0283"/>
    <w:rsid w:val="007C03B3"/>
    <w:rsid w:val="007C0A54"/>
    <w:rsid w:val="007C0AE5"/>
    <w:rsid w:val="007C0CA5"/>
    <w:rsid w:val="007C1D5D"/>
    <w:rsid w:val="007C21F1"/>
    <w:rsid w:val="007C2AD1"/>
    <w:rsid w:val="007C3349"/>
    <w:rsid w:val="007C45E0"/>
    <w:rsid w:val="007C4692"/>
    <w:rsid w:val="007C46BF"/>
    <w:rsid w:val="007C4C46"/>
    <w:rsid w:val="007C5096"/>
    <w:rsid w:val="007C57BD"/>
    <w:rsid w:val="007C5D23"/>
    <w:rsid w:val="007C6075"/>
    <w:rsid w:val="007C60E7"/>
    <w:rsid w:val="007C6191"/>
    <w:rsid w:val="007C63CF"/>
    <w:rsid w:val="007C662C"/>
    <w:rsid w:val="007C6EF1"/>
    <w:rsid w:val="007C725E"/>
    <w:rsid w:val="007C7A1B"/>
    <w:rsid w:val="007C7DC2"/>
    <w:rsid w:val="007D0682"/>
    <w:rsid w:val="007D0AD8"/>
    <w:rsid w:val="007D0DAA"/>
    <w:rsid w:val="007D0E19"/>
    <w:rsid w:val="007D1848"/>
    <w:rsid w:val="007D1935"/>
    <w:rsid w:val="007D1BBF"/>
    <w:rsid w:val="007D1BFF"/>
    <w:rsid w:val="007D1D09"/>
    <w:rsid w:val="007D1D29"/>
    <w:rsid w:val="007D2074"/>
    <w:rsid w:val="007D20BA"/>
    <w:rsid w:val="007D20E9"/>
    <w:rsid w:val="007D2587"/>
    <w:rsid w:val="007D2B76"/>
    <w:rsid w:val="007D2F93"/>
    <w:rsid w:val="007D354F"/>
    <w:rsid w:val="007D3F47"/>
    <w:rsid w:val="007D459B"/>
    <w:rsid w:val="007D45A1"/>
    <w:rsid w:val="007D54A2"/>
    <w:rsid w:val="007D56C2"/>
    <w:rsid w:val="007D57F4"/>
    <w:rsid w:val="007D60FB"/>
    <w:rsid w:val="007D650F"/>
    <w:rsid w:val="007D6B2A"/>
    <w:rsid w:val="007D6D77"/>
    <w:rsid w:val="007D702F"/>
    <w:rsid w:val="007D7984"/>
    <w:rsid w:val="007D7C1D"/>
    <w:rsid w:val="007E03FD"/>
    <w:rsid w:val="007E04C7"/>
    <w:rsid w:val="007E0D0E"/>
    <w:rsid w:val="007E2A6B"/>
    <w:rsid w:val="007E2B6D"/>
    <w:rsid w:val="007E2D70"/>
    <w:rsid w:val="007E2D78"/>
    <w:rsid w:val="007E3014"/>
    <w:rsid w:val="007E3AA5"/>
    <w:rsid w:val="007E3C12"/>
    <w:rsid w:val="007E40D8"/>
    <w:rsid w:val="007E49C1"/>
    <w:rsid w:val="007E5FB9"/>
    <w:rsid w:val="007E5FF9"/>
    <w:rsid w:val="007E60EC"/>
    <w:rsid w:val="007E6F38"/>
    <w:rsid w:val="007E7481"/>
    <w:rsid w:val="007E77FD"/>
    <w:rsid w:val="007E798C"/>
    <w:rsid w:val="007E7A98"/>
    <w:rsid w:val="007E7CB0"/>
    <w:rsid w:val="007E7E26"/>
    <w:rsid w:val="007F013B"/>
    <w:rsid w:val="007F06BC"/>
    <w:rsid w:val="007F089F"/>
    <w:rsid w:val="007F0BA5"/>
    <w:rsid w:val="007F0C5D"/>
    <w:rsid w:val="007F0F15"/>
    <w:rsid w:val="007F0F55"/>
    <w:rsid w:val="007F1008"/>
    <w:rsid w:val="007F146C"/>
    <w:rsid w:val="007F1800"/>
    <w:rsid w:val="007F1AAC"/>
    <w:rsid w:val="007F1BFB"/>
    <w:rsid w:val="007F2CAB"/>
    <w:rsid w:val="007F30A2"/>
    <w:rsid w:val="007F3602"/>
    <w:rsid w:val="007F3B73"/>
    <w:rsid w:val="007F3FA6"/>
    <w:rsid w:val="007F47DB"/>
    <w:rsid w:val="007F4B15"/>
    <w:rsid w:val="007F50DA"/>
    <w:rsid w:val="007F568C"/>
    <w:rsid w:val="007F56D1"/>
    <w:rsid w:val="007F5A2B"/>
    <w:rsid w:val="007F64FA"/>
    <w:rsid w:val="007F6E28"/>
    <w:rsid w:val="007F7574"/>
    <w:rsid w:val="007F7FCF"/>
    <w:rsid w:val="00800CA7"/>
    <w:rsid w:val="00801507"/>
    <w:rsid w:val="00801B0D"/>
    <w:rsid w:val="00801B4F"/>
    <w:rsid w:val="008022DA"/>
    <w:rsid w:val="00802777"/>
    <w:rsid w:val="00802BC0"/>
    <w:rsid w:val="008031B5"/>
    <w:rsid w:val="00803829"/>
    <w:rsid w:val="0080482B"/>
    <w:rsid w:val="0080542E"/>
    <w:rsid w:val="0080543F"/>
    <w:rsid w:val="008056CA"/>
    <w:rsid w:val="008067BC"/>
    <w:rsid w:val="00807293"/>
    <w:rsid w:val="008100FD"/>
    <w:rsid w:val="008102F4"/>
    <w:rsid w:val="00810A91"/>
    <w:rsid w:val="00811DED"/>
    <w:rsid w:val="008120BC"/>
    <w:rsid w:val="0081239A"/>
    <w:rsid w:val="008125C6"/>
    <w:rsid w:val="00813067"/>
    <w:rsid w:val="00813B60"/>
    <w:rsid w:val="00813CF1"/>
    <w:rsid w:val="00813F4C"/>
    <w:rsid w:val="0081414F"/>
    <w:rsid w:val="008141F1"/>
    <w:rsid w:val="008151D0"/>
    <w:rsid w:val="00815221"/>
    <w:rsid w:val="008154B8"/>
    <w:rsid w:val="00815FC7"/>
    <w:rsid w:val="0081630E"/>
    <w:rsid w:val="008167EE"/>
    <w:rsid w:val="00816AA9"/>
    <w:rsid w:val="00816FB9"/>
    <w:rsid w:val="0081730F"/>
    <w:rsid w:val="0082015A"/>
    <w:rsid w:val="00820E11"/>
    <w:rsid w:val="008218C9"/>
    <w:rsid w:val="0082190B"/>
    <w:rsid w:val="00821950"/>
    <w:rsid w:val="008220AE"/>
    <w:rsid w:val="008222B0"/>
    <w:rsid w:val="00822994"/>
    <w:rsid w:val="00822A0A"/>
    <w:rsid w:val="00822DE8"/>
    <w:rsid w:val="008233FE"/>
    <w:rsid w:val="00823A01"/>
    <w:rsid w:val="00823C48"/>
    <w:rsid w:val="0082406F"/>
    <w:rsid w:val="00824935"/>
    <w:rsid w:val="00824D3A"/>
    <w:rsid w:val="00824EC3"/>
    <w:rsid w:val="00825102"/>
    <w:rsid w:val="008254A3"/>
    <w:rsid w:val="00825652"/>
    <w:rsid w:val="00826689"/>
    <w:rsid w:val="00826A49"/>
    <w:rsid w:val="00826BF1"/>
    <w:rsid w:val="00826FFA"/>
    <w:rsid w:val="00830138"/>
    <w:rsid w:val="00830C75"/>
    <w:rsid w:val="0083173B"/>
    <w:rsid w:val="0083192F"/>
    <w:rsid w:val="00831996"/>
    <w:rsid w:val="00831DA1"/>
    <w:rsid w:val="008327B8"/>
    <w:rsid w:val="00832C48"/>
    <w:rsid w:val="00832FD1"/>
    <w:rsid w:val="00832FD6"/>
    <w:rsid w:val="00833377"/>
    <w:rsid w:val="008333B6"/>
    <w:rsid w:val="00833549"/>
    <w:rsid w:val="008347D3"/>
    <w:rsid w:val="00834C30"/>
    <w:rsid w:val="00835112"/>
    <w:rsid w:val="00835294"/>
    <w:rsid w:val="008354D5"/>
    <w:rsid w:val="0083561D"/>
    <w:rsid w:val="00835EDD"/>
    <w:rsid w:val="0083662F"/>
    <w:rsid w:val="00836899"/>
    <w:rsid w:val="00837355"/>
    <w:rsid w:val="008373DB"/>
    <w:rsid w:val="008378AF"/>
    <w:rsid w:val="00840156"/>
    <w:rsid w:val="00840317"/>
    <w:rsid w:val="00840626"/>
    <w:rsid w:val="0084083A"/>
    <w:rsid w:val="00840AF4"/>
    <w:rsid w:val="00840B26"/>
    <w:rsid w:val="008417AD"/>
    <w:rsid w:val="00841C86"/>
    <w:rsid w:val="00842481"/>
    <w:rsid w:val="0084261E"/>
    <w:rsid w:val="00842668"/>
    <w:rsid w:val="008430B7"/>
    <w:rsid w:val="0084325D"/>
    <w:rsid w:val="008435CB"/>
    <w:rsid w:val="008437D3"/>
    <w:rsid w:val="00843831"/>
    <w:rsid w:val="0084389A"/>
    <w:rsid w:val="00843CE7"/>
    <w:rsid w:val="00843F4C"/>
    <w:rsid w:val="00844552"/>
    <w:rsid w:val="0084590D"/>
    <w:rsid w:val="00845E60"/>
    <w:rsid w:val="008463FC"/>
    <w:rsid w:val="00846E52"/>
    <w:rsid w:val="00846F29"/>
    <w:rsid w:val="00847E22"/>
    <w:rsid w:val="008501C2"/>
    <w:rsid w:val="008505E2"/>
    <w:rsid w:val="00850ECC"/>
    <w:rsid w:val="00850EF6"/>
    <w:rsid w:val="00850F4E"/>
    <w:rsid w:val="00851E94"/>
    <w:rsid w:val="00851EBF"/>
    <w:rsid w:val="0085237A"/>
    <w:rsid w:val="00852887"/>
    <w:rsid w:val="00852920"/>
    <w:rsid w:val="00853063"/>
    <w:rsid w:val="0085368C"/>
    <w:rsid w:val="00853BD3"/>
    <w:rsid w:val="00853FF4"/>
    <w:rsid w:val="008543DA"/>
    <w:rsid w:val="00854551"/>
    <w:rsid w:val="0085455E"/>
    <w:rsid w:val="0085471A"/>
    <w:rsid w:val="00855071"/>
    <w:rsid w:val="008556CF"/>
    <w:rsid w:val="00855942"/>
    <w:rsid w:val="00856258"/>
    <w:rsid w:val="00856816"/>
    <w:rsid w:val="0085725E"/>
    <w:rsid w:val="00857DFC"/>
    <w:rsid w:val="008609D8"/>
    <w:rsid w:val="00860A2B"/>
    <w:rsid w:val="00860FB6"/>
    <w:rsid w:val="00860FBE"/>
    <w:rsid w:val="00861066"/>
    <w:rsid w:val="008616D9"/>
    <w:rsid w:val="00862768"/>
    <w:rsid w:val="00862879"/>
    <w:rsid w:val="008628E9"/>
    <w:rsid w:val="00862A7F"/>
    <w:rsid w:val="00863259"/>
    <w:rsid w:val="008646E5"/>
    <w:rsid w:val="0086527F"/>
    <w:rsid w:val="00865C02"/>
    <w:rsid w:val="008660ED"/>
    <w:rsid w:val="008661F4"/>
    <w:rsid w:val="0086678D"/>
    <w:rsid w:val="008668B5"/>
    <w:rsid w:val="00866A58"/>
    <w:rsid w:val="00866F9F"/>
    <w:rsid w:val="00870799"/>
    <w:rsid w:val="0087085B"/>
    <w:rsid w:val="00870A35"/>
    <w:rsid w:val="00872024"/>
    <w:rsid w:val="008723C1"/>
    <w:rsid w:val="00872753"/>
    <w:rsid w:val="00873CD8"/>
    <w:rsid w:val="008741B0"/>
    <w:rsid w:val="008750AF"/>
    <w:rsid w:val="008753D3"/>
    <w:rsid w:val="0087564B"/>
    <w:rsid w:val="00875708"/>
    <w:rsid w:val="00875BE3"/>
    <w:rsid w:val="008765B2"/>
    <w:rsid w:val="008765EB"/>
    <w:rsid w:val="00876A63"/>
    <w:rsid w:val="00876AC0"/>
    <w:rsid w:val="00876F3C"/>
    <w:rsid w:val="00876F96"/>
    <w:rsid w:val="00877560"/>
    <w:rsid w:val="008779DA"/>
    <w:rsid w:val="00877BEE"/>
    <w:rsid w:val="00877F0C"/>
    <w:rsid w:val="00877FF5"/>
    <w:rsid w:val="00880AF5"/>
    <w:rsid w:val="0088120F"/>
    <w:rsid w:val="0088181F"/>
    <w:rsid w:val="00882291"/>
    <w:rsid w:val="00882569"/>
    <w:rsid w:val="008826C4"/>
    <w:rsid w:val="0088289C"/>
    <w:rsid w:val="00882C6E"/>
    <w:rsid w:val="00882DAA"/>
    <w:rsid w:val="00883366"/>
    <w:rsid w:val="0088359D"/>
    <w:rsid w:val="0088393D"/>
    <w:rsid w:val="00883F93"/>
    <w:rsid w:val="00884B45"/>
    <w:rsid w:val="00884B7A"/>
    <w:rsid w:val="00886C34"/>
    <w:rsid w:val="008874CD"/>
    <w:rsid w:val="00887846"/>
    <w:rsid w:val="008879D0"/>
    <w:rsid w:val="00887DBA"/>
    <w:rsid w:val="0089050B"/>
    <w:rsid w:val="00890FD4"/>
    <w:rsid w:val="008912AB"/>
    <w:rsid w:val="008915A7"/>
    <w:rsid w:val="008918B6"/>
    <w:rsid w:val="00892A2C"/>
    <w:rsid w:val="00892C65"/>
    <w:rsid w:val="00893AB7"/>
    <w:rsid w:val="00894A41"/>
    <w:rsid w:val="00895B2F"/>
    <w:rsid w:val="00895F7B"/>
    <w:rsid w:val="008962CF"/>
    <w:rsid w:val="00896A30"/>
    <w:rsid w:val="008A0032"/>
    <w:rsid w:val="008A06BF"/>
    <w:rsid w:val="008A0936"/>
    <w:rsid w:val="008A0BF0"/>
    <w:rsid w:val="008A0F87"/>
    <w:rsid w:val="008A100E"/>
    <w:rsid w:val="008A110D"/>
    <w:rsid w:val="008A11A0"/>
    <w:rsid w:val="008A19F6"/>
    <w:rsid w:val="008A1A0A"/>
    <w:rsid w:val="008A1CE9"/>
    <w:rsid w:val="008A2AE0"/>
    <w:rsid w:val="008A2C6F"/>
    <w:rsid w:val="008A2EA3"/>
    <w:rsid w:val="008A3019"/>
    <w:rsid w:val="008A35A0"/>
    <w:rsid w:val="008A3B2A"/>
    <w:rsid w:val="008A3BAA"/>
    <w:rsid w:val="008A505A"/>
    <w:rsid w:val="008A514F"/>
    <w:rsid w:val="008A532E"/>
    <w:rsid w:val="008A5459"/>
    <w:rsid w:val="008A56C8"/>
    <w:rsid w:val="008A5B5F"/>
    <w:rsid w:val="008A5DBB"/>
    <w:rsid w:val="008A6488"/>
    <w:rsid w:val="008A64DE"/>
    <w:rsid w:val="008A77DC"/>
    <w:rsid w:val="008A78AE"/>
    <w:rsid w:val="008A7FD2"/>
    <w:rsid w:val="008B029A"/>
    <w:rsid w:val="008B03EE"/>
    <w:rsid w:val="008B0A80"/>
    <w:rsid w:val="008B18FC"/>
    <w:rsid w:val="008B1916"/>
    <w:rsid w:val="008B1E71"/>
    <w:rsid w:val="008B2D3B"/>
    <w:rsid w:val="008B378C"/>
    <w:rsid w:val="008B379C"/>
    <w:rsid w:val="008B3A65"/>
    <w:rsid w:val="008B3D23"/>
    <w:rsid w:val="008B44B4"/>
    <w:rsid w:val="008B52F2"/>
    <w:rsid w:val="008B588A"/>
    <w:rsid w:val="008B5DE1"/>
    <w:rsid w:val="008B6025"/>
    <w:rsid w:val="008B6869"/>
    <w:rsid w:val="008B6D0A"/>
    <w:rsid w:val="008B6F96"/>
    <w:rsid w:val="008B7150"/>
    <w:rsid w:val="008B7240"/>
    <w:rsid w:val="008B77DF"/>
    <w:rsid w:val="008B7C67"/>
    <w:rsid w:val="008C0196"/>
    <w:rsid w:val="008C01AE"/>
    <w:rsid w:val="008C0201"/>
    <w:rsid w:val="008C09DE"/>
    <w:rsid w:val="008C0C03"/>
    <w:rsid w:val="008C18E9"/>
    <w:rsid w:val="008C1F0E"/>
    <w:rsid w:val="008C2367"/>
    <w:rsid w:val="008C27A7"/>
    <w:rsid w:val="008C2948"/>
    <w:rsid w:val="008C2F02"/>
    <w:rsid w:val="008C2F3D"/>
    <w:rsid w:val="008C38D4"/>
    <w:rsid w:val="008C3C96"/>
    <w:rsid w:val="008C4301"/>
    <w:rsid w:val="008C4355"/>
    <w:rsid w:val="008C63C5"/>
    <w:rsid w:val="008C66DE"/>
    <w:rsid w:val="008C6853"/>
    <w:rsid w:val="008C7033"/>
    <w:rsid w:val="008C756E"/>
    <w:rsid w:val="008C75E2"/>
    <w:rsid w:val="008C7B40"/>
    <w:rsid w:val="008C7B6E"/>
    <w:rsid w:val="008D00BD"/>
    <w:rsid w:val="008D0207"/>
    <w:rsid w:val="008D0D4A"/>
    <w:rsid w:val="008D102A"/>
    <w:rsid w:val="008D122D"/>
    <w:rsid w:val="008D153D"/>
    <w:rsid w:val="008D185C"/>
    <w:rsid w:val="008D1B58"/>
    <w:rsid w:val="008D213C"/>
    <w:rsid w:val="008D224C"/>
    <w:rsid w:val="008D2D9A"/>
    <w:rsid w:val="008D36D9"/>
    <w:rsid w:val="008D3983"/>
    <w:rsid w:val="008D3B28"/>
    <w:rsid w:val="008D3C26"/>
    <w:rsid w:val="008D3D4C"/>
    <w:rsid w:val="008D3E5F"/>
    <w:rsid w:val="008D4BAB"/>
    <w:rsid w:val="008D5608"/>
    <w:rsid w:val="008D5755"/>
    <w:rsid w:val="008D58AA"/>
    <w:rsid w:val="008D6395"/>
    <w:rsid w:val="008D6453"/>
    <w:rsid w:val="008D68F4"/>
    <w:rsid w:val="008D6BBF"/>
    <w:rsid w:val="008D7112"/>
    <w:rsid w:val="008D7246"/>
    <w:rsid w:val="008D75B8"/>
    <w:rsid w:val="008D794D"/>
    <w:rsid w:val="008D7A54"/>
    <w:rsid w:val="008D7DB6"/>
    <w:rsid w:val="008D7E80"/>
    <w:rsid w:val="008E07C7"/>
    <w:rsid w:val="008E0A80"/>
    <w:rsid w:val="008E0A98"/>
    <w:rsid w:val="008E0F31"/>
    <w:rsid w:val="008E10FE"/>
    <w:rsid w:val="008E11FC"/>
    <w:rsid w:val="008E12B7"/>
    <w:rsid w:val="008E148F"/>
    <w:rsid w:val="008E156C"/>
    <w:rsid w:val="008E2972"/>
    <w:rsid w:val="008E2AF0"/>
    <w:rsid w:val="008E2BD5"/>
    <w:rsid w:val="008E334F"/>
    <w:rsid w:val="008E34D4"/>
    <w:rsid w:val="008E3520"/>
    <w:rsid w:val="008E38E8"/>
    <w:rsid w:val="008E3D2A"/>
    <w:rsid w:val="008E425B"/>
    <w:rsid w:val="008E4571"/>
    <w:rsid w:val="008E4856"/>
    <w:rsid w:val="008E4D84"/>
    <w:rsid w:val="008E54F2"/>
    <w:rsid w:val="008E6298"/>
    <w:rsid w:val="008E679F"/>
    <w:rsid w:val="008E715E"/>
    <w:rsid w:val="008E71B9"/>
    <w:rsid w:val="008E77FC"/>
    <w:rsid w:val="008E7E69"/>
    <w:rsid w:val="008F02D0"/>
    <w:rsid w:val="008F16EF"/>
    <w:rsid w:val="008F1DB8"/>
    <w:rsid w:val="008F1DFF"/>
    <w:rsid w:val="008F1ED1"/>
    <w:rsid w:val="008F239A"/>
    <w:rsid w:val="008F26BF"/>
    <w:rsid w:val="008F2AD8"/>
    <w:rsid w:val="008F2DEA"/>
    <w:rsid w:val="008F2EAA"/>
    <w:rsid w:val="008F33B9"/>
    <w:rsid w:val="008F396D"/>
    <w:rsid w:val="008F441B"/>
    <w:rsid w:val="008F48DB"/>
    <w:rsid w:val="008F4E9E"/>
    <w:rsid w:val="008F4EBE"/>
    <w:rsid w:val="008F4FAC"/>
    <w:rsid w:val="008F606F"/>
    <w:rsid w:val="008F623B"/>
    <w:rsid w:val="008F696D"/>
    <w:rsid w:val="008F69F6"/>
    <w:rsid w:val="008F6F89"/>
    <w:rsid w:val="008F73B0"/>
    <w:rsid w:val="008F7CC0"/>
    <w:rsid w:val="008F7D8C"/>
    <w:rsid w:val="009008D9"/>
    <w:rsid w:val="00900ACF"/>
    <w:rsid w:val="00900B67"/>
    <w:rsid w:val="009010B4"/>
    <w:rsid w:val="009012FF"/>
    <w:rsid w:val="00901BB4"/>
    <w:rsid w:val="00901E90"/>
    <w:rsid w:val="00901F04"/>
    <w:rsid w:val="0090240A"/>
    <w:rsid w:val="00902BA6"/>
    <w:rsid w:val="00902E69"/>
    <w:rsid w:val="00903715"/>
    <w:rsid w:val="00903CD9"/>
    <w:rsid w:val="00903D75"/>
    <w:rsid w:val="00903F1E"/>
    <w:rsid w:val="00904C6F"/>
    <w:rsid w:val="009059CA"/>
    <w:rsid w:val="00905DBE"/>
    <w:rsid w:val="00906DE2"/>
    <w:rsid w:val="00907C1C"/>
    <w:rsid w:val="00910A20"/>
    <w:rsid w:val="00910D26"/>
    <w:rsid w:val="0091154E"/>
    <w:rsid w:val="00911EF2"/>
    <w:rsid w:val="00911FB6"/>
    <w:rsid w:val="0091234F"/>
    <w:rsid w:val="0091267A"/>
    <w:rsid w:val="00912B0F"/>
    <w:rsid w:val="009135CB"/>
    <w:rsid w:val="00913CB9"/>
    <w:rsid w:val="00913F23"/>
    <w:rsid w:val="00915627"/>
    <w:rsid w:val="0091628A"/>
    <w:rsid w:val="00916B90"/>
    <w:rsid w:val="00916C2D"/>
    <w:rsid w:val="00916CC7"/>
    <w:rsid w:val="0091705E"/>
    <w:rsid w:val="00917112"/>
    <w:rsid w:val="009171F9"/>
    <w:rsid w:val="0091729C"/>
    <w:rsid w:val="009172DB"/>
    <w:rsid w:val="00917E68"/>
    <w:rsid w:val="0092062C"/>
    <w:rsid w:val="00921B0C"/>
    <w:rsid w:val="00922450"/>
    <w:rsid w:val="00922C1F"/>
    <w:rsid w:val="00922EAF"/>
    <w:rsid w:val="009230DC"/>
    <w:rsid w:val="00924587"/>
    <w:rsid w:val="009245FA"/>
    <w:rsid w:val="00926934"/>
    <w:rsid w:val="009269ED"/>
    <w:rsid w:val="00926B75"/>
    <w:rsid w:val="00926E39"/>
    <w:rsid w:val="00926F45"/>
    <w:rsid w:val="009272E3"/>
    <w:rsid w:val="00927DBD"/>
    <w:rsid w:val="00927E1F"/>
    <w:rsid w:val="009303FC"/>
    <w:rsid w:val="009309D1"/>
    <w:rsid w:val="00930B6B"/>
    <w:rsid w:val="00930C57"/>
    <w:rsid w:val="00930C58"/>
    <w:rsid w:val="00930F43"/>
    <w:rsid w:val="00931517"/>
    <w:rsid w:val="0093195B"/>
    <w:rsid w:val="00931AE0"/>
    <w:rsid w:val="00931C36"/>
    <w:rsid w:val="00931E5D"/>
    <w:rsid w:val="0093219F"/>
    <w:rsid w:val="00932225"/>
    <w:rsid w:val="0093266A"/>
    <w:rsid w:val="00933321"/>
    <w:rsid w:val="00933A5B"/>
    <w:rsid w:val="009342AC"/>
    <w:rsid w:val="009348CE"/>
    <w:rsid w:val="00934F3F"/>
    <w:rsid w:val="0093549B"/>
    <w:rsid w:val="009356F2"/>
    <w:rsid w:val="00935BFE"/>
    <w:rsid w:val="00935D73"/>
    <w:rsid w:val="00935D8C"/>
    <w:rsid w:val="00936C8C"/>
    <w:rsid w:val="009377A2"/>
    <w:rsid w:val="00937A32"/>
    <w:rsid w:val="00937BEB"/>
    <w:rsid w:val="00940120"/>
    <w:rsid w:val="00940894"/>
    <w:rsid w:val="00940D87"/>
    <w:rsid w:val="00940FFB"/>
    <w:rsid w:val="00941007"/>
    <w:rsid w:val="009411AA"/>
    <w:rsid w:val="00941259"/>
    <w:rsid w:val="0094125F"/>
    <w:rsid w:val="00941269"/>
    <w:rsid w:val="00941863"/>
    <w:rsid w:val="00941B54"/>
    <w:rsid w:val="00941E88"/>
    <w:rsid w:val="009427C3"/>
    <w:rsid w:val="009439C6"/>
    <w:rsid w:val="00943CD3"/>
    <w:rsid w:val="00944320"/>
    <w:rsid w:val="00944A56"/>
    <w:rsid w:val="00944BD5"/>
    <w:rsid w:val="0094514D"/>
    <w:rsid w:val="009451EE"/>
    <w:rsid w:val="00945527"/>
    <w:rsid w:val="0094600A"/>
    <w:rsid w:val="00946EBE"/>
    <w:rsid w:val="00947600"/>
    <w:rsid w:val="00947B43"/>
    <w:rsid w:val="00947B83"/>
    <w:rsid w:val="00950410"/>
    <w:rsid w:val="00950D8F"/>
    <w:rsid w:val="00950DAC"/>
    <w:rsid w:val="0095151F"/>
    <w:rsid w:val="00951988"/>
    <w:rsid w:val="00951E80"/>
    <w:rsid w:val="00951F99"/>
    <w:rsid w:val="00952936"/>
    <w:rsid w:val="009531C0"/>
    <w:rsid w:val="00953FE3"/>
    <w:rsid w:val="00954027"/>
    <w:rsid w:val="00954395"/>
    <w:rsid w:val="009543D3"/>
    <w:rsid w:val="00954452"/>
    <w:rsid w:val="009548B0"/>
    <w:rsid w:val="00954B81"/>
    <w:rsid w:val="00955752"/>
    <w:rsid w:val="00955AB0"/>
    <w:rsid w:val="00955BF2"/>
    <w:rsid w:val="009560A4"/>
    <w:rsid w:val="0095612F"/>
    <w:rsid w:val="00956941"/>
    <w:rsid w:val="00956AA0"/>
    <w:rsid w:val="00956DF2"/>
    <w:rsid w:val="00957CC6"/>
    <w:rsid w:val="0096077B"/>
    <w:rsid w:val="009607D2"/>
    <w:rsid w:val="0096089B"/>
    <w:rsid w:val="00960961"/>
    <w:rsid w:val="00960A41"/>
    <w:rsid w:val="00960CC6"/>
    <w:rsid w:val="00961B96"/>
    <w:rsid w:val="00962917"/>
    <w:rsid w:val="00962A6B"/>
    <w:rsid w:val="00963191"/>
    <w:rsid w:val="009634AF"/>
    <w:rsid w:val="00963799"/>
    <w:rsid w:val="00963B63"/>
    <w:rsid w:val="00963FF5"/>
    <w:rsid w:val="009643CF"/>
    <w:rsid w:val="00964982"/>
    <w:rsid w:val="00964E00"/>
    <w:rsid w:val="0096591D"/>
    <w:rsid w:val="009668DD"/>
    <w:rsid w:val="00966C64"/>
    <w:rsid w:val="00967660"/>
    <w:rsid w:val="00967A75"/>
    <w:rsid w:val="00967E10"/>
    <w:rsid w:val="00967ED8"/>
    <w:rsid w:val="009711C1"/>
    <w:rsid w:val="009711F5"/>
    <w:rsid w:val="00971708"/>
    <w:rsid w:val="00971BDF"/>
    <w:rsid w:val="00971EE7"/>
    <w:rsid w:val="00971F3B"/>
    <w:rsid w:val="009729C2"/>
    <w:rsid w:val="00972BFE"/>
    <w:rsid w:val="00972CA2"/>
    <w:rsid w:val="00973EFD"/>
    <w:rsid w:val="009741FC"/>
    <w:rsid w:val="009742FD"/>
    <w:rsid w:val="0097497B"/>
    <w:rsid w:val="00974C65"/>
    <w:rsid w:val="00975386"/>
    <w:rsid w:val="009755F2"/>
    <w:rsid w:val="00975690"/>
    <w:rsid w:val="00975B79"/>
    <w:rsid w:val="00975F64"/>
    <w:rsid w:val="00976502"/>
    <w:rsid w:val="00976727"/>
    <w:rsid w:val="009770EF"/>
    <w:rsid w:val="00977C0E"/>
    <w:rsid w:val="00977C27"/>
    <w:rsid w:val="00977E7B"/>
    <w:rsid w:val="00977F3D"/>
    <w:rsid w:val="0098044D"/>
    <w:rsid w:val="00980571"/>
    <w:rsid w:val="00980C61"/>
    <w:rsid w:val="00980FA9"/>
    <w:rsid w:val="009812BD"/>
    <w:rsid w:val="00981302"/>
    <w:rsid w:val="009816F9"/>
    <w:rsid w:val="00981855"/>
    <w:rsid w:val="00982090"/>
    <w:rsid w:val="00982686"/>
    <w:rsid w:val="00983717"/>
    <w:rsid w:val="009843A1"/>
    <w:rsid w:val="00985003"/>
    <w:rsid w:val="009854F4"/>
    <w:rsid w:val="00985544"/>
    <w:rsid w:val="009856E0"/>
    <w:rsid w:val="00985D44"/>
    <w:rsid w:val="00985E3D"/>
    <w:rsid w:val="00985F44"/>
    <w:rsid w:val="009860F4"/>
    <w:rsid w:val="009868B9"/>
    <w:rsid w:val="00986A08"/>
    <w:rsid w:val="00987381"/>
    <w:rsid w:val="00987675"/>
    <w:rsid w:val="009879F9"/>
    <w:rsid w:val="009901DF"/>
    <w:rsid w:val="0099058A"/>
    <w:rsid w:val="009912CF"/>
    <w:rsid w:val="009921B8"/>
    <w:rsid w:val="0099221C"/>
    <w:rsid w:val="009924DC"/>
    <w:rsid w:val="009929DF"/>
    <w:rsid w:val="00992DBC"/>
    <w:rsid w:val="00992EB8"/>
    <w:rsid w:val="009932DD"/>
    <w:rsid w:val="00993303"/>
    <w:rsid w:val="00993C5A"/>
    <w:rsid w:val="00993EE0"/>
    <w:rsid w:val="0099407C"/>
    <w:rsid w:val="0099424D"/>
    <w:rsid w:val="00994865"/>
    <w:rsid w:val="0099497A"/>
    <w:rsid w:val="0099537C"/>
    <w:rsid w:val="009956F9"/>
    <w:rsid w:val="0099616F"/>
    <w:rsid w:val="009962AC"/>
    <w:rsid w:val="009962C5"/>
    <w:rsid w:val="0099651E"/>
    <w:rsid w:val="0099658C"/>
    <w:rsid w:val="00996A9E"/>
    <w:rsid w:val="00996FA7"/>
    <w:rsid w:val="0099755F"/>
    <w:rsid w:val="0099766B"/>
    <w:rsid w:val="009A0386"/>
    <w:rsid w:val="009A0708"/>
    <w:rsid w:val="009A0FCA"/>
    <w:rsid w:val="009A1741"/>
    <w:rsid w:val="009A19E6"/>
    <w:rsid w:val="009A2021"/>
    <w:rsid w:val="009A255C"/>
    <w:rsid w:val="009A2604"/>
    <w:rsid w:val="009A2618"/>
    <w:rsid w:val="009A27A3"/>
    <w:rsid w:val="009A2C89"/>
    <w:rsid w:val="009A3658"/>
    <w:rsid w:val="009A372E"/>
    <w:rsid w:val="009A3FB8"/>
    <w:rsid w:val="009A4567"/>
    <w:rsid w:val="009A4EC1"/>
    <w:rsid w:val="009A5765"/>
    <w:rsid w:val="009A578E"/>
    <w:rsid w:val="009A5BB5"/>
    <w:rsid w:val="009A63F1"/>
    <w:rsid w:val="009A696F"/>
    <w:rsid w:val="009A7176"/>
    <w:rsid w:val="009A783B"/>
    <w:rsid w:val="009A7B96"/>
    <w:rsid w:val="009B03E3"/>
    <w:rsid w:val="009B09F9"/>
    <w:rsid w:val="009B0ADA"/>
    <w:rsid w:val="009B0B0B"/>
    <w:rsid w:val="009B0CEA"/>
    <w:rsid w:val="009B0DF3"/>
    <w:rsid w:val="009B1402"/>
    <w:rsid w:val="009B1C10"/>
    <w:rsid w:val="009B1FFB"/>
    <w:rsid w:val="009B2A61"/>
    <w:rsid w:val="009B2CFD"/>
    <w:rsid w:val="009B31EB"/>
    <w:rsid w:val="009B34E1"/>
    <w:rsid w:val="009B4773"/>
    <w:rsid w:val="009B478D"/>
    <w:rsid w:val="009B48AC"/>
    <w:rsid w:val="009B5FF0"/>
    <w:rsid w:val="009B6091"/>
    <w:rsid w:val="009B6584"/>
    <w:rsid w:val="009B6B38"/>
    <w:rsid w:val="009B6D89"/>
    <w:rsid w:val="009B6DDF"/>
    <w:rsid w:val="009B6F9E"/>
    <w:rsid w:val="009B7F94"/>
    <w:rsid w:val="009C03B3"/>
    <w:rsid w:val="009C0A14"/>
    <w:rsid w:val="009C0AFE"/>
    <w:rsid w:val="009C0FD8"/>
    <w:rsid w:val="009C1197"/>
    <w:rsid w:val="009C1448"/>
    <w:rsid w:val="009C159A"/>
    <w:rsid w:val="009C1AAB"/>
    <w:rsid w:val="009C217D"/>
    <w:rsid w:val="009C2571"/>
    <w:rsid w:val="009C2DE7"/>
    <w:rsid w:val="009C33EE"/>
    <w:rsid w:val="009C41D2"/>
    <w:rsid w:val="009C4787"/>
    <w:rsid w:val="009C4818"/>
    <w:rsid w:val="009C4A44"/>
    <w:rsid w:val="009C51BA"/>
    <w:rsid w:val="009C52D3"/>
    <w:rsid w:val="009C5D38"/>
    <w:rsid w:val="009C6879"/>
    <w:rsid w:val="009C6F95"/>
    <w:rsid w:val="009C7919"/>
    <w:rsid w:val="009D0256"/>
    <w:rsid w:val="009D0388"/>
    <w:rsid w:val="009D04D9"/>
    <w:rsid w:val="009D1593"/>
    <w:rsid w:val="009D1774"/>
    <w:rsid w:val="009D1A32"/>
    <w:rsid w:val="009D203F"/>
    <w:rsid w:val="009D20A7"/>
    <w:rsid w:val="009D224F"/>
    <w:rsid w:val="009D2D59"/>
    <w:rsid w:val="009D2D7A"/>
    <w:rsid w:val="009D322C"/>
    <w:rsid w:val="009D3529"/>
    <w:rsid w:val="009D354C"/>
    <w:rsid w:val="009D41DF"/>
    <w:rsid w:val="009D421D"/>
    <w:rsid w:val="009D4403"/>
    <w:rsid w:val="009D4F06"/>
    <w:rsid w:val="009D5259"/>
    <w:rsid w:val="009D5895"/>
    <w:rsid w:val="009D5AF8"/>
    <w:rsid w:val="009D6B12"/>
    <w:rsid w:val="009D6C20"/>
    <w:rsid w:val="009D6DCA"/>
    <w:rsid w:val="009D7555"/>
    <w:rsid w:val="009E02CA"/>
    <w:rsid w:val="009E02EC"/>
    <w:rsid w:val="009E0340"/>
    <w:rsid w:val="009E0670"/>
    <w:rsid w:val="009E0B48"/>
    <w:rsid w:val="009E0BA2"/>
    <w:rsid w:val="009E0DAE"/>
    <w:rsid w:val="009E0DB5"/>
    <w:rsid w:val="009E0F64"/>
    <w:rsid w:val="009E194D"/>
    <w:rsid w:val="009E1ACB"/>
    <w:rsid w:val="009E2274"/>
    <w:rsid w:val="009E22AF"/>
    <w:rsid w:val="009E25B9"/>
    <w:rsid w:val="009E29F2"/>
    <w:rsid w:val="009E307B"/>
    <w:rsid w:val="009E37A9"/>
    <w:rsid w:val="009E39BF"/>
    <w:rsid w:val="009E3C86"/>
    <w:rsid w:val="009E438B"/>
    <w:rsid w:val="009E4A57"/>
    <w:rsid w:val="009E4F65"/>
    <w:rsid w:val="009E5005"/>
    <w:rsid w:val="009E549B"/>
    <w:rsid w:val="009E5E3F"/>
    <w:rsid w:val="009E665A"/>
    <w:rsid w:val="009E70DF"/>
    <w:rsid w:val="009E7BA8"/>
    <w:rsid w:val="009E7E6E"/>
    <w:rsid w:val="009E7E7B"/>
    <w:rsid w:val="009E7F68"/>
    <w:rsid w:val="009F0800"/>
    <w:rsid w:val="009F09D7"/>
    <w:rsid w:val="009F0E58"/>
    <w:rsid w:val="009F1120"/>
    <w:rsid w:val="009F1507"/>
    <w:rsid w:val="009F2D1B"/>
    <w:rsid w:val="009F2F9B"/>
    <w:rsid w:val="009F3055"/>
    <w:rsid w:val="009F35BC"/>
    <w:rsid w:val="009F3CFD"/>
    <w:rsid w:val="009F4A49"/>
    <w:rsid w:val="009F4BBE"/>
    <w:rsid w:val="009F50AB"/>
    <w:rsid w:val="009F50D3"/>
    <w:rsid w:val="009F6B94"/>
    <w:rsid w:val="009F6BE4"/>
    <w:rsid w:val="009F75FD"/>
    <w:rsid w:val="009F7712"/>
    <w:rsid w:val="009F7B63"/>
    <w:rsid w:val="009F7DC0"/>
    <w:rsid w:val="009F7F12"/>
    <w:rsid w:val="009F7FB7"/>
    <w:rsid w:val="00A00248"/>
    <w:rsid w:val="00A0080B"/>
    <w:rsid w:val="00A00BA0"/>
    <w:rsid w:val="00A00CDE"/>
    <w:rsid w:val="00A00D92"/>
    <w:rsid w:val="00A00F5E"/>
    <w:rsid w:val="00A0138C"/>
    <w:rsid w:val="00A021D3"/>
    <w:rsid w:val="00A02663"/>
    <w:rsid w:val="00A030CB"/>
    <w:rsid w:val="00A03695"/>
    <w:rsid w:val="00A0379A"/>
    <w:rsid w:val="00A03C34"/>
    <w:rsid w:val="00A04237"/>
    <w:rsid w:val="00A04399"/>
    <w:rsid w:val="00A04725"/>
    <w:rsid w:val="00A05147"/>
    <w:rsid w:val="00A05202"/>
    <w:rsid w:val="00A056F4"/>
    <w:rsid w:val="00A05993"/>
    <w:rsid w:val="00A0599D"/>
    <w:rsid w:val="00A05F0F"/>
    <w:rsid w:val="00A06410"/>
    <w:rsid w:val="00A06A40"/>
    <w:rsid w:val="00A06B07"/>
    <w:rsid w:val="00A06B7C"/>
    <w:rsid w:val="00A1071D"/>
    <w:rsid w:val="00A10BDF"/>
    <w:rsid w:val="00A11074"/>
    <w:rsid w:val="00A11EA2"/>
    <w:rsid w:val="00A12194"/>
    <w:rsid w:val="00A12547"/>
    <w:rsid w:val="00A1257C"/>
    <w:rsid w:val="00A12648"/>
    <w:rsid w:val="00A132E6"/>
    <w:rsid w:val="00A13AE2"/>
    <w:rsid w:val="00A143EE"/>
    <w:rsid w:val="00A14C8E"/>
    <w:rsid w:val="00A152BA"/>
    <w:rsid w:val="00A15711"/>
    <w:rsid w:val="00A15819"/>
    <w:rsid w:val="00A16A79"/>
    <w:rsid w:val="00A1714E"/>
    <w:rsid w:val="00A173F9"/>
    <w:rsid w:val="00A17525"/>
    <w:rsid w:val="00A17699"/>
    <w:rsid w:val="00A17759"/>
    <w:rsid w:val="00A17946"/>
    <w:rsid w:val="00A17B60"/>
    <w:rsid w:val="00A212B2"/>
    <w:rsid w:val="00A21AFE"/>
    <w:rsid w:val="00A22371"/>
    <w:rsid w:val="00A224EE"/>
    <w:rsid w:val="00A225BB"/>
    <w:rsid w:val="00A22BE7"/>
    <w:rsid w:val="00A233E6"/>
    <w:rsid w:val="00A23BE0"/>
    <w:rsid w:val="00A23E0E"/>
    <w:rsid w:val="00A23EA2"/>
    <w:rsid w:val="00A23F42"/>
    <w:rsid w:val="00A23FBB"/>
    <w:rsid w:val="00A243DF"/>
    <w:rsid w:val="00A24E56"/>
    <w:rsid w:val="00A25112"/>
    <w:rsid w:val="00A255B7"/>
    <w:rsid w:val="00A25EFE"/>
    <w:rsid w:val="00A25F02"/>
    <w:rsid w:val="00A26546"/>
    <w:rsid w:val="00A2681F"/>
    <w:rsid w:val="00A26CAD"/>
    <w:rsid w:val="00A26DD3"/>
    <w:rsid w:val="00A2763C"/>
    <w:rsid w:val="00A27B30"/>
    <w:rsid w:val="00A27DC0"/>
    <w:rsid w:val="00A27E4E"/>
    <w:rsid w:val="00A30065"/>
    <w:rsid w:val="00A307A4"/>
    <w:rsid w:val="00A30843"/>
    <w:rsid w:val="00A30C15"/>
    <w:rsid w:val="00A30F27"/>
    <w:rsid w:val="00A31AA4"/>
    <w:rsid w:val="00A31BD1"/>
    <w:rsid w:val="00A32108"/>
    <w:rsid w:val="00A331D2"/>
    <w:rsid w:val="00A33592"/>
    <w:rsid w:val="00A33825"/>
    <w:rsid w:val="00A33C39"/>
    <w:rsid w:val="00A3483E"/>
    <w:rsid w:val="00A348AF"/>
    <w:rsid w:val="00A34A5A"/>
    <w:rsid w:val="00A34CC4"/>
    <w:rsid w:val="00A34D50"/>
    <w:rsid w:val="00A34F34"/>
    <w:rsid w:val="00A35062"/>
    <w:rsid w:val="00A357A3"/>
    <w:rsid w:val="00A35A0B"/>
    <w:rsid w:val="00A37AB5"/>
    <w:rsid w:val="00A404B3"/>
    <w:rsid w:val="00A40D7B"/>
    <w:rsid w:val="00A416BC"/>
    <w:rsid w:val="00A416E0"/>
    <w:rsid w:val="00A420C1"/>
    <w:rsid w:val="00A42123"/>
    <w:rsid w:val="00A42646"/>
    <w:rsid w:val="00A42E41"/>
    <w:rsid w:val="00A42E95"/>
    <w:rsid w:val="00A436DD"/>
    <w:rsid w:val="00A43BDF"/>
    <w:rsid w:val="00A43C37"/>
    <w:rsid w:val="00A447A6"/>
    <w:rsid w:val="00A4506C"/>
    <w:rsid w:val="00A4533D"/>
    <w:rsid w:val="00A459EB"/>
    <w:rsid w:val="00A463B7"/>
    <w:rsid w:val="00A468C7"/>
    <w:rsid w:val="00A47409"/>
    <w:rsid w:val="00A4749D"/>
    <w:rsid w:val="00A47753"/>
    <w:rsid w:val="00A47D81"/>
    <w:rsid w:val="00A47E5B"/>
    <w:rsid w:val="00A503CF"/>
    <w:rsid w:val="00A50569"/>
    <w:rsid w:val="00A505CC"/>
    <w:rsid w:val="00A50D4A"/>
    <w:rsid w:val="00A51367"/>
    <w:rsid w:val="00A516A9"/>
    <w:rsid w:val="00A51936"/>
    <w:rsid w:val="00A51F62"/>
    <w:rsid w:val="00A51FAF"/>
    <w:rsid w:val="00A521ED"/>
    <w:rsid w:val="00A52407"/>
    <w:rsid w:val="00A52738"/>
    <w:rsid w:val="00A542BF"/>
    <w:rsid w:val="00A54559"/>
    <w:rsid w:val="00A54AB6"/>
    <w:rsid w:val="00A54B1C"/>
    <w:rsid w:val="00A54E77"/>
    <w:rsid w:val="00A55580"/>
    <w:rsid w:val="00A55C0A"/>
    <w:rsid w:val="00A55FCA"/>
    <w:rsid w:val="00A5622B"/>
    <w:rsid w:val="00A56E2D"/>
    <w:rsid w:val="00A56EDF"/>
    <w:rsid w:val="00A56F65"/>
    <w:rsid w:val="00A570EB"/>
    <w:rsid w:val="00A5714E"/>
    <w:rsid w:val="00A573C3"/>
    <w:rsid w:val="00A57621"/>
    <w:rsid w:val="00A60CD2"/>
    <w:rsid w:val="00A60CDA"/>
    <w:rsid w:val="00A615CD"/>
    <w:rsid w:val="00A626C9"/>
    <w:rsid w:val="00A631F0"/>
    <w:rsid w:val="00A63231"/>
    <w:rsid w:val="00A634DC"/>
    <w:rsid w:val="00A63A68"/>
    <w:rsid w:val="00A63DFB"/>
    <w:rsid w:val="00A63EE2"/>
    <w:rsid w:val="00A63F2F"/>
    <w:rsid w:val="00A643AB"/>
    <w:rsid w:val="00A643AF"/>
    <w:rsid w:val="00A644DB"/>
    <w:rsid w:val="00A64540"/>
    <w:rsid w:val="00A65707"/>
    <w:rsid w:val="00A65A30"/>
    <w:rsid w:val="00A661A8"/>
    <w:rsid w:val="00A66565"/>
    <w:rsid w:val="00A668DC"/>
    <w:rsid w:val="00A66BE4"/>
    <w:rsid w:val="00A6788E"/>
    <w:rsid w:val="00A679F5"/>
    <w:rsid w:val="00A70731"/>
    <w:rsid w:val="00A70BB4"/>
    <w:rsid w:val="00A71078"/>
    <w:rsid w:val="00A7132D"/>
    <w:rsid w:val="00A7263E"/>
    <w:rsid w:val="00A73067"/>
    <w:rsid w:val="00A732A0"/>
    <w:rsid w:val="00A74355"/>
    <w:rsid w:val="00A74A3A"/>
    <w:rsid w:val="00A74A45"/>
    <w:rsid w:val="00A74CB4"/>
    <w:rsid w:val="00A751BB"/>
    <w:rsid w:val="00A75D16"/>
    <w:rsid w:val="00A75E59"/>
    <w:rsid w:val="00A76622"/>
    <w:rsid w:val="00A768AB"/>
    <w:rsid w:val="00A770F6"/>
    <w:rsid w:val="00A7758C"/>
    <w:rsid w:val="00A77876"/>
    <w:rsid w:val="00A803C4"/>
    <w:rsid w:val="00A804B3"/>
    <w:rsid w:val="00A80980"/>
    <w:rsid w:val="00A80C3C"/>
    <w:rsid w:val="00A81FFA"/>
    <w:rsid w:val="00A82061"/>
    <w:rsid w:val="00A824DC"/>
    <w:rsid w:val="00A82718"/>
    <w:rsid w:val="00A828A5"/>
    <w:rsid w:val="00A82946"/>
    <w:rsid w:val="00A82C54"/>
    <w:rsid w:val="00A83922"/>
    <w:rsid w:val="00A839DD"/>
    <w:rsid w:val="00A83A08"/>
    <w:rsid w:val="00A83F49"/>
    <w:rsid w:val="00A84B40"/>
    <w:rsid w:val="00A85034"/>
    <w:rsid w:val="00A85557"/>
    <w:rsid w:val="00A855D8"/>
    <w:rsid w:val="00A85776"/>
    <w:rsid w:val="00A858C3"/>
    <w:rsid w:val="00A86467"/>
    <w:rsid w:val="00A866FE"/>
    <w:rsid w:val="00A86D51"/>
    <w:rsid w:val="00A87307"/>
    <w:rsid w:val="00A87349"/>
    <w:rsid w:val="00A87A60"/>
    <w:rsid w:val="00A90138"/>
    <w:rsid w:val="00A909B9"/>
    <w:rsid w:val="00A913CB"/>
    <w:rsid w:val="00A918A6"/>
    <w:rsid w:val="00A92529"/>
    <w:rsid w:val="00A929F3"/>
    <w:rsid w:val="00A92A38"/>
    <w:rsid w:val="00A92B36"/>
    <w:rsid w:val="00A92C42"/>
    <w:rsid w:val="00A93064"/>
    <w:rsid w:val="00A9318E"/>
    <w:rsid w:val="00A93261"/>
    <w:rsid w:val="00A9367D"/>
    <w:rsid w:val="00A9374A"/>
    <w:rsid w:val="00A93B01"/>
    <w:rsid w:val="00A94593"/>
    <w:rsid w:val="00A946A3"/>
    <w:rsid w:val="00A94A8F"/>
    <w:rsid w:val="00A952C9"/>
    <w:rsid w:val="00A95870"/>
    <w:rsid w:val="00A95A38"/>
    <w:rsid w:val="00A95B63"/>
    <w:rsid w:val="00A95C37"/>
    <w:rsid w:val="00A95F30"/>
    <w:rsid w:val="00A962E4"/>
    <w:rsid w:val="00A96B43"/>
    <w:rsid w:val="00A96E8C"/>
    <w:rsid w:val="00A96F54"/>
    <w:rsid w:val="00A9747F"/>
    <w:rsid w:val="00A97A63"/>
    <w:rsid w:val="00A97B05"/>
    <w:rsid w:val="00AA031E"/>
    <w:rsid w:val="00AA0542"/>
    <w:rsid w:val="00AA10E7"/>
    <w:rsid w:val="00AA13D7"/>
    <w:rsid w:val="00AA1755"/>
    <w:rsid w:val="00AA1C9F"/>
    <w:rsid w:val="00AA1D7C"/>
    <w:rsid w:val="00AA2294"/>
    <w:rsid w:val="00AA2B69"/>
    <w:rsid w:val="00AA2C6F"/>
    <w:rsid w:val="00AA3655"/>
    <w:rsid w:val="00AA3B1A"/>
    <w:rsid w:val="00AA44B7"/>
    <w:rsid w:val="00AA490E"/>
    <w:rsid w:val="00AA492F"/>
    <w:rsid w:val="00AA4992"/>
    <w:rsid w:val="00AA49E0"/>
    <w:rsid w:val="00AA4B2D"/>
    <w:rsid w:val="00AA4E63"/>
    <w:rsid w:val="00AA4F8A"/>
    <w:rsid w:val="00AA5263"/>
    <w:rsid w:val="00AA5EC5"/>
    <w:rsid w:val="00AA625A"/>
    <w:rsid w:val="00AA67C2"/>
    <w:rsid w:val="00AA69DA"/>
    <w:rsid w:val="00AA6A16"/>
    <w:rsid w:val="00AA6FBB"/>
    <w:rsid w:val="00AA72BD"/>
    <w:rsid w:val="00AB0167"/>
    <w:rsid w:val="00AB0F67"/>
    <w:rsid w:val="00AB1513"/>
    <w:rsid w:val="00AB1B26"/>
    <w:rsid w:val="00AB20F9"/>
    <w:rsid w:val="00AB32DF"/>
    <w:rsid w:val="00AB3584"/>
    <w:rsid w:val="00AB360E"/>
    <w:rsid w:val="00AB364C"/>
    <w:rsid w:val="00AB379D"/>
    <w:rsid w:val="00AB46B9"/>
    <w:rsid w:val="00AB4EB6"/>
    <w:rsid w:val="00AB5509"/>
    <w:rsid w:val="00AB5985"/>
    <w:rsid w:val="00AB5AB7"/>
    <w:rsid w:val="00AB6126"/>
    <w:rsid w:val="00AB674E"/>
    <w:rsid w:val="00AB6AE3"/>
    <w:rsid w:val="00AB7734"/>
    <w:rsid w:val="00AC0E04"/>
    <w:rsid w:val="00AC1154"/>
    <w:rsid w:val="00AC1267"/>
    <w:rsid w:val="00AC159A"/>
    <w:rsid w:val="00AC1625"/>
    <w:rsid w:val="00AC2181"/>
    <w:rsid w:val="00AC347F"/>
    <w:rsid w:val="00AC3BFE"/>
    <w:rsid w:val="00AC44C3"/>
    <w:rsid w:val="00AC477F"/>
    <w:rsid w:val="00AC5065"/>
    <w:rsid w:val="00AC5E97"/>
    <w:rsid w:val="00AC5F52"/>
    <w:rsid w:val="00AC686D"/>
    <w:rsid w:val="00AC6BFF"/>
    <w:rsid w:val="00AC7146"/>
    <w:rsid w:val="00AC7209"/>
    <w:rsid w:val="00AC7375"/>
    <w:rsid w:val="00AC7CB9"/>
    <w:rsid w:val="00AC7EDF"/>
    <w:rsid w:val="00AD035C"/>
    <w:rsid w:val="00AD10F1"/>
    <w:rsid w:val="00AD178D"/>
    <w:rsid w:val="00AD17C6"/>
    <w:rsid w:val="00AD1F82"/>
    <w:rsid w:val="00AD2244"/>
    <w:rsid w:val="00AD26A6"/>
    <w:rsid w:val="00AD2DDB"/>
    <w:rsid w:val="00AD2E0C"/>
    <w:rsid w:val="00AD2ED7"/>
    <w:rsid w:val="00AD3242"/>
    <w:rsid w:val="00AD3417"/>
    <w:rsid w:val="00AD3446"/>
    <w:rsid w:val="00AD34A0"/>
    <w:rsid w:val="00AD3C94"/>
    <w:rsid w:val="00AD4193"/>
    <w:rsid w:val="00AD45BD"/>
    <w:rsid w:val="00AD520A"/>
    <w:rsid w:val="00AD5470"/>
    <w:rsid w:val="00AD5C7B"/>
    <w:rsid w:val="00AD5EE6"/>
    <w:rsid w:val="00AD631C"/>
    <w:rsid w:val="00AD65AB"/>
    <w:rsid w:val="00AD682F"/>
    <w:rsid w:val="00AD69BB"/>
    <w:rsid w:val="00AD7359"/>
    <w:rsid w:val="00AE00A4"/>
    <w:rsid w:val="00AE06E0"/>
    <w:rsid w:val="00AE0817"/>
    <w:rsid w:val="00AE0847"/>
    <w:rsid w:val="00AE08D8"/>
    <w:rsid w:val="00AE0BA2"/>
    <w:rsid w:val="00AE14ED"/>
    <w:rsid w:val="00AE192A"/>
    <w:rsid w:val="00AE1E2E"/>
    <w:rsid w:val="00AE24CB"/>
    <w:rsid w:val="00AE255D"/>
    <w:rsid w:val="00AE2D6E"/>
    <w:rsid w:val="00AE3038"/>
    <w:rsid w:val="00AE32FA"/>
    <w:rsid w:val="00AE3547"/>
    <w:rsid w:val="00AE3D62"/>
    <w:rsid w:val="00AE4160"/>
    <w:rsid w:val="00AE4AB5"/>
    <w:rsid w:val="00AE4D41"/>
    <w:rsid w:val="00AE50A0"/>
    <w:rsid w:val="00AE5F29"/>
    <w:rsid w:val="00AE6148"/>
    <w:rsid w:val="00AE6DC5"/>
    <w:rsid w:val="00AE7030"/>
    <w:rsid w:val="00AE772F"/>
    <w:rsid w:val="00AE7B14"/>
    <w:rsid w:val="00AF04D7"/>
    <w:rsid w:val="00AF0E75"/>
    <w:rsid w:val="00AF2110"/>
    <w:rsid w:val="00AF2E73"/>
    <w:rsid w:val="00AF2F58"/>
    <w:rsid w:val="00AF32FA"/>
    <w:rsid w:val="00AF3368"/>
    <w:rsid w:val="00AF3946"/>
    <w:rsid w:val="00AF404A"/>
    <w:rsid w:val="00AF40DC"/>
    <w:rsid w:val="00AF46BD"/>
    <w:rsid w:val="00AF4846"/>
    <w:rsid w:val="00AF49F2"/>
    <w:rsid w:val="00AF5127"/>
    <w:rsid w:val="00AF59C1"/>
    <w:rsid w:val="00AF5AFE"/>
    <w:rsid w:val="00AF6B64"/>
    <w:rsid w:val="00AF6B71"/>
    <w:rsid w:val="00AF6EE7"/>
    <w:rsid w:val="00AF73F5"/>
    <w:rsid w:val="00AF78ED"/>
    <w:rsid w:val="00AF7DB0"/>
    <w:rsid w:val="00AF7E32"/>
    <w:rsid w:val="00B00D48"/>
    <w:rsid w:val="00B017D7"/>
    <w:rsid w:val="00B018F7"/>
    <w:rsid w:val="00B01C70"/>
    <w:rsid w:val="00B0249A"/>
    <w:rsid w:val="00B025E9"/>
    <w:rsid w:val="00B028B5"/>
    <w:rsid w:val="00B032C7"/>
    <w:rsid w:val="00B0359C"/>
    <w:rsid w:val="00B04212"/>
    <w:rsid w:val="00B04723"/>
    <w:rsid w:val="00B050A4"/>
    <w:rsid w:val="00B06076"/>
    <w:rsid w:val="00B06EE9"/>
    <w:rsid w:val="00B10185"/>
    <w:rsid w:val="00B101FF"/>
    <w:rsid w:val="00B113A3"/>
    <w:rsid w:val="00B1159D"/>
    <w:rsid w:val="00B11767"/>
    <w:rsid w:val="00B11B57"/>
    <w:rsid w:val="00B11EE1"/>
    <w:rsid w:val="00B12051"/>
    <w:rsid w:val="00B12849"/>
    <w:rsid w:val="00B13C48"/>
    <w:rsid w:val="00B13E25"/>
    <w:rsid w:val="00B13F28"/>
    <w:rsid w:val="00B145FB"/>
    <w:rsid w:val="00B153BF"/>
    <w:rsid w:val="00B1558A"/>
    <w:rsid w:val="00B15CE8"/>
    <w:rsid w:val="00B16A2C"/>
    <w:rsid w:val="00B16A81"/>
    <w:rsid w:val="00B16C90"/>
    <w:rsid w:val="00B16D3E"/>
    <w:rsid w:val="00B1706C"/>
    <w:rsid w:val="00B203B1"/>
    <w:rsid w:val="00B20604"/>
    <w:rsid w:val="00B20D0A"/>
    <w:rsid w:val="00B20EAF"/>
    <w:rsid w:val="00B21177"/>
    <w:rsid w:val="00B21669"/>
    <w:rsid w:val="00B2187B"/>
    <w:rsid w:val="00B24B0B"/>
    <w:rsid w:val="00B24C58"/>
    <w:rsid w:val="00B26665"/>
    <w:rsid w:val="00B266C8"/>
    <w:rsid w:val="00B268B8"/>
    <w:rsid w:val="00B301C6"/>
    <w:rsid w:val="00B30B6D"/>
    <w:rsid w:val="00B314FD"/>
    <w:rsid w:val="00B315C7"/>
    <w:rsid w:val="00B31F4C"/>
    <w:rsid w:val="00B3240C"/>
    <w:rsid w:val="00B3254D"/>
    <w:rsid w:val="00B32660"/>
    <w:rsid w:val="00B33340"/>
    <w:rsid w:val="00B33F14"/>
    <w:rsid w:val="00B34816"/>
    <w:rsid w:val="00B348F2"/>
    <w:rsid w:val="00B34B3C"/>
    <w:rsid w:val="00B355EA"/>
    <w:rsid w:val="00B35B28"/>
    <w:rsid w:val="00B35EC9"/>
    <w:rsid w:val="00B36C10"/>
    <w:rsid w:val="00B36CE1"/>
    <w:rsid w:val="00B36D05"/>
    <w:rsid w:val="00B37404"/>
    <w:rsid w:val="00B37C1D"/>
    <w:rsid w:val="00B401FA"/>
    <w:rsid w:val="00B40ADE"/>
    <w:rsid w:val="00B412C9"/>
    <w:rsid w:val="00B4171F"/>
    <w:rsid w:val="00B41F72"/>
    <w:rsid w:val="00B420FD"/>
    <w:rsid w:val="00B4227F"/>
    <w:rsid w:val="00B426FA"/>
    <w:rsid w:val="00B42793"/>
    <w:rsid w:val="00B42893"/>
    <w:rsid w:val="00B43C2C"/>
    <w:rsid w:val="00B43EFD"/>
    <w:rsid w:val="00B44E1B"/>
    <w:rsid w:val="00B455E0"/>
    <w:rsid w:val="00B45985"/>
    <w:rsid w:val="00B45BD4"/>
    <w:rsid w:val="00B461D2"/>
    <w:rsid w:val="00B472DE"/>
    <w:rsid w:val="00B47359"/>
    <w:rsid w:val="00B47FC7"/>
    <w:rsid w:val="00B51A69"/>
    <w:rsid w:val="00B51C56"/>
    <w:rsid w:val="00B51F5E"/>
    <w:rsid w:val="00B52682"/>
    <w:rsid w:val="00B527C5"/>
    <w:rsid w:val="00B5308F"/>
    <w:rsid w:val="00B538E3"/>
    <w:rsid w:val="00B53FD9"/>
    <w:rsid w:val="00B54192"/>
    <w:rsid w:val="00B541DC"/>
    <w:rsid w:val="00B550D0"/>
    <w:rsid w:val="00B55195"/>
    <w:rsid w:val="00B55C00"/>
    <w:rsid w:val="00B5662F"/>
    <w:rsid w:val="00B56F82"/>
    <w:rsid w:val="00B57122"/>
    <w:rsid w:val="00B57138"/>
    <w:rsid w:val="00B57622"/>
    <w:rsid w:val="00B5798A"/>
    <w:rsid w:val="00B57FC1"/>
    <w:rsid w:val="00B6023B"/>
    <w:rsid w:val="00B609F4"/>
    <w:rsid w:val="00B6146D"/>
    <w:rsid w:val="00B61666"/>
    <w:rsid w:val="00B629A6"/>
    <w:rsid w:val="00B629D5"/>
    <w:rsid w:val="00B62E1E"/>
    <w:rsid w:val="00B62FE0"/>
    <w:rsid w:val="00B632E6"/>
    <w:rsid w:val="00B63C94"/>
    <w:rsid w:val="00B64B02"/>
    <w:rsid w:val="00B65563"/>
    <w:rsid w:val="00B6586A"/>
    <w:rsid w:val="00B66745"/>
    <w:rsid w:val="00B667D8"/>
    <w:rsid w:val="00B66F57"/>
    <w:rsid w:val="00B6744B"/>
    <w:rsid w:val="00B6747D"/>
    <w:rsid w:val="00B677FD"/>
    <w:rsid w:val="00B703A8"/>
    <w:rsid w:val="00B7047A"/>
    <w:rsid w:val="00B704D0"/>
    <w:rsid w:val="00B70DF2"/>
    <w:rsid w:val="00B70E99"/>
    <w:rsid w:val="00B713E1"/>
    <w:rsid w:val="00B71489"/>
    <w:rsid w:val="00B71B10"/>
    <w:rsid w:val="00B71F89"/>
    <w:rsid w:val="00B72589"/>
    <w:rsid w:val="00B725F5"/>
    <w:rsid w:val="00B72F56"/>
    <w:rsid w:val="00B73705"/>
    <w:rsid w:val="00B73804"/>
    <w:rsid w:val="00B74103"/>
    <w:rsid w:val="00B74383"/>
    <w:rsid w:val="00B74F96"/>
    <w:rsid w:val="00B75581"/>
    <w:rsid w:val="00B75698"/>
    <w:rsid w:val="00B7610D"/>
    <w:rsid w:val="00B7613D"/>
    <w:rsid w:val="00B761CB"/>
    <w:rsid w:val="00B766BD"/>
    <w:rsid w:val="00B76F3A"/>
    <w:rsid w:val="00B770A0"/>
    <w:rsid w:val="00B77387"/>
    <w:rsid w:val="00B77388"/>
    <w:rsid w:val="00B77602"/>
    <w:rsid w:val="00B77612"/>
    <w:rsid w:val="00B777B4"/>
    <w:rsid w:val="00B777FB"/>
    <w:rsid w:val="00B779B4"/>
    <w:rsid w:val="00B77AB4"/>
    <w:rsid w:val="00B77B4F"/>
    <w:rsid w:val="00B802DF"/>
    <w:rsid w:val="00B80B40"/>
    <w:rsid w:val="00B81328"/>
    <w:rsid w:val="00B82432"/>
    <w:rsid w:val="00B82598"/>
    <w:rsid w:val="00B82B68"/>
    <w:rsid w:val="00B82F93"/>
    <w:rsid w:val="00B841F2"/>
    <w:rsid w:val="00B84E09"/>
    <w:rsid w:val="00B84E96"/>
    <w:rsid w:val="00B852B3"/>
    <w:rsid w:val="00B854F1"/>
    <w:rsid w:val="00B85566"/>
    <w:rsid w:val="00B85D9D"/>
    <w:rsid w:val="00B85F7B"/>
    <w:rsid w:val="00B86054"/>
    <w:rsid w:val="00B860E6"/>
    <w:rsid w:val="00B869DD"/>
    <w:rsid w:val="00B869F3"/>
    <w:rsid w:val="00B90161"/>
    <w:rsid w:val="00B9022A"/>
    <w:rsid w:val="00B9046E"/>
    <w:rsid w:val="00B90681"/>
    <w:rsid w:val="00B90B51"/>
    <w:rsid w:val="00B91A99"/>
    <w:rsid w:val="00B91A9E"/>
    <w:rsid w:val="00B91B20"/>
    <w:rsid w:val="00B91EA3"/>
    <w:rsid w:val="00B92019"/>
    <w:rsid w:val="00B9227F"/>
    <w:rsid w:val="00B930B6"/>
    <w:rsid w:val="00B9350E"/>
    <w:rsid w:val="00B93574"/>
    <w:rsid w:val="00B93789"/>
    <w:rsid w:val="00B94123"/>
    <w:rsid w:val="00B9434F"/>
    <w:rsid w:val="00B947BA"/>
    <w:rsid w:val="00B947C5"/>
    <w:rsid w:val="00B9487D"/>
    <w:rsid w:val="00B94A46"/>
    <w:rsid w:val="00B94D45"/>
    <w:rsid w:val="00B94DF1"/>
    <w:rsid w:val="00B94ECE"/>
    <w:rsid w:val="00B95076"/>
    <w:rsid w:val="00B9559B"/>
    <w:rsid w:val="00B955CD"/>
    <w:rsid w:val="00B955FD"/>
    <w:rsid w:val="00B95FBC"/>
    <w:rsid w:val="00B9666F"/>
    <w:rsid w:val="00B966CE"/>
    <w:rsid w:val="00B96D64"/>
    <w:rsid w:val="00B96EC8"/>
    <w:rsid w:val="00B97446"/>
    <w:rsid w:val="00B97546"/>
    <w:rsid w:val="00BA01D6"/>
    <w:rsid w:val="00BA0251"/>
    <w:rsid w:val="00BA1206"/>
    <w:rsid w:val="00BA1242"/>
    <w:rsid w:val="00BA1498"/>
    <w:rsid w:val="00BA172B"/>
    <w:rsid w:val="00BA2091"/>
    <w:rsid w:val="00BA241D"/>
    <w:rsid w:val="00BA29C9"/>
    <w:rsid w:val="00BA2B18"/>
    <w:rsid w:val="00BA30C7"/>
    <w:rsid w:val="00BA342A"/>
    <w:rsid w:val="00BA407E"/>
    <w:rsid w:val="00BA424C"/>
    <w:rsid w:val="00BA4E82"/>
    <w:rsid w:val="00BA586F"/>
    <w:rsid w:val="00BA587D"/>
    <w:rsid w:val="00BA5B46"/>
    <w:rsid w:val="00BA5BAB"/>
    <w:rsid w:val="00BA64D4"/>
    <w:rsid w:val="00BA69E7"/>
    <w:rsid w:val="00BA6B05"/>
    <w:rsid w:val="00BA6FEB"/>
    <w:rsid w:val="00BA760D"/>
    <w:rsid w:val="00BA7759"/>
    <w:rsid w:val="00BA7F2D"/>
    <w:rsid w:val="00BB0DC3"/>
    <w:rsid w:val="00BB17F2"/>
    <w:rsid w:val="00BB2112"/>
    <w:rsid w:val="00BB219C"/>
    <w:rsid w:val="00BB21D4"/>
    <w:rsid w:val="00BB2604"/>
    <w:rsid w:val="00BB26FE"/>
    <w:rsid w:val="00BB384D"/>
    <w:rsid w:val="00BB3B4E"/>
    <w:rsid w:val="00BB45FA"/>
    <w:rsid w:val="00BB4D6C"/>
    <w:rsid w:val="00BB4FB8"/>
    <w:rsid w:val="00BB501A"/>
    <w:rsid w:val="00BB5906"/>
    <w:rsid w:val="00BB5DA8"/>
    <w:rsid w:val="00BB6556"/>
    <w:rsid w:val="00BB6D4D"/>
    <w:rsid w:val="00BB6EC2"/>
    <w:rsid w:val="00BB7449"/>
    <w:rsid w:val="00BB7C2F"/>
    <w:rsid w:val="00BB7E63"/>
    <w:rsid w:val="00BC0664"/>
    <w:rsid w:val="00BC0A01"/>
    <w:rsid w:val="00BC0C12"/>
    <w:rsid w:val="00BC0C26"/>
    <w:rsid w:val="00BC0FFD"/>
    <w:rsid w:val="00BC1016"/>
    <w:rsid w:val="00BC1E53"/>
    <w:rsid w:val="00BC234D"/>
    <w:rsid w:val="00BC23E2"/>
    <w:rsid w:val="00BC25A4"/>
    <w:rsid w:val="00BC2842"/>
    <w:rsid w:val="00BC2FC0"/>
    <w:rsid w:val="00BC4066"/>
    <w:rsid w:val="00BC44FE"/>
    <w:rsid w:val="00BC4964"/>
    <w:rsid w:val="00BC566B"/>
    <w:rsid w:val="00BC5A53"/>
    <w:rsid w:val="00BC6099"/>
    <w:rsid w:val="00BC6224"/>
    <w:rsid w:val="00BC632F"/>
    <w:rsid w:val="00BC651E"/>
    <w:rsid w:val="00BC66C8"/>
    <w:rsid w:val="00BC74D4"/>
    <w:rsid w:val="00BD00CC"/>
    <w:rsid w:val="00BD04AA"/>
    <w:rsid w:val="00BD0819"/>
    <w:rsid w:val="00BD0A27"/>
    <w:rsid w:val="00BD1CB8"/>
    <w:rsid w:val="00BD20CE"/>
    <w:rsid w:val="00BD2351"/>
    <w:rsid w:val="00BD2601"/>
    <w:rsid w:val="00BD2ADF"/>
    <w:rsid w:val="00BD2F1B"/>
    <w:rsid w:val="00BD3315"/>
    <w:rsid w:val="00BD375E"/>
    <w:rsid w:val="00BD3A65"/>
    <w:rsid w:val="00BD3DAD"/>
    <w:rsid w:val="00BD3FD3"/>
    <w:rsid w:val="00BD417D"/>
    <w:rsid w:val="00BD41B6"/>
    <w:rsid w:val="00BD42FE"/>
    <w:rsid w:val="00BD45BE"/>
    <w:rsid w:val="00BD4B6F"/>
    <w:rsid w:val="00BD4D78"/>
    <w:rsid w:val="00BD52E5"/>
    <w:rsid w:val="00BD5B1C"/>
    <w:rsid w:val="00BD5F93"/>
    <w:rsid w:val="00BD66DD"/>
    <w:rsid w:val="00BD70F3"/>
    <w:rsid w:val="00BD7986"/>
    <w:rsid w:val="00BE027C"/>
    <w:rsid w:val="00BE13C7"/>
    <w:rsid w:val="00BE154D"/>
    <w:rsid w:val="00BE35F3"/>
    <w:rsid w:val="00BE3BD4"/>
    <w:rsid w:val="00BE3FF7"/>
    <w:rsid w:val="00BE4048"/>
    <w:rsid w:val="00BE4164"/>
    <w:rsid w:val="00BE4661"/>
    <w:rsid w:val="00BE4954"/>
    <w:rsid w:val="00BE4AF9"/>
    <w:rsid w:val="00BE5119"/>
    <w:rsid w:val="00BE5CA9"/>
    <w:rsid w:val="00BE5D46"/>
    <w:rsid w:val="00BE5EDA"/>
    <w:rsid w:val="00BE6118"/>
    <w:rsid w:val="00BE6B96"/>
    <w:rsid w:val="00BE6BE0"/>
    <w:rsid w:val="00BE6E4A"/>
    <w:rsid w:val="00BE79E4"/>
    <w:rsid w:val="00BE7E16"/>
    <w:rsid w:val="00BF0EAB"/>
    <w:rsid w:val="00BF0FBC"/>
    <w:rsid w:val="00BF152E"/>
    <w:rsid w:val="00BF1ACA"/>
    <w:rsid w:val="00BF2696"/>
    <w:rsid w:val="00BF29C5"/>
    <w:rsid w:val="00BF2BA9"/>
    <w:rsid w:val="00BF2F25"/>
    <w:rsid w:val="00BF334D"/>
    <w:rsid w:val="00BF352A"/>
    <w:rsid w:val="00BF3CFE"/>
    <w:rsid w:val="00BF4419"/>
    <w:rsid w:val="00BF44B7"/>
    <w:rsid w:val="00BF58EF"/>
    <w:rsid w:val="00BF60EC"/>
    <w:rsid w:val="00BF6106"/>
    <w:rsid w:val="00BF6260"/>
    <w:rsid w:val="00BF662C"/>
    <w:rsid w:val="00BF67F6"/>
    <w:rsid w:val="00BF69BB"/>
    <w:rsid w:val="00BF6B2F"/>
    <w:rsid w:val="00BF6F40"/>
    <w:rsid w:val="00BF7152"/>
    <w:rsid w:val="00BF7666"/>
    <w:rsid w:val="00BF78B9"/>
    <w:rsid w:val="00BF7EFE"/>
    <w:rsid w:val="00C0001E"/>
    <w:rsid w:val="00C006B1"/>
    <w:rsid w:val="00C00E02"/>
    <w:rsid w:val="00C010A1"/>
    <w:rsid w:val="00C011D5"/>
    <w:rsid w:val="00C01696"/>
    <w:rsid w:val="00C01707"/>
    <w:rsid w:val="00C01A63"/>
    <w:rsid w:val="00C02B1C"/>
    <w:rsid w:val="00C02DD8"/>
    <w:rsid w:val="00C035AB"/>
    <w:rsid w:val="00C03758"/>
    <w:rsid w:val="00C03A50"/>
    <w:rsid w:val="00C03D04"/>
    <w:rsid w:val="00C042DD"/>
    <w:rsid w:val="00C04AB0"/>
    <w:rsid w:val="00C04D85"/>
    <w:rsid w:val="00C05013"/>
    <w:rsid w:val="00C053F1"/>
    <w:rsid w:val="00C054D2"/>
    <w:rsid w:val="00C05575"/>
    <w:rsid w:val="00C056E5"/>
    <w:rsid w:val="00C06153"/>
    <w:rsid w:val="00C0681A"/>
    <w:rsid w:val="00C06AFA"/>
    <w:rsid w:val="00C06F0B"/>
    <w:rsid w:val="00C070BE"/>
    <w:rsid w:val="00C07661"/>
    <w:rsid w:val="00C10275"/>
    <w:rsid w:val="00C10B4E"/>
    <w:rsid w:val="00C11205"/>
    <w:rsid w:val="00C11435"/>
    <w:rsid w:val="00C12165"/>
    <w:rsid w:val="00C1258D"/>
    <w:rsid w:val="00C12855"/>
    <w:rsid w:val="00C12E25"/>
    <w:rsid w:val="00C12E42"/>
    <w:rsid w:val="00C13381"/>
    <w:rsid w:val="00C13DDA"/>
    <w:rsid w:val="00C13E6E"/>
    <w:rsid w:val="00C13ED7"/>
    <w:rsid w:val="00C140AD"/>
    <w:rsid w:val="00C1495F"/>
    <w:rsid w:val="00C15857"/>
    <w:rsid w:val="00C15968"/>
    <w:rsid w:val="00C1607B"/>
    <w:rsid w:val="00C16080"/>
    <w:rsid w:val="00C165C1"/>
    <w:rsid w:val="00C167DD"/>
    <w:rsid w:val="00C1686C"/>
    <w:rsid w:val="00C16BE6"/>
    <w:rsid w:val="00C17107"/>
    <w:rsid w:val="00C17508"/>
    <w:rsid w:val="00C17715"/>
    <w:rsid w:val="00C17A94"/>
    <w:rsid w:val="00C17B96"/>
    <w:rsid w:val="00C17D5E"/>
    <w:rsid w:val="00C17FAC"/>
    <w:rsid w:val="00C20363"/>
    <w:rsid w:val="00C2065B"/>
    <w:rsid w:val="00C20D83"/>
    <w:rsid w:val="00C21357"/>
    <w:rsid w:val="00C216DF"/>
    <w:rsid w:val="00C21CEB"/>
    <w:rsid w:val="00C21FC8"/>
    <w:rsid w:val="00C22041"/>
    <w:rsid w:val="00C22DAB"/>
    <w:rsid w:val="00C236C8"/>
    <w:rsid w:val="00C23A62"/>
    <w:rsid w:val="00C23DA5"/>
    <w:rsid w:val="00C23E96"/>
    <w:rsid w:val="00C24BD3"/>
    <w:rsid w:val="00C24C97"/>
    <w:rsid w:val="00C24CF2"/>
    <w:rsid w:val="00C252AF"/>
    <w:rsid w:val="00C255D6"/>
    <w:rsid w:val="00C257B0"/>
    <w:rsid w:val="00C2608B"/>
    <w:rsid w:val="00C26171"/>
    <w:rsid w:val="00C26281"/>
    <w:rsid w:val="00C2655A"/>
    <w:rsid w:val="00C26B27"/>
    <w:rsid w:val="00C27702"/>
    <w:rsid w:val="00C27795"/>
    <w:rsid w:val="00C27CAC"/>
    <w:rsid w:val="00C30491"/>
    <w:rsid w:val="00C322B8"/>
    <w:rsid w:val="00C3315F"/>
    <w:rsid w:val="00C33366"/>
    <w:rsid w:val="00C339EC"/>
    <w:rsid w:val="00C33BD6"/>
    <w:rsid w:val="00C33BED"/>
    <w:rsid w:val="00C340C6"/>
    <w:rsid w:val="00C3485F"/>
    <w:rsid w:val="00C34A0F"/>
    <w:rsid w:val="00C34A50"/>
    <w:rsid w:val="00C350FE"/>
    <w:rsid w:val="00C35D98"/>
    <w:rsid w:val="00C36028"/>
    <w:rsid w:val="00C3638E"/>
    <w:rsid w:val="00C366DB"/>
    <w:rsid w:val="00C36913"/>
    <w:rsid w:val="00C36C17"/>
    <w:rsid w:val="00C3714F"/>
    <w:rsid w:val="00C402F9"/>
    <w:rsid w:val="00C41646"/>
    <w:rsid w:val="00C41799"/>
    <w:rsid w:val="00C41AE7"/>
    <w:rsid w:val="00C42079"/>
    <w:rsid w:val="00C426F9"/>
    <w:rsid w:val="00C427BE"/>
    <w:rsid w:val="00C42DAC"/>
    <w:rsid w:val="00C43360"/>
    <w:rsid w:val="00C43371"/>
    <w:rsid w:val="00C443A1"/>
    <w:rsid w:val="00C44513"/>
    <w:rsid w:val="00C447B7"/>
    <w:rsid w:val="00C453E8"/>
    <w:rsid w:val="00C458C3"/>
    <w:rsid w:val="00C45D1A"/>
    <w:rsid w:val="00C4609D"/>
    <w:rsid w:val="00C46B9E"/>
    <w:rsid w:val="00C46FCD"/>
    <w:rsid w:val="00C47058"/>
    <w:rsid w:val="00C473A6"/>
    <w:rsid w:val="00C47539"/>
    <w:rsid w:val="00C47D54"/>
    <w:rsid w:val="00C50C54"/>
    <w:rsid w:val="00C50F50"/>
    <w:rsid w:val="00C510DE"/>
    <w:rsid w:val="00C51205"/>
    <w:rsid w:val="00C5135B"/>
    <w:rsid w:val="00C51626"/>
    <w:rsid w:val="00C51BB8"/>
    <w:rsid w:val="00C52E58"/>
    <w:rsid w:val="00C538E0"/>
    <w:rsid w:val="00C539B4"/>
    <w:rsid w:val="00C53EF6"/>
    <w:rsid w:val="00C542AB"/>
    <w:rsid w:val="00C5437C"/>
    <w:rsid w:val="00C54427"/>
    <w:rsid w:val="00C5502C"/>
    <w:rsid w:val="00C5596A"/>
    <w:rsid w:val="00C55AA5"/>
    <w:rsid w:val="00C5627A"/>
    <w:rsid w:val="00C562B7"/>
    <w:rsid w:val="00C562C0"/>
    <w:rsid w:val="00C5653B"/>
    <w:rsid w:val="00C5655C"/>
    <w:rsid w:val="00C56B3A"/>
    <w:rsid w:val="00C56E80"/>
    <w:rsid w:val="00C56EB6"/>
    <w:rsid w:val="00C56EC8"/>
    <w:rsid w:val="00C5706C"/>
    <w:rsid w:val="00C5767F"/>
    <w:rsid w:val="00C57769"/>
    <w:rsid w:val="00C57984"/>
    <w:rsid w:val="00C6003F"/>
    <w:rsid w:val="00C60644"/>
    <w:rsid w:val="00C60909"/>
    <w:rsid w:val="00C61720"/>
    <w:rsid w:val="00C6176C"/>
    <w:rsid w:val="00C61E50"/>
    <w:rsid w:val="00C62D4E"/>
    <w:rsid w:val="00C62EB8"/>
    <w:rsid w:val="00C6321B"/>
    <w:rsid w:val="00C63A25"/>
    <w:rsid w:val="00C63B26"/>
    <w:rsid w:val="00C64215"/>
    <w:rsid w:val="00C64586"/>
    <w:rsid w:val="00C64E9D"/>
    <w:rsid w:val="00C651F8"/>
    <w:rsid w:val="00C65733"/>
    <w:rsid w:val="00C65B21"/>
    <w:rsid w:val="00C65CEB"/>
    <w:rsid w:val="00C66FCD"/>
    <w:rsid w:val="00C6701D"/>
    <w:rsid w:val="00C67DE1"/>
    <w:rsid w:val="00C706AC"/>
    <w:rsid w:val="00C70895"/>
    <w:rsid w:val="00C70A09"/>
    <w:rsid w:val="00C70D38"/>
    <w:rsid w:val="00C71730"/>
    <w:rsid w:val="00C71C71"/>
    <w:rsid w:val="00C721EB"/>
    <w:rsid w:val="00C731E8"/>
    <w:rsid w:val="00C74A9C"/>
    <w:rsid w:val="00C750F8"/>
    <w:rsid w:val="00C75253"/>
    <w:rsid w:val="00C754D7"/>
    <w:rsid w:val="00C75D2B"/>
    <w:rsid w:val="00C761EB"/>
    <w:rsid w:val="00C76E5B"/>
    <w:rsid w:val="00C770E9"/>
    <w:rsid w:val="00C77E4B"/>
    <w:rsid w:val="00C801DF"/>
    <w:rsid w:val="00C80C7D"/>
    <w:rsid w:val="00C81AC9"/>
    <w:rsid w:val="00C82256"/>
    <w:rsid w:val="00C8227F"/>
    <w:rsid w:val="00C82491"/>
    <w:rsid w:val="00C82659"/>
    <w:rsid w:val="00C826CE"/>
    <w:rsid w:val="00C82AAB"/>
    <w:rsid w:val="00C82B18"/>
    <w:rsid w:val="00C83391"/>
    <w:rsid w:val="00C83FA5"/>
    <w:rsid w:val="00C83FB0"/>
    <w:rsid w:val="00C840E3"/>
    <w:rsid w:val="00C853E0"/>
    <w:rsid w:val="00C8581B"/>
    <w:rsid w:val="00C85C8B"/>
    <w:rsid w:val="00C85DF3"/>
    <w:rsid w:val="00C85E79"/>
    <w:rsid w:val="00C863AE"/>
    <w:rsid w:val="00C87C81"/>
    <w:rsid w:val="00C87D25"/>
    <w:rsid w:val="00C900F7"/>
    <w:rsid w:val="00C90221"/>
    <w:rsid w:val="00C905D7"/>
    <w:rsid w:val="00C90942"/>
    <w:rsid w:val="00C9098B"/>
    <w:rsid w:val="00C910BF"/>
    <w:rsid w:val="00C91827"/>
    <w:rsid w:val="00C91DD7"/>
    <w:rsid w:val="00C91F78"/>
    <w:rsid w:val="00C92C85"/>
    <w:rsid w:val="00C92D64"/>
    <w:rsid w:val="00C93345"/>
    <w:rsid w:val="00C9357C"/>
    <w:rsid w:val="00C93A0C"/>
    <w:rsid w:val="00C94CB9"/>
    <w:rsid w:val="00C95040"/>
    <w:rsid w:val="00C95822"/>
    <w:rsid w:val="00C958C9"/>
    <w:rsid w:val="00C964BD"/>
    <w:rsid w:val="00C96930"/>
    <w:rsid w:val="00C96981"/>
    <w:rsid w:val="00C96D31"/>
    <w:rsid w:val="00C97A7D"/>
    <w:rsid w:val="00CA007C"/>
    <w:rsid w:val="00CA0348"/>
    <w:rsid w:val="00CA0846"/>
    <w:rsid w:val="00CA0F0B"/>
    <w:rsid w:val="00CA0FEF"/>
    <w:rsid w:val="00CA1638"/>
    <w:rsid w:val="00CA1694"/>
    <w:rsid w:val="00CA1BD6"/>
    <w:rsid w:val="00CA1ED2"/>
    <w:rsid w:val="00CA1F4A"/>
    <w:rsid w:val="00CA1F71"/>
    <w:rsid w:val="00CA21E5"/>
    <w:rsid w:val="00CA2B98"/>
    <w:rsid w:val="00CA2D0B"/>
    <w:rsid w:val="00CA3178"/>
    <w:rsid w:val="00CA441B"/>
    <w:rsid w:val="00CA46AF"/>
    <w:rsid w:val="00CA4FA9"/>
    <w:rsid w:val="00CA4FB5"/>
    <w:rsid w:val="00CA5190"/>
    <w:rsid w:val="00CA5D02"/>
    <w:rsid w:val="00CA613C"/>
    <w:rsid w:val="00CA618B"/>
    <w:rsid w:val="00CA6EC1"/>
    <w:rsid w:val="00CA6FFE"/>
    <w:rsid w:val="00CB0144"/>
    <w:rsid w:val="00CB0385"/>
    <w:rsid w:val="00CB13E7"/>
    <w:rsid w:val="00CB20AB"/>
    <w:rsid w:val="00CB2268"/>
    <w:rsid w:val="00CB2802"/>
    <w:rsid w:val="00CB3BF3"/>
    <w:rsid w:val="00CB3CB9"/>
    <w:rsid w:val="00CB516D"/>
    <w:rsid w:val="00CB5270"/>
    <w:rsid w:val="00CB52B7"/>
    <w:rsid w:val="00CB5339"/>
    <w:rsid w:val="00CB5882"/>
    <w:rsid w:val="00CB602B"/>
    <w:rsid w:val="00CB60E8"/>
    <w:rsid w:val="00CB6686"/>
    <w:rsid w:val="00CB7B7E"/>
    <w:rsid w:val="00CC023E"/>
    <w:rsid w:val="00CC0423"/>
    <w:rsid w:val="00CC050C"/>
    <w:rsid w:val="00CC066C"/>
    <w:rsid w:val="00CC0A7B"/>
    <w:rsid w:val="00CC1304"/>
    <w:rsid w:val="00CC1933"/>
    <w:rsid w:val="00CC1A50"/>
    <w:rsid w:val="00CC1D63"/>
    <w:rsid w:val="00CC2264"/>
    <w:rsid w:val="00CC2FFF"/>
    <w:rsid w:val="00CC36EA"/>
    <w:rsid w:val="00CC398E"/>
    <w:rsid w:val="00CC399A"/>
    <w:rsid w:val="00CC4744"/>
    <w:rsid w:val="00CC4DF8"/>
    <w:rsid w:val="00CC5151"/>
    <w:rsid w:val="00CC5454"/>
    <w:rsid w:val="00CC5517"/>
    <w:rsid w:val="00CC5524"/>
    <w:rsid w:val="00CC66E5"/>
    <w:rsid w:val="00CC6C21"/>
    <w:rsid w:val="00CD00CE"/>
    <w:rsid w:val="00CD0109"/>
    <w:rsid w:val="00CD0203"/>
    <w:rsid w:val="00CD0D80"/>
    <w:rsid w:val="00CD0EAD"/>
    <w:rsid w:val="00CD18FD"/>
    <w:rsid w:val="00CD19BA"/>
    <w:rsid w:val="00CD1AF7"/>
    <w:rsid w:val="00CD214A"/>
    <w:rsid w:val="00CD22A2"/>
    <w:rsid w:val="00CD2410"/>
    <w:rsid w:val="00CD2EE5"/>
    <w:rsid w:val="00CD3187"/>
    <w:rsid w:val="00CD3730"/>
    <w:rsid w:val="00CD4067"/>
    <w:rsid w:val="00CD40D3"/>
    <w:rsid w:val="00CD41BB"/>
    <w:rsid w:val="00CD5434"/>
    <w:rsid w:val="00CD57A6"/>
    <w:rsid w:val="00CD591B"/>
    <w:rsid w:val="00CD6207"/>
    <w:rsid w:val="00CD6724"/>
    <w:rsid w:val="00CD6B1F"/>
    <w:rsid w:val="00CD6E16"/>
    <w:rsid w:val="00CD7161"/>
    <w:rsid w:val="00CD72D8"/>
    <w:rsid w:val="00CD79A2"/>
    <w:rsid w:val="00CD7A5E"/>
    <w:rsid w:val="00CD7A76"/>
    <w:rsid w:val="00CD7E3B"/>
    <w:rsid w:val="00CE011F"/>
    <w:rsid w:val="00CE0B70"/>
    <w:rsid w:val="00CE0D68"/>
    <w:rsid w:val="00CE0F8A"/>
    <w:rsid w:val="00CE1147"/>
    <w:rsid w:val="00CE1AAA"/>
    <w:rsid w:val="00CE2131"/>
    <w:rsid w:val="00CE233F"/>
    <w:rsid w:val="00CE2367"/>
    <w:rsid w:val="00CE236A"/>
    <w:rsid w:val="00CE240B"/>
    <w:rsid w:val="00CE328D"/>
    <w:rsid w:val="00CE39D6"/>
    <w:rsid w:val="00CE4313"/>
    <w:rsid w:val="00CE472D"/>
    <w:rsid w:val="00CE565F"/>
    <w:rsid w:val="00CE5D73"/>
    <w:rsid w:val="00CE608A"/>
    <w:rsid w:val="00CE6370"/>
    <w:rsid w:val="00CE6720"/>
    <w:rsid w:val="00CE72CE"/>
    <w:rsid w:val="00CE7E7B"/>
    <w:rsid w:val="00CF065B"/>
    <w:rsid w:val="00CF0E26"/>
    <w:rsid w:val="00CF0E29"/>
    <w:rsid w:val="00CF1176"/>
    <w:rsid w:val="00CF126D"/>
    <w:rsid w:val="00CF1A38"/>
    <w:rsid w:val="00CF1CEF"/>
    <w:rsid w:val="00CF1DFB"/>
    <w:rsid w:val="00CF2159"/>
    <w:rsid w:val="00CF24BB"/>
    <w:rsid w:val="00CF2873"/>
    <w:rsid w:val="00CF2CCA"/>
    <w:rsid w:val="00CF33C9"/>
    <w:rsid w:val="00CF3438"/>
    <w:rsid w:val="00CF3D29"/>
    <w:rsid w:val="00CF3E1B"/>
    <w:rsid w:val="00CF3F97"/>
    <w:rsid w:val="00CF42E4"/>
    <w:rsid w:val="00CF4346"/>
    <w:rsid w:val="00CF4513"/>
    <w:rsid w:val="00CF4D6C"/>
    <w:rsid w:val="00CF4F4C"/>
    <w:rsid w:val="00CF5373"/>
    <w:rsid w:val="00CF5589"/>
    <w:rsid w:val="00CF57F7"/>
    <w:rsid w:val="00CF627B"/>
    <w:rsid w:val="00CF739D"/>
    <w:rsid w:val="00D00458"/>
    <w:rsid w:val="00D00721"/>
    <w:rsid w:val="00D0077E"/>
    <w:rsid w:val="00D016B0"/>
    <w:rsid w:val="00D0175D"/>
    <w:rsid w:val="00D01B28"/>
    <w:rsid w:val="00D01C9B"/>
    <w:rsid w:val="00D0258D"/>
    <w:rsid w:val="00D02A7E"/>
    <w:rsid w:val="00D02B21"/>
    <w:rsid w:val="00D03A97"/>
    <w:rsid w:val="00D03B4E"/>
    <w:rsid w:val="00D03B8C"/>
    <w:rsid w:val="00D040E9"/>
    <w:rsid w:val="00D04204"/>
    <w:rsid w:val="00D04403"/>
    <w:rsid w:val="00D044AF"/>
    <w:rsid w:val="00D0490C"/>
    <w:rsid w:val="00D04DE0"/>
    <w:rsid w:val="00D04EE9"/>
    <w:rsid w:val="00D055F6"/>
    <w:rsid w:val="00D05B4A"/>
    <w:rsid w:val="00D05DFD"/>
    <w:rsid w:val="00D065F5"/>
    <w:rsid w:val="00D072F6"/>
    <w:rsid w:val="00D10114"/>
    <w:rsid w:val="00D107A8"/>
    <w:rsid w:val="00D107B9"/>
    <w:rsid w:val="00D10EC7"/>
    <w:rsid w:val="00D11434"/>
    <w:rsid w:val="00D12138"/>
    <w:rsid w:val="00D122F9"/>
    <w:rsid w:val="00D12A39"/>
    <w:rsid w:val="00D12D7B"/>
    <w:rsid w:val="00D12DD4"/>
    <w:rsid w:val="00D135F7"/>
    <w:rsid w:val="00D13CC8"/>
    <w:rsid w:val="00D14266"/>
    <w:rsid w:val="00D15078"/>
    <w:rsid w:val="00D150DD"/>
    <w:rsid w:val="00D15547"/>
    <w:rsid w:val="00D15A03"/>
    <w:rsid w:val="00D161F9"/>
    <w:rsid w:val="00D1622F"/>
    <w:rsid w:val="00D165D6"/>
    <w:rsid w:val="00D16AD2"/>
    <w:rsid w:val="00D16DB5"/>
    <w:rsid w:val="00D16DD3"/>
    <w:rsid w:val="00D17074"/>
    <w:rsid w:val="00D1768A"/>
    <w:rsid w:val="00D17CBE"/>
    <w:rsid w:val="00D17DEF"/>
    <w:rsid w:val="00D20769"/>
    <w:rsid w:val="00D20CA2"/>
    <w:rsid w:val="00D20F46"/>
    <w:rsid w:val="00D20FC0"/>
    <w:rsid w:val="00D21A40"/>
    <w:rsid w:val="00D223EE"/>
    <w:rsid w:val="00D22538"/>
    <w:rsid w:val="00D239B7"/>
    <w:rsid w:val="00D23A72"/>
    <w:rsid w:val="00D23BBB"/>
    <w:rsid w:val="00D244A3"/>
    <w:rsid w:val="00D25B08"/>
    <w:rsid w:val="00D2696B"/>
    <w:rsid w:val="00D275DA"/>
    <w:rsid w:val="00D27ADD"/>
    <w:rsid w:val="00D27BAD"/>
    <w:rsid w:val="00D3060F"/>
    <w:rsid w:val="00D31636"/>
    <w:rsid w:val="00D318E3"/>
    <w:rsid w:val="00D31B06"/>
    <w:rsid w:val="00D31BCC"/>
    <w:rsid w:val="00D327D8"/>
    <w:rsid w:val="00D32BE4"/>
    <w:rsid w:val="00D33AEA"/>
    <w:rsid w:val="00D33B90"/>
    <w:rsid w:val="00D3451B"/>
    <w:rsid w:val="00D345A2"/>
    <w:rsid w:val="00D34797"/>
    <w:rsid w:val="00D34983"/>
    <w:rsid w:val="00D353DC"/>
    <w:rsid w:val="00D35C03"/>
    <w:rsid w:val="00D36838"/>
    <w:rsid w:val="00D36F77"/>
    <w:rsid w:val="00D372EE"/>
    <w:rsid w:val="00D376B6"/>
    <w:rsid w:val="00D40401"/>
    <w:rsid w:val="00D40476"/>
    <w:rsid w:val="00D40626"/>
    <w:rsid w:val="00D40A72"/>
    <w:rsid w:val="00D40E24"/>
    <w:rsid w:val="00D40FEB"/>
    <w:rsid w:val="00D41113"/>
    <w:rsid w:val="00D41774"/>
    <w:rsid w:val="00D417CE"/>
    <w:rsid w:val="00D41CD5"/>
    <w:rsid w:val="00D4226D"/>
    <w:rsid w:val="00D42C16"/>
    <w:rsid w:val="00D43182"/>
    <w:rsid w:val="00D43BC8"/>
    <w:rsid w:val="00D4485C"/>
    <w:rsid w:val="00D4497D"/>
    <w:rsid w:val="00D44CFD"/>
    <w:rsid w:val="00D45539"/>
    <w:rsid w:val="00D45668"/>
    <w:rsid w:val="00D45A4F"/>
    <w:rsid w:val="00D45CFE"/>
    <w:rsid w:val="00D4641F"/>
    <w:rsid w:val="00D47CE8"/>
    <w:rsid w:val="00D47E2C"/>
    <w:rsid w:val="00D50724"/>
    <w:rsid w:val="00D50E0C"/>
    <w:rsid w:val="00D511BB"/>
    <w:rsid w:val="00D5133E"/>
    <w:rsid w:val="00D51465"/>
    <w:rsid w:val="00D5149F"/>
    <w:rsid w:val="00D517DD"/>
    <w:rsid w:val="00D51A61"/>
    <w:rsid w:val="00D51A94"/>
    <w:rsid w:val="00D52494"/>
    <w:rsid w:val="00D524CC"/>
    <w:rsid w:val="00D524F7"/>
    <w:rsid w:val="00D52653"/>
    <w:rsid w:val="00D52687"/>
    <w:rsid w:val="00D52DFB"/>
    <w:rsid w:val="00D53012"/>
    <w:rsid w:val="00D5341D"/>
    <w:rsid w:val="00D53778"/>
    <w:rsid w:val="00D5405C"/>
    <w:rsid w:val="00D5508E"/>
    <w:rsid w:val="00D55298"/>
    <w:rsid w:val="00D556DD"/>
    <w:rsid w:val="00D55BD4"/>
    <w:rsid w:val="00D55D43"/>
    <w:rsid w:val="00D55DEE"/>
    <w:rsid w:val="00D56055"/>
    <w:rsid w:val="00D561A1"/>
    <w:rsid w:val="00D56B9A"/>
    <w:rsid w:val="00D571F4"/>
    <w:rsid w:val="00D57477"/>
    <w:rsid w:val="00D60068"/>
    <w:rsid w:val="00D60257"/>
    <w:rsid w:val="00D60603"/>
    <w:rsid w:val="00D60CC5"/>
    <w:rsid w:val="00D60D41"/>
    <w:rsid w:val="00D6151A"/>
    <w:rsid w:val="00D61AFF"/>
    <w:rsid w:val="00D620DD"/>
    <w:rsid w:val="00D625B4"/>
    <w:rsid w:val="00D625F7"/>
    <w:rsid w:val="00D6299E"/>
    <w:rsid w:val="00D63166"/>
    <w:rsid w:val="00D63431"/>
    <w:rsid w:val="00D63527"/>
    <w:rsid w:val="00D63D77"/>
    <w:rsid w:val="00D64039"/>
    <w:rsid w:val="00D64B6F"/>
    <w:rsid w:val="00D64B70"/>
    <w:rsid w:val="00D65034"/>
    <w:rsid w:val="00D65466"/>
    <w:rsid w:val="00D65F79"/>
    <w:rsid w:val="00D65FBB"/>
    <w:rsid w:val="00D668AA"/>
    <w:rsid w:val="00D66BDE"/>
    <w:rsid w:val="00D67231"/>
    <w:rsid w:val="00D672B2"/>
    <w:rsid w:val="00D6776A"/>
    <w:rsid w:val="00D67994"/>
    <w:rsid w:val="00D67C87"/>
    <w:rsid w:val="00D7042B"/>
    <w:rsid w:val="00D70724"/>
    <w:rsid w:val="00D71414"/>
    <w:rsid w:val="00D7144D"/>
    <w:rsid w:val="00D71DAF"/>
    <w:rsid w:val="00D7214A"/>
    <w:rsid w:val="00D728F0"/>
    <w:rsid w:val="00D7293B"/>
    <w:rsid w:val="00D72B4F"/>
    <w:rsid w:val="00D73277"/>
    <w:rsid w:val="00D7389D"/>
    <w:rsid w:val="00D73D8E"/>
    <w:rsid w:val="00D744DA"/>
    <w:rsid w:val="00D7453C"/>
    <w:rsid w:val="00D748AF"/>
    <w:rsid w:val="00D74B4A"/>
    <w:rsid w:val="00D74F96"/>
    <w:rsid w:val="00D75267"/>
    <w:rsid w:val="00D758F2"/>
    <w:rsid w:val="00D759B5"/>
    <w:rsid w:val="00D7621A"/>
    <w:rsid w:val="00D76F95"/>
    <w:rsid w:val="00D7731A"/>
    <w:rsid w:val="00D773FC"/>
    <w:rsid w:val="00D803BD"/>
    <w:rsid w:val="00D80540"/>
    <w:rsid w:val="00D80D65"/>
    <w:rsid w:val="00D80D93"/>
    <w:rsid w:val="00D80EF1"/>
    <w:rsid w:val="00D80F05"/>
    <w:rsid w:val="00D814AB"/>
    <w:rsid w:val="00D815B7"/>
    <w:rsid w:val="00D81B11"/>
    <w:rsid w:val="00D81C9B"/>
    <w:rsid w:val="00D8201C"/>
    <w:rsid w:val="00D82429"/>
    <w:rsid w:val="00D828DE"/>
    <w:rsid w:val="00D833F9"/>
    <w:rsid w:val="00D83517"/>
    <w:rsid w:val="00D838FE"/>
    <w:rsid w:val="00D83ABB"/>
    <w:rsid w:val="00D83DEE"/>
    <w:rsid w:val="00D84920"/>
    <w:rsid w:val="00D84A5D"/>
    <w:rsid w:val="00D854DC"/>
    <w:rsid w:val="00D85A2A"/>
    <w:rsid w:val="00D862A4"/>
    <w:rsid w:val="00D86543"/>
    <w:rsid w:val="00D866BB"/>
    <w:rsid w:val="00D8691C"/>
    <w:rsid w:val="00D8700D"/>
    <w:rsid w:val="00D87310"/>
    <w:rsid w:val="00D878CE"/>
    <w:rsid w:val="00D879A4"/>
    <w:rsid w:val="00D87B47"/>
    <w:rsid w:val="00D87FCB"/>
    <w:rsid w:val="00D9081E"/>
    <w:rsid w:val="00D90A9D"/>
    <w:rsid w:val="00D90C0A"/>
    <w:rsid w:val="00D91B6D"/>
    <w:rsid w:val="00D91F03"/>
    <w:rsid w:val="00D91F3C"/>
    <w:rsid w:val="00D92204"/>
    <w:rsid w:val="00D92A07"/>
    <w:rsid w:val="00D93070"/>
    <w:rsid w:val="00D930AD"/>
    <w:rsid w:val="00D935E3"/>
    <w:rsid w:val="00D93831"/>
    <w:rsid w:val="00D93D02"/>
    <w:rsid w:val="00D94064"/>
    <w:rsid w:val="00D9412F"/>
    <w:rsid w:val="00D942F7"/>
    <w:rsid w:val="00D94378"/>
    <w:rsid w:val="00D94387"/>
    <w:rsid w:val="00D9440B"/>
    <w:rsid w:val="00D9448C"/>
    <w:rsid w:val="00D94E33"/>
    <w:rsid w:val="00D9516E"/>
    <w:rsid w:val="00D951BD"/>
    <w:rsid w:val="00D97E10"/>
    <w:rsid w:val="00D97FEF"/>
    <w:rsid w:val="00DA0574"/>
    <w:rsid w:val="00DA2030"/>
    <w:rsid w:val="00DA25E3"/>
    <w:rsid w:val="00DA3320"/>
    <w:rsid w:val="00DA3559"/>
    <w:rsid w:val="00DA36D6"/>
    <w:rsid w:val="00DA3BBF"/>
    <w:rsid w:val="00DA4090"/>
    <w:rsid w:val="00DA5160"/>
    <w:rsid w:val="00DA5EEC"/>
    <w:rsid w:val="00DA6D40"/>
    <w:rsid w:val="00DA7424"/>
    <w:rsid w:val="00DA7497"/>
    <w:rsid w:val="00DA78BC"/>
    <w:rsid w:val="00DA7ED8"/>
    <w:rsid w:val="00DB02BC"/>
    <w:rsid w:val="00DB042E"/>
    <w:rsid w:val="00DB067B"/>
    <w:rsid w:val="00DB1ACC"/>
    <w:rsid w:val="00DB1C35"/>
    <w:rsid w:val="00DB21F7"/>
    <w:rsid w:val="00DB22F2"/>
    <w:rsid w:val="00DB232C"/>
    <w:rsid w:val="00DB2525"/>
    <w:rsid w:val="00DB3614"/>
    <w:rsid w:val="00DB3EAE"/>
    <w:rsid w:val="00DB4386"/>
    <w:rsid w:val="00DB493C"/>
    <w:rsid w:val="00DB4DA7"/>
    <w:rsid w:val="00DB4EE8"/>
    <w:rsid w:val="00DB52D3"/>
    <w:rsid w:val="00DB71C1"/>
    <w:rsid w:val="00DB7DE4"/>
    <w:rsid w:val="00DC1498"/>
    <w:rsid w:val="00DC1B53"/>
    <w:rsid w:val="00DC2A83"/>
    <w:rsid w:val="00DC2BF5"/>
    <w:rsid w:val="00DC2D48"/>
    <w:rsid w:val="00DC2E61"/>
    <w:rsid w:val="00DC30E0"/>
    <w:rsid w:val="00DC31B4"/>
    <w:rsid w:val="00DC31FB"/>
    <w:rsid w:val="00DC339C"/>
    <w:rsid w:val="00DC33C6"/>
    <w:rsid w:val="00DC37DA"/>
    <w:rsid w:val="00DC4573"/>
    <w:rsid w:val="00DC46A6"/>
    <w:rsid w:val="00DC49DB"/>
    <w:rsid w:val="00DC4D8F"/>
    <w:rsid w:val="00DC4EF1"/>
    <w:rsid w:val="00DC5102"/>
    <w:rsid w:val="00DC61C5"/>
    <w:rsid w:val="00DC6360"/>
    <w:rsid w:val="00DC7349"/>
    <w:rsid w:val="00DC7DD1"/>
    <w:rsid w:val="00DD0D6B"/>
    <w:rsid w:val="00DD128B"/>
    <w:rsid w:val="00DD19ED"/>
    <w:rsid w:val="00DD1C48"/>
    <w:rsid w:val="00DD1D83"/>
    <w:rsid w:val="00DD27DC"/>
    <w:rsid w:val="00DD3428"/>
    <w:rsid w:val="00DD34B1"/>
    <w:rsid w:val="00DD4260"/>
    <w:rsid w:val="00DD4ABC"/>
    <w:rsid w:val="00DD4B25"/>
    <w:rsid w:val="00DD5079"/>
    <w:rsid w:val="00DD54FB"/>
    <w:rsid w:val="00DD575C"/>
    <w:rsid w:val="00DD63E3"/>
    <w:rsid w:val="00DD791C"/>
    <w:rsid w:val="00DD79D6"/>
    <w:rsid w:val="00DE0E99"/>
    <w:rsid w:val="00DE15F2"/>
    <w:rsid w:val="00DE1C00"/>
    <w:rsid w:val="00DE1F82"/>
    <w:rsid w:val="00DE1FFB"/>
    <w:rsid w:val="00DE2485"/>
    <w:rsid w:val="00DE25A7"/>
    <w:rsid w:val="00DE2E09"/>
    <w:rsid w:val="00DE3149"/>
    <w:rsid w:val="00DE357F"/>
    <w:rsid w:val="00DE4050"/>
    <w:rsid w:val="00DE4090"/>
    <w:rsid w:val="00DE4966"/>
    <w:rsid w:val="00DE4ADE"/>
    <w:rsid w:val="00DE512D"/>
    <w:rsid w:val="00DE5278"/>
    <w:rsid w:val="00DE547C"/>
    <w:rsid w:val="00DE54FE"/>
    <w:rsid w:val="00DE5681"/>
    <w:rsid w:val="00DE5AB1"/>
    <w:rsid w:val="00DE655C"/>
    <w:rsid w:val="00DE6B54"/>
    <w:rsid w:val="00DE786A"/>
    <w:rsid w:val="00DF0427"/>
    <w:rsid w:val="00DF060E"/>
    <w:rsid w:val="00DF06D7"/>
    <w:rsid w:val="00DF17AB"/>
    <w:rsid w:val="00DF191E"/>
    <w:rsid w:val="00DF196C"/>
    <w:rsid w:val="00DF26E9"/>
    <w:rsid w:val="00DF3544"/>
    <w:rsid w:val="00DF36AA"/>
    <w:rsid w:val="00DF4087"/>
    <w:rsid w:val="00DF419A"/>
    <w:rsid w:val="00DF4638"/>
    <w:rsid w:val="00DF4D9E"/>
    <w:rsid w:val="00DF53F6"/>
    <w:rsid w:val="00DF6486"/>
    <w:rsid w:val="00DF73AE"/>
    <w:rsid w:val="00DF7CD6"/>
    <w:rsid w:val="00E0016D"/>
    <w:rsid w:val="00E00B11"/>
    <w:rsid w:val="00E00C1C"/>
    <w:rsid w:val="00E00DB1"/>
    <w:rsid w:val="00E013C8"/>
    <w:rsid w:val="00E0151B"/>
    <w:rsid w:val="00E01679"/>
    <w:rsid w:val="00E0183D"/>
    <w:rsid w:val="00E01A05"/>
    <w:rsid w:val="00E01A1D"/>
    <w:rsid w:val="00E01D9E"/>
    <w:rsid w:val="00E01F3C"/>
    <w:rsid w:val="00E02DB7"/>
    <w:rsid w:val="00E0352A"/>
    <w:rsid w:val="00E039EB"/>
    <w:rsid w:val="00E03B03"/>
    <w:rsid w:val="00E03E65"/>
    <w:rsid w:val="00E040B6"/>
    <w:rsid w:val="00E046B1"/>
    <w:rsid w:val="00E05042"/>
    <w:rsid w:val="00E05C1F"/>
    <w:rsid w:val="00E11002"/>
    <w:rsid w:val="00E112DC"/>
    <w:rsid w:val="00E114A1"/>
    <w:rsid w:val="00E1179C"/>
    <w:rsid w:val="00E1184C"/>
    <w:rsid w:val="00E118A5"/>
    <w:rsid w:val="00E11974"/>
    <w:rsid w:val="00E11C79"/>
    <w:rsid w:val="00E1271A"/>
    <w:rsid w:val="00E135E0"/>
    <w:rsid w:val="00E13A08"/>
    <w:rsid w:val="00E13BC5"/>
    <w:rsid w:val="00E14430"/>
    <w:rsid w:val="00E145A7"/>
    <w:rsid w:val="00E145E9"/>
    <w:rsid w:val="00E1514F"/>
    <w:rsid w:val="00E15495"/>
    <w:rsid w:val="00E154CD"/>
    <w:rsid w:val="00E15831"/>
    <w:rsid w:val="00E15A84"/>
    <w:rsid w:val="00E160E5"/>
    <w:rsid w:val="00E16758"/>
    <w:rsid w:val="00E17253"/>
    <w:rsid w:val="00E176D4"/>
    <w:rsid w:val="00E17E0C"/>
    <w:rsid w:val="00E202E8"/>
    <w:rsid w:val="00E2037E"/>
    <w:rsid w:val="00E20652"/>
    <w:rsid w:val="00E206F0"/>
    <w:rsid w:val="00E2109A"/>
    <w:rsid w:val="00E21647"/>
    <w:rsid w:val="00E21B92"/>
    <w:rsid w:val="00E21BAD"/>
    <w:rsid w:val="00E22117"/>
    <w:rsid w:val="00E2241A"/>
    <w:rsid w:val="00E23711"/>
    <w:rsid w:val="00E24289"/>
    <w:rsid w:val="00E2454A"/>
    <w:rsid w:val="00E2456F"/>
    <w:rsid w:val="00E24F2E"/>
    <w:rsid w:val="00E25692"/>
    <w:rsid w:val="00E265F7"/>
    <w:rsid w:val="00E2682A"/>
    <w:rsid w:val="00E26DCC"/>
    <w:rsid w:val="00E273C6"/>
    <w:rsid w:val="00E27426"/>
    <w:rsid w:val="00E27907"/>
    <w:rsid w:val="00E27EDB"/>
    <w:rsid w:val="00E27FBB"/>
    <w:rsid w:val="00E3072C"/>
    <w:rsid w:val="00E30F19"/>
    <w:rsid w:val="00E31617"/>
    <w:rsid w:val="00E31BE8"/>
    <w:rsid w:val="00E3212C"/>
    <w:rsid w:val="00E32424"/>
    <w:rsid w:val="00E324FA"/>
    <w:rsid w:val="00E328F8"/>
    <w:rsid w:val="00E32B2A"/>
    <w:rsid w:val="00E33951"/>
    <w:rsid w:val="00E33F52"/>
    <w:rsid w:val="00E33F65"/>
    <w:rsid w:val="00E34124"/>
    <w:rsid w:val="00E34AD1"/>
    <w:rsid w:val="00E34C67"/>
    <w:rsid w:val="00E34DBD"/>
    <w:rsid w:val="00E3500F"/>
    <w:rsid w:val="00E3520F"/>
    <w:rsid w:val="00E36856"/>
    <w:rsid w:val="00E36CD3"/>
    <w:rsid w:val="00E36F7A"/>
    <w:rsid w:val="00E36FA0"/>
    <w:rsid w:val="00E374C2"/>
    <w:rsid w:val="00E37931"/>
    <w:rsid w:val="00E379DD"/>
    <w:rsid w:val="00E37D80"/>
    <w:rsid w:val="00E37DB2"/>
    <w:rsid w:val="00E37DD8"/>
    <w:rsid w:val="00E406AB"/>
    <w:rsid w:val="00E40A51"/>
    <w:rsid w:val="00E40B49"/>
    <w:rsid w:val="00E40F14"/>
    <w:rsid w:val="00E41215"/>
    <w:rsid w:val="00E41773"/>
    <w:rsid w:val="00E41D23"/>
    <w:rsid w:val="00E41EAB"/>
    <w:rsid w:val="00E424F9"/>
    <w:rsid w:val="00E42B42"/>
    <w:rsid w:val="00E4369D"/>
    <w:rsid w:val="00E44A9B"/>
    <w:rsid w:val="00E44F4A"/>
    <w:rsid w:val="00E455B1"/>
    <w:rsid w:val="00E4596F"/>
    <w:rsid w:val="00E45C01"/>
    <w:rsid w:val="00E464C7"/>
    <w:rsid w:val="00E4652A"/>
    <w:rsid w:val="00E46612"/>
    <w:rsid w:val="00E46754"/>
    <w:rsid w:val="00E46C13"/>
    <w:rsid w:val="00E4772C"/>
    <w:rsid w:val="00E5019B"/>
    <w:rsid w:val="00E50A83"/>
    <w:rsid w:val="00E50CB7"/>
    <w:rsid w:val="00E51099"/>
    <w:rsid w:val="00E51240"/>
    <w:rsid w:val="00E515B6"/>
    <w:rsid w:val="00E52166"/>
    <w:rsid w:val="00E5224E"/>
    <w:rsid w:val="00E52AF6"/>
    <w:rsid w:val="00E52B14"/>
    <w:rsid w:val="00E52D17"/>
    <w:rsid w:val="00E531D4"/>
    <w:rsid w:val="00E53836"/>
    <w:rsid w:val="00E53B66"/>
    <w:rsid w:val="00E53C22"/>
    <w:rsid w:val="00E53E96"/>
    <w:rsid w:val="00E54100"/>
    <w:rsid w:val="00E54394"/>
    <w:rsid w:val="00E54D1A"/>
    <w:rsid w:val="00E55747"/>
    <w:rsid w:val="00E56419"/>
    <w:rsid w:val="00E564DB"/>
    <w:rsid w:val="00E56734"/>
    <w:rsid w:val="00E5683C"/>
    <w:rsid w:val="00E56937"/>
    <w:rsid w:val="00E569FE"/>
    <w:rsid w:val="00E56DB5"/>
    <w:rsid w:val="00E56F8C"/>
    <w:rsid w:val="00E571D3"/>
    <w:rsid w:val="00E57CF0"/>
    <w:rsid w:val="00E60902"/>
    <w:rsid w:val="00E61402"/>
    <w:rsid w:val="00E61FE2"/>
    <w:rsid w:val="00E62335"/>
    <w:rsid w:val="00E626E6"/>
    <w:rsid w:val="00E627CE"/>
    <w:rsid w:val="00E628FE"/>
    <w:rsid w:val="00E62A9A"/>
    <w:rsid w:val="00E630B8"/>
    <w:rsid w:val="00E631CC"/>
    <w:rsid w:val="00E63253"/>
    <w:rsid w:val="00E6363B"/>
    <w:rsid w:val="00E6375F"/>
    <w:rsid w:val="00E64581"/>
    <w:rsid w:val="00E64EC5"/>
    <w:rsid w:val="00E65372"/>
    <w:rsid w:val="00E65940"/>
    <w:rsid w:val="00E65A2E"/>
    <w:rsid w:val="00E66EAA"/>
    <w:rsid w:val="00E66F35"/>
    <w:rsid w:val="00E70921"/>
    <w:rsid w:val="00E70C84"/>
    <w:rsid w:val="00E712BF"/>
    <w:rsid w:val="00E71506"/>
    <w:rsid w:val="00E720C3"/>
    <w:rsid w:val="00E732F3"/>
    <w:rsid w:val="00E734B1"/>
    <w:rsid w:val="00E747D9"/>
    <w:rsid w:val="00E74FDF"/>
    <w:rsid w:val="00E76523"/>
    <w:rsid w:val="00E766EC"/>
    <w:rsid w:val="00E767EC"/>
    <w:rsid w:val="00E76AEF"/>
    <w:rsid w:val="00E76F4F"/>
    <w:rsid w:val="00E77203"/>
    <w:rsid w:val="00E7748C"/>
    <w:rsid w:val="00E77531"/>
    <w:rsid w:val="00E777C4"/>
    <w:rsid w:val="00E7788B"/>
    <w:rsid w:val="00E77D93"/>
    <w:rsid w:val="00E80831"/>
    <w:rsid w:val="00E82297"/>
    <w:rsid w:val="00E825AF"/>
    <w:rsid w:val="00E826DC"/>
    <w:rsid w:val="00E8327E"/>
    <w:rsid w:val="00E83EF7"/>
    <w:rsid w:val="00E843D2"/>
    <w:rsid w:val="00E84493"/>
    <w:rsid w:val="00E8462A"/>
    <w:rsid w:val="00E849F8"/>
    <w:rsid w:val="00E8549C"/>
    <w:rsid w:val="00E85D87"/>
    <w:rsid w:val="00E8653B"/>
    <w:rsid w:val="00E866FF"/>
    <w:rsid w:val="00E86A26"/>
    <w:rsid w:val="00E87427"/>
    <w:rsid w:val="00E874BA"/>
    <w:rsid w:val="00E87661"/>
    <w:rsid w:val="00E9093B"/>
    <w:rsid w:val="00E90A1C"/>
    <w:rsid w:val="00E917F7"/>
    <w:rsid w:val="00E91B4B"/>
    <w:rsid w:val="00E9318C"/>
    <w:rsid w:val="00E93960"/>
    <w:rsid w:val="00E93E1C"/>
    <w:rsid w:val="00E94201"/>
    <w:rsid w:val="00E94F0B"/>
    <w:rsid w:val="00E95482"/>
    <w:rsid w:val="00E95934"/>
    <w:rsid w:val="00E96158"/>
    <w:rsid w:val="00E9685F"/>
    <w:rsid w:val="00E9760C"/>
    <w:rsid w:val="00E976DD"/>
    <w:rsid w:val="00E97AB6"/>
    <w:rsid w:val="00E97BA9"/>
    <w:rsid w:val="00E97BC2"/>
    <w:rsid w:val="00EA066B"/>
    <w:rsid w:val="00EA1204"/>
    <w:rsid w:val="00EA1B51"/>
    <w:rsid w:val="00EA2446"/>
    <w:rsid w:val="00EA245B"/>
    <w:rsid w:val="00EA269C"/>
    <w:rsid w:val="00EA28B1"/>
    <w:rsid w:val="00EA3994"/>
    <w:rsid w:val="00EA3B3B"/>
    <w:rsid w:val="00EA4D4B"/>
    <w:rsid w:val="00EA5555"/>
    <w:rsid w:val="00EA55E6"/>
    <w:rsid w:val="00EA5616"/>
    <w:rsid w:val="00EA678D"/>
    <w:rsid w:val="00EA694A"/>
    <w:rsid w:val="00EA7D4E"/>
    <w:rsid w:val="00EB1B96"/>
    <w:rsid w:val="00EB2914"/>
    <w:rsid w:val="00EB2C7D"/>
    <w:rsid w:val="00EB2D2D"/>
    <w:rsid w:val="00EB4B15"/>
    <w:rsid w:val="00EB4DDE"/>
    <w:rsid w:val="00EB4E2F"/>
    <w:rsid w:val="00EB50AE"/>
    <w:rsid w:val="00EB55DF"/>
    <w:rsid w:val="00EB5F53"/>
    <w:rsid w:val="00EB6CA2"/>
    <w:rsid w:val="00EB6FEE"/>
    <w:rsid w:val="00EB74A2"/>
    <w:rsid w:val="00EB7722"/>
    <w:rsid w:val="00EB7799"/>
    <w:rsid w:val="00EC02ED"/>
    <w:rsid w:val="00EC0A3F"/>
    <w:rsid w:val="00EC0ABD"/>
    <w:rsid w:val="00EC0D18"/>
    <w:rsid w:val="00EC115F"/>
    <w:rsid w:val="00EC18DE"/>
    <w:rsid w:val="00EC1F46"/>
    <w:rsid w:val="00EC25A7"/>
    <w:rsid w:val="00EC27EC"/>
    <w:rsid w:val="00EC2C0F"/>
    <w:rsid w:val="00EC2FAD"/>
    <w:rsid w:val="00EC3699"/>
    <w:rsid w:val="00EC39EC"/>
    <w:rsid w:val="00EC3BD1"/>
    <w:rsid w:val="00EC4125"/>
    <w:rsid w:val="00EC4F67"/>
    <w:rsid w:val="00EC4FEE"/>
    <w:rsid w:val="00EC52DC"/>
    <w:rsid w:val="00EC62F5"/>
    <w:rsid w:val="00EC63AF"/>
    <w:rsid w:val="00EC6B48"/>
    <w:rsid w:val="00EC6CD9"/>
    <w:rsid w:val="00EC6EA7"/>
    <w:rsid w:val="00EC722C"/>
    <w:rsid w:val="00EC73B8"/>
    <w:rsid w:val="00EC7586"/>
    <w:rsid w:val="00EC75B1"/>
    <w:rsid w:val="00EC764F"/>
    <w:rsid w:val="00ED0C0E"/>
    <w:rsid w:val="00ED17DD"/>
    <w:rsid w:val="00ED2B53"/>
    <w:rsid w:val="00ED30F1"/>
    <w:rsid w:val="00ED38A5"/>
    <w:rsid w:val="00ED3D17"/>
    <w:rsid w:val="00ED401D"/>
    <w:rsid w:val="00ED4B7A"/>
    <w:rsid w:val="00ED4E62"/>
    <w:rsid w:val="00ED4F56"/>
    <w:rsid w:val="00ED50B8"/>
    <w:rsid w:val="00ED56F1"/>
    <w:rsid w:val="00ED570F"/>
    <w:rsid w:val="00ED5A2E"/>
    <w:rsid w:val="00ED5BC5"/>
    <w:rsid w:val="00ED5DDC"/>
    <w:rsid w:val="00ED5F02"/>
    <w:rsid w:val="00ED6534"/>
    <w:rsid w:val="00ED669E"/>
    <w:rsid w:val="00ED694D"/>
    <w:rsid w:val="00ED6AFB"/>
    <w:rsid w:val="00ED709A"/>
    <w:rsid w:val="00ED76DA"/>
    <w:rsid w:val="00EE0017"/>
    <w:rsid w:val="00EE0035"/>
    <w:rsid w:val="00EE0502"/>
    <w:rsid w:val="00EE09CF"/>
    <w:rsid w:val="00EE1322"/>
    <w:rsid w:val="00EE1662"/>
    <w:rsid w:val="00EE1893"/>
    <w:rsid w:val="00EE1CB4"/>
    <w:rsid w:val="00EE1E4D"/>
    <w:rsid w:val="00EE2183"/>
    <w:rsid w:val="00EE22E6"/>
    <w:rsid w:val="00EE286C"/>
    <w:rsid w:val="00EE3360"/>
    <w:rsid w:val="00EE3594"/>
    <w:rsid w:val="00EE543C"/>
    <w:rsid w:val="00EE5D76"/>
    <w:rsid w:val="00EE6AC6"/>
    <w:rsid w:val="00EE6DCF"/>
    <w:rsid w:val="00EE72CE"/>
    <w:rsid w:val="00EE745C"/>
    <w:rsid w:val="00EE78CA"/>
    <w:rsid w:val="00EE79D8"/>
    <w:rsid w:val="00EE7E86"/>
    <w:rsid w:val="00EF088C"/>
    <w:rsid w:val="00EF0B68"/>
    <w:rsid w:val="00EF0B94"/>
    <w:rsid w:val="00EF0E40"/>
    <w:rsid w:val="00EF1240"/>
    <w:rsid w:val="00EF1F44"/>
    <w:rsid w:val="00EF296A"/>
    <w:rsid w:val="00EF34B2"/>
    <w:rsid w:val="00EF3771"/>
    <w:rsid w:val="00EF383E"/>
    <w:rsid w:val="00EF39D1"/>
    <w:rsid w:val="00EF46EA"/>
    <w:rsid w:val="00EF5289"/>
    <w:rsid w:val="00EF579F"/>
    <w:rsid w:val="00EF61E9"/>
    <w:rsid w:val="00EF696B"/>
    <w:rsid w:val="00EF71C1"/>
    <w:rsid w:val="00EF780D"/>
    <w:rsid w:val="00F002C7"/>
    <w:rsid w:val="00F00353"/>
    <w:rsid w:val="00F008DD"/>
    <w:rsid w:val="00F0159C"/>
    <w:rsid w:val="00F016A5"/>
    <w:rsid w:val="00F02232"/>
    <w:rsid w:val="00F02328"/>
    <w:rsid w:val="00F02364"/>
    <w:rsid w:val="00F02A87"/>
    <w:rsid w:val="00F02C45"/>
    <w:rsid w:val="00F02F1C"/>
    <w:rsid w:val="00F03263"/>
    <w:rsid w:val="00F03422"/>
    <w:rsid w:val="00F03A97"/>
    <w:rsid w:val="00F03CDE"/>
    <w:rsid w:val="00F043AC"/>
    <w:rsid w:val="00F044AD"/>
    <w:rsid w:val="00F045CE"/>
    <w:rsid w:val="00F04BE6"/>
    <w:rsid w:val="00F04C30"/>
    <w:rsid w:val="00F0591B"/>
    <w:rsid w:val="00F05974"/>
    <w:rsid w:val="00F06173"/>
    <w:rsid w:val="00F06270"/>
    <w:rsid w:val="00F06884"/>
    <w:rsid w:val="00F06BB8"/>
    <w:rsid w:val="00F06CD4"/>
    <w:rsid w:val="00F06EAE"/>
    <w:rsid w:val="00F06F0A"/>
    <w:rsid w:val="00F07236"/>
    <w:rsid w:val="00F07290"/>
    <w:rsid w:val="00F07B06"/>
    <w:rsid w:val="00F07B1D"/>
    <w:rsid w:val="00F07DBD"/>
    <w:rsid w:val="00F10179"/>
    <w:rsid w:val="00F103CD"/>
    <w:rsid w:val="00F104FE"/>
    <w:rsid w:val="00F1148B"/>
    <w:rsid w:val="00F11A95"/>
    <w:rsid w:val="00F11B52"/>
    <w:rsid w:val="00F11E41"/>
    <w:rsid w:val="00F12705"/>
    <w:rsid w:val="00F12A2B"/>
    <w:rsid w:val="00F12E80"/>
    <w:rsid w:val="00F12FD3"/>
    <w:rsid w:val="00F13075"/>
    <w:rsid w:val="00F1337B"/>
    <w:rsid w:val="00F1349D"/>
    <w:rsid w:val="00F13894"/>
    <w:rsid w:val="00F13988"/>
    <w:rsid w:val="00F13A7B"/>
    <w:rsid w:val="00F14023"/>
    <w:rsid w:val="00F140A0"/>
    <w:rsid w:val="00F142A5"/>
    <w:rsid w:val="00F14637"/>
    <w:rsid w:val="00F148D4"/>
    <w:rsid w:val="00F14E59"/>
    <w:rsid w:val="00F15968"/>
    <w:rsid w:val="00F15972"/>
    <w:rsid w:val="00F15C43"/>
    <w:rsid w:val="00F160DB"/>
    <w:rsid w:val="00F16112"/>
    <w:rsid w:val="00F166E7"/>
    <w:rsid w:val="00F166F2"/>
    <w:rsid w:val="00F168BF"/>
    <w:rsid w:val="00F17132"/>
    <w:rsid w:val="00F17776"/>
    <w:rsid w:val="00F17B09"/>
    <w:rsid w:val="00F17BC2"/>
    <w:rsid w:val="00F17CC5"/>
    <w:rsid w:val="00F20664"/>
    <w:rsid w:val="00F20AAF"/>
    <w:rsid w:val="00F21321"/>
    <w:rsid w:val="00F21962"/>
    <w:rsid w:val="00F22558"/>
    <w:rsid w:val="00F22723"/>
    <w:rsid w:val="00F22F61"/>
    <w:rsid w:val="00F235FB"/>
    <w:rsid w:val="00F237AC"/>
    <w:rsid w:val="00F23A28"/>
    <w:rsid w:val="00F248A1"/>
    <w:rsid w:val="00F2497D"/>
    <w:rsid w:val="00F2507A"/>
    <w:rsid w:val="00F25AB9"/>
    <w:rsid w:val="00F2646C"/>
    <w:rsid w:val="00F269F2"/>
    <w:rsid w:val="00F26B0B"/>
    <w:rsid w:val="00F26F19"/>
    <w:rsid w:val="00F271AC"/>
    <w:rsid w:val="00F2739C"/>
    <w:rsid w:val="00F2743D"/>
    <w:rsid w:val="00F27531"/>
    <w:rsid w:val="00F307EA"/>
    <w:rsid w:val="00F31FCD"/>
    <w:rsid w:val="00F322A8"/>
    <w:rsid w:val="00F32700"/>
    <w:rsid w:val="00F3300E"/>
    <w:rsid w:val="00F33052"/>
    <w:rsid w:val="00F3327B"/>
    <w:rsid w:val="00F33638"/>
    <w:rsid w:val="00F33E00"/>
    <w:rsid w:val="00F33F49"/>
    <w:rsid w:val="00F34173"/>
    <w:rsid w:val="00F344A7"/>
    <w:rsid w:val="00F348BA"/>
    <w:rsid w:val="00F34D51"/>
    <w:rsid w:val="00F35264"/>
    <w:rsid w:val="00F35774"/>
    <w:rsid w:val="00F358D6"/>
    <w:rsid w:val="00F35DC7"/>
    <w:rsid w:val="00F360C2"/>
    <w:rsid w:val="00F364BC"/>
    <w:rsid w:val="00F368B1"/>
    <w:rsid w:val="00F3701E"/>
    <w:rsid w:val="00F3723E"/>
    <w:rsid w:val="00F373DA"/>
    <w:rsid w:val="00F3778B"/>
    <w:rsid w:val="00F37B20"/>
    <w:rsid w:val="00F37B67"/>
    <w:rsid w:val="00F40533"/>
    <w:rsid w:val="00F40568"/>
    <w:rsid w:val="00F40B02"/>
    <w:rsid w:val="00F40C45"/>
    <w:rsid w:val="00F41B24"/>
    <w:rsid w:val="00F42169"/>
    <w:rsid w:val="00F4271E"/>
    <w:rsid w:val="00F42AB5"/>
    <w:rsid w:val="00F42E43"/>
    <w:rsid w:val="00F42F82"/>
    <w:rsid w:val="00F42FB7"/>
    <w:rsid w:val="00F43089"/>
    <w:rsid w:val="00F43B63"/>
    <w:rsid w:val="00F44AEF"/>
    <w:rsid w:val="00F44B04"/>
    <w:rsid w:val="00F44D5D"/>
    <w:rsid w:val="00F45072"/>
    <w:rsid w:val="00F45258"/>
    <w:rsid w:val="00F452E5"/>
    <w:rsid w:val="00F4575A"/>
    <w:rsid w:val="00F45C1E"/>
    <w:rsid w:val="00F462B6"/>
    <w:rsid w:val="00F46B94"/>
    <w:rsid w:val="00F47963"/>
    <w:rsid w:val="00F5027A"/>
    <w:rsid w:val="00F504CE"/>
    <w:rsid w:val="00F50A6F"/>
    <w:rsid w:val="00F513EC"/>
    <w:rsid w:val="00F51617"/>
    <w:rsid w:val="00F51ED3"/>
    <w:rsid w:val="00F5209C"/>
    <w:rsid w:val="00F5295A"/>
    <w:rsid w:val="00F52E9C"/>
    <w:rsid w:val="00F530E9"/>
    <w:rsid w:val="00F53575"/>
    <w:rsid w:val="00F54AFB"/>
    <w:rsid w:val="00F550D5"/>
    <w:rsid w:val="00F55521"/>
    <w:rsid w:val="00F55A94"/>
    <w:rsid w:val="00F55C9F"/>
    <w:rsid w:val="00F56B9D"/>
    <w:rsid w:val="00F570DD"/>
    <w:rsid w:val="00F57B2A"/>
    <w:rsid w:val="00F60631"/>
    <w:rsid w:val="00F61F9F"/>
    <w:rsid w:val="00F62063"/>
    <w:rsid w:val="00F624BC"/>
    <w:rsid w:val="00F6266E"/>
    <w:rsid w:val="00F629FB"/>
    <w:rsid w:val="00F6333F"/>
    <w:rsid w:val="00F6344D"/>
    <w:rsid w:val="00F6366A"/>
    <w:rsid w:val="00F63773"/>
    <w:rsid w:val="00F6386F"/>
    <w:rsid w:val="00F639D9"/>
    <w:rsid w:val="00F63FF7"/>
    <w:rsid w:val="00F6414B"/>
    <w:rsid w:val="00F641D4"/>
    <w:rsid w:val="00F6482A"/>
    <w:rsid w:val="00F64964"/>
    <w:rsid w:val="00F64DD1"/>
    <w:rsid w:val="00F64E16"/>
    <w:rsid w:val="00F65279"/>
    <w:rsid w:val="00F652A4"/>
    <w:rsid w:val="00F657B9"/>
    <w:rsid w:val="00F65B4D"/>
    <w:rsid w:val="00F660C0"/>
    <w:rsid w:val="00F66110"/>
    <w:rsid w:val="00F66C7F"/>
    <w:rsid w:val="00F67878"/>
    <w:rsid w:val="00F67DB2"/>
    <w:rsid w:val="00F67EFF"/>
    <w:rsid w:val="00F70057"/>
    <w:rsid w:val="00F7076C"/>
    <w:rsid w:val="00F718C3"/>
    <w:rsid w:val="00F722D9"/>
    <w:rsid w:val="00F72796"/>
    <w:rsid w:val="00F73107"/>
    <w:rsid w:val="00F73161"/>
    <w:rsid w:val="00F7351E"/>
    <w:rsid w:val="00F735EB"/>
    <w:rsid w:val="00F73C6C"/>
    <w:rsid w:val="00F74681"/>
    <w:rsid w:val="00F746D5"/>
    <w:rsid w:val="00F74DAE"/>
    <w:rsid w:val="00F75215"/>
    <w:rsid w:val="00F755F5"/>
    <w:rsid w:val="00F75FDE"/>
    <w:rsid w:val="00F76A98"/>
    <w:rsid w:val="00F76C2A"/>
    <w:rsid w:val="00F76EAC"/>
    <w:rsid w:val="00F76FB8"/>
    <w:rsid w:val="00F7734B"/>
    <w:rsid w:val="00F80019"/>
    <w:rsid w:val="00F81677"/>
    <w:rsid w:val="00F820EB"/>
    <w:rsid w:val="00F826AA"/>
    <w:rsid w:val="00F82809"/>
    <w:rsid w:val="00F82A31"/>
    <w:rsid w:val="00F82E08"/>
    <w:rsid w:val="00F82FD0"/>
    <w:rsid w:val="00F83325"/>
    <w:rsid w:val="00F8350C"/>
    <w:rsid w:val="00F83D5F"/>
    <w:rsid w:val="00F83EE3"/>
    <w:rsid w:val="00F8562F"/>
    <w:rsid w:val="00F862B0"/>
    <w:rsid w:val="00F8675C"/>
    <w:rsid w:val="00F867AD"/>
    <w:rsid w:val="00F870A8"/>
    <w:rsid w:val="00F915AD"/>
    <w:rsid w:val="00F91F05"/>
    <w:rsid w:val="00F92044"/>
    <w:rsid w:val="00F9260B"/>
    <w:rsid w:val="00F92E61"/>
    <w:rsid w:val="00F92EFC"/>
    <w:rsid w:val="00F935D8"/>
    <w:rsid w:val="00F93D02"/>
    <w:rsid w:val="00F945FB"/>
    <w:rsid w:val="00F9480E"/>
    <w:rsid w:val="00F9652F"/>
    <w:rsid w:val="00F968F2"/>
    <w:rsid w:val="00F969AE"/>
    <w:rsid w:val="00F96C65"/>
    <w:rsid w:val="00F96CAD"/>
    <w:rsid w:val="00F97C0B"/>
    <w:rsid w:val="00FA0105"/>
    <w:rsid w:val="00FA0575"/>
    <w:rsid w:val="00FA1251"/>
    <w:rsid w:val="00FA1692"/>
    <w:rsid w:val="00FA22AE"/>
    <w:rsid w:val="00FA23D8"/>
    <w:rsid w:val="00FA2504"/>
    <w:rsid w:val="00FA27BE"/>
    <w:rsid w:val="00FA2CF1"/>
    <w:rsid w:val="00FA31FA"/>
    <w:rsid w:val="00FA399B"/>
    <w:rsid w:val="00FA492C"/>
    <w:rsid w:val="00FA54B1"/>
    <w:rsid w:val="00FA574E"/>
    <w:rsid w:val="00FA5778"/>
    <w:rsid w:val="00FA59FD"/>
    <w:rsid w:val="00FA628C"/>
    <w:rsid w:val="00FA6714"/>
    <w:rsid w:val="00FA6856"/>
    <w:rsid w:val="00FA6C37"/>
    <w:rsid w:val="00FA710B"/>
    <w:rsid w:val="00FA7B1F"/>
    <w:rsid w:val="00FB075E"/>
    <w:rsid w:val="00FB101E"/>
    <w:rsid w:val="00FB17DC"/>
    <w:rsid w:val="00FB28D9"/>
    <w:rsid w:val="00FB2AED"/>
    <w:rsid w:val="00FB2BFD"/>
    <w:rsid w:val="00FB3757"/>
    <w:rsid w:val="00FB3B19"/>
    <w:rsid w:val="00FB42F4"/>
    <w:rsid w:val="00FB4AAB"/>
    <w:rsid w:val="00FB4FB4"/>
    <w:rsid w:val="00FB5492"/>
    <w:rsid w:val="00FB562E"/>
    <w:rsid w:val="00FB6067"/>
    <w:rsid w:val="00FB61AE"/>
    <w:rsid w:val="00FB6A6C"/>
    <w:rsid w:val="00FB6A97"/>
    <w:rsid w:val="00FB7032"/>
    <w:rsid w:val="00FB768F"/>
    <w:rsid w:val="00FB78E7"/>
    <w:rsid w:val="00FC030A"/>
    <w:rsid w:val="00FC0A01"/>
    <w:rsid w:val="00FC0A1B"/>
    <w:rsid w:val="00FC0DC5"/>
    <w:rsid w:val="00FC0E4D"/>
    <w:rsid w:val="00FC1033"/>
    <w:rsid w:val="00FC215E"/>
    <w:rsid w:val="00FC2435"/>
    <w:rsid w:val="00FC2618"/>
    <w:rsid w:val="00FC314C"/>
    <w:rsid w:val="00FC36A3"/>
    <w:rsid w:val="00FC3A50"/>
    <w:rsid w:val="00FC3C78"/>
    <w:rsid w:val="00FC3ED3"/>
    <w:rsid w:val="00FC4C87"/>
    <w:rsid w:val="00FC4D80"/>
    <w:rsid w:val="00FC56B8"/>
    <w:rsid w:val="00FC5B73"/>
    <w:rsid w:val="00FC665E"/>
    <w:rsid w:val="00FC718E"/>
    <w:rsid w:val="00FC76D2"/>
    <w:rsid w:val="00FC7D15"/>
    <w:rsid w:val="00FC7E88"/>
    <w:rsid w:val="00FC7E9D"/>
    <w:rsid w:val="00FD001E"/>
    <w:rsid w:val="00FD0484"/>
    <w:rsid w:val="00FD0875"/>
    <w:rsid w:val="00FD19EB"/>
    <w:rsid w:val="00FD1CCF"/>
    <w:rsid w:val="00FD2027"/>
    <w:rsid w:val="00FD3353"/>
    <w:rsid w:val="00FD3358"/>
    <w:rsid w:val="00FD4200"/>
    <w:rsid w:val="00FD4966"/>
    <w:rsid w:val="00FD540D"/>
    <w:rsid w:val="00FD54E8"/>
    <w:rsid w:val="00FD59A1"/>
    <w:rsid w:val="00FD645F"/>
    <w:rsid w:val="00FE00DC"/>
    <w:rsid w:val="00FE0167"/>
    <w:rsid w:val="00FE02B2"/>
    <w:rsid w:val="00FE0588"/>
    <w:rsid w:val="00FE06F3"/>
    <w:rsid w:val="00FE0968"/>
    <w:rsid w:val="00FE0BE8"/>
    <w:rsid w:val="00FE195C"/>
    <w:rsid w:val="00FE195F"/>
    <w:rsid w:val="00FE1DBD"/>
    <w:rsid w:val="00FE22F2"/>
    <w:rsid w:val="00FE2490"/>
    <w:rsid w:val="00FE2658"/>
    <w:rsid w:val="00FE27EF"/>
    <w:rsid w:val="00FE28FC"/>
    <w:rsid w:val="00FE2B99"/>
    <w:rsid w:val="00FE3068"/>
    <w:rsid w:val="00FE39F7"/>
    <w:rsid w:val="00FE3AED"/>
    <w:rsid w:val="00FE3C78"/>
    <w:rsid w:val="00FE3D58"/>
    <w:rsid w:val="00FE46E2"/>
    <w:rsid w:val="00FE4B66"/>
    <w:rsid w:val="00FE4D03"/>
    <w:rsid w:val="00FE5D50"/>
    <w:rsid w:val="00FE6AB5"/>
    <w:rsid w:val="00FE6B71"/>
    <w:rsid w:val="00FE6F39"/>
    <w:rsid w:val="00FE761A"/>
    <w:rsid w:val="00FE767B"/>
    <w:rsid w:val="00FE7AC9"/>
    <w:rsid w:val="00FF02A3"/>
    <w:rsid w:val="00FF0997"/>
    <w:rsid w:val="00FF0DB2"/>
    <w:rsid w:val="00FF17C0"/>
    <w:rsid w:val="00FF1C53"/>
    <w:rsid w:val="00FF1C95"/>
    <w:rsid w:val="00FF25B6"/>
    <w:rsid w:val="00FF26E3"/>
    <w:rsid w:val="00FF2B39"/>
    <w:rsid w:val="00FF2C1E"/>
    <w:rsid w:val="00FF2EDB"/>
    <w:rsid w:val="00FF300F"/>
    <w:rsid w:val="00FF3734"/>
    <w:rsid w:val="00FF37A8"/>
    <w:rsid w:val="00FF382E"/>
    <w:rsid w:val="00FF3A4D"/>
    <w:rsid w:val="00FF3D87"/>
    <w:rsid w:val="00FF3DA2"/>
    <w:rsid w:val="00FF3F54"/>
    <w:rsid w:val="00FF4BA9"/>
    <w:rsid w:val="00FF4C13"/>
    <w:rsid w:val="00FF5414"/>
    <w:rsid w:val="00FF5ADA"/>
    <w:rsid w:val="00FF5D43"/>
    <w:rsid w:val="00FF646E"/>
    <w:rsid w:val="00FF66A3"/>
    <w:rsid w:val="00FF6B78"/>
    <w:rsid w:val="00FF6D7F"/>
    <w:rsid w:val="00FF73EB"/>
    <w:rsid w:val="00FF79B5"/>
    <w:rsid w:val="00FF7ECC"/>
    <w:rsid w:val="00FF7F99"/>
    <w:rsid w:val="02704EA8"/>
    <w:rsid w:val="02B84C34"/>
    <w:rsid w:val="02F94F75"/>
    <w:rsid w:val="03275A2C"/>
    <w:rsid w:val="033E67A9"/>
    <w:rsid w:val="03BE185C"/>
    <w:rsid w:val="03F63D5F"/>
    <w:rsid w:val="04113E06"/>
    <w:rsid w:val="043573EE"/>
    <w:rsid w:val="04F10687"/>
    <w:rsid w:val="056A6906"/>
    <w:rsid w:val="05FA106B"/>
    <w:rsid w:val="05FC0BA0"/>
    <w:rsid w:val="06514813"/>
    <w:rsid w:val="078359ED"/>
    <w:rsid w:val="07D02293"/>
    <w:rsid w:val="07FD2F50"/>
    <w:rsid w:val="08847D7A"/>
    <w:rsid w:val="08933E00"/>
    <w:rsid w:val="09B93783"/>
    <w:rsid w:val="0A6961C0"/>
    <w:rsid w:val="0AC756DF"/>
    <w:rsid w:val="0AF63228"/>
    <w:rsid w:val="0B0942AB"/>
    <w:rsid w:val="0B237438"/>
    <w:rsid w:val="0B444374"/>
    <w:rsid w:val="0BCB4996"/>
    <w:rsid w:val="0C103FC7"/>
    <w:rsid w:val="0C4C2581"/>
    <w:rsid w:val="0CC7352F"/>
    <w:rsid w:val="0CCE35B3"/>
    <w:rsid w:val="0CDB2458"/>
    <w:rsid w:val="0D2B3B79"/>
    <w:rsid w:val="0D4A0B2F"/>
    <w:rsid w:val="0D587134"/>
    <w:rsid w:val="0DD228AF"/>
    <w:rsid w:val="0E050770"/>
    <w:rsid w:val="0E8F719C"/>
    <w:rsid w:val="0F7303FE"/>
    <w:rsid w:val="0FE4459D"/>
    <w:rsid w:val="103A2EA9"/>
    <w:rsid w:val="110B729A"/>
    <w:rsid w:val="119F2F9C"/>
    <w:rsid w:val="13033861"/>
    <w:rsid w:val="1331204B"/>
    <w:rsid w:val="134F1136"/>
    <w:rsid w:val="13917F67"/>
    <w:rsid w:val="13BE0382"/>
    <w:rsid w:val="1475419E"/>
    <w:rsid w:val="150206C1"/>
    <w:rsid w:val="15877998"/>
    <w:rsid w:val="159143C8"/>
    <w:rsid w:val="16114E5C"/>
    <w:rsid w:val="164756E1"/>
    <w:rsid w:val="165752E8"/>
    <w:rsid w:val="167D2E36"/>
    <w:rsid w:val="16A91289"/>
    <w:rsid w:val="16AD75DF"/>
    <w:rsid w:val="17150D5F"/>
    <w:rsid w:val="17316E44"/>
    <w:rsid w:val="174E6595"/>
    <w:rsid w:val="17746305"/>
    <w:rsid w:val="178472E3"/>
    <w:rsid w:val="178F3BC8"/>
    <w:rsid w:val="17A01066"/>
    <w:rsid w:val="17D57A93"/>
    <w:rsid w:val="17DF7E09"/>
    <w:rsid w:val="185539A5"/>
    <w:rsid w:val="1921403D"/>
    <w:rsid w:val="197E141A"/>
    <w:rsid w:val="19A60142"/>
    <w:rsid w:val="19DD66E7"/>
    <w:rsid w:val="19FC65E2"/>
    <w:rsid w:val="1A534BD8"/>
    <w:rsid w:val="1A9A6727"/>
    <w:rsid w:val="1AA70AF6"/>
    <w:rsid w:val="1AB53561"/>
    <w:rsid w:val="1AD61FCE"/>
    <w:rsid w:val="1B5714CA"/>
    <w:rsid w:val="1B5A5371"/>
    <w:rsid w:val="1B6F2CBA"/>
    <w:rsid w:val="1BD37110"/>
    <w:rsid w:val="1BEA37E6"/>
    <w:rsid w:val="1C1461AC"/>
    <w:rsid w:val="1C331705"/>
    <w:rsid w:val="1C60497E"/>
    <w:rsid w:val="1C62208B"/>
    <w:rsid w:val="1C86521A"/>
    <w:rsid w:val="1CE7377A"/>
    <w:rsid w:val="1D5178C8"/>
    <w:rsid w:val="1DD047FA"/>
    <w:rsid w:val="1DDF7470"/>
    <w:rsid w:val="1E0A7E55"/>
    <w:rsid w:val="1E3264E1"/>
    <w:rsid w:val="1E592678"/>
    <w:rsid w:val="1E9C4590"/>
    <w:rsid w:val="1F874D8A"/>
    <w:rsid w:val="1FA57DBE"/>
    <w:rsid w:val="200D38F5"/>
    <w:rsid w:val="202D76F6"/>
    <w:rsid w:val="204623FB"/>
    <w:rsid w:val="21A70722"/>
    <w:rsid w:val="22803C51"/>
    <w:rsid w:val="237B3451"/>
    <w:rsid w:val="24562FBC"/>
    <w:rsid w:val="246D1CB8"/>
    <w:rsid w:val="24D609BC"/>
    <w:rsid w:val="24DB0068"/>
    <w:rsid w:val="24DC5055"/>
    <w:rsid w:val="251113E5"/>
    <w:rsid w:val="251540FE"/>
    <w:rsid w:val="266652D7"/>
    <w:rsid w:val="26935989"/>
    <w:rsid w:val="26DE64AC"/>
    <w:rsid w:val="27884434"/>
    <w:rsid w:val="278E295E"/>
    <w:rsid w:val="27C27A2D"/>
    <w:rsid w:val="284422BC"/>
    <w:rsid w:val="28627F88"/>
    <w:rsid w:val="28675F60"/>
    <w:rsid w:val="28912F73"/>
    <w:rsid w:val="28AD4399"/>
    <w:rsid w:val="28BA6A2B"/>
    <w:rsid w:val="28C35888"/>
    <w:rsid w:val="28CD229B"/>
    <w:rsid w:val="28DC6D7F"/>
    <w:rsid w:val="28E165F5"/>
    <w:rsid w:val="28FB5EAB"/>
    <w:rsid w:val="29285145"/>
    <w:rsid w:val="29566D5D"/>
    <w:rsid w:val="299C77D2"/>
    <w:rsid w:val="29D76564"/>
    <w:rsid w:val="2A785B46"/>
    <w:rsid w:val="2A96003E"/>
    <w:rsid w:val="2B3F23E7"/>
    <w:rsid w:val="2B5306B1"/>
    <w:rsid w:val="2C877E60"/>
    <w:rsid w:val="2CB7337D"/>
    <w:rsid w:val="2D01239E"/>
    <w:rsid w:val="2D8C028C"/>
    <w:rsid w:val="2DA059AB"/>
    <w:rsid w:val="2DEA2142"/>
    <w:rsid w:val="2DF3162F"/>
    <w:rsid w:val="2DFC285A"/>
    <w:rsid w:val="2E0E3606"/>
    <w:rsid w:val="2E1E4B22"/>
    <w:rsid w:val="2E7A700E"/>
    <w:rsid w:val="302B6E12"/>
    <w:rsid w:val="309C2F49"/>
    <w:rsid w:val="309D426B"/>
    <w:rsid w:val="30B74F9A"/>
    <w:rsid w:val="30B80AF3"/>
    <w:rsid w:val="30F36665"/>
    <w:rsid w:val="31046251"/>
    <w:rsid w:val="318B1C40"/>
    <w:rsid w:val="32311998"/>
    <w:rsid w:val="324443AF"/>
    <w:rsid w:val="32490A66"/>
    <w:rsid w:val="327E786F"/>
    <w:rsid w:val="329A0587"/>
    <w:rsid w:val="32AE2918"/>
    <w:rsid w:val="32BD7AEB"/>
    <w:rsid w:val="33590AD6"/>
    <w:rsid w:val="33A02904"/>
    <w:rsid w:val="33A03532"/>
    <w:rsid w:val="33E16B05"/>
    <w:rsid w:val="33F02500"/>
    <w:rsid w:val="33F92473"/>
    <w:rsid w:val="340B5FB7"/>
    <w:rsid w:val="34342D6F"/>
    <w:rsid w:val="3480587F"/>
    <w:rsid w:val="34995DB5"/>
    <w:rsid w:val="34A439F9"/>
    <w:rsid w:val="35005FE5"/>
    <w:rsid w:val="35837CDB"/>
    <w:rsid w:val="359A39ED"/>
    <w:rsid w:val="35B05CE1"/>
    <w:rsid w:val="35C92E47"/>
    <w:rsid w:val="35EE2397"/>
    <w:rsid w:val="35F42D38"/>
    <w:rsid w:val="364922CC"/>
    <w:rsid w:val="36804048"/>
    <w:rsid w:val="36E830BB"/>
    <w:rsid w:val="373E2E50"/>
    <w:rsid w:val="3785754C"/>
    <w:rsid w:val="379A346B"/>
    <w:rsid w:val="37B026D5"/>
    <w:rsid w:val="37D32A74"/>
    <w:rsid w:val="38622181"/>
    <w:rsid w:val="38EB6E2C"/>
    <w:rsid w:val="390B7FFB"/>
    <w:rsid w:val="394E20E5"/>
    <w:rsid w:val="39795F10"/>
    <w:rsid w:val="399A7223"/>
    <w:rsid w:val="39C3309B"/>
    <w:rsid w:val="39F54856"/>
    <w:rsid w:val="3A6D2C1F"/>
    <w:rsid w:val="3AF167F8"/>
    <w:rsid w:val="3B676230"/>
    <w:rsid w:val="3B851344"/>
    <w:rsid w:val="3C5414FF"/>
    <w:rsid w:val="3C826B66"/>
    <w:rsid w:val="3CF96E86"/>
    <w:rsid w:val="3D1557A6"/>
    <w:rsid w:val="3E5224BD"/>
    <w:rsid w:val="3EB83995"/>
    <w:rsid w:val="3EF257FF"/>
    <w:rsid w:val="3F347174"/>
    <w:rsid w:val="3FD44611"/>
    <w:rsid w:val="3FFD2AA6"/>
    <w:rsid w:val="406C1B52"/>
    <w:rsid w:val="408B33B9"/>
    <w:rsid w:val="40DC6CCB"/>
    <w:rsid w:val="410F4E10"/>
    <w:rsid w:val="41490DAD"/>
    <w:rsid w:val="41C27B9F"/>
    <w:rsid w:val="423C764E"/>
    <w:rsid w:val="42F26B44"/>
    <w:rsid w:val="4355223F"/>
    <w:rsid w:val="438D227D"/>
    <w:rsid w:val="44184095"/>
    <w:rsid w:val="44261FE3"/>
    <w:rsid w:val="444A1FB9"/>
    <w:rsid w:val="444B7E0E"/>
    <w:rsid w:val="44DA1AB6"/>
    <w:rsid w:val="44EB19C0"/>
    <w:rsid w:val="453B6FB5"/>
    <w:rsid w:val="4548519D"/>
    <w:rsid w:val="456558E1"/>
    <w:rsid w:val="45F7715E"/>
    <w:rsid w:val="46DE28A6"/>
    <w:rsid w:val="47150232"/>
    <w:rsid w:val="48027880"/>
    <w:rsid w:val="481A3FC2"/>
    <w:rsid w:val="485450EF"/>
    <w:rsid w:val="48647F3D"/>
    <w:rsid w:val="489C4651"/>
    <w:rsid w:val="48A52A3C"/>
    <w:rsid w:val="48B72AEA"/>
    <w:rsid w:val="48F915E3"/>
    <w:rsid w:val="498C7043"/>
    <w:rsid w:val="49BA4521"/>
    <w:rsid w:val="49E17DD4"/>
    <w:rsid w:val="49E35145"/>
    <w:rsid w:val="4A594164"/>
    <w:rsid w:val="4B796527"/>
    <w:rsid w:val="4CD84346"/>
    <w:rsid w:val="4D357649"/>
    <w:rsid w:val="4D4D3AEC"/>
    <w:rsid w:val="4D5A37F1"/>
    <w:rsid w:val="4DB01A60"/>
    <w:rsid w:val="4DF15FA1"/>
    <w:rsid w:val="4E593845"/>
    <w:rsid w:val="4E5E5293"/>
    <w:rsid w:val="4E97604E"/>
    <w:rsid w:val="4F907A4A"/>
    <w:rsid w:val="5044508F"/>
    <w:rsid w:val="509E48E9"/>
    <w:rsid w:val="50C00528"/>
    <w:rsid w:val="51493E81"/>
    <w:rsid w:val="515B03BD"/>
    <w:rsid w:val="519948B3"/>
    <w:rsid w:val="52793105"/>
    <w:rsid w:val="52847B49"/>
    <w:rsid w:val="5285218D"/>
    <w:rsid w:val="52A32953"/>
    <w:rsid w:val="540208BE"/>
    <w:rsid w:val="5484688F"/>
    <w:rsid w:val="54D63BF2"/>
    <w:rsid w:val="5519052F"/>
    <w:rsid w:val="555D1C81"/>
    <w:rsid w:val="55AD01D9"/>
    <w:rsid w:val="55DB1F32"/>
    <w:rsid w:val="56740156"/>
    <w:rsid w:val="568E78AE"/>
    <w:rsid w:val="56C7409D"/>
    <w:rsid w:val="5748072D"/>
    <w:rsid w:val="57AA018A"/>
    <w:rsid w:val="57ED508E"/>
    <w:rsid w:val="581A10AD"/>
    <w:rsid w:val="581C5378"/>
    <w:rsid w:val="588C59E2"/>
    <w:rsid w:val="588F1F87"/>
    <w:rsid w:val="58966AE3"/>
    <w:rsid w:val="5913231F"/>
    <w:rsid w:val="59C96098"/>
    <w:rsid w:val="59DF7A5A"/>
    <w:rsid w:val="59FD7B5D"/>
    <w:rsid w:val="5A2406F2"/>
    <w:rsid w:val="5A810749"/>
    <w:rsid w:val="5A9B06B1"/>
    <w:rsid w:val="5ACF23B9"/>
    <w:rsid w:val="5B1354EE"/>
    <w:rsid w:val="5B23548E"/>
    <w:rsid w:val="5B891EC4"/>
    <w:rsid w:val="5BF74D55"/>
    <w:rsid w:val="5BFE3978"/>
    <w:rsid w:val="5C1560F2"/>
    <w:rsid w:val="5C7B51F8"/>
    <w:rsid w:val="5C9E72F1"/>
    <w:rsid w:val="5CA41DA1"/>
    <w:rsid w:val="5CF12CB1"/>
    <w:rsid w:val="5DC038F2"/>
    <w:rsid w:val="5DD84105"/>
    <w:rsid w:val="5DFE1274"/>
    <w:rsid w:val="5F7C6065"/>
    <w:rsid w:val="5FE70F2A"/>
    <w:rsid w:val="60550510"/>
    <w:rsid w:val="60557488"/>
    <w:rsid w:val="606F2C37"/>
    <w:rsid w:val="60C413D5"/>
    <w:rsid w:val="60C91E79"/>
    <w:rsid w:val="612F0B11"/>
    <w:rsid w:val="61474317"/>
    <w:rsid w:val="61986007"/>
    <w:rsid w:val="61AD1CB2"/>
    <w:rsid w:val="621C784E"/>
    <w:rsid w:val="625D5A54"/>
    <w:rsid w:val="628201E1"/>
    <w:rsid w:val="62A0316D"/>
    <w:rsid w:val="62DE6403"/>
    <w:rsid w:val="63CF0110"/>
    <w:rsid w:val="641E2E30"/>
    <w:rsid w:val="642272DC"/>
    <w:rsid w:val="64695953"/>
    <w:rsid w:val="648D6131"/>
    <w:rsid w:val="649E018F"/>
    <w:rsid w:val="64EA091A"/>
    <w:rsid w:val="652C579B"/>
    <w:rsid w:val="653E5931"/>
    <w:rsid w:val="65630611"/>
    <w:rsid w:val="65A96E34"/>
    <w:rsid w:val="65AA3AE5"/>
    <w:rsid w:val="65C80F51"/>
    <w:rsid w:val="664C348F"/>
    <w:rsid w:val="66AB5CD4"/>
    <w:rsid w:val="66C979B7"/>
    <w:rsid w:val="680E4DAD"/>
    <w:rsid w:val="68A635C2"/>
    <w:rsid w:val="6906536B"/>
    <w:rsid w:val="698435EF"/>
    <w:rsid w:val="69912070"/>
    <w:rsid w:val="69EA3E0C"/>
    <w:rsid w:val="6A28243A"/>
    <w:rsid w:val="6A580AF5"/>
    <w:rsid w:val="6A627569"/>
    <w:rsid w:val="6A97253C"/>
    <w:rsid w:val="6AE20A7F"/>
    <w:rsid w:val="6BE74F73"/>
    <w:rsid w:val="6BEE7306"/>
    <w:rsid w:val="6C103DC6"/>
    <w:rsid w:val="6CC57663"/>
    <w:rsid w:val="6CEE0056"/>
    <w:rsid w:val="6DB41C26"/>
    <w:rsid w:val="6DCD3D20"/>
    <w:rsid w:val="6DF6759C"/>
    <w:rsid w:val="6E070B53"/>
    <w:rsid w:val="6E7A4418"/>
    <w:rsid w:val="6EF22E7E"/>
    <w:rsid w:val="6F0A08FB"/>
    <w:rsid w:val="6F2076F0"/>
    <w:rsid w:val="6F5B356B"/>
    <w:rsid w:val="6F7A0E27"/>
    <w:rsid w:val="6F99085B"/>
    <w:rsid w:val="6FC87423"/>
    <w:rsid w:val="706F62DC"/>
    <w:rsid w:val="7076345D"/>
    <w:rsid w:val="712C2667"/>
    <w:rsid w:val="71B554A0"/>
    <w:rsid w:val="71D515FE"/>
    <w:rsid w:val="7217416F"/>
    <w:rsid w:val="72590B3F"/>
    <w:rsid w:val="72B93B5F"/>
    <w:rsid w:val="72E0674B"/>
    <w:rsid w:val="72EC4A64"/>
    <w:rsid w:val="732B1457"/>
    <w:rsid w:val="73360DF4"/>
    <w:rsid w:val="7382345D"/>
    <w:rsid w:val="739610A8"/>
    <w:rsid w:val="73C25039"/>
    <w:rsid w:val="743E0C44"/>
    <w:rsid w:val="7460797A"/>
    <w:rsid w:val="74977102"/>
    <w:rsid w:val="74D1654B"/>
    <w:rsid w:val="74FF7233"/>
    <w:rsid w:val="751F7C29"/>
    <w:rsid w:val="756B2D99"/>
    <w:rsid w:val="757C420C"/>
    <w:rsid w:val="75B42D94"/>
    <w:rsid w:val="767B6E75"/>
    <w:rsid w:val="76836B42"/>
    <w:rsid w:val="769C413B"/>
    <w:rsid w:val="775E042F"/>
    <w:rsid w:val="77AE7234"/>
    <w:rsid w:val="77D215B9"/>
    <w:rsid w:val="78074075"/>
    <w:rsid w:val="7831175E"/>
    <w:rsid w:val="78D1519A"/>
    <w:rsid w:val="79751C1D"/>
    <w:rsid w:val="79A4749B"/>
    <w:rsid w:val="7A551F3B"/>
    <w:rsid w:val="7A645D16"/>
    <w:rsid w:val="7A6D2962"/>
    <w:rsid w:val="7AC649FF"/>
    <w:rsid w:val="7B000BE0"/>
    <w:rsid w:val="7B1704A2"/>
    <w:rsid w:val="7BD36052"/>
    <w:rsid w:val="7D423295"/>
    <w:rsid w:val="7D6A19F1"/>
    <w:rsid w:val="7DB76B8C"/>
    <w:rsid w:val="7DC12099"/>
    <w:rsid w:val="7E514160"/>
    <w:rsid w:val="7E534113"/>
    <w:rsid w:val="7E891AC4"/>
    <w:rsid w:val="7EB839C2"/>
    <w:rsid w:val="7EEC545A"/>
    <w:rsid w:val="7EFA05A1"/>
    <w:rsid w:val="7F505E08"/>
    <w:rsid w:val="7F665EF5"/>
    <w:rsid w:val="7F800765"/>
    <w:rsid w:val="7FCD67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23"/>
    <w:qFormat/>
    <w:uiPriority w:val="0"/>
    <w:pPr>
      <w:keepNext/>
      <w:jc w:val="center"/>
      <w:outlineLvl w:val="0"/>
    </w:pPr>
    <w:rPr>
      <w:sz w:val="28"/>
      <w:szCs w:val="20"/>
    </w:rPr>
  </w:style>
  <w:style w:type="paragraph" w:styleId="4">
    <w:name w:val="heading 2"/>
    <w:basedOn w:val="1"/>
    <w:next w:val="1"/>
    <w:link w:val="64"/>
    <w:qFormat/>
    <w:uiPriority w:val="0"/>
    <w:pPr>
      <w:keepNext/>
      <w:keepLines/>
      <w:spacing w:before="260" w:after="260" w:line="416" w:lineRule="auto"/>
      <w:outlineLvl w:val="1"/>
    </w:pPr>
    <w:rPr>
      <w:rFonts w:ascii="Arial" w:hAnsi="Arial" w:eastAsia="黑体"/>
      <w:b/>
      <w:sz w:val="32"/>
      <w:szCs w:val="20"/>
    </w:rPr>
  </w:style>
  <w:style w:type="paragraph" w:styleId="5">
    <w:name w:val="heading 3"/>
    <w:basedOn w:val="1"/>
    <w:next w:val="1"/>
    <w:link w:val="63"/>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225"/>
    <w:qFormat/>
    <w:uiPriority w:val="0"/>
    <w:pPr>
      <w:keepNext/>
      <w:keepLines/>
      <w:widowControl/>
      <w:tabs>
        <w:tab w:val="left" w:pos="377"/>
        <w:tab w:val="left" w:pos="1247"/>
      </w:tabs>
      <w:spacing w:before="100" w:beforeAutospacing="1" w:after="290" w:line="377" w:lineRule="auto"/>
      <w:ind w:left="1077" w:hanging="1020"/>
      <w:outlineLvl w:val="4"/>
    </w:pPr>
    <w:rPr>
      <w:rFonts w:eastAsia="黑体"/>
      <w:bCs/>
      <w:kern w:val="0"/>
      <w:sz w:val="28"/>
      <w:szCs w:val="28"/>
    </w:rPr>
  </w:style>
  <w:style w:type="paragraph" w:styleId="8">
    <w:name w:val="heading 6"/>
    <w:basedOn w:val="1"/>
    <w:next w:val="1"/>
    <w:link w:val="226"/>
    <w:qFormat/>
    <w:uiPriority w:val="0"/>
    <w:pPr>
      <w:keepNext/>
      <w:keepLines/>
      <w:widowControl/>
      <w:tabs>
        <w:tab w:val="left" w:pos="377"/>
        <w:tab w:val="left" w:pos="737"/>
      </w:tabs>
      <w:spacing w:before="240" w:after="64" w:line="319" w:lineRule="auto"/>
      <w:ind w:left="737" w:hanging="510"/>
      <w:outlineLvl w:val="5"/>
    </w:pPr>
    <w:rPr>
      <w:rFonts w:eastAsia="黑体"/>
      <w:bCs/>
      <w:kern w:val="0"/>
      <w:sz w:val="28"/>
      <w:szCs w:val="28"/>
    </w:rPr>
  </w:style>
  <w:style w:type="paragraph" w:styleId="9">
    <w:name w:val="heading 7"/>
    <w:basedOn w:val="1"/>
    <w:next w:val="1"/>
    <w:qFormat/>
    <w:uiPriority w:val="0"/>
    <w:pPr>
      <w:keepNext/>
      <w:keepLines/>
      <w:spacing w:before="240" w:after="64" w:line="320" w:lineRule="auto"/>
      <w:outlineLvl w:val="6"/>
    </w:pPr>
    <w:rPr>
      <w:b/>
      <w:bCs/>
      <w:sz w:val="24"/>
    </w:rPr>
  </w:style>
  <w:style w:type="paragraph" w:styleId="10">
    <w:name w:val="heading 8"/>
    <w:basedOn w:val="1"/>
    <w:next w:val="1"/>
    <w:link w:val="227"/>
    <w:qFormat/>
    <w:uiPriority w:val="0"/>
    <w:pPr>
      <w:keepNext/>
      <w:keepLines/>
      <w:widowControl/>
      <w:tabs>
        <w:tab w:val="left" w:pos="377"/>
        <w:tab w:val="left" w:pos="737"/>
      </w:tabs>
      <w:spacing w:before="240" w:after="64" w:line="319" w:lineRule="auto"/>
      <w:ind w:left="737" w:hanging="510"/>
      <w:outlineLvl w:val="7"/>
    </w:pPr>
    <w:rPr>
      <w:rFonts w:eastAsia="黑体"/>
      <w:kern w:val="0"/>
      <w:sz w:val="28"/>
      <w:szCs w:val="28"/>
    </w:rPr>
  </w:style>
  <w:style w:type="paragraph" w:styleId="11">
    <w:name w:val="heading 9"/>
    <w:basedOn w:val="1"/>
    <w:next w:val="1"/>
    <w:link w:val="228"/>
    <w:qFormat/>
    <w:uiPriority w:val="0"/>
    <w:pPr>
      <w:keepNext/>
      <w:keepLines/>
      <w:tabs>
        <w:tab w:val="left" w:pos="1584"/>
      </w:tabs>
      <w:snapToGrid w:val="0"/>
      <w:spacing w:before="240" w:after="64" w:line="360" w:lineRule="auto"/>
      <w:ind w:left="1584" w:hanging="1584"/>
      <w:outlineLvl w:val="8"/>
    </w:pPr>
    <w:rPr>
      <w:sz w:val="24"/>
      <w:szCs w:val="28"/>
    </w:rPr>
  </w:style>
  <w:style w:type="character" w:default="1" w:styleId="54">
    <w:name w:val="Default Paragraph Font"/>
    <w:semiHidden/>
    <w:unhideWhenUsed/>
    <w:qFormat/>
    <w:uiPriority w:val="1"/>
  </w:style>
  <w:style w:type="table" w:default="1" w:styleId="5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正文样式"/>
    <w:basedOn w:val="1"/>
    <w:qFormat/>
    <w:uiPriority w:val="0"/>
    <w:pPr>
      <w:adjustRightInd w:val="0"/>
      <w:snapToGrid w:val="0"/>
      <w:spacing w:line="520" w:lineRule="exact"/>
      <w:ind w:firstLine="562"/>
    </w:pPr>
    <w:rPr>
      <w:color w:val="000000"/>
      <w:sz w:val="28"/>
      <w:szCs w:val="28"/>
    </w:rPr>
  </w:style>
  <w:style w:type="paragraph" w:styleId="12">
    <w:name w:val="toc 7"/>
    <w:basedOn w:val="1"/>
    <w:next w:val="1"/>
    <w:qFormat/>
    <w:uiPriority w:val="0"/>
    <w:pPr>
      <w:ind w:left="2520" w:leftChars="1200"/>
    </w:pPr>
    <w:rPr>
      <w:rFonts w:ascii="宋体"/>
    </w:rPr>
  </w:style>
  <w:style w:type="paragraph" w:styleId="13">
    <w:name w:val="Note Heading"/>
    <w:basedOn w:val="1"/>
    <w:next w:val="1"/>
    <w:link w:val="240"/>
    <w:qFormat/>
    <w:uiPriority w:val="0"/>
    <w:pPr>
      <w:jc w:val="center"/>
    </w:pPr>
    <w:rPr>
      <w:rFonts w:ascii="宋体"/>
      <w:szCs w:val="21"/>
    </w:rPr>
  </w:style>
  <w:style w:type="paragraph" w:styleId="14">
    <w:name w:val="index 8"/>
    <w:basedOn w:val="1"/>
    <w:next w:val="1"/>
    <w:qFormat/>
    <w:uiPriority w:val="0"/>
    <w:pPr>
      <w:ind w:left="1400" w:leftChars="1400"/>
    </w:pPr>
    <w:rPr>
      <w:szCs w:val="20"/>
    </w:rPr>
  </w:style>
  <w:style w:type="paragraph" w:styleId="15">
    <w:name w:val="Normal Indent"/>
    <w:basedOn w:val="1"/>
    <w:link w:val="224"/>
    <w:qFormat/>
    <w:uiPriority w:val="0"/>
    <w:pPr>
      <w:ind w:firstLine="420" w:firstLineChars="200"/>
    </w:pPr>
  </w:style>
  <w:style w:type="paragraph" w:styleId="16">
    <w:name w:val="index 5"/>
    <w:basedOn w:val="1"/>
    <w:next w:val="1"/>
    <w:qFormat/>
    <w:uiPriority w:val="0"/>
    <w:pPr>
      <w:ind w:left="800" w:leftChars="800"/>
    </w:pPr>
    <w:rPr>
      <w:szCs w:val="20"/>
    </w:rPr>
  </w:style>
  <w:style w:type="paragraph" w:styleId="17">
    <w:name w:val="Document Map"/>
    <w:basedOn w:val="1"/>
    <w:semiHidden/>
    <w:qFormat/>
    <w:uiPriority w:val="0"/>
    <w:pPr>
      <w:shd w:val="clear" w:color="auto" w:fill="000080"/>
    </w:pPr>
  </w:style>
  <w:style w:type="paragraph" w:styleId="18">
    <w:name w:val="annotation text"/>
    <w:basedOn w:val="1"/>
    <w:link w:val="245"/>
    <w:qFormat/>
    <w:uiPriority w:val="0"/>
    <w:pPr>
      <w:widowControl/>
      <w:tabs>
        <w:tab w:val="left" w:pos="377"/>
      </w:tabs>
      <w:spacing w:line="360" w:lineRule="auto"/>
      <w:jc w:val="left"/>
    </w:pPr>
    <w:rPr>
      <w:rFonts w:ascii="宋体"/>
      <w:kern w:val="0"/>
      <w:sz w:val="24"/>
    </w:rPr>
  </w:style>
  <w:style w:type="paragraph" w:styleId="19">
    <w:name w:val="index 6"/>
    <w:basedOn w:val="1"/>
    <w:next w:val="1"/>
    <w:qFormat/>
    <w:uiPriority w:val="0"/>
    <w:pPr>
      <w:ind w:left="1000" w:leftChars="1000"/>
    </w:pPr>
    <w:rPr>
      <w:szCs w:val="20"/>
    </w:rPr>
  </w:style>
  <w:style w:type="paragraph" w:styleId="20">
    <w:name w:val="Salutation"/>
    <w:basedOn w:val="1"/>
    <w:next w:val="1"/>
    <w:qFormat/>
    <w:uiPriority w:val="0"/>
    <w:rPr>
      <w:sz w:val="24"/>
      <w:szCs w:val="20"/>
    </w:rPr>
  </w:style>
  <w:style w:type="paragraph" w:styleId="21">
    <w:name w:val="Body Text 3"/>
    <w:basedOn w:val="1"/>
    <w:qFormat/>
    <w:uiPriority w:val="0"/>
    <w:pPr>
      <w:spacing w:line="360" w:lineRule="auto"/>
    </w:pPr>
    <w:rPr>
      <w:sz w:val="24"/>
    </w:rPr>
  </w:style>
  <w:style w:type="paragraph" w:styleId="22">
    <w:name w:val="Body Text"/>
    <w:basedOn w:val="1"/>
    <w:next w:val="1"/>
    <w:link w:val="232"/>
    <w:qFormat/>
    <w:uiPriority w:val="0"/>
    <w:pPr>
      <w:spacing w:after="120"/>
    </w:pPr>
  </w:style>
  <w:style w:type="paragraph" w:styleId="23">
    <w:name w:val="Body Text Indent"/>
    <w:basedOn w:val="1"/>
    <w:next w:val="15"/>
    <w:qFormat/>
    <w:uiPriority w:val="0"/>
    <w:pPr>
      <w:ind w:firstLine="538" w:firstLineChars="192"/>
    </w:pPr>
    <w:rPr>
      <w:rFonts w:ascii="宋体" w:hAnsi="宋体"/>
      <w:color w:val="FF0000"/>
      <w:sz w:val="28"/>
      <w:szCs w:val="28"/>
    </w:rPr>
  </w:style>
  <w:style w:type="paragraph" w:styleId="24">
    <w:name w:val="Block Text"/>
    <w:basedOn w:val="1"/>
    <w:qFormat/>
    <w:uiPriority w:val="0"/>
    <w:pPr>
      <w:adjustRightInd w:val="0"/>
      <w:spacing w:line="360" w:lineRule="auto"/>
      <w:ind w:left="57" w:right="57" w:firstLine="539"/>
      <w:textAlignment w:val="baseline"/>
    </w:pPr>
    <w:rPr>
      <w:spacing w:val="20"/>
      <w:kern w:val="0"/>
      <w:sz w:val="24"/>
      <w:szCs w:val="20"/>
    </w:rPr>
  </w:style>
  <w:style w:type="paragraph" w:styleId="25">
    <w:name w:val="index 4"/>
    <w:basedOn w:val="1"/>
    <w:next w:val="1"/>
    <w:qFormat/>
    <w:uiPriority w:val="0"/>
    <w:pPr>
      <w:ind w:left="600" w:leftChars="600"/>
    </w:pPr>
    <w:rPr>
      <w:szCs w:val="20"/>
    </w:rPr>
  </w:style>
  <w:style w:type="paragraph" w:styleId="26">
    <w:name w:val="toc 5"/>
    <w:basedOn w:val="1"/>
    <w:next w:val="1"/>
    <w:qFormat/>
    <w:uiPriority w:val="0"/>
    <w:pPr>
      <w:ind w:left="840"/>
      <w:jc w:val="left"/>
    </w:pPr>
    <w:rPr>
      <w:sz w:val="18"/>
      <w:szCs w:val="18"/>
    </w:rPr>
  </w:style>
  <w:style w:type="paragraph" w:styleId="27">
    <w:name w:val="toc 3"/>
    <w:basedOn w:val="1"/>
    <w:next w:val="1"/>
    <w:qFormat/>
    <w:uiPriority w:val="39"/>
    <w:pPr>
      <w:ind w:left="840" w:leftChars="400"/>
    </w:pPr>
  </w:style>
  <w:style w:type="paragraph" w:styleId="28">
    <w:name w:val="Plain Text"/>
    <w:basedOn w:val="1"/>
    <w:link w:val="231"/>
    <w:qFormat/>
    <w:uiPriority w:val="0"/>
    <w:rPr>
      <w:rFonts w:ascii="宋体" w:hAnsi="Courier New"/>
      <w:szCs w:val="20"/>
    </w:rPr>
  </w:style>
  <w:style w:type="paragraph" w:styleId="29">
    <w:name w:val="toc 8"/>
    <w:basedOn w:val="1"/>
    <w:next w:val="1"/>
    <w:qFormat/>
    <w:uiPriority w:val="0"/>
    <w:pPr>
      <w:ind w:left="1470"/>
      <w:jc w:val="left"/>
    </w:pPr>
    <w:rPr>
      <w:sz w:val="18"/>
      <w:szCs w:val="18"/>
    </w:rPr>
  </w:style>
  <w:style w:type="paragraph" w:styleId="30">
    <w:name w:val="index 3"/>
    <w:basedOn w:val="1"/>
    <w:next w:val="1"/>
    <w:qFormat/>
    <w:uiPriority w:val="0"/>
    <w:pPr>
      <w:ind w:left="400" w:leftChars="400"/>
    </w:pPr>
    <w:rPr>
      <w:szCs w:val="20"/>
    </w:rPr>
  </w:style>
  <w:style w:type="paragraph" w:styleId="31">
    <w:name w:val="Date"/>
    <w:basedOn w:val="1"/>
    <w:next w:val="1"/>
    <w:qFormat/>
    <w:uiPriority w:val="0"/>
    <w:pPr>
      <w:adjustRightInd w:val="0"/>
      <w:spacing w:line="360" w:lineRule="auto"/>
      <w:textAlignment w:val="baseline"/>
    </w:pPr>
    <w:rPr>
      <w:rFonts w:ascii="宋体"/>
      <w:spacing w:val="10"/>
      <w:kern w:val="0"/>
      <w:sz w:val="28"/>
      <w:szCs w:val="20"/>
    </w:rPr>
  </w:style>
  <w:style w:type="paragraph" w:styleId="32">
    <w:name w:val="Body Text Indent 2"/>
    <w:basedOn w:val="1"/>
    <w:qFormat/>
    <w:uiPriority w:val="0"/>
    <w:pPr>
      <w:spacing w:after="120" w:line="480" w:lineRule="auto"/>
      <w:ind w:left="420" w:leftChars="200"/>
    </w:pPr>
  </w:style>
  <w:style w:type="paragraph" w:styleId="33">
    <w:name w:val="Balloon Text"/>
    <w:basedOn w:val="1"/>
    <w:link w:val="237"/>
    <w:qFormat/>
    <w:uiPriority w:val="0"/>
    <w:rPr>
      <w:sz w:val="18"/>
      <w:szCs w:val="18"/>
    </w:rPr>
  </w:style>
  <w:style w:type="paragraph" w:styleId="34">
    <w:name w:val="footer"/>
    <w:basedOn w:val="1"/>
    <w:link w:val="230"/>
    <w:qFormat/>
    <w:uiPriority w:val="0"/>
    <w:pPr>
      <w:tabs>
        <w:tab w:val="center" w:pos="4153"/>
        <w:tab w:val="right" w:pos="8306"/>
      </w:tabs>
      <w:snapToGrid w:val="0"/>
      <w:jc w:val="left"/>
    </w:pPr>
    <w:rPr>
      <w:sz w:val="18"/>
      <w:szCs w:val="18"/>
    </w:rPr>
  </w:style>
  <w:style w:type="paragraph" w:styleId="35">
    <w:name w:val="header"/>
    <w:basedOn w:val="1"/>
    <w:link w:val="229"/>
    <w:qFormat/>
    <w:uiPriority w:val="0"/>
    <w:pPr>
      <w:pBdr>
        <w:bottom w:val="single" w:color="auto" w:sz="6" w:space="1"/>
      </w:pBdr>
      <w:tabs>
        <w:tab w:val="center" w:pos="4153"/>
        <w:tab w:val="right" w:pos="8306"/>
      </w:tabs>
      <w:snapToGrid w:val="0"/>
      <w:jc w:val="center"/>
    </w:pPr>
    <w:rPr>
      <w:sz w:val="18"/>
      <w:szCs w:val="18"/>
    </w:rPr>
  </w:style>
  <w:style w:type="paragraph" w:styleId="36">
    <w:name w:val="toc 1"/>
    <w:basedOn w:val="1"/>
    <w:next w:val="1"/>
    <w:qFormat/>
    <w:uiPriority w:val="39"/>
    <w:pPr>
      <w:tabs>
        <w:tab w:val="right" w:leader="dot" w:pos="8302"/>
      </w:tabs>
      <w:adjustRightInd w:val="0"/>
      <w:snapToGrid w:val="0"/>
    </w:pPr>
    <w:rPr>
      <w:sz w:val="28"/>
    </w:rPr>
  </w:style>
  <w:style w:type="paragraph" w:styleId="37">
    <w:name w:val="toc 4"/>
    <w:basedOn w:val="1"/>
    <w:next w:val="1"/>
    <w:qFormat/>
    <w:uiPriority w:val="0"/>
    <w:pPr>
      <w:ind w:left="630"/>
      <w:jc w:val="left"/>
    </w:pPr>
    <w:rPr>
      <w:sz w:val="18"/>
      <w:szCs w:val="18"/>
    </w:rPr>
  </w:style>
  <w:style w:type="paragraph" w:styleId="38">
    <w:name w:val="toc 6"/>
    <w:basedOn w:val="1"/>
    <w:next w:val="1"/>
    <w:qFormat/>
    <w:uiPriority w:val="0"/>
    <w:pPr>
      <w:ind w:left="2100" w:leftChars="1000"/>
    </w:pPr>
    <w:rPr>
      <w:rFonts w:ascii="宋体"/>
    </w:rPr>
  </w:style>
  <w:style w:type="paragraph" w:styleId="39">
    <w:name w:val="Body Text Indent 3"/>
    <w:basedOn w:val="1"/>
    <w:qFormat/>
    <w:uiPriority w:val="0"/>
    <w:pPr>
      <w:spacing w:after="120"/>
      <w:ind w:left="420" w:leftChars="200"/>
    </w:pPr>
    <w:rPr>
      <w:sz w:val="16"/>
      <w:szCs w:val="16"/>
    </w:rPr>
  </w:style>
  <w:style w:type="paragraph" w:styleId="40">
    <w:name w:val="index 7"/>
    <w:basedOn w:val="1"/>
    <w:next w:val="1"/>
    <w:qFormat/>
    <w:uiPriority w:val="0"/>
    <w:pPr>
      <w:ind w:left="1200" w:leftChars="1200"/>
    </w:pPr>
    <w:rPr>
      <w:szCs w:val="20"/>
    </w:rPr>
  </w:style>
  <w:style w:type="paragraph" w:styleId="41">
    <w:name w:val="index 9"/>
    <w:basedOn w:val="1"/>
    <w:next w:val="1"/>
    <w:qFormat/>
    <w:uiPriority w:val="0"/>
    <w:pPr>
      <w:ind w:left="1600" w:leftChars="1600"/>
    </w:pPr>
    <w:rPr>
      <w:szCs w:val="20"/>
    </w:rPr>
  </w:style>
  <w:style w:type="paragraph" w:styleId="42">
    <w:name w:val="toc 2"/>
    <w:basedOn w:val="1"/>
    <w:next w:val="1"/>
    <w:qFormat/>
    <w:uiPriority w:val="39"/>
    <w:pPr>
      <w:tabs>
        <w:tab w:val="right" w:leader="dot" w:pos="8296"/>
      </w:tabs>
      <w:adjustRightInd w:val="0"/>
      <w:snapToGrid w:val="0"/>
      <w:spacing w:line="300" w:lineRule="auto"/>
      <w:ind w:left="200" w:leftChars="200"/>
    </w:pPr>
    <w:rPr>
      <w:bCs/>
      <w:sz w:val="24"/>
      <w:szCs w:val="28"/>
    </w:rPr>
  </w:style>
  <w:style w:type="paragraph" w:styleId="43">
    <w:name w:val="toc 9"/>
    <w:basedOn w:val="1"/>
    <w:next w:val="1"/>
    <w:qFormat/>
    <w:uiPriority w:val="0"/>
    <w:pPr>
      <w:ind w:left="1680"/>
      <w:jc w:val="left"/>
    </w:pPr>
    <w:rPr>
      <w:sz w:val="18"/>
      <w:szCs w:val="18"/>
    </w:rPr>
  </w:style>
  <w:style w:type="paragraph" w:styleId="44">
    <w:name w:val="Body Text 2"/>
    <w:basedOn w:val="1"/>
    <w:qFormat/>
    <w:uiPriority w:val="0"/>
    <w:rPr>
      <w:rFonts w:ascii="宋体" w:hAnsi="宋体"/>
      <w:sz w:val="24"/>
      <w:szCs w:val="21"/>
    </w:rPr>
  </w:style>
  <w:style w:type="paragraph" w:styleId="4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6">
    <w:name w:val="index 1"/>
    <w:basedOn w:val="1"/>
    <w:next w:val="1"/>
    <w:semiHidden/>
    <w:qFormat/>
    <w:uiPriority w:val="0"/>
    <w:pPr>
      <w:spacing w:line="360" w:lineRule="exact"/>
    </w:pPr>
    <w:rPr>
      <w:szCs w:val="20"/>
    </w:rPr>
  </w:style>
  <w:style w:type="paragraph" w:styleId="47">
    <w:name w:val="index 2"/>
    <w:basedOn w:val="1"/>
    <w:next w:val="1"/>
    <w:qFormat/>
    <w:uiPriority w:val="0"/>
    <w:pPr>
      <w:ind w:left="200" w:leftChars="200"/>
    </w:pPr>
    <w:rPr>
      <w:szCs w:val="20"/>
    </w:rPr>
  </w:style>
  <w:style w:type="paragraph" w:styleId="48">
    <w:name w:val="Title"/>
    <w:basedOn w:val="1"/>
    <w:qFormat/>
    <w:uiPriority w:val="0"/>
    <w:pPr>
      <w:spacing w:line="360" w:lineRule="auto"/>
      <w:jc w:val="center"/>
      <w:outlineLvl w:val="0"/>
    </w:pPr>
    <w:rPr>
      <w:rFonts w:ascii="宋体" w:hAnsi="Arial" w:cs="Arial"/>
      <w:b/>
      <w:bCs/>
      <w:sz w:val="32"/>
      <w:szCs w:val="18"/>
    </w:rPr>
  </w:style>
  <w:style w:type="paragraph" w:styleId="49">
    <w:name w:val="annotation subject"/>
    <w:basedOn w:val="18"/>
    <w:next w:val="18"/>
    <w:link w:val="246"/>
    <w:qFormat/>
    <w:uiPriority w:val="0"/>
    <w:rPr>
      <w:b/>
      <w:bCs/>
    </w:rPr>
  </w:style>
  <w:style w:type="paragraph" w:styleId="50">
    <w:name w:val="Body Text First Indent"/>
    <w:basedOn w:val="22"/>
    <w:qFormat/>
    <w:uiPriority w:val="0"/>
    <w:pPr>
      <w:spacing w:line="440" w:lineRule="atLeast"/>
      <w:ind w:firstLine="493"/>
    </w:pPr>
    <w:rPr>
      <w:spacing w:val="6"/>
      <w:w w:val="92"/>
      <w:kern w:val="24"/>
      <w:sz w:val="26"/>
      <w:szCs w:val="20"/>
    </w:rPr>
  </w:style>
  <w:style w:type="paragraph" w:styleId="51">
    <w:name w:val="Body Text First Indent 2"/>
    <w:basedOn w:val="23"/>
    <w:unhideWhenUsed/>
    <w:qFormat/>
    <w:uiPriority w:val="0"/>
    <w:pPr>
      <w:spacing w:beforeLines="0" w:afterLines="0"/>
      <w:ind w:firstLine="420" w:firstLineChars="200"/>
    </w:pPr>
    <w:rPr>
      <w:rFonts w:hint="eastAsia"/>
      <w:sz w:val="28"/>
      <w:szCs w:val="28"/>
    </w:rPr>
  </w:style>
  <w:style w:type="table" w:styleId="53">
    <w:name w:val="Table Grid"/>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5">
    <w:name w:val="Strong"/>
    <w:qFormat/>
    <w:uiPriority w:val="0"/>
    <w:rPr>
      <w:b/>
      <w:bCs/>
    </w:rPr>
  </w:style>
  <w:style w:type="character" w:styleId="56">
    <w:name w:val="page number"/>
    <w:basedOn w:val="54"/>
    <w:qFormat/>
    <w:uiPriority w:val="0"/>
  </w:style>
  <w:style w:type="character" w:styleId="57">
    <w:name w:val="FollowedHyperlink"/>
    <w:qFormat/>
    <w:uiPriority w:val="99"/>
    <w:rPr>
      <w:color w:val="800080"/>
      <w:u w:val="single"/>
    </w:rPr>
  </w:style>
  <w:style w:type="character" w:styleId="58">
    <w:name w:val="Emphasis"/>
    <w:basedOn w:val="54"/>
    <w:qFormat/>
    <w:uiPriority w:val="0"/>
  </w:style>
  <w:style w:type="character" w:styleId="59">
    <w:name w:val="Hyperlink"/>
    <w:qFormat/>
    <w:uiPriority w:val="99"/>
    <w:rPr>
      <w:color w:val="0000FF"/>
      <w:u w:val="single"/>
    </w:rPr>
  </w:style>
  <w:style w:type="character" w:styleId="60">
    <w:name w:val="annotation reference"/>
    <w:qFormat/>
    <w:uiPriority w:val="0"/>
    <w:rPr>
      <w:sz w:val="21"/>
      <w:szCs w:val="21"/>
    </w:rPr>
  </w:style>
  <w:style w:type="paragraph" w:customStyle="1" w:styleId="61">
    <w:name w:val="Normal Indent1"/>
    <w:basedOn w:val="1"/>
    <w:qFormat/>
    <w:uiPriority w:val="0"/>
    <w:pPr>
      <w:ind w:firstLine="420" w:firstLineChars="200"/>
    </w:pPr>
  </w:style>
  <w:style w:type="paragraph" w:customStyle="1" w:styleId="62">
    <w:name w:val="li_正文"/>
    <w:basedOn w:val="1"/>
    <w:qFormat/>
    <w:uiPriority w:val="0"/>
    <w:pPr>
      <w:tabs>
        <w:tab w:val="left" w:pos="2574"/>
      </w:tabs>
      <w:overflowPunct w:val="0"/>
      <w:topLinePunct/>
      <w:ind w:firstLine="480" w:firstLineChars="200"/>
      <w:jc w:val="left"/>
    </w:pPr>
    <w:rPr>
      <w:kern w:val="2"/>
      <w:sz w:val="28"/>
      <w:szCs w:val="28"/>
    </w:rPr>
  </w:style>
  <w:style w:type="character" w:customStyle="1" w:styleId="63">
    <w:name w:val="标题 3 字符"/>
    <w:link w:val="5"/>
    <w:qFormat/>
    <w:uiPriority w:val="0"/>
    <w:rPr>
      <w:b/>
      <w:bCs/>
      <w:kern w:val="2"/>
      <w:sz w:val="32"/>
      <w:szCs w:val="32"/>
    </w:rPr>
  </w:style>
  <w:style w:type="character" w:customStyle="1" w:styleId="64">
    <w:name w:val="标题 2 字符"/>
    <w:link w:val="4"/>
    <w:qFormat/>
    <w:uiPriority w:val="0"/>
    <w:rPr>
      <w:rFonts w:ascii="Arial" w:hAnsi="Arial" w:eastAsia="黑体"/>
      <w:b/>
      <w:kern w:val="2"/>
      <w:sz w:val="32"/>
      <w:lang w:val="en-US" w:eastAsia="zh-CN" w:bidi="ar-SA"/>
    </w:rPr>
  </w:style>
  <w:style w:type="paragraph" w:customStyle="1" w:styleId="65">
    <w:name w:val="Char"/>
    <w:basedOn w:val="1"/>
    <w:link w:val="263"/>
    <w:qFormat/>
    <w:uiPriority w:val="0"/>
    <w:pPr>
      <w:spacing w:line="360" w:lineRule="auto"/>
    </w:pPr>
    <w:rPr>
      <w:sz w:val="24"/>
    </w:rPr>
  </w:style>
  <w:style w:type="paragraph" w:customStyle="1" w:styleId="66">
    <w:name w:val="In Table"/>
    <w:basedOn w:val="1"/>
    <w:qFormat/>
    <w:uiPriority w:val="0"/>
    <w:pPr>
      <w:tabs>
        <w:tab w:val="left" w:pos="2200"/>
        <w:tab w:val="left" w:pos="3960"/>
        <w:tab w:val="left" w:pos="5280"/>
      </w:tabs>
      <w:spacing w:before="96" w:after="96" w:line="0" w:lineRule="atLeast"/>
      <w:jc w:val="center"/>
    </w:pPr>
    <w:rPr>
      <w:rFonts w:ascii="Tahoma" w:hAnsi="Tahoma" w:eastAsia="华文中宋"/>
      <w:szCs w:val="20"/>
    </w:rPr>
  </w:style>
  <w:style w:type="paragraph" w:customStyle="1" w:styleId="67">
    <w:name w:val="表格内"/>
    <w:basedOn w:val="1"/>
    <w:qFormat/>
    <w:uiPriority w:val="0"/>
    <w:pPr>
      <w:adjustRightInd w:val="0"/>
      <w:spacing w:line="240" w:lineRule="atLeast"/>
      <w:jc w:val="center"/>
      <w:textAlignment w:val="baseline"/>
    </w:pPr>
    <w:rPr>
      <w:rFonts w:ascii="宋体"/>
      <w:kern w:val="0"/>
      <w:sz w:val="28"/>
      <w:szCs w:val="20"/>
    </w:rPr>
  </w:style>
  <w:style w:type="paragraph" w:customStyle="1" w:styleId="68">
    <w:name w:val="样式1"/>
    <w:basedOn w:val="22"/>
    <w:qFormat/>
    <w:uiPriority w:val="0"/>
    <w:pPr>
      <w:tabs>
        <w:tab w:val="left" w:pos="567"/>
      </w:tabs>
      <w:spacing w:line="360" w:lineRule="auto"/>
      <w:jc w:val="center"/>
    </w:pPr>
    <w:rPr>
      <w:sz w:val="24"/>
      <w:szCs w:val="20"/>
    </w:rPr>
  </w:style>
  <w:style w:type="paragraph" w:customStyle="1" w:styleId="69">
    <w:name w:val="font5"/>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70">
    <w:name w:val="表格1"/>
    <w:basedOn w:val="1"/>
    <w:qFormat/>
    <w:uiPriority w:val="0"/>
    <w:pPr>
      <w:adjustRightInd w:val="0"/>
      <w:jc w:val="center"/>
      <w:textAlignment w:val="baseline"/>
    </w:pPr>
    <w:rPr>
      <w:rFonts w:ascii="宋体"/>
      <w:kern w:val="0"/>
      <w:sz w:val="24"/>
      <w:szCs w:val="20"/>
    </w:rPr>
  </w:style>
  <w:style w:type="paragraph" w:customStyle="1" w:styleId="71">
    <w:name w:val="表格2"/>
    <w:basedOn w:val="1"/>
    <w:qFormat/>
    <w:uiPriority w:val="0"/>
    <w:pPr>
      <w:adjustRightInd w:val="0"/>
      <w:jc w:val="center"/>
      <w:textAlignment w:val="baseline"/>
    </w:pPr>
    <w:rPr>
      <w:rFonts w:ascii="宋体"/>
      <w:kern w:val="0"/>
      <w:szCs w:val="20"/>
    </w:rPr>
  </w:style>
  <w:style w:type="paragraph" w:customStyle="1" w:styleId="72">
    <w:name w:val="xl23"/>
    <w:basedOn w:val="1"/>
    <w:qFormat/>
    <w:uiPriority w:val="0"/>
    <w:pPr>
      <w:widowControl/>
      <w:spacing w:before="100" w:after="100"/>
      <w:jc w:val="center"/>
    </w:pPr>
    <w:rPr>
      <w:rFonts w:ascii="宋体" w:hAnsi="宋体"/>
      <w:kern w:val="0"/>
      <w:sz w:val="24"/>
      <w:szCs w:val="20"/>
    </w:rPr>
  </w:style>
  <w:style w:type="paragraph" w:customStyle="1" w:styleId="73">
    <w:name w:val="表内文字"/>
    <w:basedOn w:val="1"/>
    <w:qFormat/>
    <w:uiPriority w:val="0"/>
    <w:pPr>
      <w:widowControl/>
      <w:adjustRightInd w:val="0"/>
      <w:snapToGrid w:val="0"/>
      <w:jc w:val="center"/>
    </w:pPr>
    <w:rPr>
      <w:kern w:val="0"/>
      <w:sz w:val="24"/>
      <w:szCs w:val="20"/>
    </w:rPr>
  </w:style>
  <w:style w:type="paragraph" w:customStyle="1" w:styleId="74">
    <w:name w:val="BIG BOLD"/>
    <w:basedOn w:val="1"/>
    <w:qFormat/>
    <w:uiPriority w:val="0"/>
    <w:pPr>
      <w:tabs>
        <w:tab w:val="left" w:leader="underscore" w:pos="1134"/>
      </w:tabs>
    </w:pPr>
    <w:rPr>
      <w:szCs w:val="20"/>
    </w:rPr>
  </w:style>
  <w:style w:type="paragraph" w:customStyle="1" w:styleId="75">
    <w:name w:val="表内5"/>
    <w:basedOn w:val="15"/>
    <w:link w:val="233"/>
    <w:qFormat/>
    <w:uiPriority w:val="0"/>
    <w:pPr>
      <w:adjustRightInd w:val="0"/>
      <w:snapToGrid w:val="0"/>
      <w:ind w:firstLine="0" w:firstLineChars="0"/>
      <w:jc w:val="center"/>
    </w:pPr>
    <w:rPr>
      <w:rFonts w:ascii="宋体" w:hAnsi="宋体"/>
      <w:kern w:val="0"/>
      <w:szCs w:val="21"/>
    </w:rPr>
  </w:style>
  <w:style w:type="paragraph" w:customStyle="1" w:styleId="76">
    <w:name w:val="燕山正文"/>
    <w:basedOn w:val="1"/>
    <w:link w:val="234"/>
    <w:qFormat/>
    <w:uiPriority w:val="0"/>
    <w:pPr>
      <w:tabs>
        <w:tab w:val="left" w:pos="4680"/>
      </w:tabs>
      <w:adjustRightInd w:val="0"/>
      <w:snapToGrid w:val="0"/>
      <w:spacing w:line="360" w:lineRule="auto"/>
      <w:ind w:firstLine="560" w:firstLineChars="200"/>
    </w:pPr>
    <w:rPr>
      <w:rFonts w:ascii="宋体" w:hAnsi="宋体"/>
      <w:color w:val="000000"/>
      <w:sz w:val="28"/>
      <w:szCs w:val="28"/>
    </w:rPr>
  </w:style>
  <w:style w:type="paragraph" w:customStyle="1" w:styleId="77">
    <w:name w:val="安评节"/>
    <w:basedOn w:val="4"/>
    <w:qFormat/>
    <w:uiPriority w:val="0"/>
    <w:pPr>
      <w:tabs>
        <w:tab w:val="left" w:pos="567"/>
      </w:tabs>
      <w:overflowPunct w:val="0"/>
      <w:autoSpaceDE w:val="0"/>
      <w:autoSpaceDN w:val="0"/>
      <w:adjustRightInd w:val="0"/>
      <w:spacing w:before="120" w:after="120" w:line="360" w:lineRule="auto"/>
      <w:ind w:firstLine="200" w:firstLineChars="200"/>
      <w:jc w:val="center"/>
      <w:textAlignment w:val="baseline"/>
    </w:pPr>
    <w:rPr>
      <w:rFonts w:ascii="黑体" w:hAnsi="宋体" w:eastAsia="楷体_GB2312"/>
      <w:kern w:val="16"/>
      <w:szCs w:val="32"/>
    </w:rPr>
  </w:style>
  <w:style w:type="paragraph" w:customStyle="1" w:styleId="78">
    <w:name w:val="安评章"/>
    <w:basedOn w:val="3"/>
    <w:qFormat/>
    <w:uiPriority w:val="0"/>
    <w:pPr>
      <w:keepLines/>
      <w:tabs>
        <w:tab w:val="left" w:pos="567"/>
      </w:tabs>
      <w:overflowPunct w:val="0"/>
      <w:autoSpaceDE w:val="0"/>
      <w:autoSpaceDN w:val="0"/>
      <w:adjustRightInd w:val="0"/>
      <w:spacing w:before="100" w:after="100" w:line="360" w:lineRule="auto"/>
      <w:ind w:firstLine="562" w:firstLineChars="200"/>
      <w:textAlignment w:val="baseline"/>
    </w:pPr>
    <w:rPr>
      <w:rFonts w:ascii="宋体" w:hAnsi="宋体" w:eastAsia="黑体"/>
      <w:b/>
      <w:spacing w:val="20"/>
      <w:kern w:val="16"/>
      <w:sz w:val="32"/>
    </w:rPr>
  </w:style>
  <w:style w:type="paragraph" w:customStyle="1" w:styleId="79">
    <w:name w:val="节下项目标题"/>
    <w:basedOn w:val="1"/>
    <w:next w:val="1"/>
    <w:link w:val="235"/>
    <w:qFormat/>
    <w:uiPriority w:val="0"/>
    <w:pPr>
      <w:spacing w:line="360" w:lineRule="auto"/>
      <w:ind w:firstLine="200" w:firstLineChars="200"/>
      <w:jc w:val="left"/>
    </w:pPr>
    <w:rPr>
      <w:rFonts w:ascii="宋体" w:hAnsi="宋体" w:eastAsia="黑体"/>
      <w:b/>
      <w:sz w:val="28"/>
    </w:rPr>
  </w:style>
  <w:style w:type="paragraph" w:customStyle="1" w:styleId="80">
    <w:name w:val="表内序号"/>
    <w:basedOn w:val="1"/>
    <w:qFormat/>
    <w:uiPriority w:val="0"/>
    <w:pPr>
      <w:adjustRightInd w:val="0"/>
      <w:snapToGrid w:val="0"/>
      <w:spacing w:before="20" w:after="20"/>
      <w:jc w:val="center"/>
    </w:pPr>
    <w:rPr>
      <w:szCs w:val="20"/>
    </w:rPr>
  </w:style>
  <w:style w:type="paragraph" w:customStyle="1" w:styleId="81">
    <w:name w:val="表格标题"/>
    <w:basedOn w:val="1"/>
    <w:link w:val="236"/>
    <w:qFormat/>
    <w:uiPriority w:val="0"/>
    <w:pPr>
      <w:spacing w:line="360" w:lineRule="auto"/>
      <w:ind w:firstLine="200" w:firstLineChars="200"/>
      <w:jc w:val="center"/>
    </w:pPr>
    <w:rPr>
      <w:rFonts w:ascii="宋体" w:hAnsi="宋体"/>
      <w:spacing w:val="20"/>
      <w:sz w:val="24"/>
      <w:szCs w:val="20"/>
    </w:rPr>
  </w:style>
  <w:style w:type="paragraph" w:customStyle="1" w:styleId="82">
    <w:name w:val="标题1"/>
    <w:basedOn w:val="3"/>
    <w:qFormat/>
    <w:uiPriority w:val="0"/>
    <w:pPr>
      <w:keepLines/>
      <w:snapToGrid w:val="0"/>
      <w:spacing w:before="50" w:beforeLines="50" w:after="50" w:afterLines="50" w:line="360" w:lineRule="auto"/>
      <w:jc w:val="left"/>
    </w:pPr>
    <w:rPr>
      <w:rFonts w:eastAsia="黑体" w:cs="宋体"/>
      <w:b/>
      <w:kern w:val="44"/>
      <w:sz w:val="32"/>
    </w:rPr>
  </w:style>
  <w:style w:type="paragraph" w:customStyle="1" w:styleId="83">
    <w:name w:val="Char Char Char Char Char Char1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4">
    <w:name w:val="1"/>
    <w:basedOn w:val="1"/>
    <w:next w:val="28"/>
    <w:qFormat/>
    <w:uiPriority w:val="0"/>
    <w:rPr>
      <w:rFonts w:ascii="宋体" w:hAnsi="Courier New"/>
      <w:szCs w:val="21"/>
    </w:rPr>
  </w:style>
  <w:style w:type="paragraph" w:customStyle="1" w:styleId="85">
    <w:name w:val="样式 样式 首行缩进:  0.99 厘米 行距: 最小值 23 磅 + 行距: 最小值 24 磅"/>
    <w:basedOn w:val="1"/>
    <w:qFormat/>
    <w:uiPriority w:val="0"/>
    <w:pPr>
      <w:snapToGrid w:val="0"/>
      <w:spacing w:line="520" w:lineRule="atLeast"/>
      <w:ind w:firstLine="680"/>
    </w:pPr>
    <w:rPr>
      <w:spacing w:val="12"/>
      <w:kern w:val="24"/>
      <w:sz w:val="28"/>
      <w:szCs w:val="28"/>
    </w:rPr>
  </w:style>
  <w:style w:type="paragraph" w:customStyle="1" w:styleId="86">
    <w:name w:val="xl32"/>
    <w:basedOn w:val="1"/>
    <w:qFormat/>
    <w:uiPriority w:val="0"/>
    <w:pPr>
      <w:widowControl/>
      <w:pBdr>
        <w:left w:val="single" w:color="auto" w:sz="4" w:space="0"/>
      </w:pBdr>
      <w:tabs>
        <w:tab w:val="left" w:pos="720"/>
      </w:tabs>
      <w:adjustRightInd w:val="0"/>
      <w:snapToGrid w:val="0"/>
      <w:spacing w:before="100" w:after="100" w:line="360" w:lineRule="atLeast"/>
      <w:jc w:val="center"/>
      <w:textAlignment w:val="center"/>
    </w:pPr>
    <w:rPr>
      <w:rFonts w:ascii="Arial" w:hAnsi="Arial" w:eastAsia="Arial Unicode MS"/>
      <w:kern w:val="0"/>
      <w:sz w:val="24"/>
      <w:szCs w:val="20"/>
    </w:rPr>
  </w:style>
  <w:style w:type="paragraph" w:customStyle="1" w:styleId="87">
    <w:name w:val="表格"/>
    <w:basedOn w:val="1"/>
    <w:qFormat/>
    <w:uiPriority w:val="0"/>
    <w:pPr>
      <w:widowControl/>
      <w:jc w:val="center"/>
    </w:pPr>
    <w:rPr>
      <w:rFonts w:ascii="宋体" w:hAnsi="宋体"/>
      <w:snapToGrid w:val="0"/>
      <w:kern w:val="0"/>
      <w:sz w:val="24"/>
      <w:szCs w:val="21"/>
    </w:rPr>
  </w:style>
  <w:style w:type="paragraph" w:customStyle="1" w:styleId="88">
    <w:name w:val="样式3"/>
    <w:basedOn w:val="1"/>
    <w:qFormat/>
    <w:uiPriority w:val="0"/>
    <w:pPr>
      <w:adjustRightInd w:val="0"/>
      <w:spacing w:before="240" w:line="460" w:lineRule="exact"/>
      <w:jc w:val="left"/>
      <w:textAlignment w:val="baseline"/>
    </w:pPr>
    <w:rPr>
      <w:rFonts w:ascii="黑体" w:eastAsia="黑体"/>
      <w:kern w:val="0"/>
      <w:sz w:val="28"/>
      <w:szCs w:val="20"/>
    </w:rPr>
  </w:style>
  <w:style w:type="paragraph" w:customStyle="1" w:styleId="89">
    <w:name w:val="p1"/>
    <w:basedOn w:val="1"/>
    <w:qFormat/>
    <w:uiPriority w:val="0"/>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90">
    <w:name w:val="标三"/>
    <w:basedOn w:val="5"/>
    <w:qFormat/>
    <w:uiPriority w:val="0"/>
    <w:pPr>
      <w:spacing w:before="0" w:after="0" w:line="240" w:lineRule="auto"/>
      <w:jc w:val="center"/>
    </w:pPr>
    <w:rPr>
      <w:b w:val="0"/>
      <w:sz w:val="24"/>
      <w:szCs w:val="24"/>
    </w:rPr>
  </w:style>
  <w:style w:type="paragraph" w:customStyle="1" w:styleId="91">
    <w:name w:val="默认段落字体 Para Char Char Char Char Char Char Char"/>
    <w:basedOn w:val="1"/>
    <w:qFormat/>
    <w:uiPriority w:val="0"/>
    <w:pPr>
      <w:spacing w:line="360" w:lineRule="auto"/>
    </w:pPr>
    <w:rPr>
      <w:sz w:val="24"/>
    </w:rPr>
  </w:style>
  <w:style w:type="paragraph" w:customStyle="1" w:styleId="92">
    <w:name w:val="Char Char Char Char Char Char Char"/>
    <w:basedOn w:val="1"/>
    <w:qFormat/>
    <w:uiPriority w:val="0"/>
  </w:style>
  <w:style w:type="paragraph" w:customStyle="1" w:styleId="93">
    <w:name w:val="样式 正文 首行缩进:  2 字符 SL CON + (符号) 宋体 首行缩进:  2 字符"/>
    <w:basedOn w:val="1"/>
    <w:qFormat/>
    <w:uiPriority w:val="0"/>
    <w:pPr>
      <w:widowControl/>
      <w:tabs>
        <w:tab w:val="left" w:pos="377"/>
      </w:tabs>
      <w:spacing w:line="360" w:lineRule="auto"/>
      <w:ind w:firstLine="200" w:firstLineChars="200"/>
    </w:pPr>
    <w:rPr>
      <w:rFonts w:ascii="宋体" w:hAnsi="宋体" w:cs="宋体"/>
      <w:kern w:val="0"/>
      <w:sz w:val="28"/>
      <w:szCs w:val="20"/>
    </w:rPr>
  </w:style>
  <w:style w:type="paragraph" w:customStyle="1" w:styleId="94">
    <w:name w:val="样式 正文 首行缩进:  2 字符 SL CON + 首行缩进:  2 字符 + 首行缩进:  2 字符 + 首行缩..."/>
    <w:basedOn w:val="1"/>
    <w:qFormat/>
    <w:uiPriority w:val="0"/>
    <w:pPr>
      <w:widowControl/>
      <w:tabs>
        <w:tab w:val="left" w:pos="377"/>
      </w:tabs>
      <w:spacing w:line="360" w:lineRule="auto"/>
      <w:ind w:firstLine="560" w:firstLineChars="200"/>
    </w:pPr>
    <w:rPr>
      <w:rFonts w:ascii="宋体" w:cs="宋体"/>
      <w:kern w:val="0"/>
      <w:sz w:val="28"/>
      <w:szCs w:val="20"/>
    </w:rPr>
  </w:style>
  <w:style w:type="paragraph" w:customStyle="1" w:styleId="95">
    <w:name w:val="主标题 样式 小一 加粗 居中(SL CON)"/>
    <w:basedOn w:val="1"/>
    <w:qFormat/>
    <w:uiPriority w:val="0"/>
    <w:pPr>
      <w:widowControl/>
      <w:tabs>
        <w:tab w:val="left" w:pos="377"/>
      </w:tabs>
      <w:spacing w:line="360" w:lineRule="auto"/>
      <w:jc w:val="center"/>
    </w:pPr>
    <w:rPr>
      <w:rFonts w:ascii="宋体" w:cs="宋体"/>
      <w:b/>
      <w:bCs/>
      <w:kern w:val="0"/>
      <w:sz w:val="48"/>
      <w:szCs w:val="20"/>
    </w:rPr>
  </w:style>
  <w:style w:type="paragraph" w:customStyle="1" w:styleId="96">
    <w:name w:val="报告的名称 样式 宋体 小初号 加粗 居中(SL CON)"/>
    <w:basedOn w:val="1"/>
    <w:qFormat/>
    <w:uiPriority w:val="0"/>
    <w:pPr>
      <w:widowControl/>
      <w:tabs>
        <w:tab w:val="left" w:pos="377"/>
      </w:tabs>
      <w:spacing w:line="360" w:lineRule="auto"/>
      <w:jc w:val="center"/>
    </w:pPr>
    <w:rPr>
      <w:rFonts w:ascii="宋体" w:hAnsi="宋体" w:eastAsia="黑体" w:cs="宋体"/>
      <w:b/>
      <w:bCs/>
      <w:kern w:val="0"/>
      <w:sz w:val="72"/>
      <w:szCs w:val="20"/>
    </w:rPr>
  </w:style>
  <w:style w:type="paragraph" w:customStyle="1" w:styleId="97">
    <w:name w:val="日期时间 样式 四号 居中 行距: 1.5 倍行距(SL CON)"/>
    <w:basedOn w:val="1"/>
    <w:qFormat/>
    <w:uiPriority w:val="0"/>
    <w:pPr>
      <w:widowControl/>
      <w:tabs>
        <w:tab w:val="left" w:pos="377"/>
      </w:tabs>
      <w:spacing w:line="360" w:lineRule="auto"/>
      <w:jc w:val="center"/>
    </w:pPr>
    <w:rPr>
      <w:rFonts w:ascii="宋体" w:cs="宋体"/>
      <w:kern w:val="0"/>
      <w:sz w:val="28"/>
      <w:szCs w:val="28"/>
    </w:rPr>
  </w:style>
  <w:style w:type="paragraph" w:customStyle="1" w:styleId="98">
    <w:name w:val="样式 首行缩进:  1.7 厘米 行距: 1.5 倍行距"/>
    <w:basedOn w:val="1"/>
    <w:qFormat/>
    <w:uiPriority w:val="0"/>
    <w:pPr>
      <w:widowControl/>
      <w:tabs>
        <w:tab w:val="left" w:pos="377"/>
      </w:tabs>
      <w:spacing w:line="360" w:lineRule="auto"/>
      <w:ind w:firstLine="963"/>
    </w:pPr>
    <w:rPr>
      <w:rFonts w:ascii="宋体" w:cs="宋体"/>
      <w:kern w:val="0"/>
      <w:sz w:val="32"/>
      <w:szCs w:val="20"/>
    </w:rPr>
  </w:style>
  <w:style w:type="paragraph" w:customStyle="1" w:styleId="99">
    <w:name w:val="SL CON-项目编号"/>
    <w:basedOn w:val="1"/>
    <w:qFormat/>
    <w:uiPriority w:val="0"/>
    <w:pPr>
      <w:adjustRightInd w:val="0"/>
      <w:spacing w:line="360" w:lineRule="auto"/>
      <w:jc w:val="center"/>
      <w:textAlignment w:val="baseline"/>
    </w:pPr>
    <w:rPr>
      <w:rFonts w:ascii="宋体" w:cs="宋体"/>
      <w:kern w:val="0"/>
      <w:sz w:val="34"/>
      <w:szCs w:val="20"/>
    </w:rPr>
  </w:style>
  <w:style w:type="paragraph" w:customStyle="1" w:styleId="100">
    <w:name w:val="标题 2 SL CON"/>
    <w:basedOn w:val="1"/>
    <w:next w:val="1"/>
    <w:qFormat/>
    <w:uiPriority w:val="0"/>
    <w:pPr>
      <w:widowControl/>
      <w:tabs>
        <w:tab w:val="left" w:pos="377"/>
        <w:tab w:val="left" w:pos="794"/>
      </w:tabs>
      <w:spacing w:before="100" w:beforeAutospacing="1" w:line="360" w:lineRule="auto"/>
      <w:ind w:left="794" w:hanging="681"/>
      <w:outlineLvl w:val="1"/>
    </w:pPr>
    <w:rPr>
      <w:rFonts w:ascii="黑体" w:eastAsia="黑体" w:cs="宋体"/>
      <w:kern w:val="0"/>
      <w:sz w:val="30"/>
    </w:rPr>
  </w:style>
  <w:style w:type="paragraph" w:customStyle="1" w:styleId="101">
    <w:name w:val="图样式 居中 SL CON"/>
    <w:basedOn w:val="1"/>
    <w:qFormat/>
    <w:uiPriority w:val="0"/>
    <w:pPr>
      <w:widowControl/>
      <w:tabs>
        <w:tab w:val="left" w:pos="377"/>
      </w:tabs>
      <w:spacing w:line="360" w:lineRule="auto"/>
      <w:jc w:val="center"/>
    </w:pPr>
    <w:rPr>
      <w:rFonts w:ascii="宋体" w:cs="宋体"/>
      <w:kern w:val="0"/>
      <w:sz w:val="24"/>
      <w:szCs w:val="20"/>
    </w:rPr>
  </w:style>
  <w:style w:type="paragraph" w:customStyle="1" w:styleId="102">
    <w:name w:val="表（或图）标题 样式 宋体 小四号 居中 SL CON"/>
    <w:basedOn w:val="1"/>
    <w:qFormat/>
    <w:uiPriority w:val="0"/>
    <w:pPr>
      <w:widowControl/>
      <w:tabs>
        <w:tab w:val="left" w:pos="377"/>
      </w:tabs>
      <w:spacing w:before="100" w:beforeAutospacing="1" w:line="360" w:lineRule="auto"/>
      <w:jc w:val="center"/>
    </w:pPr>
    <w:rPr>
      <w:rFonts w:ascii="宋体" w:hAnsi="宋体" w:cs="宋体"/>
      <w:b/>
      <w:kern w:val="0"/>
      <w:sz w:val="24"/>
      <w:szCs w:val="20"/>
    </w:rPr>
  </w:style>
  <w:style w:type="paragraph" w:customStyle="1" w:styleId="103">
    <w:name w:val="正文 首行缩进:  2 字符 SL CON"/>
    <w:basedOn w:val="1"/>
    <w:qFormat/>
    <w:uiPriority w:val="0"/>
    <w:pPr>
      <w:widowControl/>
      <w:tabs>
        <w:tab w:val="left" w:pos="377"/>
      </w:tabs>
      <w:spacing w:line="360" w:lineRule="auto"/>
      <w:ind w:firstLine="200" w:firstLineChars="200"/>
    </w:pPr>
    <w:rPr>
      <w:rFonts w:ascii="宋体" w:cs="宋体"/>
      <w:kern w:val="0"/>
      <w:sz w:val="28"/>
    </w:rPr>
  </w:style>
  <w:style w:type="paragraph" w:customStyle="1" w:styleId="104">
    <w:name w:val="表内文字 样式 小四号 居中 行距: 单倍行距 SL CON"/>
    <w:basedOn w:val="1"/>
    <w:qFormat/>
    <w:uiPriority w:val="0"/>
    <w:pPr>
      <w:widowControl/>
      <w:tabs>
        <w:tab w:val="left" w:pos="377"/>
      </w:tabs>
      <w:jc w:val="center"/>
    </w:pPr>
    <w:rPr>
      <w:rFonts w:ascii="宋体" w:cs="宋体"/>
      <w:kern w:val="0"/>
      <w:sz w:val="24"/>
      <w:szCs w:val="21"/>
    </w:rPr>
  </w:style>
  <w:style w:type="paragraph" w:customStyle="1" w:styleId="105">
    <w:name w:val="公式书写 居中 段前: 6 磅 段后: 6 磅 SL CON"/>
    <w:basedOn w:val="1"/>
    <w:link w:val="242"/>
    <w:qFormat/>
    <w:uiPriority w:val="0"/>
    <w:pPr>
      <w:widowControl/>
      <w:tabs>
        <w:tab w:val="left" w:pos="377"/>
      </w:tabs>
      <w:spacing w:before="120" w:after="120" w:line="360" w:lineRule="auto"/>
      <w:jc w:val="center"/>
    </w:pPr>
    <w:rPr>
      <w:rFonts w:ascii="宋体" w:cs="宋体"/>
      <w:kern w:val="0"/>
      <w:sz w:val="24"/>
      <w:szCs w:val="20"/>
    </w:rPr>
  </w:style>
  <w:style w:type="paragraph" w:customStyle="1" w:styleId="106">
    <w:name w:val="公式书写（编号） 居中 段前: 6 磅 段后: 6 磅 SL CON + (符号) 宋体"/>
    <w:basedOn w:val="105"/>
    <w:link w:val="243"/>
    <w:qFormat/>
    <w:uiPriority w:val="0"/>
  </w:style>
  <w:style w:type="paragraph" w:customStyle="1" w:styleId="107">
    <w:name w:val="样式 (符号) 宋体"/>
    <w:basedOn w:val="1"/>
    <w:qFormat/>
    <w:uiPriority w:val="0"/>
    <w:pPr>
      <w:widowControl/>
      <w:tabs>
        <w:tab w:val="left" w:pos="377"/>
      </w:tabs>
      <w:spacing w:line="360" w:lineRule="auto"/>
      <w:ind w:firstLine="480" w:firstLineChars="200"/>
    </w:pPr>
    <w:rPr>
      <w:rFonts w:ascii="宋体" w:hAnsi="宋体" w:cs="宋体"/>
      <w:kern w:val="0"/>
      <w:sz w:val="28"/>
      <w:szCs w:val="20"/>
    </w:rPr>
  </w:style>
  <w:style w:type="paragraph" w:customStyle="1" w:styleId="108">
    <w:name w:val="样式 正文 首行缩进:  2 字符 SL CON + 首行缩进:  2 字符"/>
    <w:basedOn w:val="103"/>
    <w:qFormat/>
    <w:uiPriority w:val="0"/>
    <w:rPr>
      <w:szCs w:val="20"/>
    </w:rPr>
  </w:style>
  <w:style w:type="paragraph" w:customStyle="1" w:styleId="109">
    <w:name w:val="样式 样式 正文 首行缩进:  2 字符 SL CON + 首行缩进:  2 字符 + 首行缩进:  2 字符"/>
    <w:basedOn w:val="108"/>
    <w:qFormat/>
    <w:uiPriority w:val="0"/>
  </w:style>
  <w:style w:type="paragraph" w:customStyle="1" w:styleId="110">
    <w:name w:val="样式 标题 3 SL CON + 段前: 0.5 行"/>
    <w:basedOn w:val="1"/>
    <w:qFormat/>
    <w:uiPriority w:val="0"/>
    <w:pPr>
      <w:keepNext/>
      <w:keepLines/>
      <w:widowControl/>
      <w:tabs>
        <w:tab w:val="left" w:pos="377"/>
        <w:tab w:val="left" w:pos="907"/>
      </w:tabs>
      <w:spacing w:before="100" w:beforeAutospacing="1" w:line="360" w:lineRule="auto"/>
      <w:ind w:left="907" w:hanging="794"/>
      <w:outlineLvl w:val="2"/>
    </w:pPr>
    <w:rPr>
      <w:rFonts w:ascii="黑体" w:eastAsia="黑体" w:cs="宋体"/>
      <w:bCs/>
      <w:kern w:val="0"/>
      <w:sz w:val="28"/>
      <w:szCs w:val="20"/>
    </w:rPr>
  </w:style>
  <w:style w:type="paragraph" w:customStyle="1" w:styleId="111">
    <w:name w:val="Char Char Char Char Char Char Char Char Char Char"/>
    <w:basedOn w:val="1"/>
    <w:qFormat/>
    <w:uiPriority w:val="0"/>
    <w:pPr>
      <w:spacing w:line="360" w:lineRule="auto"/>
    </w:pPr>
    <w:rPr>
      <w:sz w:val="24"/>
    </w:rPr>
  </w:style>
  <w:style w:type="paragraph" w:customStyle="1" w:styleId="112">
    <w:name w:val="Char Char Char2 Char"/>
    <w:basedOn w:val="1"/>
    <w:qFormat/>
    <w:uiPriority w:val="0"/>
    <w:rPr>
      <w:rFonts w:ascii="Tahoma" w:hAnsi="Tahoma"/>
      <w:sz w:val="24"/>
      <w:szCs w:val="20"/>
    </w:rPr>
  </w:style>
  <w:style w:type="paragraph" w:customStyle="1" w:styleId="113">
    <w:name w:val="表内文字 SL CON + (符号)"/>
    <w:basedOn w:val="1"/>
    <w:qFormat/>
    <w:uiPriority w:val="0"/>
    <w:pPr>
      <w:widowControl/>
      <w:tabs>
        <w:tab w:val="left" w:pos="377"/>
      </w:tabs>
      <w:jc w:val="center"/>
    </w:pPr>
    <w:rPr>
      <w:rFonts w:ascii="宋体" w:cs="宋体"/>
      <w:kern w:val="0"/>
      <w:sz w:val="24"/>
      <w:szCs w:val="21"/>
    </w:rPr>
  </w:style>
  <w:style w:type="paragraph" w:customStyle="1" w:styleId="114">
    <w:name w:val="Char1 Char Char Char"/>
    <w:basedOn w:val="1"/>
    <w:qFormat/>
    <w:uiPriority w:val="0"/>
    <w:pPr>
      <w:spacing w:line="360" w:lineRule="auto"/>
    </w:pPr>
    <w:rPr>
      <w:sz w:val="24"/>
    </w:rPr>
  </w:style>
  <w:style w:type="paragraph" w:customStyle="1" w:styleId="115">
    <w:name w:val="样式 正文 首行缩进 SL CON"/>
    <w:basedOn w:val="109"/>
    <w:qFormat/>
    <w:uiPriority w:val="0"/>
    <w:pPr>
      <w:ind w:firstLine="560"/>
    </w:pPr>
  </w:style>
  <w:style w:type="paragraph" w:customStyle="1" w:styleId="116">
    <w:name w:val="标题 3 SL CON"/>
    <w:basedOn w:val="1"/>
    <w:next w:val="1"/>
    <w:qFormat/>
    <w:uiPriority w:val="0"/>
    <w:pPr>
      <w:keepNext/>
      <w:keepLines/>
      <w:widowControl/>
      <w:tabs>
        <w:tab w:val="left" w:pos="377"/>
        <w:tab w:val="left" w:pos="960"/>
        <w:tab w:val="left" w:pos="1036"/>
      </w:tabs>
      <w:spacing w:before="100" w:beforeAutospacing="1" w:line="360" w:lineRule="auto"/>
      <w:ind w:left="1036" w:hanging="964"/>
      <w:outlineLvl w:val="2"/>
    </w:pPr>
    <w:rPr>
      <w:rFonts w:ascii="黑体" w:eastAsia="黑体" w:cs="宋体"/>
      <w:kern w:val="0"/>
      <w:sz w:val="28"/>
      <w:szCs w:val="20"/>
    </w:rPr>
  </w:style>
  <w:style w:type="paragraph" w:customStyle="1" w:styleId="117">
    <w:name w:val="Char Char Char Char"/>
    <w:basedOn w:val="1"/>
    <w:semiHidden/>
    <w:qFormat/>
    <w:uiPriority w:val="0"/>
  </w:style>
  <w:style w:type="paragraph" w:customStyle="1" w:styleId="118">
    <w:name w:val="Char Char Char Char Char Char Char Char Char Char5"/>
    <w:basedOn w:val="1"/>
    <w:qFormat/>
    <w:uiPriority w:val="0"/>
    <w:pPr>
      <w:spacing w:line="360" w:lineRule="auto"/>
    </w:pPr>
    <w:rPr>
      <w:sz w:val="24"/>
    </w:rPr>
  </w:style>
  <w:style w:type="paragraph" w:customStyle="1" w:styleId="119">
    <w:name w:val="Char Char Char Char Char Char Char Char Char Char4"/>
    <w:basedOn w:val="1"/>
    <w:qFormat/>
    <w:uiPriority w:val="0"/>
    <w:pPr>
      <w:spacing w:line="360" w:lineRule="auto"/>
    </w:pPr>
    <w:rPr>
      <w:sz w:val="24"/>
    </w:rPr>
  </w:style>
  <w:style w:type="paragraph" w:customStyle="1" w:styleId="120">
    <w:name w:val="正文首行缩进1"/>
    <w:basedOn w:val="1"/>
    <w:qFormat/>
    <w:uiPriority w:val="0"/>
    <w:pPr>
      <w:spacing w:line="500" w:lineRule="exact"/>
      <w:ind w:firstLine="520" w:firstLineChars="200"/>
    </w:pPr>
    <w:rPr>
      <w:sz w:val="26"/>
    </w:rPr>
  </w:style>
  <w:style w:type="paragraph" w:customStyle="1" w:styleId="121">
    <w:name w:val="Char Char Char Char Char Char Char Char Char Char3"/>
    <w:basedOn w:val="1"/>
    <w:qFormat/>
    <w:uiPriority w:val="0"/>
    <w:pPr>
      <w:spacing w:line="360" w:lineRule="auto"/>
    </w:pPr>
    <w:rPr>
      <w:sz w:val="24"/>
    </w:rPr>
  </w:style>
  <w:style w:type="paragraph" w:customStyle="1" w:styleId="122">
    <w:name w:val="表（或图）标题 样式 宋体 五号 居中 SL CON"/>
    <w:basedOn w:val="1"/>
    <w:qFormat/>
    <w:uiPriority w:val="0"/>
    <w:pPr>
      <w:widowControl/>
      <w:tabs>
        <w:tab w:val="left" w:pos="377"/>
      </w:tabs>
      <w:spacing w:before="100" w:beforeAutospacing="1" w:line="360" w:lineRule="auto"/>
      <w:jc w:val="center"/>
    </w:pPr>
    <w:rPr>
      <w:rFonts w:ascii="宋体" w:hAnsi="宋体" w:cs="宋体"/>
      <w:b/>
      <w:kern w:val="0"/>
      <w:szCs w:val="20"/>
    </w:rPr>
  </w:style>
  <w:style w:type="paragraph" w:customStyle="1" w:styleId="123">
    <w:name w:val="Char Char Char Char Char Char Char Char Char Char2"/>
    <w:basedOn w:val="1"/>
    <w:qFormat/>
    <w:uiPriority w:val="0"/>
    <w:pPr>
      <w:spacing w:line="360" w:lineRule="auto"/>
    </w:pPr>
    <w:rPr>
      <w:sz w:val="24"/>
    </w:rPr>
  </w:style>
  <w:style w:type="paragraph" w:customStyle="1" w:styleId="124">
    <w:name w:val="Char Char Char Char Char Char Char Char Char Char1"/>
    <w:basedOn w:val="1"/>
    <w:qFormat/>
    <w:uiPriority w:val="0"/>
    <w:pPr>
      <w:spacing w:line="360" w:lineRule="auto"/>
    </w:pPr>
    <w:rPr>
      <w:sz w:val="24"/>
    </w:rPr>
  </w:style>
  <w:style w:type="paragraph" w:customStyle="1" w:styleId="125">
    <w:name w:val="列出段落1"/>
    <w:basedOn w:val="1"/>
    <w:qFormat/>
    <w:uiPriority w:val="0"/>
    <w:pPr>
      <w:ind w:firstLine="420" w:firstLineChars="200"/>
    </w:pPr>
  </w:style>
  <w:style w:type="paragraph" w:customStyle="1" w:styleId="126">
    <w:name w:val="样式2"/>
    <w:basedOn w:val="1"/>
    <w:qFormat/>
    <w:uiPriority w:val="0"/>
    <w:rPr>
      <w:rFonts w:ascii="宋体"/>
      <w:sz w:val="28"/>
      <w:szCs w:val="20"/>
    </w:rPr>
  </w:style>
  <w:style w:type="paragraph" w:customStyle="1" w:styleId="127">
    <w:name w:val="正文1"/>
    <w:basedOn w:val="1"/>
    <w:qFormat/>
    <w:uiPriority w:val="0"/>
    <w:pPr>
      <w:adjustRightInd w:val="0"/>
      <w:spacing w:after="120" w:line="360" w:lineRule="atLeast"/>
      <w:jc w:val="center"/>
      <w:textAlignment w:val="baseline"/>
    </w:pPr>
    <w:rPr>
      <w:kern w:val="0"/>
      <w:sz w:val="24"/>
      <w:szCs w:val="20"/>
    </w:rPr>
  </w:style>
  <w:style w:type="paragraph" w:customStyle="1" w:styleId="128">
    <w:name w:val="条(三级)"/>
    <w:basedOn w:val="1"/>
    <w:next w:val="1"/>
    <w:qFormat/>
    <w:uiPriority w:val="0"/>
    <w:pPr>
      <w:keepNext/>
      <w:keepLines/>
      <w:adjustRightInd w:val="0"/>
      <w:spacing w:line="460" w:lineRule="exact"/>
      <w:jc w:val="left"/>
      <w:textAlignment w:val="baseline"/>
    </w:pPr>
    <w:rPr>
      <w:rFonts w:hAnsi="Arial"/>
      <w:spacing w:val="3"/>
      <w:kern w:val="24"/>
      <w:sz w:val="24"/>
      <w:szCs w:val="20"/>
    </w:rPr>
  </w:style>
  <w:style w:type="paragraph" w:customStyle="1" w:styleId="129">
    <w:name w:val="Achievement"/>
    <w:basedOn w:val="22"/>
    <w:qFormat/>
    <w:uiPriority w:val="0"/>
    <w:pPr>
      <w:widowControl/>
      <w:numPr>
        <w:ilvl w:val="0"/>
        <w:numId w:val="1"/>
      </w:numPr>
      <w:spacing w:after="60" w:line="220" w:lineRule="atLeast"/>
      <w:ind w:right="-360"/>
      <w:jc w:val="left"/>
    </w:pPr>
    <w:rPr>
      <w:kern w:val="0"/>
      <w:sz w:val="20"/>
      <w:szCs w:val="20"/>
    </w:rPr>
  </w:style>
  <w:style w:type="paragraph" w:customStyle="1" w:styleId="130">
    <w:name w:val="Personal Info"/>
    <w:basedOn w:val="129"/>
    <w:qFormat/>
    <w:uiPriority w:val="0"/>
    <w:pPr>
      <w:spacing w:before="220"/>
    </w:pPr>
  </w:style>
  <w:style w:type="paragraph" w:customStyle="1" w:styleId="131">
    <w:name w:val="Address 1"/>
    <w:basedOn w:val="1"/>
    <w:qFormat/>
    <w:uiPriority w:val="0"/>
    <w:pPr>
      <w:framePr w:w="2400" w:wrap="notBeside" w:vAnchor="page" w:hAnchor="page" w:x="8065" w:y="1009" w:anchorLock="1"/>
      <w:widowControl/>
      <w:spacing w:line="200" w:lineRule="atLeast"/>
      <w:jc w:val="left"/>
    </w:pPr>
    <w:rPr>
      <w:kern w:val="0"/>
      <w:sz w:val="16"/>
      <w:szCs w:val="20"/>
    </w:rPr>
  </w:style>
  <w:style w:type="paragraph" w:customStyle="1" w:styleId="132">
    <w:name w:val="Address 2"/>
    <w:basedOn w:val="1"/>
    <w:qFormat/>
    <w:uiPriority w:val="0"/>
    <w:pPr>
      <w:framePr w:w="2405" w:wrap="notBeside" w:vAnchor="page" w:hAnchor="page" w:x="5761" w:y="1009" w:anchorLock="1"/>
      <w:widowControl/>
      <w:spacing w:line="200" w:lineRule="atLeast"/>
      <w:jc w:val="left"/>
    </w:pPr>
    <w:rPr>
      <w:kern w:val="0"/>
      <w:sz w:val="16"/>
      <w:szCs w:val="20"/>
    </w:rPr>
  </w:style>
  <w:style w:type="paragraph" w:customStyle="1" w:styleId="133">
    <w:name w:val="City/State"/>
    <w:basedOn w:val="22"/>
    <w:next w:val="22"/>
    <w:qFormat/>
    <w:uiPriority w:val="0"/>
    <w:pPr>
      <w:keepNext/>
      <w:widowControl/>
      <w:spacing w:after="220" w:line="220" w:lineRule="atLeast"/>
      <w:ind w:right="-360"/>
      <w:jc w:val="left"/>
    </w:pPr>
    <w:rPr>
      <w:kern w:val="0"/>
      <w:sz w:val="20"/>
      <w:szCs w:val="20"/>
    </w:rPr>
  </w:style>
  <w:style w:type="paragraph" w:customStyle="1" w:styleId="134">
    <w:name w:val="Company Name"/>
    <w:basedOn w:val="1"/>
    <w:next w:val="1"/>
    <w:qFormat/>
    <w:uiPriority w:val="0"/>
    <w:pPr>
      <w:widowControl/>
      <w:tabs>
        <w:tab w:val="left" w:pos="2160"/>
        <w:tab w:val="right" w:pos="6480"/>
      </w:tabs>
      <w:spacing w:before="220" w:after="40" w:line="220" w:lineRule="atLeast"/>
      <w:ind w:right="-360"/>
      <w:jc w:val="left"/>
    </w:pPr>
    <w:rPr>
      <w:kern w:val="0"/>
      <w:sz w:val="20"/>
      <w:szCs w:val="20"/>
    </w:rPr>
  </w:style>
  <w:style w:type="paragraph" w:customStyle="1" w:styleId="135">
    <w:name w:val="Company Name One"/>
    <w:basedOn w:val="134"/>
    <w:next w:val="1"/>
    <w:qFormat/>
    <w:uiPriority w:val="0"/>
  </w:style>
  <w:style w:type="paragraph" w:customStyle="1" w:styleId="136">
    <w:name w:val="Document Label"/>
    <w:basedOn w:val="1"/>
    <w:next w:val="1"/>
    <w:qFormat/>
    <w:uiPriority w:val="0"/>
    <w:pPr>
      <w:widowControl/>
      <w:spacing w:after="220"/>
      <w:ind w:right="-360"/>
      <w:jc w:val="left"/>
    </w:pPr>
    <w:rPr>
      <w:spacing w:val="-20"/>
      <w:kern w:val="0"/>
      <w:sz w:val="48"/>
      <w:szCs w:val="20"/>
    </w:rPr>
  </w:style>
  <w:style w:type="paragraph" w:customStyle="1" w:styleId="137">
    <w:name w:val="Header Base"/>
    <w:basedOn w:val="1"/>
    <w:qFormat/>
    <w:uiPriority w:val="0"/>
    <w:pPr>
      <w:widowControl/>
      <w:ind w:right="-360"/>
      <w:jc w:val="left"/>
    </w:pPr>
    <w:rPr>
      <w:kern w:val="0"/>
      <w:sz w:val="20"/>
      <w:szCs w:val="20"/>
    </w:rPr>
  </w:style>
  <w:style w:type="paragraph" w:customStyle="1" w:styleId="138">
    <w:name w:val="Heading Base"/>
    <w:basedOn w:val="22"/>
    <w:next w:val="22"/>
    <w:qFormat/>
    <w:uiPriority w:val="0"/>
    <w:pPr>
      <w:keepNext/>
      <w:keepLines/>
      <w:widowControl/>
      <w:spacing w:after="0" w:line="220" w:lineRule="atLeast"/>
      <w:ind w:right="-360"/>
      <w:jc w:val="left"/>
    </w:pPr>
    <w:rPr>
      <w:rFonts w:ascii="Arial" w:hAnsi="Arial"/>
      <w:spacing w:val="-4"/>
      <w:kern w:val="0"/>
      <w:sz w:val="18"/>
      <w:szCs w:val="20"/>
    </w:rPr>
  </w:style>
  <w:style w:type="paragraph" w:customStyle="1" w:styleId="139">
    <w:name w:val="Institution"/>
    <w:basedOn w:val="1"/>
    <w:next w:val="129"/>
    <w:qFormat/>
    <w:uiPriority w:val="0"/>
    <w:pPr>
      <w:widowControl/>
      <w:tabs>
        <w:tab w:val="left" w:pos="2160"/>
        <w:tab w:val="right" w:pos="6480"/>
      </w:tabs>
      <w:spacing w:before="220" w:after="60" w:line="220" w:lineRule="atLeast"/>
      <w:ind w:right="-360"/>
      <w:jc w:val="left"/>
    </w:pPr>
    <w:rPr>
      <w:kern w:val="0"/>
      <w:sz w:val="20"/>
      <w:szCs w:val="20"/>
    </w:rPr>
  </w:style>
  <w:style w:type="paragraph" w:customStyle="1" w:styleId="140">
    <w:name w:val="Job Title"/>
    <w:next w:val="129"/>
    <w:qFormat/>
    <w:uiPriority w:val="0"/>
    <w:pPr>
      <w:spacing w:after="40" w:line="220" w:lineRule="atLeast"/>
    </w:pPr>
    <w:rPr>
      <w:rFonts w:ascii="Arial" w:hAnsi="Arial" w:eastAsia="宋体" w:cs="Times New Roman"/>
      <w:b/>
      <w:spacing w:val="-10"/>
      <w:lang w:val="en-US" w:eastAsia="zh-CN" w:bidi="ar-SA"/>
    </w:rPr>
  </w:style>
  <w:style w:type="paragraph" w:customStyle="1" w:styleId="141">
    <w:name w:val="Name"/>
    <w:basedOn w:val="1"/>
    <w:next w:val="1"/>
    <w:qFormat/>
    <w:uiPriority w:val="0"/>
    <w:pPr>
      <w:widowControl/>
      <w:spacing w:after="440" w:line="240" w:lineRule="atLeast"/>
      <w:ind w:left="2160"/>
      <w:jc w:val="left"/>
    </w:pPr>
    <w:rPr>
      <w:spacing w:val="-20"/>
      <w:kern w:val="0"/>
      <w:sz w:val="48"/>
      <w:szCs w:val="20"/>
    </w:rPr>
  </w:style>
  <w:style w:type="paragraph" w:customStyle="1" w:styleId="142">
    <w:name w:val="No Title"/>
    <w:basedOn w:val="1"/>
    <w:qFormat/>
    <w:uiPriority w:val="0"/>
    <w:pPr>
      <w:widowControl/>
      <w:pBdr>
        <w:top w:val="single" w:color="FFFFFF" w:sz="6" w:space="2"/>
        <w:left w:val="single" w:color="FFFFFF" w:sz="6" w:space="2"/>
        <w:bottom w:val="single" w:color="FFFFFF" w:sz="6" w:space="2"/>
        <w:right w:val="single" w:color="FFFFFF" w:sz="6" w:space="2"/>
      </w:pBdr>
      <w:spacing w:before="120" w:line="280" w:lineRule="atLeast"/>
      <w:jc w:val="left"/>
    </w:pPr>
    <w:rPr>
      <w:rFonts w:ascii="Arial" w:hAnsi="Arial"/>
      <w:b/>
      <w:spacing w:val="-10"/>
      <w:kern w:val="0"/>
      <w:position w:val="7"/>
      <w:sz w:val="20"/>
      <w:szCs w:val="20"/>
    </w:rPr>
  </w:style>
  <w:style w:type="paragraph" w:customStyle="1" w:styleId="143">
    <w:name w:val="Objective"/>
    <w:basedOn w:val="1"/>
    <w:next w:val="22"/>
    <w:qFormat/>
    <w:uiPriority w:val="0"/>
    <w:pPr>
      <w:widowControl/>
      <w:spacing w:before="220" w:after="220" w:line="220" w:lineRule="atLeast"/>
      <w:jc w:val="left"/>
    </w:pPr>
    <w:rPr>
      <w:kern w:val="0"/>
      <w:sz w:val="20"/>
      <w:szCs w:val="20"/>
    </w:rPr>
  </w:style>
  <w:style w:type="paragraph" w:customStyle="1" w:styleId="144">
    <w:name w:val="Section Title"/>
    <w:basedOn w:val="1"/>
    <w:next w:val="1"/>
    <w:qFormat/>
    <w:uiPriority w:val="0"/>
    <w:pPr>
      <w:widowControl/>
      <w:pBdr>
        <w:top w:val="single" w:color="FFFFFF" w:sz="6" w:space="2"/>
        <w:left w:val="single" w:color="FFFFFF" w:sz="6" w:space="2"/>
        <w:bottom w:val="single" w:color="FFFFFF" w:sz="6" w:space="2"/>
        <w:right w:val="single" w:color="FFFFFF" w:sz="6" w:space="2"/>
      </w:pBdr>
      <w:shd w:val="pct10" w:color="auto" w:fill="auto"/>
      <w:spacing w:before="120" w:line="280" w:lineRule="atLeast"/>
      <w:jc w:val="left"/>
    </w:pPr>
    <w:rPr>
      <w:rFonts w:ascii="Arial" w:hAnsi="Arial"/>
      <w:b/>
      <w:spacing w:val="-10"/>
      <w:kern w:val="0"/>
      <w:position w:val="7"/>
      <w:sz w:val="20"/>
      <w:szCs w:val="20"/>
    </w:rPr>
  </w:style>
  <w:style w:type="paragraph" w:customStyle="1" w:styleId="145">
    <w:name w:val="Section Subtitle"/>
    <w:basedOn w:val="144"/>
    <w:next w:val="1"/>
    <w:qFormat/>
    <w:uiPriority w:val="0"/>
    <w:pPr>
      <w:pBdr>
        <w:top w:val="none" w:color="auto" w:sz="0" w:space="0"/>
      </w:pBdr>
    </w:pPr>
    <w:rPr>
      <w:b w:val="0"/>
      <w:spacing w:val="0"/>
      <w:position w:val="6"/>
    </w:rPr>
  </w:style>
  <w:style w:type="paragraph" w:customStyle="1" w:styleId="146">
    <w:name w:val="正文文本 21"/>
    <w:basedOn w:val="1"/>
    <w:qFormat/>
    <w:uiPriority w:val="0"/>
    <w:pPr>
      <w:adjustRightInd w:val="0"/>
      <w:ind w:firstLine="425"/>
      <w:textAlignment w:val="baseline"/>
    </w:pPr>
    <w:rPr>
      <w:szCs w:val="20"/>
    </w:rPr>
  </w:style>
  <w:style w:type="paragraph" w:customStyle="1" w:styleId="147">
    <w:name w:val="条(二级)"/>
    <w:basedOn w:val="4"/>
    <w:next w:val="128"/>
    <w:qFormat/>
    <w:uiPriority w:val="0"/>
    <w:pPr>
      <w:adjustRightInd w:val="0"/>
      <w:spacing w:before="0" w:after="0" w:line="460" w:lineRule="exact"/>
      <w:jc w:val="left"/>
      <w:textAlignment w:val="baseline"/>
      <w:outlineLvl w:val="9"/>
    </w:pPr>
    <w:rPr>
      <w:rFonts w:ascii="宋体" w:eastAsia="宋体"/>
      <w:spacing w:val="3"/>
      <w:kern w:val="24"/>
      <w:sz w:val="24"/>
    </w:rPr>
  </w:style>
  <w:style w:type="paragraph" w:customStyle="1" w:styleId="148">
    <w:name w:val="条(四级)"/>
    <w:basedOn w:val="128"/>
    <w:next w:val="1"/>
    <w:qFormat/>
    <w:uiPriority w:val="0"/>
  </w:style>
  <w:style w:type="paragraph" w:customStyle="1" w:styleId="149">
    <w:name w:val="条文1"/>
    <w:basedOn w:val="150"/>
    <w:qFormat/>
    <w:uiPriority w:val="0"/>
    <w:pPr>
      <w:numPr>
        <w:ilvl w:val="0"/>
        <w:numId w:val="2"/>
      </w:numPr>
      <w:ind w:left="907" w:hanging="425"/>
    </w:pPr>
  </w:style>
  <w:style w:type="paragraph" w:customStyle="1" w:styleId="150">
    <w:name w:val="段"/>
    <w:basedOn w:val="1"/>
    <w:qFormat/>
    <w:uiPriority w:val="0"/>
    <w:pPr>
      <w:adjustRightInd w:val="0"/>
      <w:spacing w:line="460" w:lineRule="exact"/>
      <w:ind w:firstLine="482"/>
      <w:jc w:val="left"/>
      <w:textAlignment w:val="baseline"/>
    </w:pPr>
    <w:rPr>
      <w:rFonts w:hAnsi="Arial"/>
      <w:spacing w:val="3"/>
      <w:kern w:val="24"/>
      <w:sz w:val="24"/>
      <w:szCs w:val="20"/>
    </w:rPr>
  </w:style>
  <w:style w:type="paragraph" w:customStyle="1" w:styleId="151">
    <w:name w:val="页号"/>
    <w:basedOn w:val="34"/>
    <w:qFormat/>
    <w:uiPriority w:val="0"/>
    <w:pPr>
      <w:tabs>
        <w:tab w:val="center" w:pos="4320"/>
        <w:tab w:val="right" w:pos="8640"/>
        <w:tab w:val="clear" w:pos="4153"/>
        <w:tab w:val="clear" w:pos="8306"/>
      </w:tabs>
      <w:adjustRightInd w:val="0"/>
      <w:snapToGrid/>
      <w:jc w:val="center"/>
      <w:textAlignment w:val="baseline"/>
    </w:pPr>
    <w:rPr>
      <w:rFonts w:hAnsi="Arial"/>
      <w:spacing w:val="3"/>
      <w:kern w:val="24"/>
      <w:sz w:val="24"/>
      <w:szCs w:val="20"/>
    </w:rPr>
  </w:style>
  <w:style w:type="paragraph" w:customStyle="1" w:styleId="152">
    <w:name w:val="列表延续 2"/>
    <w:basedOn w:val="1"/>
    <w:qFormat/>
    <w:uiPriority w:val="0"/>
    <w:pPr>
      <w:autoSpaceDE w:val="0"/>
      <w:autoSpaceDN w:val="0"/>
      <w:adjustRightInd w:val="0"/>
      <w:spacing w:line="360" w:lineRule="atLeast"/>
      <w:ind w:left="420" w:hanging="420"/>
      <w:jc w:val="left"/>
    </w:pPr>
    <w:rPr>
      <w:rFonts w:ascii="宋体" w:hAnsi="Tms Rmn"/>
      <w:spacing w:val="20"/>
      <w:kern w:val="0"/>
      <w:sz w:val="24"/>
      <w:szCs w:val="20"/>
    </w:rPr>
  </w:style>
  <w:style w:type="paragraph" w:customStyle="1" w:styleId="153">
    <w:name w:val="列表延续 21"/>
    <w:basedOn w:val="1"/>
    <w:qFormat/>
    <w:uiPriority w:val="0"/>
    <w:pPr>
      <w:autoSpaceDE w:val="0"/>
      <w:autoSpaceDN w:val="0"/>
      <w:adjustRightInd w:val="0"/>
      <w:spacing w:line="360" w:lineRule="atLeast"/>
      <w:ind w:left="840" w:hanging="420"/>
      <w:jc w:val="left"/>
    </w:pPr>
    <w:rPr>
      <w:rFonts w:ascii="宋体" w:hAnsi="Tms Rmn"/>
      <w:spacing w:val="20"/>
      <w:kern w:val="0"/>
      <w:sz w:val="24"/>
      <w:szCs w:val="20"/>
    </w:rPr>
  </w:style>
  <w:style w:type="paragraph" w:customStyle="1" w:styleId="154">
    <w:name w:val="章(一级)"/>
    <w:basedOn w:val="3"/>
    <w:next w:val="147"/>
    <w:qFormat/>
    <w:uiPriority w:val="0"/>
    <w:pPr>
      <w:tabs>
        <w:tab w:val="left" w:pos="915"/>
      </w:tabs>
      <w:adjustRightInd w:val="0"/>
      <w:spacing w:line="360" w:lineRule="auto"/>
      <w:jc w:val="left"/>
      <w:textAlignment w:val="baseline"/>
      <w:outlineLvl w:val="9"/>
    </w:pPr>
    <w:rPr>
      <w:rFonts w:ascii="宋体"/>
      <w:b/>
      <w:spacing w:val="20"/>
      <w:kern w:val="0"/>
      <w:sz w:val="24"/>
    </w:rPr>
  </w:style>
  <w:style w:type="paragraph" w:customStyle="1" w:styleId="155">
    <w:name w:val="条文2"/>
    <w:basedOn w:val="150"/>
    <w:qFormat/>
    <w:uiPriority w:val="0"/>
    <w:pPr>
      <w:ind w:left="1151" w:hanging="425"/>
    </w:pPr>
    <w:rPr>
      <w:rFonts w:ascii="宋体"/>
    </w:rPr>
  </w:style>
  <w:style w:type="paragraph" w:customStyle="1" w:styleId="156">
    <w:name w:val="档案号"/>
    <w:basedOn w:val="35"/>
    <w:qFormat/>
    <w:uiPriority w:val="0"/>
    <w:pPr>
      <w:pBdr>
        <w:bottom w:val="none" w:color="auto" w:sz="0" w:space="0"/>
      </w:pBdr>
      <w:tabs>
        <w:tab w:val="center" w:pos="4320"/>
        <w:tab w:val="right" w:pos="8640"/>
        <w:tab w:val="clear" w:pos="4153"/>
        <w:tab w:val="clear" w:pos="8306"/>
      </w:tabs>
      <w:adjustRightInd w:val="0"/>
      <w:snapToGrid/>
      <w:spacing w:line="460" w:lineRule="exact"/>
      <w:jc w:val="right"/>
      <w:textAlignment w:val="baseline"/>
    </w:pPr>
    <w:rPr>
      <w:rFonts w:ascii="宋体" w:hAnsi="Arial"/>
      <w:spacing w:val="3"/>
      <w:kern w:val="24"/>
      <w:sz w:val="24"/>
      <w:szCs w:val="20"/>
    </w:rPr>
  </w:style>
  <w:style w:type="paragraph" w:customStyle="1" w:styleId="157">
    <w:name w:val="正文2"/>
    <w:qFormat/>
    <w:uiPriority w:val="0"/>
    <w:pPr>
      <w:widowControl w:val="0"/>
      <w:adjustRightInd w:val="0"/>
      <w:spacing w:line="360" w:lineRule="atLeast"/>
      <w:textAlignment w:val="baseline"/>
    </w:pPr>
    <w:rPr>
      <w:rFonts w:ascii="宋体" w:hAnsi="Times New Roman" w:eastAsia="宋体" w:cs="Times New Roman"/>
      <w:sz w:val="34"/>
      <w:lang w:val="en-US" w:eastAsia="zh-CN" w:bidi="ar-SA"/>
    </w:rPr>
  </w:style>
  <w:style w:type="paragraph" w:customStyle="1" w:styleId="158">
    <w:name w:val="标题4"/>
    <w:basedOn w:val="5"/>
    <w:qFormat/>
    <w:uiPriority w:val="0"/>
    <w:pPr>
      <w:widowControl/>
      <w:adjustRightInd w:val="0"/>
      <w:snapToGrid w:val="0"/>
      <w:spacing w:before="0" w:after="0" w:line="360" w:lineRule="auto"/>
      <w:jc w:val="left"/>
    </w:pPr>
    <w:rPr>
      <w:b w:val="0"/>
      <w:bCs w:val="0"/>
      <w:snapToGrid w:val="0"/>
      <w:color w:val="000000"/>
      <w:spacing w:val="40"/>
      <w:kern w:val="0"/>
      <w:sz w:val="24"/>
      <w:szCs w:val="20"/>
    </w:rPr>
  </w:style>
  <w:style w:type="paragraph" w:customStyle="1" w:styleId="159">
    <w:name w:val="标题5"/>
    <w:basedOn w:val="158"/>
    <w:qFormat/>
    <w:uiPriority w:val="0"/>
    <w:pPr>
      <w:spacing w:line="240" w:lineRule="auto"/>
    </w:pPr>
    <w:rPr>
      <w:i/>
      <w:spacing w:val="0"/>
    </w:rPr>
  </w:style>
  <w:style w:type="paragraph" w:customStyle="1" w:styleId="160">
    <w:name w:val="普通 (Web)"/>
    <w:basedOn w:val="1"/>
    <w:qFormat/>
    <w:uiPriority w:val="0"/>
    <w:rPr>
      <w:sz w:val="24"/>
    </w:rPr>
  </w:style>
  <w:style w:type="paragraph" w:customStyle="1" w:styleId="161">
    <w:name w:val="xl24"/>
    <w:basedOn w:val="1"/>
    <w:qFormat/>
    <w:uiPriority w:val="0"/>
    <w:pPr>
      <w:widowControl/>
      <w:pBdr>
        <w:right w:val="single" w:color="auto" w:sz="4" w:space="0"/>
      </w:pBdr>
      <w:spacing w:before="100" w:after="100"/>
      <w:jc w:val="center"/>
    </w:pPr>
    <w:rPr>
      <w:rFonts w:ascii="Arial Unicode MS" w:hAnsi="Arial Unicode MS" w:eastAsia="Arial Unicode MS"/>
      <w:kern w:val="0"/>
      <w:sz w:val="24"/>
      <w:szCs w:val="20"/>
    </w:rPr>
  </w:style>
  <w:style w:type="paragraph" w:customStyle="1" w:styleId="162">
    <w:name w:val="样式4"/>
    <w:basedOn w:val="35"/>
    <w:qFormat/>
    <w:uiPriority w:val="0"/>
    <w:pPr>
      <w:pBdr>
        <w:bottom w:val="single" w:color="auto" w:sz="6" w:space="0"/>
      </w:pBdr>
      <w:tabs>
        <w:tab w:val="clear" w:pos="4153"/>
      </w:tabs>
    </w:pPr>
    <w:rPr>
      <w:szCs w:val="21"/>
    </w:rPr>
  </w:style>
  <w:style w:type="paragraph" w:customStyle="1" w:styleId="163">
    <w:name w:val="样式5"/>
    <w:basedOn w:val="1"/>
    <w:qFormat/>
    <w:uiPriority w:val="0"/>
    <w:pPr>
      <w:spacing w:line="400" w:lineRule="exact"/>
      <w:jc w:val="center"/>
    </w:pPr>
    <w:rPr>
      <w:rFonts w:ascii="宋体"/>
      <w:szCs w:val="21"/>
    </w:rPr>
  </w:style>
  <w:style w:type="paragraph" w:customStyle="1" w:styleId="164">
    <w:name w:val="样式6"/>
    <w:basedOn w:val="1"/>
    <w:qFormat/>
    <w:uiPriority w:val="0"/>
    <w:pPr>
      <w:spacing w:line="400" w:lineRule="exact"/>
      <w:jc w:val="center"/>
    </w:pPr>
    <w:rPr>
      <w:rFonts w:ascii="宋体"/>
      <w:szCs w:val="21"/>
    </w:rPr>
  </w:style>
  <w:style w:type="paragraph" w:customStyle="1" w:styleId="165">
    <w:name w:val="缩进正文"/>
    <w:basedOn w:val="23"/>
    <w:qFormat/>
    <w:uiPriority w:val="0"/>
    <w:pPr>
      <w:adjustRightInd w:val="0"/>
      <w:snapToGrid w:val="0"/>
      <w:spacing w:line="300" w:lineRule="auto"/>
      <w:ind w:firstLine="200" w:firstLineChars="200"/>
    </w:pPr>
    <w:rPr>
      <w:rFonts w:hAnsi="Times New Roman"/>
      <w:color w:val="auto"/>
      <w:szCs w:val="20"/>
    </w:rPr>
  </w:style>
  <w:style w:type="paragraph" w:customStyle="1" w:styleId="166">
    <w:name w:val="标准小四"/>
    <w:basedOn w:val="1"/>
    <w:qFormat/>
    <w:uiPriority w:val="0"/>
    <w:pPr>
      <w:spacing w:line="360" w:lineRule="auto"/>
      <w:ind w:firstLine="480" w:firstLineChars="200"/>
    </w:pPr>
    <w:rPr>
      <w:sz w:val="24"/>
      <w:szCs w:val="21"/>
    </w:rPr>
  </w:style>
  <w:style w:type="paragraph" w:customStyle="1" w:styleId="167">
    <w:name w:val="基准页眉样式"/>
    <w:basedOn w:val="22"/>
    <w:qFormat/>
    <w:uiPriority w:val="0"/>
    <w:pPr>
      <w:keepLines/>
      <w:widowControl/>
      <w:tabs>
        <w:tab w:val="center" w:pos="-18551"/>
        <w:tab w:val="right" w:pos="4320"/>
      </w:tabs>
      <w:spacing w:after="0" w:line="240" w:lineRule="atLeast"/>
      <w:jc w:val="center"/>
    </w:pPr>
    <w:rPr>
      <w:rFonts w:ascii="Garamond" w:hAnsi="Garamond"/>
      <w:smallCaps/>
      <w:spacing w:val="15"/>
      <w:kern w:val="0"/>
    </w:rPr>
  </w:style>
  <w:style w:type="paragraph" w:customStyle="1" w:styleId="168">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69">
    <w:name w:val="font0"/>
    <w:basedOn w:val="1"/>
    <w:qFormat/>
    <w:uiPriority w:val="0"/>
    <w:pPr>
      <w:widowControl/>
      <w:spacing w:before="100" w:beforeAutospacing="1" w:after="100" w:afterAutospacing="1"/>
      <w:jc w:val="left"/>
    </w:pPr>
    <w:rPr>
      <w:rFonts w:ascii="宋体" w:hAnsi="宋体"/>
      <w:kern w:val="0"/>
      <w:sz w:val="24"/>
    </w:rPr>
  </w:style>
  <w:style w:type="paragraph" w:customStyle="1" w:styleId="170">
    <w:name w:val="Char1"/>
    <w:basedOn w:val="1"/>
    <w:qFormat/>
    <w:uiPriority w:val="0"/>
  </w:style>
  <w:style w:type="paragraph" w:customStyle="1" w:styleId="171">
    <w:name w:val="表中字"/>
    <w:basedOn w:val="1"/>
    <w:qFormat/>
    <w:uiPriority w:val="0"/>
    <w:pPr>
      <w:ind w:left="-109" w:leftChars="-52" w:firstLine="42"/>
      <w:jc w:val="left"/>
      <w:textAlignment w:val="center"/>
    </w:pPr>
    <w:rPr>
      <w:rFonts w:ascii="宋体" w:hAnsi="宋体"/>
      <w:color w:val="000000"/>
      <w:kern w:val="0"/>
      <w:sz w:val="24"/>
      <w:szCs w:val="20"/>
    </w:rPr>
  </w:style>
  <w:style w:type="paragraph" w:customStyle="1" w:styleId="172">
    <w:name w:val="Char Char Char Char Char Char Char1"/>
    <w:basedOn w:val="1"/>
    <w:qFormat/>
    <w:uiPriority w:val="99"/>
    <w:pPr>
      <w:widowControl/>
      <w:spacing w:after="160" w:line="240" w:lineRule="exact"/>
      <w:jc w:val="left"/>
    </w:pPr>
    <w:rPr>
      <w:rFonts w:ascii="Verdana" w:hAnsi="Verdana"/>
      <w:kern w:val="0"/>
      <w:sz w:val="20"/>
      <w:szCs w:val="20"/>
      <w:lang w:eastAsia="en-US"/>
    </w:rPr>
  </w:style>
  <w:style w:type="paragraph" w:customStyle="1" w:styleId="173">
    <w:name w:val="样式 正文首缩2 + 首行缩进:  2 字符"/>
    <w:basedOn w:val="1"/>
    <w:qFormat/>
    <w:uiPriority w:val="0"/>
    <w:pPr>
      <w:spacing w:line="360" w:lineRule="auto"/>
      <w:jc w:val="center"/>
    </w:pPr>
    <w:rPr>
      <w:rFonts w:hAnsi="宋体"/>
      <w:b/>
      <w:kern w:val="0"/>
      <w:szCs w:val="21"/>
    </w:rPr>
  </w:style>
  <w:style w:type="paragraph" w:customStyle="1" w:styleId="174">
    <w:name w:val="正文缩进2字符"/>
    <w:basedOn w:val="1"/>
    <w:qFormat/>
    <w:uiPriority w:val="0"/>
    <w:pPr>
      <w:adjustRightInd w:val="0"/>
      <w:snapToGrid w:val="0"/>
      <w:spacing w:line="300" w:lineRule="auto"/>
      <w:ind w:firstLine="480" w:firstLineChars="200"/>
      <w:jc w:val="left"/>
    </w:pPr>
    <w:rPr>
      <w:snapToGrid w:val="0"/>
      <w:kern w:val="0"/>
      <w:sz w:val="24"/>
    </w:rPr>
  </w:style>
  <w:style w:type="paragraph" w:customStyle="1" w:styleId="175">
    <w:name w:val="样式 标题 2二级标题 + 黑体 四号 居中 右侧:  -0.12 厘米 行距: 1.5 倍行距"/>
    <w:basedOn w:val="4"/>
    <w:qFormat/>
    <w:uiPriority w:val="0"/>
    <w:pPr>
      <w:spacing w:before="240" w:after="240" w:line="360" w:lineRule="auto"/>
      <w:ind w:right="-70"/>
      <w:jc w:val="center"/>
    </w:pPr>
    <w:rPr>
      <w:rFonts w:ascii="宋体" w:hAnsi="宋体" w:eastAsia="宋体" w:cs="宋体"/>
      <w:sz w:val="24"/>
      <w:szCs w:val="24"/>
      <w:lang w:val="zh-CN"/>
    </w:rPr>
  </w:style>
  <w:style w:type="paragraph" w:customStyle="1" w:styleId="176">
    <w:name w:val="表"/>
    <w:basedOn w:val="1"/>
    <w:qFormat/>
    <w:uiPriority w:val="0"/>
    <w:pPr>
      <w:spacing w:line="300" w:lineRule="auto"/>
    </w:pPr>
    <w:rPr>
      <w:rFonts w:eastAsia="仿宋_GB2312"/>
      <w:bCs/>
      <w:sz w:val="24"/>
    </w:rPr>
  </w:style>
  <w:style w:type="paragraph" w:customStyle="1" w:styleId="177">
    <w:name w:val="表内正文"/>
    <w:basedOn w:val="1"/>
    <w:qFormat/>
    <w:uiPriority w:val="0"/>
    <w:rPr>
      <w:sz w:val="24"/>
      <w:szCs w:val="20"/>
    </w:rPr>
  </w:style>
  <w:style w:type="paragraph" w:customStyle="1" w:styleId="178">
    <w:name w:val="简单回函地址"/>
    <w:basedOn w:val="1"/>
    <w:qFormat/>
    <w:uiPriority w:val="0"/>
  </w:style>
  <w:style w:type="paragraph" w:customStyle="1" w:styleId="179">
    <w:name w:val="Char Char Char"/>
    <w:basedOn w:val="1"/>
    <w:qFormat/>
    <w:uiPriority w:val="0"/>
    <w:pPr>
      <w:autoSpaceDE w:val="0"/>
      <w:autoSpaceDN w:val="0"/>
      <w:adjustRightInd w:val="0"/>
      <w:snapToGrid w:val="0"/>
      <w:spacing w:before="50" w:after="50" w:line="360" w:lineRule="auto"/>
      <w:ind w:firstLine="560" w:firstLineChars="200"/>
    </w:pPr>
    <w:rPr>
      <w:rFonts w:eastAsia="仿宋_GB2312"/>
      <w:color w:val="000000"/>
      <w:sz w:val="24"/>
      <w:szCs w:val="20"/>
    </w:rPr>
  </w:style>
  <w:style w:type="paragraph" w:customStyle="1" w:styleId="180">
    <w:name w:val="Char1 Char Char1 Char Char Char Char"/>
    <w:basedOn w:val="1"/>
    <w:qFormat/>
    <w:uiPriority w:val="0"/>
  </w:style>
  <w:style w:type="paragraph" w:customStyle="1" w:styleId="181">
    <w:name w:val="样式7"/>
    <w:basedOn w:val="1"/>
    <w:qFormat/>
    <w:uiPriority w:val="0"/>
    <w:pPr>
      <w:jc w:val="center"/>
    </w:pPr>
    <w:rPr>
      <w:szCs w:val="20"/>
    </w:rPr>
  </w:style>
  <w:style w:type="paragraph" w:customStyle="1" w:styleId="182">
    <w:name w:val="样式8"/>
    <w:basedOn w:val="1"/>
    <w:qFormat/>
    <w:uiPriority w:val="0"/>
    <w:pPr>
      <w:pBdr>
        <w:bottom w:val="single" w:color="auto" w:sz="4" w:space="1"/>
      </w:pBdr>
    </w:pPr>
    <w:rPr>
      <w:szCs w:val="20"/>
    </w:rPr>
  </w:style>
  <w:style w:type="paragraph" w:customStyle="1" w:styleId="183">
    <w:name w:val="样式9"/>
    <w:basedOn w:val="1"/>
    <w:qFormat/>
    <w:uiPriority w:val="0"/>
    <w:rPr>
      <w:szCs w:val="20"/>
    </w:rPr>
  </w:style>
  <w:style w:type="paragraph" w:customStyle="1" w:styleId="184">
    <w:name w:val="Char2"/>
    <w:basedOn w:val="1"/>
    <w:qFormat/>
    <w:uiPriority w:val="0"/>
  </w:style>
  <w:style w:type="paragraph" w:customStyle="1" w:styleId="185">
    <w:name w:val="图"/>
    <w:basedOn w:val="1"/>
    <w:qFormat/>
    <w:uiPriority w:val="0"/>
    <w:pPr>
      <w:spacing w:before="120" w:beforeLines="50" w:after="240" w:afterLines="100" w:line="360" w:lineRule="auto"/>
      <w:jc w:val="center"/>
    </w:pPr>
    <w:rPr>
      <w:b/>
      <w:szCs w:val="21"/>
    </w:rPr>
  </w:style>
  <w:style w:type="paragraph" w:customStyle="1" w:styleId="186">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87">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88">
    <w:name w:val="xl9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89">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0">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1">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2"/>
      <w:szCs w:val="22"/>
    </w:rPr>
  </w:style>
  <w:style w:type="paragraph" w:customStyle="1" w:styleId="192">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3">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94">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5">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6">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7">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98">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黑体" w:hAnsi="黑体" w:eastAsia="黑体" w:cs="宋体"/>
      <w:color w:val="000000"/>
      <w:kern w:val="0"/>
      <w:sz w:val="20"/>
      <w:szCs w:val="20"/>
    </w:rPr>
  </w:style>
  <w:style w:type="paragraph" w:customStyle="1" w:styleId="199">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0">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3">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4">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kern w:val="0"/>
      <w:sz w:val="22"/>
      <w:szCs w:val="22"/>
    </w:rPr>
  </w:style>
  <w:style w:type="paragraph" w:customStyle="1" w:styleId="205">
    <w:name w:val="xl10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206">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07">
    <w:name w:val="xl11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8">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9">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1">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2">
    <w:name w:val="xl11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3">
    <w:name w:val="xl11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4">
    <w:name w:val="xl11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5">
    <w:name w:val="xl11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6">
    <w:name w:val="Char3"/>
    <w:basedOn w:val="1"/>
    <w:qFormat/>
    <w:uiPriority w:val="0"/>
    <w:pPr>
      <w:widowControl/>
      <w:spacing w:after="160" w:line="240" w:lineRule="exact"/>
      <w:jc w:val="left"/>
    </w:pPr>
    <w:rPr>
      <w:szCs w:val="20"/>
    </w:rPr>
  </w:style>
  <w:style w:type="paragraph" w:customStyle="1" w:styleId="217">
    <w:name w:val="正文缩进2"/>
    <w:basedOn w:val="1"/>
    <w:qFormat/>
    <w:uiPriority w:val="0"/>
    <w:pPr>
      <w:ind w:firstLine="420" w:firstLineChars="200"/>
    </w:pPr>
  </w:style>
  <w:style w:type="paragraph" w:customStyle="1" w:styleId="218">
    <w:name w:val="注释标题1"/>
    <w:basedOn w:val="1"/>
    <w:next w:val="1"/>
    <w:qFormat/>
    <w:uiPriority w:val="0"/>
    <w:pPr>
      <w:jc w:val="center"/>
    </w:pPr>
    <w:rPr>
      <w:rFonts w:ascii="宋体"/>
      <w:szCs w:val="21"/>
    </w:rPr>
  </w:style>
  <w:style w:type="paragraph" w:customStyle="1" w:styleId="219">
    <w:name w:val="正文缩进3"/>
    <w:basedOn w:val="1"/>
    <w:qFormat/>
    <w:uiPriority w:val="0"/>
    <w:pPr>
      <w:ind w:firstLine="420" w:firstLineChars="200"/>
    </w:pPr>
  </w:style>
  <w:style w:type="paragraph" w:customStyle="1" w:styleId="220">
    <w:name w:val="批注主题1"/>
    <w:basedOn w:val="18"/>
    <w:next w:val="18"/>
    <w:qFormat/>
    <w:uiPriority w:val="0"/>
    <w:rPr>
      <w:b/>
      <w:bCs/>
    </w:rPr>
  </w:style>
  <w:style w:type="paragraph" w:customStyle="1" w:styleId="221">
    <w:name w:val="正文缩进4"/>
    <w:basedOn w:val="1"/>
    <w:qFormat/>
    <w:uiPriority w:val="0"/>
    <w:pPr>
      <w:ind w:firstLine="420" w:firstLineChars="200"/>
    </w:pPr>
  </w:style>
  <w:style w:type="paragraph" w:customStyle="1" w:styleId="222">
    <w:name w:val="Char Char4"/>
    <w:basedOn w:val="1"/>
    <w:semiHidden/>
    <w:qFormat/>
    <w:uiPriority w:val="0"/>
    <w:pPr>
      <w:spacing w:line="360" w:lineRule="auto"/>
    </w:pPr>
    <w:rPr>
      <w:sz w:val="24"/>
    </w:rPr>
  </w:style>
  <w:style w:type="character" w:customStyle="1" w:styleId="223">
    <w:name w:val="标题 1 字符"/>
    <w:link w:val="3"/>
    <w:qFormat/>
    <w:uiPriority w:val="0"/>
    <w:rPr>
      <w:kern w:val="2"/>
      <w:sz w:val="28"/>
    </w:rPr>
  </w:style>
  <w:style w:type="character" w:customStyle="1" w:styleId="224">
    <w:name w:val="正文缩进 字符"/>
    <w:link w:val="15"/>
    <w:qFormat/>
    <w:locked/>
    <w:uiPriority w:val="0"/>
    <w:rPr>
      <w:kern w:val="2"/>
      <w:sz w:val="21"/>
      <w:szCs w:val="24"/>
    </w:rPr>
  </w:style>
  <w:style w:type="character" w:customStyle="1" w:styleId="225">
    <w:name w:val="标题 5 字符"/>
    <w:link w:val="7"/>
    <w:qFormat/>
    <w:uiPriority w:val="0"/>
    <w:rPr>
      <w:rFonts w:eastAsia="黑体"/>
      <w:bCs/>
      <w:sz w:val="28"/>
      <w:szCs w:val="28"/>
    </w:rPr>
  </w:style>
  <w:style w:type="character" w:customStyle="1" w:styleId="226">
    <w:name w:val="标题 6 字符"/>
    <w:link w:val="8"/>
    <w:qFormat/>
    <w:uiPriority w:val="0"/>
    <w:rPr>
      <w:rFonts w:eastAsia="黑体"/>
      <w:bCs/>
      <w:sz w:val="28"/>
      <w:szCs w:val="28"/>
    </w:rPr>
  </w:style>
  <w:style w:type="character" w:customStyle="1" w:styleId="227">
    <w:name w:val="标题 8 字符"/>
    <w:link w:val="10"/>
    <w:qFormat/>
    <w:uiPriority w:val="0"/>
    <w:rPr>
      <w:rFonts w:eastAsia="黑体"/>
      <w:sz w:val="28"/>
      <w:szCs w:val="28"/>
    </w:rPr>
  </w:style>
  <w:style w:type="character" w:customStyle="1" w:styleId="228">
    <w:name w:val="标题 9 字符"/>
    <w:link w:val="11"/>
    <w:qFormat/>
    <w:uiPriority w:val="0"/>
    <w:rPr>
      <w:kern w:val="2"/>
      <w:sz w:val="24"/>
      <w:szCs w:val="28"/>
    </w:rPr>
  </w:style>
  <w:style w:type="character" w:customStyle="1" w:styleId="229">
    <w:name w:val="页眉 字符"/>
    <w:link w:val="35"/>
    <w:qFormat/>
    <w:uiPriority w:val="0"/>
    <w:rPr>
      <w:kern w:val="2"/>
      <w:sz w:val="18"/>
      <w:szCs w:val="18"/>
    </w:rPr>
  </w:style>
  <w:style w:type="character" w:customStyle="1" w:styleId="230">
    <w:name w:val="页脚 字符"/>
    <w:link w:val="34"/>
    <w:qFormat/>
    <w:uiPriority w:val="0"/>
    <w:rPr>
      <w:kern w:val="2"/>
      <w:sz w:val="18"/>
      <w:szCs w:val="18"/>
    </w:rPr>
  </w:style>
  <w:style w:type="character" w:customStyle="1" w:styleId="231">
    <w:name w:val="纯文本 字符"/>
    <w:link w:val="28"/>
    <w:qFormat/>
    <w:uiPriority w:val="0"/>
    <w:rPr>
      <w:rFonts w:ascii="宋体" w:hAnsi="Courier New"/>
      <w:kern w:val="2"/>
      <w:sz w:val="21"/>
    </w:rPr>
  </w:style>
  <w:style w:type="character" w:customStyle="1" w:styleId="232">
    <w:name w:val="正文文本 字符"/>
    <w:link w:val="22"/>
    <w:qFormat/>
    <w:uiPriority w:val="0"/>
    <w:rPr>
      <w:kern w:val="2"/>
      <w:sz w:val="21"/>
      <w:szCs w:val="24"/>
    </w:rPr>
  </w:style>
  <w:style w:type="character" w:customStyle="1" w:styleId="233">
    <w:name w:val="表内5 Char"/>
    <w:link w:val="75"/>
    <w:qFormat/>
    <w:uiPriority w:val="0"/>
    <w:rPr>
      <w:rFonts w:ascii="宋体" w:hAnsi="宋体" w:eastAsia="宋体"/>
      <w:sz w:val="21"/>
      <w:szCs w:val="21"/>
      <w:lang w:val="en-US" w:eastAsia="zh-CN" w:bidi="ar-SA"/>
    </w:rPr>
  </w:style>
  <w:style w:type="character" w:customStyle="1" w:styleId="234">
    <w:name w:val="燕山正文 Char"/>
    <w:link w:val="76"/>
    <w:qFormat/>
    <w:uiPriority w:val="0"/>
    <w:rPr>
      <w:rFonts w:ascii="宋体" w:hAnsi="宋体" w:eastAsia="宋体"/>
      <w:color w:val="000000"/>
      <w:kern w:val="2"/>
      <w:sz w:val="28"/>
      <w:szCs w:val="28"/>
      <w:lang w:val="en-US" w:eastAsia="zh-CN" w:bidi="ar-SA"/>
    </w:rPr>
  </w:style>
  <w:style w:type="character" w:customStyle="1" w:styleId="235">
    <w:name w:val="节下项目标题 Char"/>
    <w:link w:val="79"/>
    <w:qFormat/>
    <w:uiPriority w:val="0"/>
    <w:rPr>
      <w:rFonts w:ascii="宋体" w:hAnsi="宋体" w:eastAsia="黑体"/>
      <w:b/>
      <w:kern w:val="2"/>
      <w:sz w:val="28"/>
      <w:szCs w:val="24"/>
      <w:lang w:val="en-US" w:eastAsia="zh-CN" w:bidi="ar-SA"/>
    </w:rPr>
  </w:style>
  <w:style w:type="character" w:customStyle="1" w:styleId="236">
    <w:name w:val="表格标题 Char"/>
    <w:link w:val="81"/>
    <w:qFormat/>
    <w:uiPriority w:val="0"/>
    <w:rPr>
      <w:rFonts w:ascii="宋体" w:hAnsi="宋体" w:eastAsia="宋体"/>
      <w:spacing w:val="20"/>
      <w:kern w:val="2"/>
      <w:sz w:val="24"/>
      <w:lang w:val="en-US" w:eastAsia="zh-CN" w:bidi="ar-SA"/>
    </w:rPr>
  </w:style>
  <w:style w:type="character" w:customStyle="1" w:styleId="237">
    <w:name w:val="批注框文本 字符"/>
    <w:link w:val="33"/>
    <w:qFormat/>
    <w:uiPriority w:val="0"/>
    <w:rPr>
      <w:kern w:val="2"/>
      <w:sz w:val="18"/>
      <w:szCs w:val="18"/>
    </w:rPr>
  </w:style>
  <w:style w:type="character" w:customStyle="1" w:styleId="238">
    <w:name w:val="已访问的超链接1"/>
    <w:qFormat/>
    <w:uiPriority w:val="0"/>
    <w:rPr>
      <w:color w:val="800080"/>
      <w:u w:val="single"/>
    </w:rPr>
  </w:style>
  <w:style w:type="character" w:customStyle="1" w:styleId="239">
    <w:name w:val="p11"/>
    <w:qFormat/>
    <w:uiPriority w:val="0"/>
    <w:rPr>
      <w:sz w:val="18"/>
      <w:szCs w:val="18"/>
    </w:rPr>
  </w:style>
  <w:style w:type="character" w:customStyle="1" w:styleId="240">
    <w:name w:val="注释标题 字符"/>
    <w:link w:val="13"/>
    <w:qFormat/>
    <w:uiPriority w:val="0"/>
    <w:rPr>
      <w:rFonts w:ascii="宋体" w:cs="宋体"/>
      <w:kern w:val="2"/>
      <w:sz w:val="21"/>
      <w:szCs w:val="21"/>
    </w:rPr>
  </w:style>
  <w:style w:type="character" w:customStyle="1" w:styleId="241">
    <w:name w:val="参考文献 黑体 小三 SL CON"/>
    <w:qFormat/>
    <w:uiPriority w:val="0"/>
    <w:rPr>
      <w:rFonts w:ascii="黑体" w:hAnsi="黑体" w:eastAsia="黑体"/>
      <w:sz w:val="30"/>
    </w:rPr>
  </w:style>
  <w:style w:type="character" w:customStyle="1" w:styleId="242">
    <w:name w:val="公式书写 居中 段前: 6 磅 段后: 6 磅 SL CON Char"/>
    <w:link w:val="105"/>
    <w:qFormat/>
    <w:uiPriority w:val="0"/>
    <w:rPr>
      <w:rFonts w:ascii="宋体" w:cs="宋体"/>
      <w:sz w:val="24"/>
    </w:rPr>
  </w:style>
  <w:style w:type="character" w:customStyle="1" w:styleId="243">
    <w:name w:val="公式书写（编号） 居中 段前: 6 磅 段后: 6 磅 SL CON + (符号) 宋体 Char"/>
    <w:link w:val="106"/>
    <w:qFormat/>
    <w:uiPriority w:val="0"/>
  </w:style>
  <w:style w:type="character" w:customStyle="1" w:styleId="244">
    <w:name w:val="style121"/>
    <w:qFormat/>
    <w:uiPriority w:val="0"/>
    <w:rPr>
      <w:rFonts w:hint="default" w:ascii="Arial" w:hAnsi="Arial" w:cs="Arial"/>
      <w:color w:val="333333"/>
      <w:sz w:val="23"/>
      <w:szCs w:val="23"/>
    </w:rPr>
  </w:style>
  <w:style w:type="character" w:customStyle="1" w:styleId="245">
    <w:name w:val="批注文字 字符"/>
    <w:link w:val="18"/>
    <w:qFormat/>
    <w:uiPriority w:val="0"/>
    <w:rPr>
      <w:rFonts w:ascii="宋体"/>
      <w:sz w:val="24"/>
      <w:szCs w:val="24"/>
    </w:rPr>
  </w:style>
  <w:style w:type="character" w:customStyle="1" w:styleId="246">
    <w:name w:val="批注主题 字符"/>
    <w:link w:val="49"/>
    <w:qFormat/>
    <w:uiPriority w:val="0"/>
    <w:rPr>
      <w:rFonts w:ascii="宋体"/>
      <w:b/>
      <w:bCs/>
      <w:sz w:val="24"/>
      <w:szCs w:val="24"/>
    </w:rPr>
  </w:style>
  <w:style w:type="character" w:customStyle="1" w:styleId="247">
    <w:name w:val="apple-style-span"/>
    <w:basedOn w:val="54"/>
    <w:qFormat/>
    <w:uiPriority w:val="0"/>
  </w:style>
  <w:style w:type="character" w:customStyle="1" w:styleId="248">
    <w:name w:val="纯文本 Char1"/>
    <w:qFormat/>
    <w:uiPriority w:val="0"/>
    <w:rPr>
      <w:rFonts w:ascii="宋体" w:hAnsi="Courier New"/>
      <w:kern w:val="2"/>
      <w:sz w:val="21"/>
    </w:rPr>
  </w:style>
  <w:style w:type="character" w:customStyle="1" w:styleId="249">
    <w:name w:val="Job"/>
    <w:basedOn w:val="54"/>
    <w:qFormat/>
    <w:uiPriority w:val="0"/>
  </w:style>
  <w:style w:type="character" w:customStyle="1" w:styleId="250">
    <w:name w:val="Lead-in Emphasis"/>
    <w:qFormat/>
    <w:uiPriority w:val="0"/>
    <w:rPr>
      <w:rFonts w:ascii="Arial" w:hAnsi="Arial"/>
      <w:b/>
      <w:spacing w:val="-8"/>
      <w:sz w:val="18"/>
    </w:rPr>
  </w:style>
  <w:style w:type="character" w:customStyle="1" w:styleId="251">
    <w:name w:val="label1"/>
    <w:basedOn w:val="54"/>
    <w:qFormat/>
    <w:uiPriority w:val="0"/>
  </w:style>
  <w:style w:type="character" w:customStyle="1" w:styleId="252">
    <w:name w:val="zw1"/>
    <w:basedOn w:val="54"/>
    <w:qFormat/>
    <w:uiPriority w:val="0"/>
    <w:rPr>
      <w:rFonts w:hint="eastAsia" w:ascii="宋体" w:hAnsi="宋体" w:eastAsia="宋体"/>
      <w:sz w:val="22"/>
      <w:szCs w:val="22"/>
    </w:rPr>
  </w:style>
  <w:style w:type="character" w:customStyle="1" w:styleId="253">
    <w:name w:val="zw"/>
    <w:basedOn w:val="54"/>
    <w:qFormat/>
    <w:uiPriority w:val="0"/>
  </w:style>
  <w:style w:type="character" w:customStyle="1" w:styleId="254">
    <w:name w:val="bt21"/>
    <w:qFormat/>
    <w:uiPriority w:val="0"/>
    <w:rPr>
      <w:rFonts w:hint="eastAsia" w:ascii="黑体" w:eastAsia="黑体"/>
      <w:sz w:val="24"/>
      <w:szCs w:val="24"/>
    </w:rPr>
  </w:style>
  <w:style w:type="character" w:customStyle="1" w:styleId="255">
    <w:name w:val="newsitemtext1"/>
    <w:qFormat/>
    <w:uiPriority w:val="0"/>
    <w:rPr>
      <w:color w:val="000000"/>
      <w:sz w:val="28"/>
      <w:szCs w:val="28"/>
    </w:rPr>
  </w:style>
  <w:style w:type="character" w:customStyle="1" w:styleId="256">
    <w:name w:val="text1"/>
    <w:basedOn w:val="54"/>
    <w:qFormat/>
    <w:uiPriority w:val="0"/>
  </w:style>
  <w:style w:type="character" w:customStyle="1" w:styleId="257">
    <w:name w:val="style21"/>
    <w:qFormat/>
    <w:uiPriority w:val="0"/>
    <w:rPr>
      <w:b/>
      <w:bCs/>
      <w:sz w:val="27"/>
      <w:szCs w:val="27"/>
    </w:rPr>
  </w:style>
  <w:style w:type="character" w:customStyle="1" w:styleId="258">
    <w:name w:val="jian1"/>
    <w:basedOn w:val="54"/>
    <w:qFormat/>
    <w:uiPriority w:val="0"/>
  </w:style>
  <w:style w:type="paragraph" w:styleId="259">
    <w:name w:val="List Paragraph"/>
    <w:basedOn w:val="1"/>
    <w:link w:val="268"/>
    <w:qFormat/>
    <w:uiPriority w:val="34"/>
    <w:pPr>
      <w:ind w:firstLine="420" w:firstLineChars="200"/>
    </w:pPr>
    <w:rPr>
      <w:szCs w:val="20"/>
    </w:rPr>
  </w:style>
  <w:style w:type="paragraph" w:customStyle="1" w:styleId="260">
    <w:name w:val="列出段落2"/>
    <w:basedOn w:val="1"/>
    <w:qFormat/>
    <w:uiPriority w:val="34"/>
    <w:pPr>
      <w:ind w:firstLine="420" w:firstLineChars="200"/>
    </w:pPr>
    <w:rPr>
      <w:szCs w:val="20"/>
    </w:rPr>
  </w:style>
  <w:style w:type="character" w:customStyle="1" w:styleId="261">
    <w:name w:val="font01"/>
    <w:qFormat/>
    <w:uiPriority w:val="0"/>
    <w:rPr>
      <w:rFonts w:hint="eastAsia" w:ascii="宋体" w:hAnsi="宋体" w:eastAsia="宋体" w:cs="宋体"/>
      <w:color w:val="000000"/>
      <w:sz w:val="20"/>
      <w:szCs w:val="20"/>
      <w:u w:val="none"/>
    </w:rPr>
  </w:style>
  <w:style w:type="paragraph" w:customStyle="1" w:styleId="262">
    <w:name w:val="Char Char Char Char Char"/>
    <w:basedOn w:val="1"/>
    <w:qFormat/>
    <w:uiPriority w:val="0"/>
  </w:style>
  <w:style w:type="character" w:customStyle="1" w:styleId="263">
    <w:name w:val="Char Char1"/>
    <w:link w:val="65"/>
    <w:qFormat/>
    <w:uiPriority w:val="0"/>
    <w:rPr>
      <w:kern w:val="2"/>
      <w:sz w:val="24"/>
      <w:szCs w:val="24"/>
    </w:rPr>
  </w:style>
  <w:style w:type="paragraph" w:customStyle="1" w:styleId="264">
    <w:name w:val="正文缩进5"/>
    <w:basedOn w:val="1"/>
    <w:link w:val="265"/>
    <w:qFormat/>
    <w:uiPriority w:val="0"/>
    <w:pPr>
      <w:ind w:firstLine="420" w:firstLineChars="200"/>
    </w:pPr>
    <w:rPr>
      <w:lang w:val="zh-CN"/>
    </w:rPr>
  </w:style>
  <w:style w:type="character" w:customStyle="1" w:styleId="265">
    <w:name w:val="正文缩进 Char"/>
    <w:link w:val="264"/>
    <w:qFormat/>
    <w:uiPriority w:val="0"/>
    <w:rPr>
      <w:kern w:val="2"/>
      <w:sz w:val="21"/>
      <w:szCs w:val="24"/>
      <w:lang w:val="zh-CN" w:eastAsia="zh-CN"/>
    </w:rPr>
  </w:style>
  <w:style w:type="paragraph" w:customStyle="1" w:styleId="266">
    <w:name w:val="p0"/>
    <w:basedOn w:val="1"/>
    <w:qFormat/>
    <w:uiPriority w:val="0"/>
    <w:pPr>
      <w:widowControl/>
    </w:pPr>
    <w:rPr>
      <w:rFonts w:ascii="Calibri" w:hAnsi="Calibri" w:cs="Calibri"/>
      <w:kern w:val="0"/>
      <w:szCs w:val="21"/>
    </w:rPr>
  </w:style>
  <w:style w:type="paragraph" w:customStyle="1" w:styleId="267">
    <w:name w:val="p16"/>
    <w:basedOn w:val="1"/>
    <w:qFormat/>
    <w:uiPriority w:val="0"/>
    <w:pPr>
      <w:widowControl/>
      <w:jc w:val="center"/>
    </w:pPr>
    <w:rPr>
      <w:rFonts w:ascii="宋体" w:hAnsi="宋体" w:cs="宋体"/>
      <w:kern w:val="0"/>
      <w:szCs w:val="21"/>
    </w:rPr>
  </w:style>
  <w:style w:type="character" w:customStyle="1" w:styleId="268">
    <w:name w:val="列表段落 字符"/>
    <w:link w:val="259"/>
    <w:qFormat/>
    <w:uiPriority w:val="34"/>
    <w:rPr>
      <w:kern w:val="2"/>
      <w:sz w:val="21"/>
    </w:rPr>
  </w:style>
  <w:style w:type="paragraph" w:customStyle="1" w:styleId="269">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table" w:customStyle="1" w:styleId="270">
    <w:name w:val="网格型1"/>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1">
    <w:name w:val="Table Paragraph"/>
    <w:basedOn w:val="1"/>
    <w:unhideWhenUsed/>
    <w:qFormat/>
    <w:uiPriority w:val="1"/>
    <w:pPr>
      <w:spacing w:beforeLines="0" w:afterLines="0"/>
    </w:pPr>
    <w:rPr>
      <w:rFonts w:hint="default"/>
      <w:sz w:val="24"/>
      <w:szCs w:val="24"/>
    </w:rPr>
  </w:style>
  <w:style w:type="paragraph" w:customStyle="1" w:styleId="272">
    <w:name w:val="表字1"/>
    <w:basedOn w:val="1"/>
    <w:qFormat/>
    <w:uiPriority w:val="0"/>
    <w:pPr>
      <w:spacing w:line="360" w:lineRule="auto"/>
      <w:ind w:firstLine="200" w:firstLineChars="200"/>
      <w:jc w:val="center"/>
      <w:outlineLvl w:val="5"/>
    </w:pPr>
    <w:rPr>
      <w:rFonts w:ascii="宋体" w:hAnsi="宋体" w:eastAsia="宋体" w:cs="Times New Roman"/>
      <w:sz w:val="24"/>
      <w:szCs w:val="24"/>
    </w:rPr>
  </w:style>
  <w:style w:type="paragraph" w:customStyle="1" w:styleId="273">
    <w:name w:val="p_MsoNormal"/>
    <w:basedOn w:val="274"/>
    <w:qFormat/>
    <w:uiPriority w:val="0"/>
    <w:pPr>
      <w:adjustRightInd/>
      <w:snapToGrid/>
      <w:spacing w:after="0"/>
    </w:pPr>
    <w:rPr>
      <w:rFonts w:ascii="Times New Roman" w:hAnsi="Times New Roman" w:eastAsia="Times New Roman" w:cs="Times New Roman"/>
      <w:sz w:val="24"/>
      <w:szCs w:val="24"/>
    </w:rPr>
  </w:style>
  <w:style w:type="paragraph" w:customStyle="1" w:styleId="274">
    <w:name w:val="p"/>
    <w:basedOn w:val="1"/>
    <w:qFormat/>
    <w:uiPriority w:val="0"/>
    <w:rPr>
      <w:rFonts w:ascii="Times New Roman" w:hAnsi="Times New Roman" w:eastAsia="Times New Roman" w:cs="Times New Roman"/>
      <w:sz w:val="24"/>
      <w:szCs w:val="24"/>
    </w:rPr>
  </w:style>
  <w:style w:type="character" w:customStyle="1" w:styleId="275">
    <w:name w:val="WordSection1_table_td_p_span"/>
    <w:basedOn w:val="54"/>
    <w:qFormat/>
    <w:uiPriority w:val="0"/>
    <w:rPr>
      <w:rFonts w:ascii="宋体" w:hAnsi="宋体" w:eastAsia="宋体" w:cs="宋体"/>
      <w:sz w:val="18"/>
      <w:szCs w:val="18"/>
    </w:rPr>
  </w:style>
  <w:style w:type="character" w:customStyle="1" w:styleId="276">
    <w:name w:val="font171"/>
    <w:basedOn w:val="54"/>
    <w:qFormat/>
    <w:uiPriority w:val="0"/>
    <w:rPr>
      <w:rFonts w:hint="eastAsia" w:ascii="宋体" w:hAnsi="宋体" w:eastAsia="宋体" w:cs="宋体"/>
      <w:b/>
      <w:bCs/>
      <w:color w:val="FF0000"/>
      <w:sz w:val="20"/>
      <w:szCs w:val="20"/>
      <w:u w:val="none"/>
    </w:rPr>
  </w:style>
  <w:style w:type="table" w:customStyle="1" w:styleId="277">
    <w:name w:val="Table Normal"/>
    <w:semiHidden/>
    <w:unhideWhenUsed/>
    <w:qFormat/>
    <w:uiPriority w:val="0"/>
    <w:tblPr>
      <w:tblCellMar>
        <w:top w:w="0" w:type="dxa"/>
        <w:left w:w="0" w:type="dxa"/>
        <w:bottom w:w="0" w:type="dxa"/>
        <w:right w:w="0" w:type="dxa"/>
      </w:tblCellMar>
    </w:tblPr>
  </w:style>
  <w:style w:type="character" w:customStyle="1" w:styleId="278">
    <w:name w:val="font11"/>
    <w:basedOn w:val="54"/>
    <w:qFormat/>
    <w:uiPriority w:val="0"/>
    <w:rPr>
      <w:rFonts w:hint="eastAsia" w:ascii="宋体" w:hAnsi="宋体" w:eastAsia="宋体" w:cs="宋体"/>
      <w:color w:val="000000"/>
      <w:sz w:val="18"/>
      <w:szCs w:val="18"/>
      <w:u w:val="none"/>
    </w:rPr>
  </w:style>
  <w:style w:type="character" w:customStyle="1" w:styleId="279">
    <w:name w:val="font51"/>
    <w:basedOn w:val="54"/>
    <w:qFormat/>
    <w:uiPriority w:val="0"/>
    <w:rPr>
      <w:rFonts w:hint="eastAsia" w:ascii="宋体" w:hAnsi="宋体" w:eastAsia="宋体" w:cs="宋体"/>
      <w:color w:val="000000"/>
      <w:sz w:val="18"/>
      <w:szCs w:val="18"/>
      <w:u w:val="none"/>
      <w:vertAlign w:val="subscript"/>
    </w:rPr>
  </w:style>
  <w:style w:type="paragraph" w:customStyle="1" w:styleId="280">
    <w:name w:val="WordSection1_table_td_p"/>
    <w:basedOn w:val="1"/>
    <w:qFormat/>
    <w:uiPriority w:val="0"/>
    <w:rPr>
      <w:rFonts w:ascii="宋体" w:hAnsi="宋体" w:eastAsia="宋体" w:cs="宋体"/>
      <w:sz w:val="18"/>
      <w:szCs w:val="18"/>
    </w:rPr>
  </w:style>
  <w:style w:type="table" w:customStyle="1" w:styleId="281">
    <w:name w:val="table"/>
    <w:basedOn w:val="52"/>
    <w:qFormat/>
    <w:uiPriority w:val="0"/>
  </w:style>
  <w:style w:type="character" w:customStyle="1" w:styleId="282">
    <w:name w:val="pic-number-div"/>
    <w:basedOn w:val="54"/>
    <w:qFormat/>
    <w:uiPriority w:val="0"/>
  </w:style>
  <w:style w:type="character" w:customStyle="1" w:styleId="283">
    <w:name w:val="sup"/>
    <w:basedOn w:val="54"/>
    <w:qFormat/>
    <w:uiPriority w:val="0"/>
    <w:rPr>
      <w:rFonts w:ascii="宋体" w:hAnsi="宋体" w:eastAsia="宋体" w:cs="宋体"/>
      <w:color w:val="000000"/>
      <w:sz w:val="12"/>
      <w:szCs w:val="12"/>
    </w:rPr>
  </w:style>
  <w:style w:type="character" w:customStyle="1" w:styleId="284">
    <w:name w:val="font31"/>
    <w:basedOn w:val="54"/>
    <w:qFormat/>
    <w:uiPriority w:val="0"/>
    <w:rPr>
      <w:rFonts w:hint="eastAsia" w:ascii="宋体" w:hAnsi="宋体" w:eastAsia="宋体" w:cs="宋体"/>
      <w:color w:val="000000"/>
      <w:sz w:val="18"/>
      <w:szCs w:val="18"/>
      <w:u w:val="none"/>
    </w:rPr>
  </w:style>
  <w:style w:type="character" w:customStyle="1" w:styleId="285">
    <w:name w:val="font41"/>
    <w:basedOn w:val="54"/>
    <w:qFormat/>
    <w:uiPriority w:val="0"/>
    <w:rPr>
      <w:rFonts w:hint="eastAsia" w:ascii="宋体" w:hAnsi="宋体" w:eastAsia="宋体" w:cs="宋体"/>
      <w:color w:val="000000"/>
      <w:sz w:val="18"/>
      <w:szCs w:val="18"/>
      <w:u w:val="none"/>
    </w:rPr>
  </w:style>
  <w:style w:type="paragraph" w:customStyle="1" w:styleId="286">
    <w:name w:val="Body text|2"/>
    <w:basedOn w:val="1"/>
    <w:qFormat/>
    <w:uiPriority w:val="0"/>
    <w:pPr>
      <w:widowControl w:val="0"/>
      <w:shd w:val="clear" w:color="auto" w:fill="auto"/>
      <w:spacing w:after="280" w:line="1160" w:lineRule="exact"/>
      <w:ind w:left="1480" w:firstLine="20"/>
    </w:pPr>
    <w:rPr>
      <w:rFonts w:ascii="宋体" w:hAnsi="宋体" w:eastAsia="宋体" w:cs="宋体"/>
      <w:sz w:val="94"/>
      <w:szCs w:val="94"/>
      <w:u w:val="none"/>
      <w:shd w:val="clear" w:color="auto" w:fill="auto"/>
      <w:lang w:val="zh-TW" w:eastAsia="zh-TW" w:bidi="zh-TW"/>
    </w:rPr>
  </w:style>
  <w:style w:type="paragraph" w:customStyle="1" w:styleId="287">
    <w:name w:val="Body text|1"/>
    <w:basedOn w:val="1"/>
    <w:qFormat/>
    <w:uiPriority w:val="0"/>
    <w:pPr>
      <w:widowControl w:val="0"/>
      <w:shd w:val="clear" w:color="auto" w:fill="auto"/>
      <w:spacing w:after="160"/>
    </w:pPr>
    <w:rPr>
      <w:rFonts w:ascii="宋体" w:hAnsi="宋体" w:eastAsia="宋体" w:cs="宋体"/>
      <w:sz w:val="80"/>
      <w:szCs w:val="80"/>
      <w:u w:val="none"/>
      <w:shd w:val="clear" w:color="auto" w:fill="auto"/>
      <w:lang w:val="zh-TW" w:eastAsia="zh-TW" w:bidi="zh-TW"/>
    </w:rPr>
  </w:style>
  <w:style w:type="paragraph" w:customStyle="1" w:styleId="288">
    <w:name w:val="+正文"/>
    <w:basedOn w:val="1"/>
    <w:qFormat/>
    <w:uiPriority w:val="0"/>
    <w:pPr>
      <w:spacing w:before="120" w:beforeLines="50" w:line="360" w:lineRule="auto"/>
      <w:ind w:firstLine="560" w:firstLineChars="200"/>
      <w:jc w:val="left"/>
    </w:pPr>
    <w:rPr>
      <w:rFonts w:ascii="Times New Roman" w:hAnsi="Times New Roman" w:cs="Times New Roman"/>
      <w:sz w:val="28"/>
      <w:szCs w:val="28"/>
    </w:rPr>
  </w:style>
  <w:style w:type="character" w:customStyle="1" w:styleId="289">
    <w:name w:val="font101"/>
    <w:basedOn w:val="54"/>
    <w:qFormat/>
    <w:uiPriority w:val="0"/>
    <w:rPr>
      <w:rFonts w:hint="eastAsia" w:ascii="宋体" w:hAnsi="宋体" w:eastAsia="宋体" w:cs="宋体"/>
      <w:color w:val="000000"/>
      <w:sz w:val="18"/>
      <w:szCs w:val="18"/>
      <w:u w:val="none"/>
      <w:vertAlign w:val="subscript"/>
    </w:rPr>
  </w:style>
  <w:style w:type="character" w:customStyle="1" w:styleId="290">
    <w:name w:val="font61"/>
    <w:basedOn w:val="54"/>
    <w:qFormat/>
    <w:uiPriority w:val="0"/>
    <w:rPr>
      <w:rFonts w:hint="default" w:ascii="Times New Roman" w:hAnsi="Times New Roman" w:cs="Times New Roman"/>
      <w:b/>
      <w:color w:val="000000"/>
      <w:sz w:val="21"/>
      <w:szCs w:val="21"/>
      <w:u w:val="none"/>
    </w:rPr>
  </w:style>
  <w:style w:type="character" w:customStyle="1" w:styleId="291">
    <w:name w:val="font12"/>
    <w:basedOn w:val="54"/>
    <w:qFormat/>
    <w:uiPriority w:val="0"/>
    <w:rPr>
      <w:rFonts w:hint="eastAsia" w:ascii="宋体" w:hAnsi="宋体" w:eastAsia="宋体" w:cs="宋体"/>
      <w:b/>
      <w:bCs/>
      <w:color w:val="000000"/>
      <w:sz w:val="20"/>
      <w:szCs w:val="20"/>
      <w:u w:val="none"/>
    </w:rPr>
  </w:style>
  <w:style w:type="character" w:customStyle="1" w:styleId="292">
    <w:name w:val="font111"/>
    <w:basedOn w:val="54"/>
    <w:qFormat/>
    <w:uiPriority w:val="0"/>
    <w:rPr>
      <w:rFonts w:hint="default" w:ascii="Times New Roman" w:hAnsi="Times New Roman" w:cs="Times New Roman"/>
      <w:b/>
      <w:bCs/>
      <w:color w:val="000000"/>
      <w:sz w:val="20"/>
      <w:szCs w:val="20"/>
      <w:u w:val="none"/>
    </w:rPr>
  </w:style>
  <w:style w:type="character" w:customStyle="1" w:styleId="293">
    <w:name w:val="font21"/>
    <w:basedOn w:val="54"/>
    <w:qFormat/>
    <w:uiPriority w:val="0"/>
    <w:rPr>
      <w:rFonts w:hint="eastAsia" w:ascii="宋体" w:hAnsi="宋体" w:eastAsia="宋体" w:cs="宋体"/>
      <w:color w:val="FF0000"/>
      <w:sz w:val="20"/>
      <w:szCs w:val="20"/>
      <w:u w:val="none"/>
    </w:rPr>
  </w:style>
  <w:style w:type="character" w:customStyle="1" w:styleId="294">
    <w:name w:val="font91"/>
    <w:basedOn w:val="54"/>
    <w:qFormat/>
    <w:uiPriority w:val="0"/>
    <w:rPr>
      <w:rFonts w:hint="default" w:ascii="Times New Roman" w:hAnsi="Times New Roman" w:cs="Times New Roman"/>
      <w:b/>
      <w:bCs/>
      <w:color w:val="000000"/>
      <w:sz w:val="18"/>
      <w:szCs w:val="18"/>
      <w:u w:val="none"/>
    </w:rPr>
  </w:style>
  <w:style w:type="character" w:customStyle="1" w:styleId="295">
    <w:name w:val="font122"/>
    <w:basedOn w:val="54"/>
    <w:qFormat/>
    <w:uiPriority w:val="0"/>
    <w:rPr>
      <w:rFonts w:hint="eastAsia" w:ascii="宋体" w:hAnsi="宋体" w:eastAsia="宋体" w:cs="宋体"/>
      <w:color w:val="000000"/>
      <w:sz w:val="18"/>
      <w:szCs w:val="18"/>
      <w:u w:val="none"/>
      <w:vertAlign w:val="subscript"/>
    </w:rPr>
  </w:style>
  <w:style w:type="character" w:customStyle="1" w:styleId="296">
    <w:name w:val="font131"/>
    <w:basedOn w:val="54"/>
    <w:qFormat/>
    <w:uiPriority w:val="0"/>
    <w:rPr>
      <w:rFonts w:hint="eastAsia" w:ascii="宋体" w:hAnsi="宋体" w:eastAsia="宋体" w:cs="宋体"/>
      <w:color w:val="000000"/>
      <w:sz w:val="18"/>
      <w:szCs w:val="18"/>
      <w:u w:val="none"/>
      <w:vertAlign w:val="superscript"/>
    </w:rPr>
  </w:style>
  <w:style w:type="character" w:customStyle="1" w:styleId="297">
    <w:name w:val="fgray"/>
    <w:basedOn w:val="54"/>
    <w:qFormat/>
    <w:uiPriority w:val="0"/>
  </w:style>
  <w:style w:type="character" w:customStyle="1" w:styleId="298">
    <w:name w:val="fgray1"/>
    <w:basedOn w:val="54"/>
    <w:qFormat/>
    <w:uiPriority w:val="0"/>
  </w:style>
  <w:style w:type="character" w:customStyle="1" w:styleId="299">
    <w:name w:val="txt2"/>
    <w:basedOn w:val="54"/>
    <w:qFormat/>
    <w:uiPriority w:val="0"/>
    <w:rPr>
      <w:color w:val="A6A6A6"/>
      <w:sz w:val="21"/>
      <w:szCs w:val="21"/>
    </w:rPr>
  </w:style>
  <w:style w:type="character" w:customStyle="1" w:styleId="300">
    <w:name w:val="time"/>
    <w:basedOn w:val="54"/>
    <w:qFormat/>
    <w:uiPriority w:val="0"/>
    <w:rPr>
      <w:color w:val="888888"/>
      <w:sz w:val="27"/>
      <w:szCs w:val="27"/>
    </w:rPr>
  </w:style>
  <w:style w:type="character" w:customStyle="1" w:styleId="301">
    <w:name w:val="time1"/>
    <w:basedOn w:val="54"/>
    <w:qFormat/>
    <w:uiPriority w:val="0"/>
    <w:rPr>
      <w:color w:val="888888"/>
    </w:rPr>
  </w:style>
  <w:style w:type="character" w:customStyle="1" w:styleId="302">
    <w:name w:val="time2"/>
    <w:basedOn w:val="54"/>
    <w:qFormat/>
    <w:uiPriority w:val="0"/>
    <w:rPr>
      <w:color w:val="888888"/>
      <w:sz w:val="27"/>
      <w:szCs w:val="27"/>
    </w:rPr>
  </w:style>
  <w:style w:type="character" w:customStyle="1" w:styleId="303">
    <w:name w:val="time3"/>
    <w:basedOn w:val="54"/>
    <w:qFormat/>
    <w:uiPriority w:val="0"/>
    <w:rPr>
      <w:color w:val="777777"/>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0" Type="http://schemas.openxmlformats.org/officeDocument/2006/relationships/fontTable" Target="fontTable.xml"/><Relationship Id="rId5" Type="http://schemas.openxmlformats.org/officeDocument/2006/relationships/footer" Target="footer1.xml"/><Relationship Id="rId49" Type="http://schemas.openxmlformats.org/officeDocument/2006/relationships/customXml" Target="../customXml/item2.xml"/><Relationship Id="rId48" Type="http://schemas.openxmlformats.org/officeDocument/2006/relationships/numbering" Target="numbering.xml"/><Relationship Id="rId47" Type="http://schemas.openxmlformats.org/officeDocument/2006/relationships/customXml" Target="../customXml/item1.xml"/><Relationship Id="rId46" Type="http://schemas.openxmlformats.org/officeDocument/2006/relationships/image" Target="media/image26.jpeg"/><Relationship Id="rId45" Type="http://schemas.openxmlformats.org/officeDocument/2006/relationships/image" Target="media/image25.jpeg"/><Relationship Id="rId44" Type="http://schemas.openxmlformats.org/officeDocument/2006/relationships/image" Target="media/image24.jpeg"/><Relationship Id="rId43" Type="http://schemas.openxmlformats.org/officeDocument/2006/relationships/image" Target="media/image23.jpeg"/><Relationship Id="rId42" Type="http://schemas.openxmlformats.org/officeDocument/2006/relationships/image" Target="media/image22.jpeg"/><Relationship Id="rId41" Type="http://schemas.openxmlformats.org/officeDocument/2006/relationships/image" Target="media/image21.jpeg"/><Relationship Id="rId40" Type="http://schemas.openxmlformats.org/officeDocument/2006/relationships/image" Target="media/image20.jpeg"/><Relationship Id="rId4" Type="http://schemas.openxmlformats.org/officeDocument/2006/relationships/header" Target="header2.xml"/><Relationship Id="rId39" Type="http://schemas.openxmlformats.org/officeDocument/2006/relationships/image" Target="media/image19.jpeg"/><Relationship Id="rId38" Type="http://schemas.openxmlformats.org/officeDocument/2006/relationships/image" Target="media/image18.jpeg"/><Relationship Id="rId37" Type="http://schemas.openxmlformats.org/officeDocument/2006/relationships/image" Target="media/image17.png"/><Relationship Id="rId36" Type="http://schemas.openxmlformats.org/officeDocument/2006/relationships/image" Target="media/image16.png"/><Relationship Id="rId35" Type="http://schemas.openxmlformats.org/officeDocument/2006/relationships/image" Target="media/image15.jpeg"/><Relationship Id="rId34" Type="http://schemas.openxmlformats.org/officeDocument/2006/relationships/image" Target="media/image14.jpeg"/><Relationship Id="rId33" Type="http://schemas.openxmlformats.org/officeDocument/2006/relationships/image" Target="media/image13.png"/><Relationship Id="rId32" Type="http://schemas.openxmlformats.org/officeDocument/2006/relationships/image" Target="media/image12.png"/><Relationship Id="rId31" Type="http://schemas.openxmlformats.org/officeDocument/2006/relationships/image" Target="media/image11.jpeg"/><Relationship Id="rId30" Type="http://schemas.openxmlformats.org/officeDocument/2006/relationships/image" Target="media/image10.jpeg"/><Relationship Id="rId3" Type="http://schemas.openxmlformats.org/officeDocument/2006/relationships/header" Target="header1.xml"/><Relationship Id="rId29" Type="http://schemas.openxmlformats.org/officeDocument/2006/relationships/image" Target="media/image9.jpeg"/><Relationship Id="rId28" Type="http://schemas.openxmlformats.org/officeDocument/2006/relationships/image" Target="media/image8.png"/><Relationship Id="rId27" Type="http://schemas.openxmlformats.org/officeDocument/2006/relationships/image" Target="media/image7.png"/><Relationship Id="rId26" Type="http://schemas.openxmlformats.org/officeDocument/2006/relationships/image" Target="media/image6.jpeg"/><Relationship Id="rId25" Type="http://schemas.openxmlformats.org/officeDocument/2006/relationships/image" Target="media/image5.png"/><Relationship Id="rId24" Type="http://schemas.openxmlformats.org/officeDocument/2006/relationships/image" Target="media/image4.jpeg"/><Relationship Id="rId23" Type="http://schemas.openxmlformats.org/officeDocument/2006/relationships/image" Target="media/image3.jpeg"/><Relationship Id="rId22" Type="http://schemas.openxmlformats.org/officeDocument/2006/relationships/image" Target="media/image2.png"/><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header" Target="header6.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800D7E-FFE7-49F9-ACF1-560430CB60D7}">
  <ds:schemaRefs/>
</ds:datastoreItem>
</file>

<file path=docProps/app.xml><?xml version="1.0" encoding="utf-8"?>
<Properties xmlns="http://schemas.openxmlformats.org/officeDocument/2006/extended-properties" xmlns:vt="http://schemas.openxmlformats.org/officeDocument/2006/docPropsVTypes">
  <Template>Normal.dotm</Template>
  <Company>sdip.com</Company>
  <Pages>476</Pages>
  <Words>144525</Words>
  <Characters>216430</Characters>
  <Lines>426</Lines>
  <Paragraphs>119</Paragraphs>
  <TotalTime>1</TotalTime>
  <ScaleCrop>false</ScaleCrop>
  <LinksUpToDate>false</LinksUpToDate>
  <CharactersWithSpaces>217248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2019-01-24T01:24:00Z</dcterms:created>
  <dc:creator>User</dc:creator>
  <cp:lastModifiedBy>Administrator</cp:lastModifiedBy>
  <cp:lastPrinted>2022-09-07T08:07:00Z</cp:lastPrinted>
  <dcterms:modified xsi:type="dcterms:W3CDTF">2022-10-21T01:22:39Z</dcterms:modified>
  <dc:title>前    言</dc:title>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42C8305C74D241BFB05F9D3D4EE6D370</vt:lpwstr>
  </property>
</Properties>
</file>